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96520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95" w:lineRule="exact"/>
        <w:rPr>
          <w:sz w:val="24"/>
          <w:szCs w:val="24"/>
          <w:color w:val="auto"/>
        </w:rPr>
      </w:pPr>
    </w:p>
    <w:p>
      <w:pPr>
        <w:ind w:left="520" w:right="260" w:hanging="512"/>
        <w:spacing w:after="0" w:line="262" w:lineRule="auto"/>
        <w:tabs>
          <w:tab w:leader="none" w:pos="44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480"/>
        <w:spacing w:after="0"/>
        <w:tabs>
          <w:tab w:leader="none" w:pos="6700" w:val="left"/>
          <w:tab w:leader="none" w:pos="7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3720465</wp:posOffset>
            </wp:positionH>
            <wp:positionV relativeFrom="paragraph">
              <wp:posOffset>-5080</wp:posOffset>
            </wp:positionV>
            <wp:extent cx="1180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001-39094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82-4151574</w:t>
            </w:r>
          </w:p>
        </w:tc>
      </w:tr>
      <w:tr>
        <w:trPr>
          <w:trHeight w:val="148"/>
        </w:trPr>
        <w:tc>
          <w:tcPr>
            <w:tcW w:w="436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100 Campus Drive, Suite 102</w:t>
            </w:r>
          </w:p>
        </w:tc>
        <w:tc>
          <w:tcPr>
            <w:tcW w:w="3120" w:type="dxa"/>
            <w:vAlign w:val="bottom"/>
          </w:tcPr>
          <w:p>
            <w:pPr>
              <w:spacing w:after="0"/>
              <w:rPr>
                <w:sz w:val="24"/>
                <w:szCs w:val="24"/>
                <w:color w:val="auto"/>
              </w:rPr>
            </w:pPr>
          </w:p>
        </w:tc>
      </w:tr>
      <w:tr>
        <w:trPr>
          <w:trHeight w:val="214"/>
        </w:trPr>
        <w:tc>
          <w:tcPr>
            <w:tcW w:w="436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9"/>
              </w:rPr>
              <w:t>Florham Park, New Jersey</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07932</w:t>
            </w:r>
          </w:p>
        </w:tc>
      </w:tr>
      <w:tr>
        <w:trPr>
          <w:trHeight w:val="190"/>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742-8466</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PHAT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27, 2025, the registrant had 71,138,440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60" w:type="dxa"/>
            <w:vAlign w:val="bottom"/>
            <w:gridSpan w:val="6"/>
          </w:tcPr>
          <w:p>
            <w:pPr>
              <w:ind w:left="100"/>
              <w:spacing w:after="0"/>
              <w:rPr>
                <w:sz w:val="20"/>
                <w:szCs w:val="20"/>
                <w:color w:val="auto"/>
              </w:rPr>
            </w:pPr>
            <w:r>
              <w:rPr>
                <w:rFonts w:ascii="Arial" w:cs="Arial" w:eastAsia="Arial" w:hAnsi="Arial"/>
                <w:sz w:val="18"/>
                <w:szCs w:val="18"/>
                <w:b w:val="1"/>
                <w:bCs w:val="1"/>
                <w:color w:val="231F20"/>
              </w:rPr>
              <w:t>TABLE OF CONTENTS</w:t>
            </w:r>
          </w:p>
        </w:tc>
        <w:tc>
          <w:tcPr>
            <w:tcW w:w="2520" w:type="dxa"/>
            <w:vAlign w:val="bottom"/>
          </w:tcPr>
          <w:p>
            <w:pPr>
              <w:spacing w:after="0"/>
              <w:rPr>
                <w:sz w:val="21"/>
                <w:szCs w:val="21"/>
                <w:color w:val="auto"/>
              </w:rPr>
            </w:pPr>
          </w:p>
        </w:tc>
      </w:tr>
      <w:tr>
        <w:trPr>
          <w:trHeight w:val="380"/>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 FINANCIAL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708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Condensed Balance Sheets</w:t>
            </w:r>
          </w:p>
        </w:tc>
        <w:tc>
          <w:tcPr>
            <w:tcW w:w="40" w:type="dxa"/>
            <w:vAlign w:val="bottom"/>
            <w:tcBorders>
              <w:top w:val="single" w:sz="8" w:color="0000FF"/>
              <w:bottom w:val="single" w:sz="8" w:color="0000EE"/>
            </w:tcBorders>
          </w:tcPr>
          <w:p>
            <w:pPr>
              <w:spacing w:after="0"/>
              <w:rPr>
                <w:sz w:val="20"/>
                <w:szCs w:val="20"/>
                <w:color w:val="auto"/>
              </w:rPr>
            </w:pPr>
          </w:p>
        </w:tc>
        <w:tc>
          <w:tcPr>
            <w:tcW w:w="360" w:type="dxa"/>
            <w:vAlign w:val="bottom"/>
            <w:tcBorders>
              <w:top w:val="single" w:sz="8" w:color="0000FF"/>
            </w:tcBorders>
            <w:gridSpan w:val="2"/>
          </w:tcPr>
          <w:p>
            <w:pPr>
              <w:spacing w:after="0"/>
              <w:rPr>
                <w:sz w:val="20"/>
                <w:szCs w:val="20"/>
                <w:color w:val="auto"/>
              </w:rPr>
            </w:pPr>
          </w:p>
        </w:tc>
        <w:tc>
          <w:tcPr>
            <w:tcW w:w="4440" w:type="dxa"/>
            <w:vAlign w:val="bottom"/>
            <w:gridSpan w:val="8"/>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rPr>
              <w:t>Condensed Statements of Operations and Comprehensive Loss</w:t>
            </w:r>
          </w:p>
        </w:tc>
        <w:tc>
          <w:tcPr>
            <w:tcW w:w="19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Condensed Statements of Stockholders’ Deficit</w:t>
            </w:r>
          </w:p>
        </w:tc>
        <w:tc>
          <w:tcPr>
            <w:tcW w:w="2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Statements of Cash Flows</w:t>
            </w:r>
          </w:p>
        </w:tc>
        <w:tc>
          <w:tcPr>
            <w:tcW w:w="40" w:type="dxa"/>
            <w:vAlign w:val="bottom"/>
            <w:tcBorders>
              <w:top w:val="single" w:sz="8" w:color="0000FF"/>
              <w:bottom w:val="single" w:sz="8" w:color="0000EE"/>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3320" w:type="dxa"/>
            <w:vAlign w:val="bottom"/>
            <w:gridSpan w:val="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Notes to Condensed Unaudited Financial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1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II. OTHER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558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1A</w:t>
            </w:r>
          </w:p>
        </w:tc>
        <w:tc>
          <w:tcPr>
            <w:tcW w:w="708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220" w:type="dxa"/>
            <w:vAlign w:val="bottom"/>
            <w:gridSpan w:val="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4520" w:type="dxa"/>
            <w:vAlign w:val="bottom"/>
            <w:gridSpan w:val="9"/>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5140" w:type="dxa"/>
            <w:vAlign w:val="bottom"/>
            <w:gridSpan w:val="1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5</w:t>
            </w:r>
          </w:p>
        </w:tc>
        <w:tc>
          <w:tcPr>
            <w:tcW w:w="708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20"/>
                <w:szCs w:val="20"/>
                <w:color w:val="auto"/>
              </w:rPr>
            </w:pPr>
          </w:p>
        </w:tc>
        <w:tc>
          <w:tcPr>
            <w:tcW w:w="740" w:type="dxa"/>
            <w:vAlign w:val="bottom"/>
            <w:tcBorders>
              <w:top w:val="single" w:sz="8" w:color="0000FF"/>
            </w:tcBorders>
            <w:gridSpan w:val="3"/>
          </w:tcPr>
          <w:p>
            <w:pPr>
              <w:spacing w:after="0"/>
              <w:rPr>
                <w:sz w:val="20"/>
                <w:szCs w:val="20"/>
                <w:color w:val="auto"/>
              </w:rPr>
            </w:pPr>
          </w:p>
        </w:tc>
        <w:tc>
          <w:tcPr>
            <w:tcW w:w="5680" w:type="dxa"/>
            <w:vAlign w:val="bottom"/>
            <w:gridSpan w:val="1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432"/>
        </w:trPr>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PHATHOM PHARMACEUTICALS, INC.</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Balance Sheets</w:t>
      </w:r>
    </w:p>
    <w:p>
      <w:pPr>
        <w:jc w:val="center"/>
        <w:spacing w:after="0" w:line="23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135,156</w:t>
            </w:r>
          </w:p>
        </w:tc>
        <w:tc>
          <w:tcPr>
            <w:tcW w:w="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297,263</w:t>
            </w:r>
          </w:p>
        </w:tc>
      </w:tr>
      <w:tr>
        <w:trPr>
          <w:trHeight w:val="203"/>
        </w:trPr>
        <w:tc>
          <w:tcPr>
            <w:tcW w:w="772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13,227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20,866</w:t>
            </w:r>
          </w:p>
        </w:tc>
      </w:tr>
      <w:tr>
        <w:trPr>
          <w:trHeight w:val="203"/>
        </w:trPr>
        <w:tc>
          <w:tcPr>
            <w:tcW w:w="7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55,789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38,797</w:t>
            </w:r>
          </w:p>
        </w:tc>
      </w:tr>
      <w:tr>
        <w:trPr>
          <w:trHeight w:val="203"/>
        </w:trPr>
        <w:tc>
          <w:tcPr>
            <w:tcW w:w="7720" w:type="dxa"/>
            <w:vAlign w:val="bottom"/>
          </w:tcPr>
          <w:p>
            <w:pPr>
              <w:ind w:left="160"/>
              <w:spacing w:after="0" w:line="202" w:lineRule="exact"/>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3,611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3,208</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207,783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360,134</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1,476</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2,694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613</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2,862</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Inventory, non-current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24,101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11,540</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1,693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1,693</w:t>
            </w:r>
          </w:p>
        </w:tc>
      </w:tr>
      <w:tr>
        <w:trPr>
          <w:trHeight w:val="23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240,289</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378,318</w:t>
            </w:r>
          </w:p>
        </w:tc>
      </w:tr>
      <w:tr>
        <w:trPr>
          <w:trHeight w:val="183"/>
        </w:trPr>
        <w:tc>
          <w:tcPr>
            <w:tcW w:w="77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Deficit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72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1,075</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10,507</w:t>
            </w:r>
          </w:p>
        </w:tc>
      </w:tr>
      <w:tr>
        <w:trPr>
          <w:trHeight w:val="203"/>
        </w:trPr>
        <w:tc>
          <w:tcPr>
            <w:tcW w:w="7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65,349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53,232</w:t>
            </w:r>
          </w:p>
        </w:tc>
      </w:tr>
      <w:tr>
        <w:trPr>
          <w:trHeight w:val="203"/>
        </w:trPr>
        <w:tc>
          <w:tcPr>
            <w:tcW w:w="7720" w:type="dxa"/>
            <w:vAlign w:val="bottom"/>
          </w:tcPr>
          <w:p>
            <w:pPr>
              <w:ind w:left="160"/>
              <w:spacing w:after="0" w:line="202" w:lineRule="exact"/>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1,711</w:t>
            </w:r>
          </w:p>
        </w:tc>
      </w:tr>
      <w:tr>
        <w:trPr>
          <w:trHeight w:val="203"/>
        </w:trPr>
        <w:tc>
          <w:tcPr>
            <w:tcW w:w="7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Operating lease liabilities, current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591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501</w:t>
            </w:r>
          </w:p>
        </w:tc>
      </w:tr>
      <w:tr>
        <w:trPr>
          <w:trHeight w:val="203"/>
        </w:trPr>
        <w:tc>
          <w:tcPr>
            <w:tcW w:w="772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revenue interest financing liability</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24,344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19,777</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93,123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85,728</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Long-term debt, net of discount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207,093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201,409</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 interest financing liability</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348,984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333,261</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11,500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11,500</w:t>
            </w:r>
          </w:p>
        </w:tc>
      </w:tr>
      <w:tr>
        <w:trPr>
          <w:trHeight w:val="196"/>
        </w:trPr>
        <w:tc>
          <w:tcPr>
            <w:tcW w:w="772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662,823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631,898</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Commitments and contingencies (Note 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4"/>
        </w:trPr>
        <w:tc>
          <w:tcPr>
            <w:tcW w:w="772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Preferred stock, $0.0001 par value; authorized shares — 40,000,000 at September 30, 2025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203"/>
        </w:trPr>
        <w:tc>
          <w:tcPr>
            <w:tcW w:w="7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and December 31, 2024; no shares issued and outstanding at September 30, 2025 and</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21"/>
        </w:trPr>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184"/>
        </w:trPr>
        <w:tc>
          <w:tcPr>
            <w:tcW w:w="7720" w:type="dxa"/>
            <w:vAlign w:val="bottom"/>
          </w:tcPr>
          <w:p>
            <w:pPr>
              <w:ind w:left="160"/>
              <w:spacing w:after="0" w:line="183" w:lineRule="exact"/>
              <w:rPr>
                <w:sz w:val="20"/>
                <w:szCs w:val="20"/>
                <w:color w:val="auto"/>
              </w:rPr>
            </w:pPr>
            <w:r>
              <w:rPr>
                <w:rFonts w:ascii="Arial" w:cs="Arial" w:eastAsia="Arial" w:hAnsi="Arial"/>
                <w:sz w:val="18"/>
                <w:szCs w:val="18"/>
                <w:color w:val="auto"/>
              </w:rPr>
              <w:t>Common stock, $0.0001 par value; authorized shares — 400,000,000 at September 30, 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7720" w:type="dxa"/>
            <w:vAlign w:val="bottom"/>
          </w:tcPr>
          <w:p>
            <w:pPr>
              <w:ind w:left="160"/>
              <w:spacing w:after="0" w:line="202" w:lineRule="exact"/>
              <w:rPr>
                <w:sz w:val="20"/>
                <w:szCs w:val="20"/>
                <w:color w:val="auto"/>
              </w:rPr>
            </w:pPr>
            <w:r>
              <w:rPr>
                <w:rFonts w:ascii="Arial" w:cs="Arial" w:eastAsia="Arial" w:hAnsi="Arial"/>
                <w:sz w:val="18"/>
                <w:szCs w:val="18"/>
                <w:color w:val="auto"/>
              </w:rPr>
              <w:t>and December 31, 2024; issued and outstanding shares — 71,043,149 and 68,518,238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1"/>
        </w:trPr>
        <w:tc>
          <w:tcPr>
            <w:tcW w:w="7720" w:type="dxa"/>
            <w:vAlign w:val="bottom"/>
          </w:tcPr>
          <w:p>
            <w:pPr>
              <w:ind w:left="160"/>
              <w:spacing w:after="0"/>
              <w:rPr>
                <w:sz w:val="20"/>
                <w:szCs w:val="20"/>
                <w:color w:val="auto"/>
              </w:rPr>
            </w:pPr>
            <w:r>
              <w:rPr>
                <w:rFonts w:ascii="Arial" w:cs="Arial" w:eastAsia="Arial" w:hAnsi="Arial"/>
                <w:sz w:val="18"/>
                <w:szCs w:val="18"/>
                <w:color w:val="auto"/>
              </w:rPr>
              <w:t>September 30, 2025 and December 31, 2024, respectively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03"/>
        </w:trPr>
        <w:tc>
          <w:tcPr>
            <w:tcW w:w="7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Treasury stock — 19 shares at September 30, 2025 and December 31, 2024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1,040,570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1,009,425</w:t>
            </w:r>
          </w:p>
        </w:tc>
      </w:tr>
      <w:tr>
        <w:trPr>
          <w:trHeight w:val="203"/>
        </w:trPr>
        <w:tc>
          <w:tcPr>
            <w:tcW w:w="77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(1,463,110)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(1,263,011)</w:t>
            </w:r>
          </w:p>
        </w:tc>
      </w:tr>
      <w:tr>
        <w:trPr>
          <w:trHeight w:val="196"/>
        </w:trPr>
        <w:tc>
          <w:tcPr>
            <w:tcW w:w="7720" w:type="dxa"/>
            <w:vAlign w:val="bottom"/>
          </w:tcPr>
          <w:p>
            <w:pPr>
              <w:spacing w:after="0" w:line="196" w:lineRule="exact"/>
              <w:rPr>
                <w:sz w:val="20"/>
                <w:szCs w:val="20"/>
                <w:color w:val="auto"/>
              </w:rPr>
            </w:pPr>
            <w:r>
              <w:rPr>
                <w:rFonts w:ascii="Arial" w:cs="Arial" w:eastAsia="Arial" w:hAnsi="Arial"/>
                <w:sz w:val="18"/>
                <w:szCs w:val="18"/>
                <w:color w:val="auto"/>
              </w:rPr>
              <w:t>Total stockholders’ deficit</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(422,534)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(253,580)</w:t>
            </w:r>
          </w:p>
        </w:tc>
      </w:tr>
      <w:tr>
        <w:trPr>
          <w:trHeight w:val="21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240,289</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378,318</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-3436620</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-3419475</wp:posOffset>
            </wp:positionV>
            <wp:extent cx="102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-1859280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-299720</wp:posOffset>
            </wp:positionV>
            <wp:extent cx="102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49,504</w:t>
            </w: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16,352</w:t>
            </w:r>
          </w:p>
        </w:tc>
        <w:tc>
          <w:tcPr>
            <w:tcW w:w="3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117,526</w:t>
            </w: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25,588</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6,190</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2,356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14,951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43,314</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13,996</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102,575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21,430</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7,027</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8,693</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25,287</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25,499</w:t>
            </w:r>
          </w:p>
        </w:tc>
        <w:tc>
          <w:tcPr>
            <w:tcW w:w="0" w:type="dxa"/>
            <w:vAlign w:val="bottom"/>
          </w:tcPr>
          <w:p>
            <w:pPr>
              <w:spacing w:after="0"/>
              <w:rPr>
                <w:sz w:val="1"/>
                <w:szCs w:val="1"/>
                <w:color w:val="auto"/>
              </w:rPr>
            </w:pPr>
          </w:p>
        </w:tc>
      </w:tr>
      <w:tr>
        <w:trPr>
          <w:trHeight w:val="203"/>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51,558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76,099</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231,346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213,981</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58,585</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84,792</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256,633</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239,480</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(15,271)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(70,796)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(154,058)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(218,050)</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5,840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(16,108)</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(18,484)</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(51,696)</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(53,416)</w:t>
            </w:r>
          </w:p>
        </w:tc>
        <w:tc>
          <w:tcPr>
            <w:tcW w:w="0" w:type="dxa"/>
            <w:vAlign w:val="bottom"/>
          </w:tcPr>
          <w:p>
            <w:pPr>
              <w:spacing w:after="0"/>
              <w:rPr>
                <w:sz w:val="1"/>
                <w:szCs w:val="1"/>
                <w:color w:val="auto"/>
              </w:rPr>
            </w:pPr>
          </w:p>
        </w:tc>
      </w:tr>
      <w:tr>
        <w:trPr>
          <w:trHeight w:val="203"/>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(14,702)</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(14,781)</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(46,041)</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(41,825)</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(29,973)</w:t>
            </w: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(85,577)</w:t>
            </w:r>
          </w:p>
        </w:tc>
        <w:tc>
          <w:tcPr>
            <w:tcW w:w="3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(200,099)</w:t>
            </w: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(259,875)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(0.41)</w:t>
            </w: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(1.32)</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(2.76)</w:t>
            </w: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64"/>
        </w:trPr>
        <w:tc>
          <w:tcPr>
            <w:tcW w:w="582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Weighted-average shares of common stock outstanding, basic and</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73,396,435</w:t>
            </w: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64,627,847</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72,615,910</w:t>
            </w: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60,543,545</w:t>
            </w:r>
          </w:p>
        </w:tc>
        <w:tc>
          <w:tcPr>
            <w:tcW w:w="0" w:type="dxa"/>
            <w:vAlign w:val="bottom"/>
          </w:tcPr>
          <w:p>
            <w:pPr>
              <w:spacing w:after="0"/>
              <w:rPr>
                <w:sz w:val="1"/>
                <w:szCs w:val="1"/>
                <w:color w:val="auto"/>
              </w:rPr>
            </w:pPr>
          </w:p>
        </w:tc>
      </w:tr>
      <w:tr>
        <w:trPr>
          <w:trHeight w:val="181"/>
        </w:trPr>
        <w:tc>
          <w:tcPr>
            <w:tcW w:w="5820" w:type="dxa"/>
            <w:vAlign w:val="bottom"/>
          </w:tcPr>
          <w:p>
            <w:pPr>
              <w:spacing w:after="0" w:line="161"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-1370965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-1370965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-1370965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-573405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-573405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-573405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-281940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-264795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-281940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-264795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-281940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-264795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198"/>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138"/>
              <w:spacing w:after="0" w:line="189" w:lineRule="exact"/>
              <w:rPr>
                <w:sz w:val="20"/>
                <w:szCs w:val="20"/>
                <w:color w:val="auto"/>
              </w:rPr>
            </w:pPr>
            <w:r>
              <w:rPr>
                <w:rFonts w:ascii="Arial" w:cs="Arial" w:eastAsia="Arial" w:hAnsi="Arial"/>
                <w:sz w:val="18"/>
                <w:szCs w:val="18"/>
                <w:b w:val="1"/>
                <w:bCs w:val="1"/>
                <w:color w:val="auto"/>
                <w:w w:val="97"/>
              </w:rPr>
              <w:t>Additional</w:t>
            </w:r>
          </w:p>
        </w:tc>
        <w:tc>
          <w:tcPr>
            <w:tcW w:w="120" w:type="dxa"/>
            <w:vAlign w:val="bottom"/>
          </w:tcPr>
          <w:p>
            <w:pPr>
              <w:spacing w:after="0"/>
              <w:rPr>
                <w:sz w:val="16"/>
                <w:szCs w:val="16"/>
                <w:color w:val="auto"/>
              </w:rPr>
            </w:pPr>
          </w:p>
        </w:tc>
        <w:tc>
          <w:tcPr>
            <w:tcW w:w="120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20" w:type="dxa"/>
            <w:vAlign w:val="bottom"/>
          </w:tcPr>
          <w:p>
            <w:pPr>
              <w:spacing w:after="0"/>
              <w:rPr>
                <w:sz w:val="16"/>
                <w:szCs w:val="16"/>
                <w:color w:val="auto"/>
              </w:rPr>
            </w:pPr>
          </w:p>
        </w:tc>
        <w:tc>
          <w:tcPr>
            <w:tcW w:w="1180" w:type="dxa"/>
            <w:vAlign w:val="bottom"/>
            <w:gridSpan w:val="2"/>
          </w:tcPr>
          <w:p>
            <w:pPr>
              <w:jc w:val="center"/>
              <w:ind w:right="58"/>
              <w:spacing w:after="0" w:line="189" w:lineRule="exact"/>
              <w:rPr>
                <w:sz w:val="20"/>
                <w:szCs w:val="20"/>
                <w:color w:val="auto"/>
              </w:rPr>
            </w:pPr>
            <w:r>
              <w:rPr>
                <w:rFonts w:ascii="Arial" w:cs="Arial" w:eastAsia="Arial" w:hAnsi="Arial"/>
                <w:sz w:val="18"/>
                <w:szCs w:val="18"/>
                <w:b w:val="1"/>
                <w:bCs w:val="1"/>
                <w:color w:val="auto"/>
                <w:w w:val="99"/>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Common Stock</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278"/>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518"/>
              <w:spacing w:after="0"/>
              <w:rPr>
                <w:sz w:val="20"/>
                <w:szCs w:val="20"/>
                <w:color w:val="auto"/>
              </w:rPr>
            </w:pPr>
            <w:r>
              <w:rPr>
                <w:rFonts w:ascii="Arial" w:cs="Arial" w:eastAsia="Arial" w:hAnsi="Arial"/>
                <w:sz w:val="18"/>
                <w:szCs w:val="18"/>
                <w:b w:val="1"/>
                <w:bCs w:val="1"/>
                <w:color w:val="auto"/>
              </w:rPr>
              <w:t>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198"/>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280" w:type="dxa"/>
            <w:vAlign w:val="bottom"/>
            <w:tcBorders>
              <w:bottom w:val="single" w:sz="8" w:color="auto"/>
            </w:tcBorders>
          </w:tcPr>
          <w:p>
            <w:pPr>
              <w:jc w:val="right"/>
              <w:ind w:right="318"/>
              <w:spacing w:after="0" w:line="196" w:lineRule="exact"/>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7"/>
                <w:szCs w:val="17"/>
                <w:color w:val="auto"/>
              </w:rPr>
            </w:pP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8"/>
              <w:spacing w:after="0" w:line="196" w:lineRule="exact"/>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8"/>
              <w:spacing w:after="0" w:line="196" w:lineRule="exact"/>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98"/>
              <w:spacing w:after="0" w:line="196" w:lineRule="exact"/>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2024</w:t>
            </w:r>
          </w:p>
        </w:tc>
        <w:tc>
          <w:tcPr>
            <w:tcW w:w="1280" w:type="dxa"/>
            <w:vAlign w:val="bottom"/>
            <w:shd w:val="clear" w:color="auto" w:fill="CFF0FC"/>
          </w:tcPr>
          <w:p>
            <w:pPr>
              <w:jc w:val="right"/>
              <w:ind w:right="58"/>
              <w:spacing w:after="0" w:line="183" w:lineRule="exact"/>
              <w:rPr>
                <w:sz w:val="20"/>
                <w:szCs w:val="20"/>
                <w:color w:val="auto"/>
              </w:rPr>
            </w:pPr>
            <w:r>
              <w:rPr>
                <w:rFonts w:ascii="Arial" w:cs="Arial" w:eastAsia="Arial" w:hAnsi="Arial"/>
                <w:sz w:val="16"/>
                <w:szCs w:val="16"/>
                <w:color w:val="auto"/>
              </w:rPr>
              <w:t>68,518,238</w:t>
            </w: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w:t>
            </w: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8"/>
              <w:spacing w:after="0" w:line="183" w:lineRule="exact"/>
              <w:rPr>
                <w:sz w:val="20"/>
                <w:szCs w:val="20"/>
                <w:color w:val="auto"/>
              </w:rPr>
            </w:pPr>
            <w:r>
              <w:rPr>
                <w:rFonts w:ascii="Arial" w:cs="Arial" w:eastAsia="Arial" w:hAnsi="Arial"/>
                <w:sz w:val="16"/>
                <w:szCs w:val="16"/>
                <w:color w:val="auto"/>
              </w:rPr>
              <w:t>1,009,425</w:t>
            </w: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(1,263,011)</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(253,580)</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290,165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508,568</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5,540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5,540</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321,099</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1,853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(94,316)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(94,316)</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2025</w:t>
            </w:r>
          </w:p>
        </w:tc>
        <w:tc>
          <w:tcPr>
            <w:tcW w:w="1280" w:type="dxa"/>
            <w:vAlign w:val="bottom"/>
            <w:tcBorders>
              <w:bottom w:val="single" w:sz="8" w:color="auto"/>
            </w:tcBorders>
            <w:shd w:val="clear" w:color="auto" w:fill="CFF0FC"/>
          </w:tcPr>
          <w:p>
            <w:pPr>
              <w:jc w:val="right"/>
              <w:ind w:right="58"/>
              <w:spacing w:after="0" w:line="183" w:lineRule="exact"/>
              <w:rPr>
                <w:sz w:val="20"/>
                <w:szCs w:val="20"/>
                <w:color w:val="auto"/>
              </w:rPr>
            </w:pPr>
            <w:r>
              <w:rPr>
                <w:rFonts w:ascii="Arial" w:cs="Arial" w:eastAsia="Arial" w:hAnsi="Arial"/>
                <w:sz w:val="16"/>
                <w:szCs w:val="16"/>
                <w:color w:val="auto"/>
              </w:rPr>
              <w:t>69,638,070</w:t>
            </w:r>
          </w:p>
        </w:tc>
        <w:tc>
          <w:tcPr>
            <w:tcW w:w="1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w:t>
            </w:r>
          </w:p>
        </w:tc>
        <w:tc>
          <w:tcPr>
            <w:tcW w:w="1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38"/>
              <w:spacing w:after="0" w:line="183" w:lineRule="exact"/>
              <w:rPr>
                <w:sz w:val="20"/>
                <w:szCs w:val="20"/>
                <w:color w:val="auto"/>
              </w:rPr>
            </w:pPr>
            <w:r>
              <w:rPr>
                <w:rFonts w:ascii="Arial" w:cs="Arial" w:eastAsia="Arial" w:hAnsi="Arial"/>
                <w:sz w:val="16"/>
                <w:szCs w:val="16"/>
                <w:color w:val="auto"/>
              </w:rPr>
              <w:t>1,018,945</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(1,357,327)</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(338,376)</w:t>
            </w:r>
          </w:p>
        </w:tc>
        <w:tc>
          <w:tcPr>
            <w:tcW w:w="0" w:type="dxa"/>
            <w:vAlign w:val="bottom"/>
          </w:tcPr>
          <w:p>
            <w:pPr>
              <w:spacing w:after="0"/>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Vesting of restricted stock units</w:t>
            </w:r>
          </w:p>
        </w:tc>
        <w:tc>
          <w:tcPr>
            <w:tcW w:w="1280" w:type="dxa"/>
            <w:vAlign w:val="bottom"/>
          </w:tcPr>
          <w:p>
            <w:pPr>
              <w:jc w:val="right"/>
              <w:ind w:right="58"/>
              <w:spacing w:after="0" w:line="183" w:lineRule="exact"/>
              <w:rPr>
                <w:sz w:val="20"/>
                <w:szCs w:val="20"/>
                <w:color w:val="auto"/>
              </w:rPr>
            </w:pPr>
            <w:r>
              <w:rPr>
                <w:rFonts w:ascii="Arial" w:cs="Arial" w:eastAsia="Arial" w:hAnsi="Arial"/>
                <w:sz w:val="16"/>
                <w:szCs w:val="16"/>
                <w:color w:val="auto"/>
              </w:rPr>
              <w:t>456,677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38"/>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58"/>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8"/>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8,272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8,272</w:t>
            </w: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9,672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(75,810)</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(75,810)</w:t>
            </w:r>
          </w:p>
        </w:tc>
        <w:tc>
          <w:tcPr>
            <w:tcW w:w="0" w:type="dxa"/>
            <w:vAlign w:val="bottom"/>
          </w:tcPr>
          <w:p>
            <w:pPr>
              <w:spacing w:after="0"/>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Balance at June 30, 2025</w:t>
            </w:r>
          </w:p>
        </w:tc>
        <w:tc>
          <w:tcPr>
            <w:tcW w:w="1280" w:type="dxa"/>
            <w:vAlign w:val="bottom"/>
            <w:tcBorders>
              <w:bottom w:val="single" w:sz="8" w:color="auto"/>
            </w:tcBorders>
          </w:tcPr>
          <w:p>
            <w:pPr>
              <w:jc w:val="right"/>
              <w:ind w:right="58"/>
              <w:spacing w:after="0" w:line="183" w:lineRule="exact"/>
              <w:rPr>
                <w:sz w:val="20"/>
                <w:szCs w:val="20"/>
                <w:color w:val="auto"/>
              </w:rPr>
            </w:pPr>
            <w:r>
              <w:rPr>
                <w:rFonts w:ascii="Arial" w:cs="Arial" w:eastAsia="Arial" w:hAnsi="Arial"/>
                <w:sz w:val="16"/>
                <w:szCs w:val="16"/>
                <w:color w:val="auto"/>
              </w:rPr>
              <w:t>70,104,419</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w:t>
            </w: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
              <w:spacing w:after="0" w:line="183" w:lineRule="exact"/>
              <w:rPr>
                <w:sz w:val="20"/>
                <w:szCs w:val="20"/>
                <w:color w:val="auto"/>
              </w:rPr>
            </w:pPr>
            <w:r>
              <w:rPr>
                <w:rFonts w:ascii="Arial" w:cs="Arial" w:eastAsia="Arial" w:hAnsi="Arial"/>
                <w:sz w:val="16"/>
                <w:szCs w:val="16"/>
                <w:color w:val="auto"/>
              </w:rPr>
              <w:t>1,027,297</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(1,433,137)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(405,834)</w:t>
            </w: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401(k) matching contribution</w:t>
            </w:r>
          </w:p>
        </w:tc>
        <w:tc>
          <w:tcPr>
            <w:tcW w:w="1280" w:type="dxa"/>
            <w:vAlign w:val="bottom"/>
            <w:shd w:val="clear" w:color="auto" w:fill="CFF0FC"/>
          </w:tcPr>
          <w:p>
            <w:pPr>
              <w:jc w:val="right"/>
              <w:ind w:right="58"/>
              <w:spacing w:after="0" w:line="183" w:lineRule="exact"/>
              <w:rPr>
                <w:sz w:val="20"/>
                <w:szCs w:val="20"/>
                <w:color w:val="auto"/>
              </w:rPr>
            </w:pPr>
            <w:r>
              <w:rPr>
                <w:rFonts w:ascii="Arial" w:cs="Arial" w:eastAsia="Arial" w:hAnsi="Arial"/>
                <w:sz w:val="16"/>
                <w:szCs w:val="16"/>
                <w:color w:val="auto"/>
              </w:rPr>
              <w:t>326,212</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38"/>
              <w:spacing w:after="0" w:line="183" w:lineRule="exact"/>
              <w:rPr>
                <w:sz w:val="20"/>
                <w:szCs w:val="20"/>
                <w:color w:val="auto"/>
              </w:rPr>
            </w:pPr>
            <w:r>
              <w:rPr>
                <w:rFonts w:ascii="Arial" w:cs="Arial" w:eastAsia="Arial" w:hAnsi="Arial"/>
                <w:sz w:val="16"/>
                <w:szCs w:val="16"/>
                <w:color w:val="auto"/>
              </w:rPr>
              <w:t>3,131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8"/>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8"/>
              <w:spacing w:after="0" w:line="183" w:lineRule="exact"/>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Vesting of restricted stock units and performance</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units, net of employee tax obligation</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392,592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9,297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9,297</w:t>
            </w: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35,732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184,194</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(29,973)</w:t>
            </w: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2025</w:t>
            </w:r>
          </w:p>
        </w:tc>
        <w:tc>
          <w:tcPr>
            <w:tcW w:w="1280" w:type="dxa"/>
            <w:vAlign w:val="bottom"/>
            <w:shd w:val="clear" w:color="auto" w:fill="CFF0FC"/>
          </w:tcPr>
          <w:p>
            <w:pPr>
              <w:jc w:val="right"/>
              <w:ind w:right="58"/>
              <w:spacing w:after="0" w:line="183" w:lineRule="exact"/>
              <w:rPr>
                <w:sz w:val="20"/>
                <w:szCs w:val="20"/>
                <w:color w:val="auto"/>
              </w:rPr>
            </w:pPr>
            <w:r>
              <w:rPr>
                <w:rFonts w:ascii="Arial" w:cs="Arial" w:eastAsia="Arial" w:hAnsi="Arial"/>
                <w:sz w:val="16"/>
                <w:szCs w:val="16"/>
                <w:color w:val="auto"/>
              </w:rPr>
              <w:t>71,043,149</w:t>
            </w: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w:t>
            </w: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8"/>
              <w:spacing w:after="0" w:line="183" w:lineRule="exact"/>
              <w:rPr>
                <w:sz w:val="20"/>
                <w:szCs w:val="20"/>
                <w:color w:val="auto"/>
              </w:rPr>
            </w:pPr>
            <w:r>
              <w:rPr>
                <w:rFonts w:ascii="Arial" w:cs="Arial" w:eastAsia="Arial" w:hAnsi="Arial"/>
                <w:sz w:val="16"/>
                <w:szCs w:val="16"/>
                <w:color w:val="auto"/>
              </w:rPr>
              <w:t>1,040,570</w:t>
            </w: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(1,463,110)</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(422,534)</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-1859280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-1859280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-1859280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-1859280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-1859280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-1250950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-1250950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-1250950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-1250950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-1250950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38"/>
              <w:spacing w:after="0" w:line="189" w:lineRule="exact"/>
              <w:rPr>
                <w:sz w:val="20"/>
                <w:szCs w:val="20"/>
                <w:color w:val="auto"/>
              </w:rPr>
            </w:pPr>
            <w:r>
              <w:rPr>
                <w:rFonts w:ascii="Arial" w:cs="Arial" w:eastAsia="Arial" w:hAnsi="Arial"/>
                <w:sz w:val="18"/>
                <w:szCs w:val="18"/>
                <w:b w:val="1"/>
                <w:bCs w:val="1"/>
                <w:color w:val="auto"/>
                <w:w w:val="97"/>
              </w:rPr>
              <w:t>Additional</w:t>
            </w:r>
          </w:p>
        </w:tc>
        <w:tc>
          <w:tcPr>
            <w:tcW w:w="220" w:type="dxa"/>
            <w:vAlign w:val="bottom"/>
          </w:tcPr>
          <w:p>
            <w:pPr>
              <w:spacing w:after="0"/>
              <w:rPr>
                <w:sz w:val="16"/>
                <w:szCs w:val="16"/>
                <w:color w:val="auto"/>
              </w:rPr>
            </w:pPr>
          </w:p>
        </w:tc>
        <w:tc>
          <w:tcPr>
            <w:tcW w:w="13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18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9"/>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78"/>
              <w:spacing w:after="0"/>
              <w:rPr>
                <w:sz w:val="20"/>
                <w:szCs w:val="20"/>
                <w:color w:val="auto"/>
              </w:rPr>
            </w:pPr>
            <w:r>
              <w:rPr>
                <w:rFonts w:ascii="Arial" w:cs="Arial" w:eastAsia="Arial" w:hAnsi="Arial"/>
                <w:sz w:val="18"/>
                <w:szCs w:val="18"/>
                <w:b w:val="1"/>
                <w:bCs w:val="1"/>
                <w:color w:val="auto"/>
              </w:rPr>
              <w:t>Paid-in</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d</w:t>
            </w: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160" w:type="dxa"/>
            <w:vAlign w:val="bottom"/>
            <w:tcBorders>
              <w:bottom w:val="single" w:sz="8" w:color="auto"/>
            </w:tcBorders>
          </w:tcPr>
          <w:p>
            <w:pPr>
              <w:jc w:val="right"/>
              <w:ind w:right="198"/>
              <w:spacing w:after="0" w:line="196" w:lineRule="exact"/>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7"/>
                <w:szCs w:val="17"/>
                <w:color w:val="auto"/>
              </w:rPr>
            </w:pPr>
          </w:p>
        </w:tc>
        <w:tc>
          <w:tcPr>
            <w:tcW w:w="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2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8"/>
              <w:spacing w:after="0" w:line="196" w:lineRule="exact"/>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8"/>
              <w:spacing w:after="0" w:line="196" w:lineRule="exact"/>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98"/>
              <w:spacing w:after="0" w:line="196" w:lineRule="exact"/>
              <w:rPr>
                <w:sz w:val="20"/>
                <w:szCs w:val="20"/>
                <w:color w:val="auto"/>
              </w:rPr>
            </w:pPr>
            <w:r>
              <w:rPr>
                <w:rFonts w:ascii="Arial" w:cs="Arial" w:eastAsia="Arial" w:hAnsi="Arial"/>
                <w:sz w:val="18"/>
                <w:szCs w:val="18"/>
                <w:b w:val="1"/>
                <w:bCs w:val="1"/>
                <w:color w:val="auto"/>
                <w:w w:val="98"/>
              </w:rPr>
              <w:t>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2023</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57,970,044</w:t>
            </w:r>
          </w:p>
        </w:tc>
        <w:tc>
          <w:tcPr>
            <w:tcW w:w="660" w:type="dxa"/>
            <w:vAlign w:val="bottom"/>
            <w:gridSpan w:val="2"/>
            <w:shd w:val="clear" w:color="auto" w:fill="CFF0FC"/>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855,921</w:t>
            </w:r>
          </w:p>
        </w:tc>
        <w:tc>
          <w:tcPr>
            <w:tcW w:w="400" w:type="dxa"/>
            <w:vAlign w:val="bottom"/>
            <w:gridSpan w:val="2"/>
            <w:shd w:val="clear" w:color="auto" w:fill="CFF0FC"/>
          </w:tcPr>
          <w:p>
            <w:pPr>
              <w:ind w:left="22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(928,685)</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(72,759)</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160" w:type="dxa"/>
            <w:vAlign w:val="bottom"/>
          </w:tcPr>
          <w:p>
            <w:pPr>
              <w:jc w:val="right"/>
              <w:spacing w:after="0"/>
              <w:rPr>
                <w:sz w:val="20"/>
                <w:szCs w:val="20"/>
                <w:color w:val="auto"/>
              </w:rPr>
            </w:pPr>
            <w:r>
              <w:rPr>
                <w:rFonts w:ascii="Arial" w:cs="Arial" w:eastAsia="Arial" w:hAnsi="Arial"/>
                <w:sz w:val="16"/>
                <w:szCs w:val="16"/>
                <w:color w:val="auto"/>
              </w:rPr>
              <w:t>93,736</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340,542</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5,626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119,779</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(82,852)</w:t>
            </w:r>
          </w:p>
        </w:tc>
        <w:tc>
          <w:tcPr>
            <w:tcW w:w="1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(82,852)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2024</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58,524,101</w:t>
            </w: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863,029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(1,011,537)</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(148,503)</w:t>
            </w:r>
          </w:p>
        </w:tc>
        <w:tc>
          <w:tcPr>
            <w:tcW w:w="0" w:type="dxa"/>
            <w:vAlign w:val="bottom"/>
          </w:tcPr>
          <w:p>
            <w:pPr>
              <w:spacing w:after="0"/>
              <w:rPr>
                <w:sz w:val="1"/>
                <w:szCs w:val="1"/>
                <w:color w:val="auto"/>
              </w:rPr>
            </w:pPr>
          </w:p>
        </w:tc>
      </w:tr>
      <w:tr>
        <w:trPr>
          <w:trHeight w:val="183"/>
        </w:trPr>
        <w:tc>
          <w:tcPr>
            <w:tcW w:w="36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Vesting of restricted stock units</w:t>
            </w:r>
          </w:p>
        </w:tc>
        <w:tc>
          <w:tcPr>
            <w:tcW w:w="1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74,492</w:t>
            </w:r>
          </w:p>
        </w:tc>
        <w:tc>
          <w:tcPr>
            <w:tcW w:w="26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6,099</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 of</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2,432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(91,446)</w:t>
            </w: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(91,446)</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Balance at June 30, 2024</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58,601,025</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5</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869,149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(1,102,983)</w:t>
            </w:r>
          </w:p>
        </w:tc>
        <w:tc>
          <w:tcPr>
            <w:tcW w:w="160" w:type="dxa"/>
            <w:vAlign w:val="bottom"/>
          </w:tcPr>
          <w:p>
            <w:pPr>
              <w:spacing w:after="0"/>
              <w:rPr>
                <w:sz w:val="15"/>
                <w:szCs w:val="15"/>
                <w:color w:val="auto"/>
              </w:rPr>
            </w:pP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(233,829)</w:t>
            </w: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401(k) matching contribution</w:t>
            </w:r>
          </w:p>
        </w:tc>
        <w:tc>
          <w:tcPr>
            <w:tcW w:w="1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289,853</w:t>
            </w:r>
          </w:p>
        </w:tc>
        <w:tc>
          <w:tcPr>
            <w:tcW w:w="260" w:type="dxa"/>
            <w:vAlign w:val="bottom"/>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2,971</w:t>
            </w: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160" w:type="dxa"/>
            <w:vAlign w:val="bottom"/>
          </w:tcPr>
          <w:p>
            <w:pPr>
              <w:jc w:val="right"/>
              <w:spacing w:after="0"/>
              <w:rPr>
                <w:sz w:val="20"/>
                <w:szCs w:val="20"/>
                <w:color w:val="auto"/>
              </w:rPr>
            </w:pPr>
            <w:r>
              <w:rPr>
                <w:rFonts w:ascii="Arial" w:cs="Arial" w:eastAsia="Arial" w:hAnsi="Arial"/>
                <w:sz w:val="16"/>
                <w:szCs w:val="16"/>
                <w:color w:val="auto"/>
              </w:rPr>
              <w:t>454,003</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tcPr>
          <w:p>
            <w:pPr>
              <w:jc w:val="right"/>
              <w:spacing w:after="0"/>
              <w:rPr>
                <w:sz w:val="20"/>
                <w:szCs w:val="20"/>
                <w:color w:val="auto"/>
              </w:rPr>
            </w:pPr>
            <w:r>
              <w:rPr>
                <w:rFonts w:ascii="Arial" w:cs="Arial" w:eastAsia="Arial" w:hAnsi="Arial"/>
                <w:sz w:val="16"/>
                <w:szCs w:val="16"/>
                <w:color w:val="auto"/>
              </w:rPr>
              <w:t>255,602</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Issuance of common stock and pre-funded</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warrants in connection with the underwritten</w:t>
            </w: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public offering, net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8,695,652</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121,774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 of</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27,803</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(85,577)</w:t>
            </w: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(85,577)</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Balance at September 30, 2024</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68,323,938</w:t>
            </w:r>
          </w:p>
        </w:tc>
        <w:tc>
          <w:tcPr>
            <w:tcW w:w="660" w:type="dxa"/>
            <w:vAlign w:val="bottom"/>
            <w:gridSpan w:val="2"/>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1,001,442</w:t>
            </w:r>
          </w:p>
        </w:tc>
        <w:tc>
          <w:tcPr>
            <w:tcW w:w="400" w:type="dxa"/>
            <w:vAlign w:val="bottom"/>
            <w:gridSpan w:val="2"/>
          </w:tcPr>
          <w:p>
            <w:pPr>
              <w:ind w:left="22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(1,188,560)</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(187,112)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-2099310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-2099310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-2099310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-2099310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-2099310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-1490980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-1490980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-1490980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-1490980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-1490980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-153670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-153670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-153670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-153670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-153670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7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spacing w:after="0"/>
              <w:rPr>
                <w:sz w:val="19"/>
                <w:szCs w:val="19"/>
                <w:color w:val="auto"/>
              </w:rPr>
            </w:pPr>
          </w:p>
        </w:tc>
      </w:tr>
      <w:tr>
        <w:trPr>
          <w:trHeight w:val="196"/>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(200,099)</w:t>
            </w:r>
          </w:p>
        </w:tc>
        <w:tc>
          <w:tcPr>
            <w:tcW w:w="6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(259,875)</w:t>
            </w: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505</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602</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23,109</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17,360</w:t>
            </w: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Issuance of PIK interest debt</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3,479</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2,724</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Accrued interest on revenue interest financing liability</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20,290</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35,656</w:t>
            </w: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2,205</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1,563</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Inventory reserve</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819</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716</w:t>
            </w: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4,340</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4,202</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7,638</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(1,784)</w:t>
            </w: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(16,992)</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(19,415)</w:t>
            </w: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6,530</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14,993</w:t>
            </w: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interest</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376</w:t>
            </w: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Operating right-of-use assets and lease liabilities</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132</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134</w:t>
            </w: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Inventory</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(13,783)</w:t>
            </w:r>
          </w:p>
        </w:tc>
        <w:tc>
          <w:tcPr>
            <w:tcW w:w="180" w:type="dxa"/>
            <w:vAlign w:val="bottom"/>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(566)</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(161,774)</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(203,314)</w:t>
            </w: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Cash paid for property and equipment</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196"/>
        </w:trPr>
        <w:tc>
          <w:tcPr>
            <w:tcW w:w="7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issuance of common stock from exercise of stock options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373</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303</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Net proceeds from issuance of debt</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34,650</w:t>
            </w: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proceeds from underwritten public offering</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121,775</w:t>
            </w:r>
          </w:p>
        </w:tc>
      </w:tr>
      <w:tr>
        <w:trPr>
          <w:trHeight w:val="203"/>
        </w:trPr>
        <w:tc>
          <w:tcPr>
            <w:tcW w:w="778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Payment of employee tax obligations related to vesting of performance stock units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(564)</w:t>
            </w:r>
          </w:p>
        </w:tc>
        <w:tc>
          <w:tcPr>
            <w:tcW w:w="18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7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156,728</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Net decrease in cash and cash equivalents and restricted cash</w:t>
            </w:r>
          </w:p>
        </w:tc>
        <w:tc>
          <w:tcPr>
            <w:tcW w:w="3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(162,107)</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(46,716)</w:t>
            </w:r>
          </w:p>
        </w:tc>
      </w:tr>
      <w:tr>
        <w:trPr>
          <w:trHeight w:val="203"/>
        </w:trPr>
        <w:tc>
          <w:tcPr>
            <w:tcW w:w="7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 and restricted cash – 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300,125</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384,256</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Cash and cash equivalents and restricted cash – end of period</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138,018</w:t>
            </w:r>
          </w:p>
        </w:tc>
        <w:tc>
          <w:tcPr>
            <w:tcW w:w="6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337,540</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7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202"/>
        </w:trPr>
        <w:tc>
          <w:tcPr>
            <w:tcW w:w="778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paid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15,938</w:t>
            </w:r>
          </w:p>
        </w:tc>
        <w:tc>
          <w:tcPr>
            <w:tcW w:w="68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12,478</w:t>
            </w:r>
          </w:p>
        </w:tc>
      </w:tr>
      <w:tr>
        <w:trPr>
          <w:trHeight w:val="183"/>
        </w:trPr>
        <w:tc>
          <w:tcPr>
            <w:tcW w:w="77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2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purchases included in accounts payable and accrued expenses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51</w:t>
            </w:r>
          </w:p>
        </w:tc>
        <w:tc>
          <w:tcPr>
            <w:tcW w:w="68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8"/>
                <w:szCs w:val="18"/>
                <w:color w:val="auto"/>
              </w:rPr>
              <w:t>Final interest payment fee</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0"/>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183" w:lineRule="exact"/>
              <w:rPr>
                <w:sz w:val="20"/>
                <w:szCs w:val="20"/>
                <w:color w:val="auto"/>
              </w:rPr>
            </w:pPr>
            <w:r>
              <w:rPr>
                <w:rFonts w:ascii="Arial" w:cs="Arial" w:eastAsia="Arial" w:hAnsi="Arial"/>
                <w:sz w:val="18"/>
                <w:szCs w:val="18"/>
                <w:color w:val="auto"/>
              </w:rPr>
              <w:t>1,050</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Settlement of ESPP liability in common stock</w:t>
            </w:r>
          </w:p>
        </w:tc>
        <w:tc>
          <w:tcPr>
            <w:tcW w:w="32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2,969</w:t>
            </w:r>
          </w:p>
        </w:tc>
        <w:tc>
          <w:tcPr>
            <w:tcW w:w="6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2,401</w:t>
            </w: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8"/>
                <w:szCs w:val="18"/>
                <w:color w:val="auto"/>
              </w:rPr>
              <w:t>Settlement of 401(k) liability in common stock</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5,258</w:t>
            </w:r>
          </w:p>
        </w:tc>
        <w:tc>
          <w:tcPr>
            <w:tcW w:w="680" w:type="dxa"/>
            <w:vAlign w:val="bottom"/>
            <w:gridSpan w:val="2"/>
          </w:tcPr>
          <w:p>
            <w:pPr>
              <w:jc w:val="right"/>
              <w:ind w:right="400"/>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183" w:lineRule="exact"/>
              <w:rPr>
                <w:sz w:val="20"/>
                <w:szCs w:val="20"/>
                <w:color w:val="auto"/>
              </w:rPr>
            </w:pPr>
            <w:r>
              <w:rPr>
                <w:rFonts w:ascii="Arial" w:cs="Arial" w:eastAsia="Arial" w:hAnsi="Arial"/>
                <w:sz w:val="18"/>
                <w:szCs w:val="18"/>
                <w:color w:val="auto"/>
              </w:rPr>
              <w:t>3,683</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-2926715</wp:posOffset>
            </wp:positionV>
            <wp:extent cx="136525" cy="170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6525" cy="1708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-2373630</wp:posOffset>
            </wp:positionV>
            <wp:extent cx="1111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-1734820</wp:posOffset>
            </wp:positionV>
            <wp:extent cx="13652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65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-1319530</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-770890</wp:posOffset>
            </wp:positionV>
            <wp:extent cx="111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-753745</wp:posOffset>
            </wp:positionV>
            <wp:extent cx="111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-487680</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-471170</wp:posOffset>
            </wp:positionV>
            <wp:extent cx="111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-161925</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Unaudited Financial Statements</w:t>
      </w:r>
    </w:p>
    <w:p>
      <w:pPr>
        <w:spacing w:after="0" w:line="153" w:lineRule="exact"/>
        <w:rPr>
          <w:sz w:val="20"/>
          <w:szCs w:val="20"/>
          <w:color w:val="auto"/>
        </w:rPr>
      </w:pPr>
    </w:p>
    <w:p>
      <w:pPr>
        <w:ind w:right="3800"/>
        <w:spacing w:after="0" w:line="446" w:lineRule="auto"/>
        <w:rPr>
          <w:sz w:val="20"/>
          <w:szCs w:val="20"/>
          <w:color w:val="auto"/>
        </w:rPr>
      </w:pPr>
      <w:r>
        <w:rPr>
          <w:rFonts w:ascii="Arial" w:cs="Arial" w:eastAsia="Arial" w:hAnsi="Arial"/>
          <w:sz w:val="18"/>
          <w:szCs w:val="18"/>
          <w:b w:val="1"/>
          <w:bCs w:val="1"/>
          <w:color w:val="auto"/>
        </w:rPr>
        <w:t xml:space="preserve">1. Organization, Basis of Presentation and Summary of Significant Accounting Policies </w:t>
      </w:r>
      <w:r>
        <w:rPr>
          <w:rFonts w:ascii="Arial" w:cs="Arial" w:eastAsia="Arial" w:hAnsi="Arial"/>
          <w:sz w:val="18"/>
          <w:szCs w:val="18"/>
          <w:b w:val="1"/>
          <w:bCs w:val="1"/>
          <w:i w:val="1"/>
          <w:iCs w:val="1"/>
          <w:color w:val="auto"/>
        </w:rPr>
        <w:t>Organization</w:t>
      </w:r>
    </w:p>
    <w:p>
      <w:pPr>
        <w:ind w:right="600" w:firstLine="509"/>
        <w:spacing w:after="0" w:line="301" w:lineRule="auto"/>
        <w:rPr>
          <w:sz w:val="20"/>
          <w:szCs w:val="20"/>
          <w:color w:val="auto"/>
        </w:rPr>
      </w:pPr>
      <w:r>
        <w:rPr>
          <w:rFonts w:ascii="Arial" w:cs="Arial" w:eastAsia="Arial" w:hAnsi="Arial"/>
          <w:sz w:val="17"/>
          <w:szCs w:val="17"/>
          <w:color w:val="auto"/>
        </w:rPr>
        <w:t>Phathom Pharmaceuticals, Inc., or the Company or Phathom, was incorporated in the state of Delaware in January 2018. The Company is a biopharmaceutical company focused on developing and commercializing novel treatments for gastrointestinal diseases.</w:t>
      </w:r>
    </w:p>
    <w:p>
      <w:pPr>
        <w:spacing w:after="0" w:line="9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 xml:space="preserve">In May 2022, the U.S. Food and Drug Administration, or FDA, approved the the Company's new drug applications, or NDAs for vonoprazan triple therapy, under the brand name VOQUEZNA TRIPLE PAK, and vonoprazan dual therapy, under the brand name VOQUEZNA DUAL PAK. On October 27, 2023, the FDA approved the prior approval supplements to the Company's NDAs, for VOQUEZNA TRIPLE PAK and VOQUEZNA DUAL PAK. Additionally, on November 1, 2023, the FDA approved the Company's NDA for VOQUEZNA tablets. The Company initiated commercial launch for VOQUEZNA in the U.S. for both the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indications, and VOQUEZNA TRIPLE PAK and VOQUEZNA DUAL PAK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Additionally, on July 17, 2024, the FDA approved VOQUEZNA 10 mg tablets for the relief of heartburn associated with Non-Erosive GERD.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From inception to September 30, 2025, the Company has devoted substantially all of its efforts to organizing and staffing the Company, business planning, raising capital, in-licensing its initial and approved product candidate, vonoprazan, meeting with regulatory authorities, managing the clinical trials of vonoprazan, preparing for commercialization of its initial products containing vonoprazan, commercially launching its approved products in the U.S., and providing other selling, general and administrative support for these operations. The Company has a limited operating history as a commercial company, has generated limited product revenue to date, and the sales and income potential of its business remains uncertain. The Company has incurred net losses and negative cash flows from operating activities since its inception and despite the Company's plans and expectations, could continue to incur additional net losses in the future. The Company has funded its operations primarily through commercial bank debt, the revenue interest financing debt and various equity offerings, including the Company's at-the -market, or ATM, offerings. From inception through September 30, 2025, the Company sold 34,737,032 shares of common stock and 2,608,922 pre-funded warrants, generating net proceeds of approximately $543.3 million, after deducting underwriting discounts, commissions and offering costs.</w:t>
      </w:r>
    </w:p>
    <w:p>
      <w:pPr>
        <w:spacing w:after="0" w:line="14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accompanying unaudited interim condensed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U.S. generally accepted accounting principles, or GAAP. 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58"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unaudited interim condensed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unaudited interim condensed financial statements included herein have been prepared by the Company in accordance with GAAP, and pursuant to the rules and regulations of the Securities and Exchange Commission, or the SEC. In the opinion of management, the accompanying unaudited interim condensed financial statements include all adjustments, consisting of normal recurring adjustments, which are necessary to present fairly the Company’s financial position, results of operations, and cash flows. The interim results of operations are not necessarily indicative of the results that may occur for the full fiscal year. Certain information in the footnote disclosures of the financial statements has been condensed or omitted where it substantially duplicates information provided in the Company’s latest audited financial statements, in accordance with the rules and regulations of the SEC. These unaudited interim condensed financial statements should be read in conjunction with the Company’s audited financial statements and footnotes included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 w:name="page9"/>
    <w:bookmarkEnd w:id="8"/>
    <w:p>
      <w:pPr>
        <w:ind w:right="480"/>
        <w:spacing w:after="0" w:line="271" w:lineRule="auto"/>
        <w:rPr>
          <w:sz w:val="20"/>
          <w:szCs w:val="20"/>
          <w:color w:val="auto"/>
        </w:rPr>
      </w:pPr>
      <w:r>
        <w:rPr>
          <w:rFonts w:ascii="Arial" w:cs="Arial" w:eastAsia="Arial" w:hAnsi="Arial"/>
          <w:sz w:val="18"/>
          <w:szCs w:val="18"/>
          <w:color w:val="auto"/>
        </w:rPr>
        <w:t>in its Annual Report on Form 10-K for the fiscal year ended December 31, 2024, or the 2024 Form 10-K, filed with the SEC on March 7, 2025.</w:t>
      </w:r>
    </w:p>
    <w:p>
      <w:pPr>
        <w:spacing w:after="0" w:line="12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During the nine months ended September 30, 2025, there were no significant changes to the Company’s summary of significant accounting policies contained in the Company’s 2024 Form 10-K. The Company’s complete listing of significant accounting policies is set forth in Note 1 of the notes to the audited financial statements in the Company's 2024 Form 10-K. Selected significant accounting policies are discussed in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the Company’s unaudited condensed interim financial statements requires management to make estimates and assumptions that impact the reported amounts of assets, liabilities, revenues and expenses, and the disclosure of contingent assets and liabilities in the Company’s unaudited condensed interim financial statements and accompanying notes. The most significant estimates in the Company’s unaudited condensed interim financial statements relate to accruals for net product revenues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71" w:lineRule="exact"/>
        <w:rPr>
          <w:sz w:val="20"/>
          <w:szCs w:val="20"/>
          <w:color w:val="auto"/>
        </w:rPr>
      </w:pPr>
    </w:p>
    <w:p>
      <w:pPr>
        <w:ind w:right="1040" w:firstLine="509"/>
        <w:spacing w:after="0" w:line="271" w:lineRule="auto"/>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13"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 maturities.</w:t>
      </w:r>
    </w:p>
    <w:p>
      <w:pPr>
        <w:spacing w:after="0" w:line="142" w:lineRule="exact"/>
        <w:rPr>
          <w:sz w:val="20"/>
          <w:szCs w:val="20"/>
          <w:color w:val="auto"/>
        </w:rPr>
      </w:pPr>
    </w:p>
    <w:p>
      <w:pPr>
        <w:ind w:right="440" w:firstLine="509"/>
        <w:spacing w:after="0" w:line="301"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90"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As of September 30, 2025 and December 31, 2024,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3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Company is also subject to credit risk from our accounts receivable related to our product sales. The Company monitors exposure within accounts receivable and records an allowance for credit losses as necessary. The Company extends credit primarily to wholesale distributors. Customer creditworthiness is monitored and collateral is not required. The allowance for credit losses reflects the best estimate of expected credit losses of the accounts receivable portfolio determined on the basis of historical experience, current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 w:name="page10"/>
    <w:bookmarkEnd w:id="9"/>
    <w:p>
      <w:pPr>
        <w:ind w:right="140"/>
        <w:spacing w:after="0"/>
        <w:rPr>
          <w:sz w:val="20"/>
          <w:szCs w:val="20"/>
          <w:color w:val="auto"/>
        </w:rPr>
      </w:pPr>
      <w:r>
        <w:rPr>
          <w:rFonts w:ascii="Arial" w:cs="Arial" w:eastAsia="Arial" w:hAnsi="Arial"/>
          <w:sz w:val="18"/>
          <w:szCs w:val="18"/>
          <w:color w:val="auto"/>
        </w:rPr>
        <w:t>information, and forecasts of future economic conditions. The Company determines its allowance methodology by pooling receivable balances at the customer level. The Company considers various factors, including its previous loss history, individual credit risk associated with each customer, and the current and future conditions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p>
    <w:p>
      <w:pPr>
        <w:spacing w:after="0" w:line="158"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As of September 30, 2025, three customers accounted for 86% of the accounts receivable balance, with each of these individual customers ranging from 27% to 30% of the accounts receivable balance. As of December 31, 2024, three customers accounted for 81% of the accounts receivable balance, with each of these individual customers ranging from 25% to 31% of the accounts receivable balance. For the three and nine months ended September 30, 2025, three customers accounted for 70% of the product sales in each period, with each of these individual customers ranging from 22% to 25% of the product sales in both periods. For the three and nine months ended September 30, 2024, three customers accounted for 70% and 68% of the product sales, respectively, with each of these individual customers ranging from 22% to 24% of the product sales in both periods.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and pre-funded warrants for the period, without consideration for other potentially dilutive securities. For the three and nine months ended September 30, 2025, basic shares outstanding includes the weighted average effect of the Company’s outstanding pre-funded warrants, the exercise of which requires little or no consideration for the delivery of shares of common stock. For the three and nine months ended September 30,</w:t>
      </w:r>
    </w:p>
    <w:p>
      <w:pPr>
        <w:jc w:val="both"/>
        <w:spacing w:after="0" w:line="238" w:lineRule="auto"/>
        <w:rPr>
          <w:sz w:val="20"/>
          <w:szCs w:val="20"/>
          <w:color w:val="auto"/>
        </w:rPr>
      </w:pPr>
      <w:r>
        <w:rPr>
          <w:rFonts w:ascii="Arial" w:cs="Arial" w:eastAsia="Arial" w:hAnsi="Arial"/>
          <w:sz w:val="18"/>
          <w:szCs w:val="18"/>
          <w:color w:val="auto"/>
        </w:rPr>
        <w:t>2025 and 2024, the Company had no weighted-average unvested shares to exclude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restricted stock units) would be antidilutive.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1"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In December 2023, the FASB issued ASU 2023-09 – Income Taxes (Topic 740) – Improvements to Income Tax Disclosures, which improves income tax disclosures primarily relating to the rate reconciliation and income taxes paid information. This includes a tabular reconciliation using both percentages and reporting currency amounts, covering various tax and reconciling items, and disaggregated summaries of income taxes paid during the period. For public business entities, the guidance is effective for annual periods beginning after December 15, 2024, with early adoption permitted. The update will be effective for the Company beginning with its 2025 annual financial statements. The Company currently expects that this standard will not have a material impact on the footnote disclosures to its annual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2024 Form 10-K. There were no new material accounting standards issued in the third quarter of 2025 that impacted the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7"/>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 Balance Sheet Details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Accrued expenses consist of the following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compensation expenses</w:t>
            </w:r>
          </w:p>
        </w:tc>
        <w:tc>
          <w:tcPr>
            <w:tcW w:w="2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14,798</w:t>
            </w:r>
          </w:p>
        </w:tc>
        <w:tc>
          <w:tcPr>
            <w:tcW w:w="360" w:type="dxa"/>
            <w:vAlign w:val="bottom"/>
            <w:gridSpan w:val="3"/>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16,659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professional &amp; consulting expenses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1,355</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revenue allowances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44,098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29,987</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other</w:t>
            </w:r>
          </w:p>
        </w:tc>
        <w:tc>
          <w:tcPr>
            <w:tcW w:w="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4,793</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tcPr>
          <w:p>
            <w:pPr>
              <w:spacing w:after="0" w:line="196" w:lineRule="exact"/>
              <w:rPr>
                <w:sz w:val="20"/>
                <w:szCs w:val="20"/>
                <w:color w:val="auto"/>
              </w:rPr>
            </w:pPr>
            <w:r>
              <w:rPr>
                <w:rFonts w:ascii="Arial" w:cs="Arial" w:eastAsia="Arial" w:hAnsi="Arial"/>
                <w:sz w:val="18"/>
                <w:szCs w:val="18"/>
                <w:color w:val="auto"/>
              </w:rPr>
              <w:t>Total accrued expenses</w:t>
            </w:r>
          </w:p>
        </w:tc>
        <w:tc>
          <w:tcPr>
            <w:tcW w:w="22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65,349</w:t>
            </w:r>
          </w:p>
        </w:tc>
        <w:tc>
          <w:tcPr>
            <w:tcW w:w="360" w:type="dxa"/>
            <w:vAlign w:val="bottom"/>
            <w:gridSpan w:val="3"/>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53,232</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Inventory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Inventory consist of the following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Finished goods</w:t>
            </w:r>
          </w:p>
        </w:tc>
        <w:tc>
          <w:tcPr>
            <w:tcW w:w="2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2,603</w:t>
            </w:r>
          </w:p>
        </w:tc>
        <w:tc>
          <w:tcPr>
            <w:tcW w:w="360" w:type="dxa"/>
            <w:vAlign w:val="bottom"/>
            <w:gridSpan w:val="3"/>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1,008</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inventory, current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3,611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 non-current</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24,101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4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27,712</w:t>
            </w: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-1713865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Raw materials consist of materials, including active pharmaceutical ingredients, to be consumed in the production of inventory related to FDA-approved products. Inventory that is used for clinical development purposes is expensed to research and development expense when consumed. Inventory, noncurrent includes inventory expected to remain on-hand beyond one year from the balance sheet dates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4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consideration of the Takeda License, the Company (i) paid Takeda $25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 million in sales milestones upon the achievement of specified levels of product sales, and a low double-digit royalty rate on aggregate net sales of licensed products, subject to certain adjustments. The Takeda Warrant had an exercise price of</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7" w:right="439" w:bottom="1440" w:gutter="0" w:footer="0" w:header="0"/>
        </w:sectPr>
      </w:pPr>
    </w:p>
    <w:bookmarkStart w:id="11" w:name="page12"/>
    <w:bookmarkEnd w:id="11"/>
    <w:p>
      <w:pPr>
        <w:spacing w:after="0" w:line="271" w:lineRule="auto"/>
        <w:rPr>
          <w:sz w:val="20"/>
          <w:szCs w:val="20"/>
          <w:color w:val="auto"/>
        </w:rPr>
      </w:pPr>
      <w:r>
        <w:rPr>
          <w:rFonts w:ascii="Arial" w:cs="Arial" w:eastAsia="Arial" w:hAnsi="Arial"/>
          <w:sz w:val="18"/>
          <w:szCs w:val="18"/>
          <w:color w:val="auto"/>
        </w:rPr>
        <w:t>$0.00004613 per share, and was to expire on May 7, 2029 and became exercisable upon the consummation of the IPO. All Takeda Warrants were exercised by March 2022.</w:t>
      </w:r>
    </w:p>
    <w:p>
      <w:pPr>
        <w:spacing w:after="0" w:line="127"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During the three months ended September 30, 2025 and 2024, the Company recorded $5.0 million and $1.6 million, respectively, of royalty expense under the Takeda License, of which $5.0 million is included within accrued expenses as of September 30, 2025. During the nine months ended September 30, 2025 and 2024, the Company recorded $11.8 million and $2.6 million, respectively, of royalty expense under the Takeda License.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9"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In December 2020, the Company entered into a supply agreement with Sandoz pursuant to which Sandoz has agreed to supply commercial quantities of amoxicillin capsules and clarithromycin tablets, package these antibiotics with vonoprazan, and provide in finished convenience packs. The supply agreement commits the Company to a minimum purchase obligation of €2.9 million, or approximately $3.4 million, in the first 24-month period following the launch of the final product. The Company incurred $1.5 million and $1.7 million under the agreement during the three and nine months ended September 30, 2025, respectively. The Company incurred $0.3 million under the agreement during the three and nine months ended September 30, 2024. As of September 30, 2025, approximately €1.2 million, or approximately $1.4 million, of the minimum purchase obligation remains and for which the Company has recorded within accrued expenses on the condensed balance sheets and within the Company’s condensed consolidated statement of operations and comprehensive loss during the three months ended September 30, 2025.</w:t>
      </w:r>
    </w:p>
    <w:p>
      <w:pPr>
        <w:spacing w:after="0" w:line="156"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 had previously been informed by Sandoz that there could be a disruption in the supply of clarithromycin tablets, a component of the VOQUEZNA TRIPLE PAK. Given more recent communications, however, the Company does not currently anticipate any near-term supply issues. The Company plans to continue to actively monitor the situation to determine if a supply disruption may still arise in the future. The VOQUEZNA TRIPLE PAK represents approximately 1% of our total revenue. While the Company has not experienced any commercial disruption to date, any disruption for such supply would result in our inability to continue to commercialize the VOQUEZNA TRIPLE PAK. The VOQUEZNA bottles and the VOQUEZNA DUAL PAKs are not impacted, as they do not include clarithromycin.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 Commitments</w:t>
      </w:r>
    </w:p>
    <w:p>
      <w:pPr>
        <w:spacing w:after="0" w:line="17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 of September 30, 2025, the Company had operating leases for office space in both Buffalo Grove, Illinois and Florham Park, New Jersey, with weighted average remaining lease terms of 4.7 years and 5.4 years, respectively. In September 2025, the Company entered into amendments to its lease agreements for the New Jersey office space to extend the terms of the leases through February 2031. All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36"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The total rent expense for the three months ended September 30, 2025 and 2024 was $0.2 million and 0.3 million, respectively. Total rent expense for each of the nine months ended September 30, 2025 and 2024 was $0.8 million. Total short-term lease costs relating to leased vehicles were approximately $1.6 million and $2.1 million for the three months ended September 30, 2025 and 2024, respectively. Total short-term lease costs relating to leased vehicles were approximately $5.2 million and $7.1 million for the nine months ended September 30, 2025 and 2024, respectively.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As of September 30, 2025, the future minimum annual lease payments under the operating leases were as follows (in thousands):</w:t>
      </w:r>
    </w:p>
    <w:p>
      <w:pPr>
        <w:spacing w:after="0" w:line="199"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0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104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90</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2026</w:t>
            </w:r>
          </w:p>
        </w:tc>
        <w:tc>
          <w:tcPr>
            <w:tcW w:w="10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686</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2027</w:t>
            </w:r>
          </w:p>
        </w:tc>
        <w:tc>
          <w:tcPr>
            <w:tcW w:w="1040" w:type="dxa"/>
            <w:vAlign w:val="bottom"/>
          </w:tcPr>
          <w:p>
            <w:pPr>
              <w:spacing w:after="0"/>
              <w:rPr>
                <w:sz w:val="17"/>
                <w:szCs w:val="17"/>
                <w:color w:val="auto"/>
              </w:rPr>
            </w:pPr>
          </w:p>
        </w:tc>
        <w:tc>
          <w:tcPr>
            <w:tcW w:w="16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719</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2028</w:t>
            </w:r>
          </w:p>
        </w:tc>
        <w:tc>
          <w:tcPr>
            <w:tcW w:w="10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736</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2029</w:t>
            </w:r>
          </w:p>
        </w:tc>
        <w:tc>
          <w:tcPr>
            <w:tcW w:w="1040" w:type="dxa"/>
            <w:vAlign w:val="bottom"/>
          </w:tcPr>
          <w:p>
            <w:pPr>
              <w:spacing w:after="0"/>
              <w:rPr>
                <w:sz w:val="17"/>
                <w:szCs w:val="17"/>
                <w:color w:val="auto"/>
              </w:rPr>
            </w:pPr>
          </w:p>
        </w:tc>
        <w:tc>
          <w:tcPr>
            <w:tcW w:w="16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753</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2030</w:t>
            </w:r>
          </w:p>
        </w:tc>
        <w:tc>
          <w:tcPr>
            <w:tcW w:w="10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702</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100</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10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3,786</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0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(1,072)</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2,714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Less: operating lease liabilities, current</w:t>
            </w:r>
          </w:p>
        </w:tc>
        <w:tc>
          <w:tcPr>
            <w:tcW w:w="10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(591)</w:t>
            </w:r>
          </w:p>
        </w:tc>
      </w:tr>
      <w:tr>
        <w:trPr>
          <w:trHeight w:val="236"/>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lease liabilities, non-current</w:t>
            </w:r>
          </w:p>
        </w:tc>
        <w:tc>
          <w:tcPr>
            <w:tcW w:w="104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2,123</w:t>
            </w:r>
          </w:p>
        </w:tc>
      </w:tr>
      <w:tr>
        <w:trPr>
          <w:trHeight w:val="183"/>
        </w:trPr>
        <w:tc>
          <w:tcPr>
            <w:tcW w:w="5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remaining lease term (in years)</w:t>
            </w:r>
          </w:p>
        </w:tc>
        <w:tc>
          <w:tcPr>
            <w:tcW w:w="10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5.24</w:t>
            </w:r>
          </w:p>
        </w:tc>
      </w:tr>
      <w:tr>
        <w:trPr>
          <w:trHeight w:val="239"/>
        </w:trPr>
        <w:tc>
          <w:tcPr>
            <w:tcW w:w="576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10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13.83%</w:t>
            </w:r>
          </w:p>
        </w:tc>
      </w:tr>
    </w:tbl>
    <w:p>
      <w:pPr>
        <w:spacing w:after="0" w:line="120"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Operating cash flows for the nine months ended September 30, 2025 and 2024 included cash payments for operating leases of approximately $0.6 million and $0.7 million,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020" w:type="dxa"/>
            <w:vAlign w:val="bottom"/>
            <w:gridSpan w:val="2"/>
          </w:tcPr>
          <w:p>
            <w:pPr>
              <w:spacing w:after="0"/>
              <w:rPr>
                <w:sz w:val="20"/>
                <w:szCs w:val="20"/>
                <w:color w:val="auto"/>
              </w:rPr>
            </w:pPr>
            <w:r>
              <w:rPr>
                <w:rFonts w:ascii="Arial" w:cs="Arial" w:eastAsia="Arial" w:hAnsi="Arial"/>
                <w:sz w:val="20"/>
                <w:szCs w:val="20"/>
                <w:b w:val="1"/>
                <w:bCs w:val="1"/>
                <w:color w:val="auto"/>
              </w:rPr>
              <w:t>5</w:t>
            </w:r>
            <w:r>
              <w:rPr>
                <w:rFonts w:ascii="Arial" w:cs="Arial" w:eastAsia="Arial" w:hAnsi="Arial"/>
                <w:sz w:val="17"/>
                <w:szCs w:val="17"/>
                <w:b w:val="1"/>
                <w:bCs w:val="1"/>
                <w:color w:val="auto"/>
              </w:rPr>
              <w:t>. Debt</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76"/>
        </w:trPr>
        <w:tc>
          <w:tcPr>
            <w:tcW w:w="6020" w:type="dxa"/>
            <w:vAlign w:val="bottom"/>
            <w:gridSpan w:val="2"/>
          </w:tcPr>
          <w:p>
            <w:pPr>
              <w:ind w:left="520"/>
              <w:spacing w:after="0"/>
              <w:rPr>
                <w:sz w:val="20"/>
                <w:szCs w:val="20"/>
                <w:color w:val="auto"/>
              </w:rPr>
            </w:pPr>
            <w:r>
              <w:rPr>
                <w:rFonts w:ascii="Arial" w:cs="Arial" w:eastAsia="Arial" w:hAnsi="Arial"/>
                <w:sz w:val="18"/>
                <w:szCs w:val="18"/>
                <w:color w:val="auto"/>
              </w:rPr>
              <w:t>Total debt consists of the following (in thousands):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2"/>
        </w:trPr>
        <w:tc>
          <w:tcPr>
            <w:tcW w:w="1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4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196"/>
        </w:trPr>
        <w:tc>
          <w:tcPr>
            <w:tcW w:w="1420" w:type="dxa"/>
            <w:vAlign w:val="bottom"/>
          </w:tcPr>
          <w:p>
            <w:pPr>
              <w:spacing w:after="0"/>
              <w:rPr>
                <w:sz w:val="17"/>
                <w:szCs w:val="17"/>
                <w:color w:val="auto"/>
              </w:rPr>
            </w:pPr>
          </w:p>
        </w:tc>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 current portion</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14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Long-term debt, non-current portion</w:t>
            </w:r>
          </w:p>
        </w:tc>
        <w:tc>
          <w:tcPr>
            <w:tcW w:w="1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215,310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211,831</w:t>
            </w:r>
          </w:p>
        </w:tc>
      </w:tr>
      <w:tr>
        <w:trPr>
          <w:trHeight w:val="203"/>
        </w:trPr>
        <w:tc>
          <w:tcPr>
            <w:tcW w:w="1420" w:type="dxa"/>
            <w:vAlign w:val="bottom"/>
          </w:tcPr>
          <w:p>
            <w:pPr>
              <w:spacing w:after="0"/>
              <w:rPr>
                <w:sz w:val="17"/>
                <w:szCs w:val="17"/>
                <w:color w:val="auto"/>
              </w:rPr>
            </w:pPr>
          </w:p>
        </w:tc>
        <w:tc>
          <w:tcPr>
            <w:tcW w:w="46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Unamortized debt discount</w:t>
            </w:r>
          </w:p>
        </w:tc>
        <w:tc>
          <w:tcPr>
            <w:tcW w:w="1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(8,217)</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(10,422)</w:t>
            </w:r>
          </w:p>
        </w:tc>
      </w:tr>
      <w:tr>
        <w:trPr>
          <w:trHeight w:val="210"/>
        </w:trPr>
        <w:tc>
          <w:tcPr>
            <w:tcW w:w="1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207,093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201,409</w:t>
            </w:r>
          </w:p>
        </w:tc>
      </w:tr>
      <w:tr>
        <w:trPr>
          <w:trHeight w:val="20"/>
        </w:trPr>
        <w:tc>
          <w:tcPr>
            <w:tcW w:w="14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93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September 17, 2021, or the Closing Date, the Company entered into a Loan and Security Agreement, or, the Loan Agreement, with Hercules Capital, Inc., or Hercules, in its capacity as administrative agent and collateral agent and as a lender, or, in such capacity, the Agent or Hercules, and the other financial institutions that from time to time become parties to the Loan Agreement as lenders, or, collectively, the Lenders.</w:t>
      </w:r>
    </w:p>
    <w:p>
      <w:pPr>
        <w:spacing w:after="0" w:line="14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in May 2022.</w:t>
      </w:r>
    </w:p>
    <w:p>
      <w:pPr>
        <w:spacing w:after="0" w:line="17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On September 27, 2022, the Company entered into an amendment to the Loan Agreement, or the Second Loan Amendment, pursuant to which the date the second tranche of funding of $50 million was to remain available to the Company, was moved to May 15, 2023, rather than December 15, 2022.</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May 9, 2023, the Company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3" w:name="page14"/>
    <w:bookmarkEnd w:id="13"/>
    <w:p>
      <w:pPr>
        <w:ind w:right="300"/>
        <w:spacing w:after="0" w:line="271" w:lineRule="auto"/>
        <w:rPr>
          <w:sz w:val="20"/>
          <w:szCs w:val="20"/>
          <w:color w:val="auto"/>
        </w:rPr>
      </w:pPr>
      <w:r>
        <w:rPr>
          <w:rFonts w:ascii="Arial" w:cs="Arial" w:eastAsia="Arial" w:hAnsi="Arial"/>
          <w:sz w:val="18"/>
          <w:szCs w:val="18"/>
          <w:color w:val="auto"/>
        </w:rPr>
        <w:t>$150,000 and a covenant extension amendment fee of $100,000 was paid to the Agent. These fees have been recorded as debt discount and are being amortized to interest expense using the effective interest method over the remaining term of the Term Loan.</w:t>
      </w:r>
    </w:p>
    <w:p>
      <w:pPr>
        <w:spacing w:after="0" w:line="15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December 14, 2023, the Company entered into a Fourth Amendment to Loan and Security Agreement, or the Fourth Loan Amendment, with the lenders, which, among other things, (i) increased the aggregate principal amount of the term loans from $200 million to $300 million; (ii) provided for the possibility of accessing the remaining $200 million commitment through five tranches referred to as the second through sixth tranches, which are available subject to certain milestones and conditions: (a) Second Tranche: $50 million, $40 million of which was funded on December 14, 2023, and the remaining $10 million of which was funded on March 15, 2024, (b) Third Tranche: $25 million which was funded on June 14, 2024, (c) Fourth Tranche: $25 million which was funded on December 15, 2024, (d) Fifth Tranche: $50 million which was available, subject to the achievement of a specified revenue milestone, or the Fifth Tranche milestone, through June 30, 2025 and which the Company did not draw down, and (e) Sixth Tranche: $50 million available, subject to the achievement of a specific revenue milestone, or the Sixth Tranche milestone, through December 31, 2025; (iii) extended the interest only period and the maturity date from October 2026 to December 2027, (iv) reduced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the Company achieving the Sixth Tranche milestone, the cash interest floating rate shall be decreased by 0.35% to 9.50%, and (v) decreased the payment-in-kind interest rate from 3.35% per annum to 2.15% per annum. In connection with the Fourth Loan Amendment, an amendment fee of $250,000 was paid to the Agent and was recorded as a debt discount and is being amortized to interest expense using the effective interest method over the remaining term of the Term Loan.</w:t>
      </w:r>
    </w:p>
    <w:p>
      <w:pPr>
        <w:spacing w:after="0" w:line="78" w:lineRule="exact"/>
        <w:rPr>
          <w:sz w:val="20"/>
          <w:szCs w:val="20"/>
          <w:color w:val="auto"/>
        </w:rPr>
      </w:pPr>
    </w:p>
    <w:p>
      <w:pPr>
        <w:ind w:right="20" w:firstLine="509"/>
        <w:spacing w:after="0" w:line="266" w:lineRule="auto"/>
        <w:rPr>
          <w:sz w:val="20"/>
          <w:szCs w:val="20"/>
          <w:color w:val="auto"/>
        </w:rPr>
      </w:pPr>
      <w:r>
        <w:rPr>
          <w:rFonts w:ascii="Arial" w:cs="Arial" w:eastAsia="Arial" w:hAnsi="Arial"/>
          <w:sz w:val="17"/>
          <w:szCs w:val="17"/>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The Company may make payments of interest only through the Maturity Date. After the interest-only period, the principal balance and related interest will be required to be repaid in full on the Maturity Date.</w:t>
      </w:r>
    </w:p>
    <w:p>
      <w:pPr>
        <w:spacing w:after="0" w:line="11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addition, the Company is obligated to pay a final payment fee of 7.50% of the original principal amount of amounts actually advanced under the Term Loan, or each a Term Loan Advance and together, the Term Loan Advances. In connection with the Fourth Loan Amendment, the final payment fee was amended to be $1 million plus 3.00% of any future tranche drawdowns under the agreement, due upon final maturity. Additionally, the initial final payment fee for the first Term Loan Advance was amended to become payable on October 1, 2026. As of September 30, 2025, the aggregate $11.5 million of final payment fees includes the first Term Loan Advance of $7.5 million, $2.5 million for the second Term Loan Advance, $0.8 million for the third Term Loan Advance, and $0.7 million for the fourth Term Loan Advance and have been recorded within other long-term liabilities.</w:t>
      </w:r>
    </w:p>
    <w:p>
      <w:pPr>
        <w:spacing w:after="0" w:line="158"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Under the Fourth Loan Amendment the Company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spacing w:after="0" w:line="133"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1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spacing w:after="0" w:line="61" w:lineRule="exact"/>
        <w:rPr>
          <w:sz w:val="20"/>
          <w:szCs w:val="20"/>
          <w:color w:val="auto"/>
        </w:rPr>
      </w:pPr>
    </w:p>
    <w:p>
      <w:pPr>
        <w:ind w:left="1020" w:right="80" w:hanging="503"/>
        <w:spacing w:after="0" w:line="245" w:lineRule="auto"/>
        <w:tabs>
          <w:tab w:leader="none" w:pos="1020" w:val="left"/>
        </w:tabs>
        <w:numPr>
          <w:ilvl w:val="0"/>
          <w:numId w:val="3"/>
        </w:numPr>
        <w:rPr>
          <w:rFonts w:ascii="Calibri" w:cs="Calibri" w:eastAsia="Calibri" w:hAnsi="Calibri"/>
          <w:sz w:val="18"/>
          <w:szCs w:val="18"/>
          <w:color w:val="auto"/>
        </w:rPr>
      </w:pPr>
      <w:r>
        <w:rPr>
          <w:rFonts w:ascii="Arial" w:cs="Arial" w:eastAsia="Arial" w:hAnsi="Arial"/>
          <w:sz w:val="18"/>
          <w:szCs w:val="18"/>
          <w:color w:val="auto"/>
        </w:rPr>
        <w:t>Minimum cash covenant - The Company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w:t>
      </w:r>
    </w:p>
    <w:p>
      <w:pPr>
        <w:spacing w:after="0" w:line="68" w:lineRule="exact"/>
        <w:rPr>
          <w:rFonts w:ascii="Calibri" w:cs="Calibri" w:eastAsia="Calibri" w:hAnsi="Calibri"/>
          <w:sz w:val="18"/>
          <w:szCs w:val="18"/>
          <w:color w:val="auto"/>
        </w:rPr>
      </w:pPr>
    </w:p>
    <w:p>
      <w:pPr>
        <w:ind w:left="1020" w:right="580" w:hanging="503"/>
        <w:spacing w:after="0" w:line="256" w:lineRule="auto"/>
        <w:tabs>
          <w:tab w:leader="none" w:pos="1020" w:val="left"/>
        </w:tabs>
        <w:numPr>
          <w:ilvl w:val="0"/>
          <w:numId w:val="3"/>
        </w:numPr>
        <w:rPr>
          <w:rFonts w:ascii="Calibri" w:cs="Calibri" w:eastAsia="Calibri" w:hAnsi="Calibri"/>
          <w:sz w:val="18"/>
          <w:szCs w:val="18"/>
          <w:color w:val="auto"/>
        </w:rPr>
      </w:pPr>
      <w:r>
        <w:rPr>
          <w:rFonts w:ascii="Arial" w:cs="Arial" w:eastAsia="Arial" w:hAnsi="Arial"/>
          <w:sz w:val="18"/>
          <w:szCs w:val="18"/>
          <w:color w:val="auto"/>
        </w:rPr>
        <w:t>Performance covenant - Beginning September 30, 2024 and all times thereafter the Company must satisfy any one of the following:</w:t>
      </w:r>
    </w:p>
    <w:p>
      <w:pPr>
        <w:spacing w:after="0" w:line="57" w:lineRule="exact"/>
        <w:rPr>
          <w:rFonts w:ascii="Calibri" w:cs="Calibri" w:eastAsia="Calibri" w:hAnsi="Calibri"/>
          <w:sz w:val="18"/>
          <w:szCs w:val="18"/>
          <w:color w:val="auto"/>
        </w:rPr>
      </w:pPr>
    </w:p>
    <w:p>
      <w:pPr>
        <w:ind w:left="1540" w:hanging="514"/>
        <w:spacing w:after="0"/>
        <w:tabs>
          <w:tab w:leader="none" w:pos="1540" w:val="left"/>
        </w:tabs>
        <w:numPr>
          <w:ilvl w:val="1"/>
          <w:numId w:val="3"/>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580" w:hanging="514"/>
        <w:spacing w:after="0" w:line="256" w:lineRule="auto"/>
        <w:tabs>
          <w:tab w:leader="none" w:pos="1540" w:val="left"/>
        </w:tabs>
        <w:numPr>
          <w:ilvl w:val="1"/>
          <w:numId w:val="3"/>
        </w:numPr>
        <w:rPr>
          <w:rFonts w:ascii="Calibri" w:cs="Calibri" w:eastAsia="Calibri" w:hAnsi="Calibri"/>
          <w:sz w:val="18"/>
          <w:szCs w:val="18"/>
          <w:color w:val="auto"/>
        </w:rPr>
      </w:pPr>
      <w:r>
        <w:rPr>
          <w:rFonts w:ascii="Arial" w:cs="Arial" w:eastAsia="Arial" w:hAnsi="Arial"/>
          <w:sz w:val="18"/>
          <w:szCs w:val="18"/>
          <w:color w:val="auto"/>
        </w:rPr>
        <w:t>Minimum cash balance exceeding (x) outstanding principal amount of term loans, multiplied by (y) (A) 50%, prior to achieving trailing three months net product revenue of greater than $35 million, and (B) 35% thereafter; or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ind w:left="1540" w:right="340" w:hanging="514"/>
        <w:spacing w:after="0" w:line="256" w:lineRule="auto"/>
        <w:tabs>
          <w:tab w:leader="none" w:pos="154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of at least (x) 30% of agreed upon projected net revenues for periods in the calendar year 2024 and 25% for all periods thereafter or (y) $120 million.</w:t>
      </w:r>
    </w:p>
    <w:p>
      <w:pPr>
        <w:spacing w:after="0" w:line="125"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the Company may be declared immediately due and payable by Hercules, as collateral agent.</w:t>
      </w:r>
    </w:p>
    <w:p>
      <w:pPr>
        <w:spacing w:after="0" w:line="127"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As of September 30, 2025, the Company was in compliance with all applicable covenants under the Loan Agreement. Based on the Company’s current revenue projections, the Company does not expect to meet the revenue threshold to draw the Sixth Tranche. The Company’s current operating plan does not anticipate a need to draw any additional amounts under the Loan Agreement.</w:t>
      </w:r>
    </w:p>
    <w:p>
      <w:pPr>
        <w:spacing w:after="0" w:line="12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if any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In connection with the entry into the Third Loan Amendment, the Company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the Company drawdown future tranches. In connection with the entry into the Fourth Loan Amendment, the Company eliminated the warrant agreement for all future tranches. The Warrant issued with the initial tranche was not modified as part of this amendment. The exercise price and terms of the outstanding Warrant remain unchanged.</w:t>
      </w:r>
    </w:p>
    <w:p>
      <w:pPr>
        <w:spacing w:after="0" w:line="145"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 initial $1.3 million fair value of the Warrant, the $11.5 million final interest payment fees and $4.6 million of debt issuance costs have been recorded as debt discount and are being amortized to interest expense using the effective interest method over the term of the Loan Agreement.</w:t>
      </w:r>
    </w:p>
    <w:p>
      <w:pPr>
        <w:spacing w:after="0" w:line="142"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Future minimum principal payments under the Term Loan, including the final payment fee, as of September 30, 2025 are as follows (in thousands):</w:t>
      </w:r>
    </w:p>
    <w:p>
      <w:pPr>
        <w:spacing w:after="0" w:line="12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3"/>
        </w:trPr>
        <w:tc>
          <w:tcPr>
            <w:tcW w:w="496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21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2026</w:t>
            </w:r>
          </w:p>
        </w:tc>
        <w:tc>
          <w:tcPr>
            <w:tcW w:w="1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4960" w:type="dxa"/>
            <w:vAlign w:val="bottom"/>
            <w:tcBorders>
              <w:bottom w:val="single" w:sz="8" w:color="CFF0FC"/>
            </w:tcBorders>
          </w:tcPr>
          <w:p>
            <w:pPr>
              <w:ind w:left="100"/>
              <w:spacing w:after="0" w:line="202" w:lineRule="exact"/>
              <w:rPr>
                <w:sz w:val="20"/>
                <w:szCs w:val="20"/>
                <w:color w:val="auto"/>
              </w:rPr>
            </w:pPr>
            <w:r>
              <w:rPr>
                <w:rFonts w:ascii="Arial" w:cs="Arial" w:eastAsia="Arial" w:hAnsi="Arial"/>
                <w:sz w:val="18"/>
                <w:szCs w:val="18"/>
                <w:color w:val="auto"/>
              </w:rPr>
              <w:t>2027</w:t>
            </w:r>
          </w:p>
        </w:tc>
        <w:tc>
          <w:tcPr>
            <w:tcW w:w="142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229,706</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principal and interest payments</w:t>
            </w:r>
          </w:p>
        </w:tc>
        <w:tc>
          <w:tcPr>
            <w:tcW w:w="1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237,206</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Less: payment-in-kind and final payment fee</w:t>
            </w:r>
          </w:p>
        </w:tc>
        <w:tc>
          <w:tcPr>
            <w:tcW w:w="14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(37,206)</w:t>
            </w:r>
          </w:p>
        </w:tc>
      </w:tr>
      <w:tr>
        <w:trPr>
          <w:trHeight w:val="21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term loan borrowings</w:t>
            </w:r>
          </w:p>
        </w:tc>
        <w:tc>
          <w:tcPr>
            <w:tcW w:w="2120" w:type="dxa"/>
            <w:vAlign w:val="bottom"/>
            <w:gridSpan w:val="2"/>
            <w:shd w:val="clear" w:color="auto" w:fill="CFF0FC"/>
          </w:tcPr>
          <w:p>
            <w:pPr>
              <w:jc w:val="right"/>
              <w:ind w:right="60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200,000</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During the three months ended September 30, 2025 and 2024, the Company recognized $7.4 million and $6.3 million, respectively, of interest expense, including amortization of the debt discount, in connection with the Loan Agreement. During the nine months ended September 30, 2025 and 2024, the Company recognized $21.6 million and $16.8 million, respectively, of interest expense, including amortization of the debt discount, in connection with the Loan Agreement. As of September 30, 2025, the Company had an outstanding loan balance of $215.3 million and accrued interest of $1.8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Interest Financing Liability</w:t>
      </w:r>
    </w:p>
    <w:p>
      <w:pPr>
        <w:spacing w:after="0" w:line="171"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On May 3, 2022, the Company entered into a Revenue Interest Financing Agreement with Initial Investors NovaQuest Capital Management, or NQ, Sagard Holdings Manager LP, or Sagard, and Hercules pursuant to which the Company had the right to receive up to $260 million in funding from the Initial Investors. Under the terms of the Revenue Interest Financing Agreement, the Company received $100 million at the initial closing and received an additional $160 million upon FDA approval of VOQUEZNA for treatment of Erosive GERD during the fourth quarter of 2023.</w:t>
      </w:r>
    </w:p>
    <w:p>
      <w:pPr>
        <w:spacing w:after="0" w:line="136" w:lineRule="exact"/>
        <w:rPr>
          <w:sz w:val="20"/>
          <w:szCs w:val="20"/>
          <w:color w:val="auto"/>
        </w:rPr>
      </w:pPr>
    </w:p>
    <w:p>
      <w:pPr>
        <w:ind w:right="260" w:firstLine="509"/>
        <w:spacing w:after="0" w:line="242" w:lineRule="auto"/>
        <w:rPr>
          <w:sz w:val="20"/>
          <w:szCs w:val="20"/>
          <w:color w:val="auto"/>
        </w:rPr>
      </w:pPr>
      <w:r>
        <w:rPr>
          <w:rFonts w:ascii="Arial" w:cs="Arial" w:eastAsia="Arial" w:hAnsi="Arial"/>
          <w:sz w:val="18"/>
          <w:szCs w:val="18"/>
          <w:color w:val="auto"/>
        </w:rPr>
        <w:t>Additionally, on October 31, 2022, the Company entered into a Joinder Agreement with the Initial Investors and CO Finance LVS XXXVII LLC, or the Additional Investor, and Hercules, together as the investors. Under the terms of the Joinder Agreement, the Company received $15 million in additional funding upon FDA approval of vonoprazan for Erosive GERD, or Approval Additional Funding, during the fourth quarter of 2023, and provided for $25 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and joined the Revenue Interest Financing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spacing w:after="0" w:line="247" w:lineRule="auto"/>
        <w:rPr>
          <w:sz w:val="20"/>
          <w:szCs w:val="20"/>
          <w:color w:val="auto"/>
        </w:rPr>
      </w:pPr>
      <w:r>
        <w:rPr>
          <w:rFonts w:ascii="Arial" w:cs="Arial" w:eastAsia="Arial" w:hAnsi="Arial"/>
          <w:sz w:val="18"/>
          <w:szCs w:val="18"/>
          <w:color w:val="auto"/>
        </w:rPr>
        <w:t>Agreement to extend commitments for the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September 30, 2025, no additional funding is available under the Revenue Interest Financing Agreement.</w:t>
      </w:r>
    </w:p>
    <w:p>
      <w:pPr>
        <w:spacing w:after="0" w:line="147"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Under the Revenue Interest Financing Agreement, the investors are entitled to receive a 10% royalty on net sales of products containing vonoprazan. The royalty rate is subject to a step-down on net sales exceeding certain annual thresholds and when the Company received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the Company has the right to make a cap payment equal to 200% of the Investment Amount less any royalties already paid, at which time the agreement will terminate.</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w:t>
      </w:r>
    </w:p>
    <w:p>
      <w:pPr>
        <w:spacing w:after="0" w:line="14"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200% of the Investment Amount by December 31, 2037, each a Minimum Amount, then the Company will be obligated to make a cash payment to the investors in an amount sufficient to gross the investors up to the applicable Minimum Amount.</w:t>
      </w:r>
    </w:p>
    <w:p>
      <w:pPr>
        <w:spacing w:after="0" w:line="13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the Company is obligated to pay 1.30 times Investment Amount, 1.65 times Investment Amount, and 2.0 times investment amount, respectively, less any amounts the Company previously paid pursuant to the agreement.</w:t>
      </w:r>
    </w:p>
    <w:p>
      <w:pPr>
        <w:spacing w:after="0" w:line="1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As of September 30, 2025, the effective interest rate of the revenue interest financing liability was approximately 9.26%. Changes in future payments from previous estimates are included in the current and future interest expense. The carrying value of the revenue interest financing liability was $373.3 million and $353.0 million as of September 30, 2025 and December 31, 2024, respectively.</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 interest financing liability consists of the following (in thousands):</w:t>
            </w:r>
          </w:p>
        </w:tc>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58"/>
        </w:trPr>
        <w:tc>
          <w:tcPr>
            <w:tcW w:w="90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2024</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306,927</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(2,627)</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48,738</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December 31, 2024</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353,038</w:t>
            </w:r>
          </w:p>
        </w:tc>
      </w:tr>
      <w:tr>
        <w:trPr>
          <w:trHeight w:val="202"/>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(19,777)</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December 31, 2024</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333,261</w:t>
            </w: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2025</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353,038</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(9,768)</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30,058</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September 30, 2025</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373,328</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(24,344)</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September 30, 2025</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348,984</w:t>
            </w: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During the three months ended September 30, 2025 and 2024, the Company recognized $8.7 million and $12.2 million, respectively, of interest expense in connection with the revenue interest financing liability. During the nine months ended September 30, 2025 and 2024, the Company recognized $30.1 million and $36.6 million, respectively, of interest expense in connection with the revenue interest financing liability.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16" w:name="page17"/>
    <w:bookmarkEnd w:id="16"/>
    <w:p>
      <w:pPr>
        <w:ind w:right="20" w:firstLine="509"/>
        <w:spacing w:after="0"/>
        <w:rPr>
          <w:sz w:val="20"/>
          <w:szCs w:val="20"/>
          <w:color w:val="auto"/>
        </w:rPr>
      </w:pPr>
      <w:r>
        <w:rPr>
          <w:rFonts w:ascii="Arial" w:cs="Arial" w:eastAsia="Arial" w:hAnsi="Arial"/>
          <w:sz w:val="18"/>
          <w:szCs w:val="18"/>
          <w:color w:val="auto"/>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default events and achievement of the sales milestone.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Offerings</w:t>
      </w:r>
    </w:p>
    <w:p>
      <w:pPr>
        <w:spacing w:after="0" w:line="18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August 2024, the Company sold 8,695,652 shares of common stock at a price of $11.50 per share and pre-funded warrants to purchase 2,608,922 shares of common stock at a price of $11.499 per pre-funded warrant for total gross proceeds of $130.0 million. The net purchase price after deducting the underwriting discounts and commissions and other offering expenses, was $10.77 per share, which generated net proceeds of $121.8 million. Certain affiliates of Frazier Life Sciences IX, L.P., or collectively, Frazier, a significant stockholder and Dr. James Topper, who currently serves on the Company's Board of Directors, share voting and investment power of the securities held by Frazier. Frazier participated in the offering by purchasing pre-funded warrants on the same terms as all other investors at a purchase price of $11.499, which represents the per share public offering price for the common stock less the $0.001 per share exercise price for each pre-funded warrant. Each pre-funded warrant became exercisable upon issuance and will not expire until exercised in full. The pre-funded warrants may not be exercised if the aggregate number of ordinary shares beneficially owned by the holders thereof immediately following such exercise would exceed a specified beneficial ownership limitation.</w:t>
      </w:r>
    </w:p>
    <w:p>
      <w:pPr>
        <w:spacing w:after="0" w:line="13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pre-funded warrants were classified as a component of equity in the Company's balance sheets as they are freestanding financial instruments that are immediately exercisable, do not embody an obligation for the Company to repurchase its own shares and permit the holders to receive a fixed number of shares of common stock upon exercise. The Company valued the pre-funded warrants at issuance, concluding that their sales price approximated their fair value, and allocated net proceeds from the sale proportionately to the common stock and pre-funded warrants, of which $28.2 million was allocated to the pre-funded warrants and recorded as a component of additional paid-in capital. As of September 30, 2025, none of the pre-funded warrants have been exercised.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Offerings</w:t>
      </w:r>
    </w:p>
    <w:p>
      <w:pPr>
        <w:spacing w:after="0" w:line="188" w:lineRule="exact"/>
        <w:rPr>
          <w:sz w:val="20"/>
          <w:szCs w:val="20"/>
          <w:color w:val="auto"/>
        </w:rPr>
      </w:pPr>
    </w:p>
    <w:p>
      <w:pPr>
        <w:jc w:val="both"/>
        <w:ind w:right="140" w:firstLine="509"/>
        <w:spacing w:after="0" w:line="226" w:lineRule="auto"/>
        <w:rPr>
          <w:sz w:val="20"/>
          <w:szCs w:val="20"/>
          <w:color w:val="auto"/>
        </w:rPr>
      </w:pPr>
      <w:r>
        <w:rPr>
          <w:rFonts w:ascii="Arial" w:cs="Arial" w:eastAsia="Arial" w:hAnsi="Arial"/>
          <w:sz w:val="18"/>
          <w:szCs w:val="18"/>
          <w:color w:val="auto"/>
        </w:rPr>
        <w:t>In November 2020, the Company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the Company may, from time to time, sell shares of common stock having an aggregate offering price of up to an amount registered under an effective registration statement through the Sales Agent.</w:t>
      </w:r>
    </w:p>
    <w:p>
      <w:pPr>
        <w:spacing w:after="0" w:line="14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November 2023, the Company filed a shelf registration statement on Form S-3 which was declared effective by the SEC on November 17, 2023, which included an at-the-market prospectus pursuant to which the Company may, from time to time, sell up to an aggregate of $150 million of the Company's common stock through the Sales Agent, or the 2023 ATM Offering. The Company is not obligated to, and cannot provide any assurances that the Company will, make any sales of the shares under the Sales Agreement. The Sales Agreement may be terminated by the Sales Agent or the Company at any time. No shares were sold during the three and nine months ended September 30, 2025 and 2024. As of September 30, 2025, all of the available $150 million under the 2023 ATM Offering remains available.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7"/>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Common Stock Reserves</w:t>
            </w:r>
          </w:p>
        </w:tc>
        <w:tc>
          <w:tcPr>
            <w:tcW w:w="2240" w:type="dxa"/>
            <w:vAlign w:val="bottom"/>
          </w:tcPr>
          <w:p>
            <w:pPr>
              <w:spacing w:after="0"/>
              <w:rPr>
                <w:sz w:val="20"/>
                <w:szCs w:val="20"/>
                <w:color w:val="auto"/>
              </w:rPr>
            </w:pPr>
          </w:p>
        </w:tc>
      </w:tr>
      <w:tr>
        <w:trPr>
          <w:trHeight w:val="391"/>
        </w:trPr>
        <w:tc>
          <w:tcPr>
            <w:tcW w:w="7600" w:type="dxa"/>
            <w:vAlign w:val="bottom"/>
            <w:gridSpan w:val="2"/>
          </w:tcPr>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2240" w:type="dxa"/>
            <w:vAlign w:val="bottom"/>
          </w:tcPr>
          <w:p>
            <w:pPr>
              <w:spacing w:after="0"/>
              <w:rPr>
                <w:sz w:val="24"/>
                <w:szCs w:val="24"/>
                <w:color w:val="auto"/>
              </w:rPr>
            </w:pPr>
          </w:p>
        </w:tc>
      </w:tr>
      <w:tr>
        <w:trPr>
          <w:trHeight w:val="361"/>
        </w:trPr>
        <w:tc>
          <w:tcPr>
            <w:tcW w:w="14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September 30, 2025</w:t>
            </w:r>
          </w:p>
        </w:tc>
      </w:tr>
      <w:tr>
        <w:trPr>
          <w:trHeight w:val="196"/>
        </w:trPr>
        <w:tc>
          <w:tcPr>
            <w:tcW w:w="1420" w:type="dxa"/>
            <w:vAlign w:val="bottom"/>
          </w:tcPr>
          <w:p>
            <w:pPr>
              <w:spacing w:after="0"/>
              <w:rPr>
                <w:sz w:val="17"/>
                <w:szCs w:val="17"/>
                <w:color w:val="auto"/>
              </w:rPr>
            </w:pPr>
          </w:p>
        </w:tc>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warrants including pre-funded warrants</w:t>
            </w:r>
          </w:p>
        </w:tc>
        <w:tc>
          <w:tcPr>
            <w:tcW w:w="22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2,700,150</w:t>
            </w:r>
          </w:p>
        </w:tc>
      </w:tr>
      <w:tr>
        <w:trPr>
          <w:trHeight w:val="184"/>
        </w:trPr>
        <w:tc>
          <w:tcPr>
            <w:tcW w:w="1420" w:type="dxa"/>
            <w:vAlign w:val="bottom"/>
          </w:tcPr>
          <w:p>
            <w:pPr>
              <w:spacing w:after="0"/>
              <w:rPr>
                <w:sz w:val="15"/>
                <w:szCs w:val="15"/>
                <w:color w:val="auto"/>
              </w:rPr>
            </w:pPr>
          </w:p>
        </w:tc>
        <w:tc>
          <w:tcPr>
            <w:tcW w:w="6180" w:type="dxa"/>
            <w:vAlign w:val="bottom"/>
          </w:tcPr>
          <w:p>
            <w:pPr>
              <w:spacing w:after="0" w:line="183" w:lineRule="exact"/>
              <w:rPr>
                <w:sz w:val="20"/>
                <w:szCs w:val="20"/>
                <w:color w:val="auto"/>
              </w:rPr>
            </w:pPr>
            <w:r>
              <w:rPr>
                <w:rFonts w:ascii="Arial" w:cs="Arial" w:eastAsia="Arial" w:hAnsi="Arial"/>
                <w:sz w:val="18"/>
                <w:szCs w:val="18"/>
                <w:color w:val="auto"/>
              </w:rPr>
              <w:t>Stock options, performance stock units and restricted stock units</w:t>
            </w:r>
          </w:p>
        </w:tc>
        <w:tc>
          <w:tcPr>
            <w:tcW w:w="2240" w:type="dxa"/>
            <w:vAlign w:val="bottom"/>
          </w:tcPr>
          <w:p>
            <w:pPr>
              <w:spacing w:after="0"/>
              <w:rPr>
                <w:sz w:val="15"/>
                <w:szCs w:val="15"/>
                <w:color w:val="auto"/>
              </w:rPr>
            </w:pPr>
          </w:p>
        </w:tc>
      </w:tr>
      <w:tr>
        <w:trPr>
          <w:trHeight w:val="221"/>
        </w:trPr>
        <w:tc>
          <w:tcPr>
            <w:tcW w:w="14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outstanding</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12,240,909</w:t>
            </w:r>
          </w:p>
        </w:tc>
      </w:tr>
      <w:tr>
        <w:trPr>
          <w:trHeight w:val="203"/>
        </w:trPr>
        <w:tc>
          <w:tcPr>
            <w:tcW w:w="1420" w:type="dxa"/>
            <w:vAlign w:val="bottom"/>
          </w:tcPr>
          <w:p>
            <w:pPr>
              <w:spacing w:after="0"/>
              <w:rPr>
                <w:sz w:val="17"/>
                <w:szCs w:val="17"/>
                <w:color w:val="auto"/>
              </w:rPr>
            </w:pPr>
          </w:p>
        </w:tc>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2019 Incentive Plan</w:t>
            </w:r>
          </w:p>
        </w:tc>
        <w:tc>
          <w:tcPr>
            <w:tcW w:w="22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1,924,014</w:t>
            </w:r>
          </w:p>
        </w:tc>
      </w:tr>
      <w:tr>
        <w:trPr>
          <w:trHeight w:val="203"/>
        </w:trPr>
        <w:tc>
          <w:tcPr>
            <w:tcW w:w="14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Shares available for issuance under the ESPP Plan</w:t>
            </w:r>
          </w:p>
        </w:tc>
        <w:tc>
          <w:tcPr>
            <w:tcW w:w="2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1,357,508</w:t>
            </w:r>
          </w:p>
        </w:tc>
      </w:tr>
      <w:tr>
        <w:trPr>
          <w:trHeight w:val="203"/>
        </w:trPr>
        <w:tc>
          <w:tcPr>
            <w:tcW w:w="1420" w:type="dxa"/>
            <w:vAlign w:val="bottom"/>
          </w:tcPr>
          <w:p>
            <w:pPr>
              <w:spacing w:after="0"/>
              <w:rPr>
                <w:sz w:val="17"/>
                <w:szCs w:val="17"/>
                <w:color w:val="auto"/>
              </w:rPr>
            </w:pPr>
          </w:p>
        </w:tc>
        <w:tc>
          <w:tcPr>
            <w:tcW w:w="6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Inducement Plan</w:t>
            </w:r>
          </w:p>
        </w:tc>
        <w:tc>
          <w:tcPr>
            <w:tcW w:w="22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428,092</w:t>
            </w:r>
          </w:p>
        </w:tc>
      </w:tr>
      <w:tr>
        <w:trPr>
          <w:trHeight w:val="196"/>
        </w:trPr>
        <w:tc>
          <w:tcPr>
            <w:tcW w:w="1420" w:type="dxa"/>
            <w:vAlign w:val="bottom"/>
          </w:tcPr>
          <w:p>
            <w:pPr>
              <w:spacing w:after="0"/>
              <w:rPr>
                <w:sz w:val="17"/>
                <w:szCs w:val="17"/>
                <w:color w:val="auto"/>
              </w:rPr>
            </w:pPr>
          </w:p>
        </w:tc>
        <w:tc>
          <w:tcPr>
            <w:tcW w:w="6180" w:type="dxa"/>
            <w:vAlign w:val="bottom"/>
          </w:tcPr>
          <w:p>
            <w:pPr>
              <w:spacing w:after="0" w:line="196" w:lineRule="exact"/>
              <w:rPr>
                <w:sz w:val="20"/>
                <w:szCs w:val="20"/>
                <w:color w:val="auto"/>
              </w:rPr>
            </w:pPr>
            <w:r>
              <w:rPr>
                <w:rFonts w:ascii="Arial" w:cs="Arial" w:eastAsia="Arial" w:hAnsi="Arial"/>
                <w:sz w:val="18"/>
                <w:szCs w:val="18"/>
                <w:color w:val="auto"/>
              </w:rPr>
              <w:t>Balance at September 30, 2025</w:t>
            </w:r>
          </w:p>
        </w:tc>
        <w:tc>
          <w:tcPr>
            <w:tcW w:w="2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18,650,673</w:t>
            </w:r>
          </w:p>
        </w:tc>
      </w:tr>
      <w:tr>
        <w:trPr>
          <w:trHeight w:val="20"/>
        </w:trPr>
        <w:tc>
          <w:tcPr>
            <w:tcW w:w="14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3"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Company is authorized to issue up to 40 million shares of preferred stock. As of September 30, 2025 and December 31, 2024, there were no shares of preferred stock issued or outstanding.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6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2019 Equity Incentive Plan, or the Prior Incentive Plan, provided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Prior Incentive Plan, of which, 1,400,528 stock options and 16,260 restricted stock awards were granted in 2019. As a result of the adoption of the 2019 Incentive Award Plan, or the 2019 Plan, in October 2019, no further awards may be available for issuance under the Prior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or RSUs, performance stock units, or PSUs,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Prior Incentive Plan that expire or otherwise terminate without having been exercised in full after the effective date of the 2019 Plan and unvested shares issued pursuant to awards granted under the Prior Incentive Plan that are forfeited to or repurchased by the Company after the effective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p>
    <w:p>
      <w:pPr>
        <w:spacing w:after="0" w:line="139"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As of September 30, 2025, 1,924,014 shares remain available for issuance under the 2019 Plan, which reflects 5,406,581 stock options, RSUs and PSUs granted, and 2,325,794 of awards cancelled or forfeited, during the nine months ended September 30, 2025 as well as an annual increase of 3,425,913 shares authorized on January 1,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Employment Inducement Incentive Award Plan</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March 30, 2025, the Board of Directors adopted the 2025 Employment Inducement Incentive Award Plan, or the Inducement Plan, and reserved 2,500,000 shares of the Company’s common stock for issuance pursuant to equity awards granted under the Inducement Plan to individuals not previously employees or non-employee directors of the Company (or following such individuals’ bona fide period of non-employment with the Company) as an inducement to join the Company. The Inducement Plan provides for the grant of equity-based awards, including nonstatutory stock options, RSUs, restricted stock, stock appreciation rights, performance shares and PSUs, and its terms are substantially similar to the Company’s 2019 Plan, but with such other terms and conditions intended to comply with the Nasdaq inducement award exception or to comply with the Nasdaq acquisition and merger exception. During the nine months ended September 30, 2025, the Company granted 2,071,908 stock options, RSUs and PSUs under the Inducement Plan. As of September 30, 2025, 428,092 shares remain available for issuance.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18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2025, the Board of Directors approved the grant of PSUs, whereby vesting depends on certain revenue performance milestones each year and over the next three years and stock price hurdle PSUs granted pursuant to the Inducement Plan.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PSU activity during the nine months ended September 30, 2025:</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Date Fair</w:t>
            </w:r>
          </w:p>
        </w:tc>
      </w:tr>
      <w:tr>
        <w:trPr>
          <w:trHeight w:val="203"/>
        </w:trPr>
        <w:tc>
          <w:tcPr>
            <w:tcW w:w="568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568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Per Share</w:t>
            </w:r>
          </w:p>
        </w:tc>
        <w:tc>
          <w:tcPr>
            <w:tcW w:w="80" w:type="dxa"/>
            <w:vAlign w:val="bottom"/>
          </w:tcPr>
          <w:p>
            <w:pPr>
              <w:spacing w:after="0"/>
              <w:rPr>
                <w:sz w:val="19"/>
                <w:szCs w:val="19"/>
                <w:color w:val="auto"/>
              </w:rPr>
            </w:pP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2025</w:t>
            </w:r>
          </w:p>
        </w:tc>
        <w:tc>
          <w:tcPr>
            <w:tcW w:w="1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1,178,200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80" w:type="dxa"/>
            <w:vAlign w:val="bottom"/>
          </w:tcPr>
          <w:p>
            <w:pPr>
              <w:spacing w:after="0"/>
              <w:rPr>
                <w:sz w:val="17"/>
                <w:szCs w:val="17"/>
                <w:color w:val="auto"/>
              </w:rPr>
            </w:pP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(90,000)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w:t>
            </w:r>
          </w:p>
        </w:tc>
        <w:tc>
          <w:tcPr>
            <w:tcW w:w="80" w:type="dxa"/>
            <w:vAlign w:val="bottom"/>
            <w:shd w:val="clear" w:color="auto" w:fill="CFF0FC"/>
          </w:tcPr>
          <w:p>
            <w:pPr>
              <w:spacing w:after="0"/>
              <w:rPr>
                <w:sz w:val="17"/>
                <w:szCs w:val="17"/>
                <w:color w:val="auto"/>
              </w:rPr>
            </w:pP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(420,425)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September 30, 2025</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667,775</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Stock-based compensation expense is recorded based on the market price of the Company's common stock on the grant date and is recognized if and when the achievement of such performance milestones are determined to be probable by the Company. During the three months ended September 30, 2025, a revenue performance milestone was considered probable, and the Company recognized stock-based compensation expense related to the probable vesting of PSUs of approximately $1.5 million. In addition, a stock price hurdle milestone was achieved and the Company recorded $1.0 million of stock-based compensation expense upon vesting of the stock price hurdle PSUs. The fair value of the PSUs that vested upon achievement of this milestone was $0.5 million at the vesting date. As a result, the Company recognized a total of $2.5 million of stock-based compensation expense during the three and nine months ended September 30, 2025. As of September 30, 2025, there was approximately $2.2 million of related unrecognized stock-based compensation expense related to PSUs.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during the nine months ended September 30, 2025:</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rPr>
              <w:t>Date Fair</w:t>
            </w:r>
          </w:p>
        </w:tc>
      </w:tr>
      <w:tr>
        <w:trPr>
          <w:trHeight w:val="203"/>
        </w:trPr>
        <w:tc>
          <w:tcPr>
            <w:tcW w:w="56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5680" w:type="dxa"/>
            <w:vAlign w:val="bottom"/>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 Share</w:t>
            </w: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2025</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2,382,660</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10.32</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1,744,016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(1,316,012)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11.35</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(689,921)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9.00</w:t>
            </w:r>
          </w:p>
        </w:tc>
      </w:tr>
      <w:tr>
        <w:trPr>
          <w:trHeight w:val="21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September 30, 2025</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2,120,743</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6.25</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As of September 30, 2025, the Company had $11.4 million of unrecognized stock-based compensation expense related to RSUs, which is expected to be recognized over a weighted-average period of 1.6 years. The total fair value of RSUs vested during the nine months ended September 30, 2025, was approximately $14.9 million.</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9"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3"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were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September 30, 2025, 1,357,508 shares of common stock remain available for issuance under the ESPP, which includes the 505,293 shares sold to employees during the nine months ended September 30, 2025 as well as an annual increase of 685,183 shares authorized on January 1, 2025.</w:t>
      </w:r>
    </w:p>
    <w:p>
      <w:pPr>
        <w:spacing w:after="0" w:line="132"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ESPP is considered a compensatory plan, and for the three and nine months ended September 30, 2025, the Company recorded related stock-based compensation of $0.1 million and $0.9 million, respectively, compared to $0.1 million and $1.3 million, respectively, for the same periods in 2024. The weighted-average assumptions used to estimate the fair value of ESPP awards using the Black-Scholes option valuation model were as follows:</w:t>
      </w:r>
    </w:p>
    <w:p>
      <w:pPr>
        <w:spacing w:after="0" w:line="133"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Nine Months Ended</w:t>
      </w:r>
    </w:p>
    <w:p>
      <w:pPr>
        <w:spacing w:after="0" w:line="10"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September 30,</w:t>
      </w:r>
    </w:p>
    <w:tbl>
      <w:tblPr>
        <w:tblLayout w:type="fixed"/>
        <w:tblInd w:w="142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6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6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0.49</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r>
      <w:tr>
        <w:trPr>
          <w:trHeight w:val="203"/>
        </w:trPr>
        <w:tc>
          <w:tcPr>
            <w:tcW w:w="564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112.83%</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105.23%</w:t>
            </w:r>
          </w:p>
        </w:tc>
      </w:tr>
      <w:tr>
        <w:trPr>
          <w:trHeight w:val="203"/>
        </w:trPr>
        <w:tc>
          <w:tcPr>
            <w:tcW w:w="56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4.29%</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5.19%</w:t>
            </w:r>
          </w:p>
        </w:tc>
      </w:tr>
      <w:tr>
        <w:trPr>
          <w:trHeight w:val="203"/>
        </w:trPr>
        <w:tc>
          <w:tcPr>
            <w:tcW w:w="564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8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70" w:lineRule="exact"/>
        <w:rPr>
          <w:sz w:val="20"/>
          <w:szCs w:val="20"/>
          <w:color w:val="auto"/>
        </w:rPr>
      </w:pPr>
    </w:p>
    <w:p>
      <w:pPr>
        <w:jc w:val="both"/>
        <w:ind w:right="80" w:firstLine="509"/>
        <w:spacing w:after="0" w:line="261" w:lineRule="auto"/>
        <w:rPr>
          <w:sz w:val="20"/>
          <w:szCs w:val="20"/>
          <w:color w:val="auto"/>
        </w:rPr>
      </w:pPr>
      <w:r>
        <w:rPr>
          <w:rFonts w:ascii="Arial" w:cs="Arial" w:eastAsia="Arial" w:hAnsi="Arial"/>
          <w:sz w:val="18"/>
          <w:szCs w:val="18"/>
          <w:color w:val="auto"/>
        </w:rPr>
        <w:t>The estimated weighted-average fair value of ESPP awards for the nine months ended September 30, 2025 and 2024, was $3.62 and $4.03, respectively. As of September 30, 2025, the total unrecognized compensation expense related to the ESPP was $0.7 million, which is expected to be recognized over a weighted-average period of approximately 0.3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69" w:lineRule="exact"/>
        <w:rPr>
          <w:sz w:val="20"/>
          <w:szCs w:val="20"/>
          <w:color w:val="auto"/>
        </w:rPr>
      </w:pPr>
    </w:p>
    <w:p>
      <w:pPr>
        <w:jc w:val="both"/>
        <w:ind w:right="160" w:firstLine="509"/>
        <w:spacing w:after="0" w:line="242" w:lineRule="auto"/>
        <w:rPr>
          <w:sz w:val="20"/>
          <w:szCs w:val="20"/>
          <w:color w:val="auto"/>
        </w:rPr>
      </w:pPr>
      <w:r>
        <w:rPr>
          <w:rFonts w:ascii="Arial" w:cs="Arial" w:eastAsia="Arial" w:hAnsi="Arial"/>
          <w:sz w:val="18"/>
          <w:szCs w:val="18"/>
          <w:color w:val="auto"/>
        </w:rPr>
        <w:t>During 2020, the Company established a 401(k) savings plan. The Company’s contributions to the plan are discretionary. During the three and nine months ended September 30, 2025, the Company incurred $1.2 million and $4.3 million, respectively, of expense related to estimated employer contribution liabilities, which was based on a 75% match of employees’ contributions during the periods, compared to $1.2 million and $4.2 million, respectively, for the same periods in 2024. During the nine months ended September 30, 2025 and 2024, the Board of Directors approved employer matching contributions settled by contributing 616,377 and 383,589, respectively, shares of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the Company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1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rPr>
              <w:t>Aggregate</w:t>
            </w:r>
          </w:p>
        </w:tc>
      </w:t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03"/>
        </w:trPr>
        <w:tc>
          <w:tcPr>
            <w:tcW w:w="4780" w:type="dxa"/>
            <w:vAlign w:val="bottom"/>
          </w:tcPr>
          <w:p>
            <w:pPr>
              <w:spacing w:after="0"/>
              <w:rPr>
                <w:sz w:val="17"/>
                <w:szCs w:val="17"/>
                <w:color w:val="auto"/>
              </w:rPr>
            </w:pP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Exercise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21"/>
        </w:trPr>
        <w:tc>
          <w:tcPr>
            <w:tcW w:w="478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Price</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Term</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rPr>
              <w:t>thousands)</w:t>
            </w: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January 1, 2025</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6,157,532</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10.29</w:t>
            </w:r>
          </w:p>
        </w:tc>
        <w:tc>
          <w:tcPr>
            <w:tcW w:w="14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7.59</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2,133</w:t>
            </w: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granted</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4,556,273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Options 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(45,966)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8.11</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cancelled</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(1,215,448)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7.41</w:t>
            </w: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September 30, 2025</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9,452,391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8.20</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6.69</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41,354</w:t>
            </w:r>
          </w:p>
        </w:tc>
      </w:tr>
      <w:tr>
        <w:trPr>
          <w:trHeight w:val="20"/>
        </w:trPr>
        <w:tc>
          <w:tcPr>
            <w:tcW w:w="47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96"/>
        </w:trPr>
        <w:tc>
          <w:tcPr>
            <w:tcW w:w="4780" w:type="dxa"/>
            <w:vAlign w:val="bottom"/>
          </w:tcPr>
          <w:p>
            <w:pPr>
              <w:spacing w:after="0" w:line="196" w:lineRule="exact"/>
              <w:rPr>
                <w:sz w:val="20"/>
                <w:szCs w:val="20"/>
                <w:color w:val="auto"/>
              </w:rPr>
            </w:pPr>
            <w:r>
              <w:rPr>
                <w:rFonts w:ascii="Arial" w:cs="Arial" w:eastAsia="Arial" w:hAnsi="Arial"/>
                <w:sz w:val="18"/>
                <w:szCs w:val="18"/>
                <w:color w:val="auto"/>
              </w:rPr>
              <w:t>Options exercisable as of September 30, 2025</w:t>
            </w:r>
          </w:p>
        </w:tc>
        <w:tc>
          <w:tcPr>
            <w:tcW w:w="12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4,496,492</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10.71</w:t>
            </w:r>
          </w:p>
        </w:tc>
        <w:tc>
          <w:tcPr>
            <w:tcW w:w="120" w:type="dxa"/>
            <w:vAlign w:val="bottom"/>
          </w:tcPr>
          <w:p>
            <w:pPr>
              <w:spacing w:after="0"/>
              <w:rPr>
                <w:sz w:val="17"/>
                <w:szCs w:val="17"/>
                <w:color w:val="auto"/>
              </w:rPr>
            </w:pP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3.90</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11,984</w:t>
            </w: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 and expected to vest as of September 30, 2025</w:t>
            </w:r>
          </w:p>
        </w:tc>
        <w:tc>
          <w:tcPr>
            <w:tcW w:w="1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9,452,391</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w:t>
            </w:r>
          </w:p>
        </w:tc>
        <w:tc>
          <w:tcPr>
            <w:tcW w:w="1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6.69</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41,354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-265430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-265430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-265430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for the nine months ended September 30, 2025 and 2024 was $3.80 and $5.55, respectively. As of September 30, 2025, the Company had $18.8 million of unrecognized stock-based compensation expense related to stock options, which is expected to be recognized over a weighted-average period of 3.0 years.</w:t>
      </w:r>
    </w:p>
    <w:p>
      <w:pPr>
        <w:spacing w:after="0" w:line="133"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at September 30, 2025. The total intrinsic value of stock options exercised for the nine months ended September 30, 2025 was approximately $0.1 million.</w:t>
      </w:r>
    </w:p>
    <w:p>
      <w:pPr>
        <w:spacing w:after="0" w:line="14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were as follows:</w:t>
      </w:r>
    </w:p>
    <w:p>
      <w:pPr>
        <w:spacing w:after="0" w:line="113"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Nine Months Ended</w:t>
      </w:r>
    </w:p>
    <w:p>
      <w:pPr>
        <w:spacing w:after="0" w:line="10"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September 30,</w:t>
      </w:r>
    </w:p>
    <w:tbl>
      <w:tblPr>
        <w:tblLayout w:type="fixed"/>
        <w:tblInd w:w="142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6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6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6.04</w:t>
            </w:r>
          </w:p>
        </w:tc>
      </w:tr>
      <w:tr>
        <w:trPr>
          <w:trHeight w:val="203"/>
        </w:trPr>
        <w:tc>
          <w:tcPr>
            <w:tcW w:w="56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84.59%</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74.67%</w:t>
            </w:r>
          </w:p>
        </w:tc>
      </w:tr>
      <w:tr>
        <w:trPr>
          <w:trHeight w:val="203"/>
        </w:trPr>
        <w:tc>
          <w:tcPr>
            <w:tcW w:w="56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4.07%</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w:t>
            </w:r>
          </w:p>
        </w:tc>
      </w:tr>
      <w:tr>
        <w:trPr>
          <w:trHeight w:val="203"/>
        </w:trPr>
        <w:tc>
          <w:tcPr>
            <w:tcW w:w="56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3"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Stock-based compensation expense recognized for all equity awards has been reported in the condensed statements of operations and comprehensive loss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5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7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2,063</w:t>
            </w:r>
          </w:p>
        </w:tc>
        <w:tc>
          <w:tcPr>
            <w:tcW w:w="4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1,296</w:t>
            </w:r>
          </w:p>
        </w:tc>
        <w:tc>
          <w:tcPr>
            <w:tcW w:w="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5,043</w:t>
            </w:r>
          </w:p>
        </w:tc>
        <w:tc>
          <w:tcPr>
            <w:tcW w:w="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3,876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7,234</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4,339</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18,066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13,484</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9,297</w:t>
            </w:r>
          </w:p>
        </w:tc>
        <w:tc>
          <w:tcPr>
            <w:tcW w:w="4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5,635</w:t>
            </w:r>
          </w:p>
        </w:tc>
        <w:tc>
          <w:tcPr>
            <w:tcW w:w="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23,109</w:t>
            </w:r>
          </w:p>
        </w:tc>
        <w:tc>
          <w:tcPr>
            <w:tcW w:w="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17,360</w:t>
            </w:r>
          </w:p>
        </w:tc>
        <w:tc>
          <w:tcPr>
            <w:tcW w:w="560" w:type="dxa"/>
            <w:vAlign w:val="bottom"/>
          </w:tcPr>
          <w:p>
            <w:pPr>
              <w:spacing w:after="0"/>
              <w:rPr>
                <w:sz w:val="20"/>
                <w:szCs w:val="20"/>
                <w:color w:val="auto"/>
              </w:rPr>
            </w:pPr>
          </w:p>
        </w:tc>
      </w:tr>
      <w:tr>
        <w:trPr>
          <w:trHeight w:val="629"/>
        </w:trPr>
        <w:tc>
          <w:tcPr>
            <w:tcW w:w="580" w:type="dxa"/>
            <w:vAlign w:val="bottom"/>
          </w:tcPr>
          <w:p>
            <w:pPr>
              <w:spacing w:after="0"/>
              <w:rPr>
                <w:sz w:val="24"/>
                <w:szCs w:val="24"/>
                <w:color w:val="auto"/>
              </w:rPr>
            </w:pPr>
          </w:p>
        </w:tc>
        <w:tc>
          <w:tcPr>
            <w:tcW w:w="396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F-19</w:t>
            </w:r>
          </w:p>
        </w:tc>
        <w:tc>
          <w:tcPr>
            <w:tcW w:w="1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-933450</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-916305</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-933450</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-916305</wp:posOffset>
            </wp:positionV>
            <wp:extent cx="102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-933450</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-916305</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8. Revenue Recognition</w:t>
      </w:r>
    </w:p>
    <w:p>
      <w:pPr>
        <w:spacing w:after="0" w:line="185"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To date, our only source of revenue has been from the U.S. sales of VOQUEZNA products, which the Company began selling during the fourth quarter of 2023. The Company records its best estimate of chargebacks, sales discounts and other reserves to which customers are likely expected to be entitled to as contra accounts receivable charges, and within accrued expenses if payable to a third-party or related to product returns on the condensed balance sheets. During the nine months ended September 30, 2025 and 2024, the Company recognized $117.5 million and $25.6 million, respectively, of net product revenues related to sales of VOQUEZNA, VOQUEZNA DUAL PAK and VOQUEZNA TRIPLE PAK.</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the Company's revenue allowances and related accruals for the nine months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which have been deducting in arriving at product revenues, net (in thousands):</w:t>
      </w:r>
    </w:p>
    <w:p>
      <w:pPr>
        <w:spacing w:after="0" w:line="176"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Customer Credits,</w:t>
            </w:r>
          </w:p>
        </w:tc>
        <w:tc>
          <w:tcPr>
            <w:tcW w:w="17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Rebates, Returns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Discounts and</w:t>
            </w:r>
          </w:p>
        </w:tc>
        <w:tc>
          <w:tcPr>
            <w:tcW w:w="120" w:type="dxa"/>
            <w:vAlign w:val="bottom"/>
          </w:tcPr>
          <w:p>
            <w:pPr>
              <w:spacing w:after="0"/>
              <w:rPr>
                <w:sz w:val="17"/>
                <w:szCs w:val="17"/>
                <w:color w:val="auto"/>
              </w:rPr>
            </w:pPr>
          </w:p>
        </w:tc>
        <w:tc>
          <w:tcPr>
            <w:tcW w:w="16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and Co-Pay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8"/>
              </w:rPr>
              <w:t>Allowance</w:t>
            </w: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Assistance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(contra accounts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receivable)</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(accrued 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1, 2025</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5,659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29,987</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44,000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104,384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148,384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Utilizations</w:t>
            </w: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(40,306)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(90,273)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(130,579)</w:t>
            </w:r>
          </w:p>
        </w:tc>
        <w:tc>
          <w:tcPr>
            <w:tcW w:w="0" w:type="dxa"/>
            <w:vAlign w:val="bottom"/>
          </w:tcPr>
          <w:p>
            <w:pPr>
              <w:spacing w:after="0"/>
              <w:rPr>
                <w:sz w:val="1"/>
                <w:szCs w:val="1"/>
                <w:color w:val="auto"/>
              </w:rPr>
            </w:pPr>
          </w:p>
        </w:tc>
      </w:tr>
      <w:tr>
        <w:trPr>
          <w:trHeight w:val="196"/>
        </w:trPr>
        <w:tc>
          <w:tcPr>
            <w:tcW w:w="3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September 30, 2025</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9,353</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44,098</w:t>
            </w: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53,451</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-162560</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-162560</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8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chief operating decision maker, or CODM, the Chief Executive Officer, manages the Company’s business activities as a single reportable segment. The segment derives its current revenues from the sale of VOQUEZNA products. Accordingly, the CODM uses net loss to measure segment profit or loss, allocate resources and assess performance. Further, the CODM reviews and utilizes functional expenses (research and development, general and administrative, sales and marketing and stock-based compensation) to manage the Company’s operations. Other segment items included in net loss are interest income, interest expense and other expense, which are reflected in the condensed statements of operations and comprehensive loss. The measure of segment assets is reported on the condensed balance sheets as total assets.</w:t>
      </w:r>
    </w:p>
    <w:p>
      <w:pPr>
        <w:spacing w:after="0" w:line="14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following table presents selected financial information with respect to the Company’s single operating segment for the nine months ended September 30, 2025 and 2024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Nine Months Ended</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1"/>
        </w:trPr>
        <w:tc>
          <w:tcPr>
            <w:tcW w:w="1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96"/>
        </w:trPr>
        <w:tc>
          <w:tcPr>
            <w:tcW w:w="14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260" w:type="dxa"/>
            <w:vAlign w:val="bottom"/>
            <w:gridSpan w:val="2"/>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117,526</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25,588</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14,951</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4,158</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20,244</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21,623</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26,856</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21,159</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186,424</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179,338</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23,109</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17,360</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(5,840)</w:t>
            </w:r>
          </w:p>
        </w:tc>
        <w:tc>
          <w:tcPr>
            <w:tcW w:w="72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(11,648)</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51,696</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53,416</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1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w:t>
            </w: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1420" w:type="dxa"/>
            <w:vAlign w:val="bottom"/>
          </w:tcPr>
          <w:p>
            <w:pPr>
              <w:spacing w:after="0"/>
              <w:rPr>
                <w:sz w:val="18"/>
                <w:szCs w:val="18"/>
                <w:color w:val="auto"/>
              </w:rPr>
            </w:pPr>
          </w:p>
        </w:tc>
        <w:tc>
          <w:tcPr>
            <w:tcW w:w="3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net loss</w:t>
            </w:r>
          </w:p>
        </w:tc>
        <w:tc>
          <w:tcPr>
            <w:tcW w:w="2260" w:type="dxa"/>
            <w:vAlign w:val="bottom"/>
            <w:gridSpan w:val="2"/>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(200,099)</w:t>
            </w:r>
          </w:p>
        </w:tc>
        <w:tc>
          <w:tcPr>
            <w:tcW w:w="720" w:type="dxa"/>
            <w:vAlign w:val="bottom"/>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(259,875)</w:t>
            </w:r>
          </w:p>
        </w:tc>
        <w:tc>
          <w:tcPr>
            <w:tcW w:w="140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F-20</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-933450</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-916305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Restructuring</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May 2025, the Company implemented a cost reduction and organizational restructuring plan to reduce cash burn and focus resources on commercial execution. In connection with the restructuring, the Company's workforce was reduced by 26 employees, or approximately 6%, including certain leadership changes all designed to right-size the organization. During the nine months ended September 30, 2025, total restructuring charges incurred were $9.2 million consisting of one-time termination benefits to affected employees for severance, non-cash stock-based compensation costs, healthcare benefits and outplacement assistance. The costs are included in research and development and selling, general, and administrative expenses on the Company’s condensed consolidated statement of operations and comprehensive loss.</w:t>
      </w:r>
    </w:p>
    <w:p>
      <w:pPr>
        <w:spacing w:after="0" w:line="144"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following table summarizes activity related to the restructuring accrual during the nine months ended September 30, 2025 (in thousands):</w:t>
      </w:r>
    </w:p>
    <w:p>
      <w:pPr>
        <w:spacing w:after="0" w:line="113" w:lineRule="exact"/>
        <w:rPr>
          <w:sz w:val="20"/>
          <w:szCs w:val="20"/>
          <w:color w:val="auto"/>
        </w:rPr>
      </w:pPr>
    </w:p>
    <w:tbl>
      <w:tblPr>
        <w:tblLayout w:type="fixed"/>
        <w:tblInd w:w="1420" w:type="dxa"/>
        <w:tblCellMar>
          <w:top w:w="0" w:type="dxa"/>
          <w:left w:w="0" w:type="dxa"/>
          <w:bottom w:w="0" w:type="dxa"/>
          <w:right w:w="0" w:type="dxa"/>
        </w:tblCellMar>
      </w:tblPr>
      <w:tr>
        <w:trPr>
          <w:trHeight w:val="221"/>
        </w:trPr>
        <w:tc>
          <w:tcPr>
            <w:tcW w:w="5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Total</w:t>
            </w:r>
          </w:p>
        </w:tc>
      </w:tr>
      <w:tr>
        <w:trPr>
          <w:trHeight w:val="196"/>
        </w:trPr>
        <w:tc>
          <w:tcPr>
            <w:tcW w:w="5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Restructuring expenses incurred</w:t>
            </w:r>
          </w:p>
        </w:tc>
        <w:tc>
          <w:tcPr>
            <w:tcW w:w="520" w:type="dxa"/>
            <w:vAlign w:val="bottom"/>
            <w:tcBorders>
              <w:top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9,214</w:t>
            </w:r>
          </w:p>
        </w:tc>
        <w:tc>
          <w:tcPr>
            <w:tcW w:w="8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Cash paid</w:t>
            </w:r>
          </w:p>
        </w:tc>
        <w:tc>
          <w:tcPr>
            <w:tcW w:w="520" w:type="dxa"/>
            <w:vAlign w:val="bottom"/>
          </w:tcPr>
          <w:p>
            <w:pPr>
              <w:spacing w:after="0"/>
              <w:rPr>
                <w:sz w:val="17"/>
                <w:szCs w:val="17"/>
                <w:color w:val="auto"/>
              </w:rPr>
            </w:pPr>
          </w:p>
        </w:tc>
        <w:tc>
          <w:tcPr>
            <w:tcW w:w="1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(3,242)</w:t>
            </w: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Non-cash expenses</w:t>
            </w:r>
          </w:p>
        </w:tc>
        <w:tc>
          <w:tcPr>
            <w:tcW w:w="52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(4,597)</w:t>
            </w:r>
          </w:p>
        </w:tc>
      </w:tr>
      <w:tr>
        <w:trPr>
          <w:trHeight w:val="196"/>
        </w:trPr>
        <w:tc>
          <w:tcPr>
            <w:tcW w:w="59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September 30, 2025</w:t>
            </w:r>
          </w:p>
        </w:tc>
        <w:tc>
          <w:tcPr>
            <w:tcW w:w="52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1,375</w:t>
            </w:r>
          </w:p>
        </w:tc>
        <w:tc>
          <w:tcPr>
            <w:tcW w:w="80" w:type="dxa"/>
            <w:vAlign w:val="bottom"/>
            <w:tcBorders>
              <w:top w:val="single" w:sz="8" w:color="CFF0FC"/>
            </w:tcBorders>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-162560</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71"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Effective October 6, 2025, the Company announced the appointment of Sanjeev Narula as the new Chief Financial and Business Officer. Mr. Narula will also serve as principal financial officer of the Company and entered into an employment agreement with the Company, setting forth the terms of his employment which is filed as an exhibit to this Quarterly Report on Form 10-Q.</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unaudited interim condensed financial statements and notes thereto included in this Quarterly Report on Form 10-Q and with our audited financial statements and notes thereto for the year ended December 31, 2024 and the related Management’s Discussion and Analysis of Financial Condition and Results of Operations, both of which are contained in our Annual Report on Form 10-K for the year ended December 31, 2024, or the 2024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commercialization plans and costs, research and development plans and costs, pricing and reimbursement, the potential to develop future product candidates, the timing and likelihood of success of the plans and objectives of management for current and future operations, and future results of anticipated commercialization, product development and other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of our Annual Report on Form 10-K and our Quarterly Reports on Form 10-Q.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 xml:space="preserve">We are a biopharmaceutical company focused on developing and commercializing novel treatments for gastrointestinal, or GI, diseases. Our approved products, VOQUEZNA®, VOQUEZNA® TRIPLE PAK® and VOQUEZNA® DUAL PAK®, contain vonoprazan, an oral small molecule potassium-competitive acid blocker, or PCAB. PCABs are a novel class of medicines that block acid secretion in the stomach. Vonoprazan is the first gastric anti-secretory agent from a novel class approved in the United States, Europe, or Canada in over 30 years, and has shown rapid, potent, and durable anti-secretory effects. Vonoprazan has also demonstrated clinical benefits over the current standard of care as a single agent in the treatment of erosive gastroesophageal reflux disease, or Erosive GERD, and in combination with antibiotics for the treatment of </w:t>
      </w:r>
      <w:r>
        <w:rPr>
          <w:rFonts w:ascii="Arial" w:cs="Arial" w:eastAsia="Arial" w:hAnsi="Arial"/>
          <w:sz w:val="18"/>
          <w:szCs w:val="18"/>
          <w:i w:val="1"/>
          <w:iCs w:val="1"/>
          <w:color w:val="auto"/>
        </w:rPr>
        <w:t>Helicobacter pylori</w:t>
      </w:r>
      <w:r>
        <w:rPr>
          <w:rFonts w:ascii="Arial" w:cs="Arial" w:eastAsia="Arial" w:hAnsi="Arial"/>
          <w:sz w:val="18"/>
          <w:szCs w:val="18"/>
          <w:color w:val="auto"/>
        </w:rPr>
        <w:t xml:space="preserve">, or </w:t>
      </w:r>
      <w:r>
        <w:rPr>
          <w:rFonts w:ascii="Arial" w:cs="Arial" w:eastAsia="Arial" w:hAnsi="Arial"/>
          <w:sz w:val="18"/>
          <w:szCs w:val="18"/>
          <w:i w:val="1"/>
          <w:iCs w:val="1"/>
          <w:color w:val="auto"/>
        </w:rPr>
        <w:t>H. pylori</w:t>
      </w:r>
      <w:r>
        <w:rPr>
          <w:rFonts w:ascii="Arial" w:cs="Arial" w:eastAsia="Arial" w:hAnsi="Arial"/>
          <w:sz w:val="18"/>
          <w:szCs w:val="18"/>
          <w:color w:val="auto"/>
        </w:rPr>
        <w:t>, infection. Takeda Pharmaceutical Company Limited, or Takeda, developed vonoprazan and has received marketing approval in numerous countries in Asia and Latin America as well as Russia. Vonoprazan generated peak net sales for Takeda of approximately $850 million and continues to achieve volume growth during its tenth full year on the market since its approval in Japan in 2014. In May 2019, we in-licensed the U.S., European, and Canadian rights to vonoprazan from Takeda.</w:t>
      </w:r>
    </w:p>
    <w:p>
      <w:pPr>
        <w:spacing w:after="0" w:line="13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In May 2022, the U.S. Food and Drug Administration, or FDA, approved the NDAs for vonoprazan triple therapy, under the brand name VOQUEZNA TRIPLE PAK, and vonoprazan dual therapy, under the brand name VOQUEZNA DUAL PAK. Subsequently, on November 1, 2023, the FDA approved vonoprazan, under the brand name VOQUEZNA, as a treatment for adults for the healing of all grades of Erosive GERD, maintenance of healing of all grades of Erosive GERD, and relief of heartburn associated with Erosive GERD, as well as in combination with amoxicillin, with or without clarithromycin,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We initiated commercial launch for VOQUEZNA for both the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indications, and VOQUEZNA TRIPLE PAK and VOQUEZNA DUAL PAK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In September 2023, we submitted an NDA seeking approval of vonoprazan as a once-daily treatment for heartburn symptoms associated with Non-Erosive GERD in adults. On July 17, 2024, the FDA approved VOQUEZNA 10 mg tablets for the relief of heartburn associated with Non-Erosive GERD, the largest category of GERD.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4" w:name="page25"/>
    <w:bookmarkEnd w:id="24"/>
    <w:p>
      <w:pPr>
        <w:jc w:val="both"/>
        <w:ind w:right="200" w:firstLine="509"/>
        <w:spacing w:after="0" w:line="244" w:lineRule="auto"/>
        <w:rPr>
          <w:sz w:val="20"/>
          <w:szCs w:val="20"/>
          <w:color w:val="auto"/>
        </w:rPr>
      </w:pPr>
      <w:r>
        <w:rPr>
          <w:rFonts w:ascii="Arial" w:cs="Arial" w:eastAsia="Arial" w:hAnsi="Arial"/>
          <w:sz w:val="18"/>
          <w:szCs w:val="18"/>
          <w:color w:val="auto"/>
        </w:rPr>
        <w:t>We are independently commercializing VOQUEZNA, VOQUEZNA TRIPLE PAK, and VOQUEZNA DUAL PAK in the United States. Our commercial launch for VOQUEZNA continues to build momentum and launch data shows strong physician and patient demand. As of October 17, 2025, over 790,000 prescriptions for VOQUEZNA tablets, VOQUEZNA Triple Pak, and VOQUEZNA Dual Pak have been filled since launch written by more than 34,100 prescribers. We continue to maintain broad commercial coverage for VOQUEZNA with over 120 million, or over 80%, of total U.S. commercial lives with access to VOQUEZNA tablets.</w:t>
      </w:r>
    </w:p>
    <w:p>
      <w:pPr>
        <w:spacing w:after="0" w:line="14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continue to evaluate potential for commercial partnerships for vonoprazan in Europe and Canada as well as potential development of vonoprazan into other indications, dosing regimens and alternative formulations and packaging. We also plan to evaluate the in-license or acquisition of additional clinical or commercial stage product candidates for the treatment of GI diseases in a capital efficient manner. We initiated our Phase 2 clinical trial of vonoprazan in eosinophilic esophagitis (EoE) trial during the fourth quarter of 2025.</w:t>
      </w:r>
    </w:p>
    <w:p>
      <w:pPr>
        <w:spacing w:after="0" w:line="133"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In May 2021, the FDA granted qualified infectious disease product, or QIDP, designations for VOQUEZNA TRIPLE PAK and VOQUEZNA DUAL PAK and we thereby received an extension of five years of new chemical entity, or NCE, exclusivity based on the vonoprazan component in the applicable NDAs. In December 2024, we submitted a citizen petition requesting that FDA update the Orange Book listings to reflect the same ten-year period of NCE exclusivity for VOQUEZNA as reflected on the VOQUEZNA TRIPLE PAK and VOQUEZNA DUAL PAK Orange Book listings. On June 16, 2025, we announced that the FDA has updated the Orange Book listing for VOQUEZNA tablets to reflect the full ten-year period of NCE exclusivity now extended through May 3, 2032.</w:t>
      </w:r>
    </w:p>
    <w:p>
      <w:pPr>
        <w:spacing w:after="0" w:line="138"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had previously been informed by Sandoz that there could be a disruption in the supply of clarithromycin tablets, a component of the VOQUEZNA TRIPLE PAK. Given more recent communications, however, we do not currently anticipate any near-term supply issues. We plan to continue to actively monitor the situation to determine if a supply disruption may still arise in the future. The VOQUEZNA TRIPLE PAK represents approximately 1% of our total revenue. While we have not experienced any commercial disruption to date, any disruption for such supply would result in our inability to continue to commercialize the VOQUEZNA TRIPLE PAK. The VOQUEZNA bottles and the VOQUEZNA DUAL PAKs are not impacted, as they do not include clarithromycin.</w:t>
      </w:r>
    </w:p>
    <w:p>
      <w:pPr>
        <w:spacing w:after="0" w:line="15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commenced our operations in 2018 and have devoted substantially all of our resources to date to organizing and staffing our company, business planning, raising capital, in-licensing vonoprazan, meeting with regulatory authorities, managing our clinical trials of vonoprazan, preparing for commercialization of our products containing vonoprazan, commercially launching our approved products in the U.S., and providing other selling, general and administrative support for our operations. Our operations to date have been funded primarily through commercial bank debt, our revenue interest financing debt and various equity offerings, including our at-the-market offerings. From inception through September 30, 2025, we sold 34,737,032 shares of our common stock and 2,608,922 pre-funded warrants, generating net proceeds of approximately $543.3 million, after deducting underwriting discounts, commissions and offering costs. As of September 30, 2025, we had cash and cash equivalents of $ 135.2 million. Based on our current operating plan, we believe that our existing cash and cash equivalents together with anticipated product revenues, are sufficient to fund operations for at least the next twelve months.</w:t>
      </w:r>
    </w:p>
    <w:p>
      <w:pPr>
        <w:spacing w:after="0" w:line="14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Since inception, we have incurred significant operating losses. Our net losses were $200.1 million and $259.9 million for the nine months ended September 30, 2025 and 2024, respectively. As of September 30, 2025, we had an accumulated deficit of $1.5 billion. Despite our plans and expectations, we could continue to incur operating losses for the foreseeable future. If we do not achieve our goals, it could be several years, if ever, before our current products or potential future product candidates, if successfully developed and approved, generate significant revenues to offset these operating losses. As a result, we are uncertain if we will achieve profitability on our current expected timeline, if at all, and, if so, whether we will be able to sustain it. The net losses we incur may fluctuate significantly from quarter to quarter and year to year.</w:t>
      </w:r>
    </w:p>
    <w:p>
      <w:pPr>
        <w:spacing w:after="0" w:line="14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While we have generated revenue to date, until such time as we can generate significant revenue from sales of our approved products containing vonoprazan, we also expect to finance our cash needs through equity offerings, additional debt financings or other capital sources, including potential collaborations, licenses and other similar arrangements. However, we may be unable to raise additional funds or enter into such other arrangements when and if needed on favorable terms or at all, and this risk could be exacerbated by the impact of ongoing conflicts throughout the world and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8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May 2025, we implemented a cost reduction and organizational restructuring plan to reduce cash burn and focus resources on commercial execution. In connection with the restructuring, our workforce was reduced by 26 employees, or approximately 6%, including certain leadership changes all designed to right-size the organization. During the nine months ended September 30, 2025, total restructuring charges incurred were $9.2 million consisting of one-time termination benefits to affected employees for severance, non-cash stock-based compensation costs, healthcare benefits and outplacement assistance. As of September 30, 2025, approximately $1.4 million of restructuring related accruals remain on the condensed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6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are responsible at our cost for the development, manufacture and commercialization of vonoprazan products. We are required to use commercially reasonable efforts to develop and commercialize the vonoprazan products in our licensed territory.</w:t>
      </w:r>
    </w:p>
    <w:p>
      <w:pPr>
        <w:spacing w:after="0" w:line="15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2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$ 250 million. We also agreed to make tiered royalty payments at percentages averaging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 We currently pay royalties to Takeda on sales of VOQUEZNA tablets, VOQUEZNA DUAL PAK and VOQUEZNA TRIPLE PAK in the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20" w:firstLine="509"/>
        <w:spacing w:after="0" w:line="301" w:lineRule="auto"/>
        <w:rPr>
          <w:sz w:val="20"/>
          <w:szCs w:val="20"/>
          <w:color w:val="auto"/>
        </w:rPr>
      </w:pPr>
      <w:r>
        <w:rPr>
          <w:rFonts w:ascii="Arial" w:cs="Arial" w:eastAsia="Arial" w:hAnsi="Arial"/>
          <w:sz w:val="17"/>
          <w:szCs w:val="17"/>
          <w:color w:val="auto"/>
        </w:rPr>
        <w:t>We began to recognize revenue from product sales, net of rebates, chargebacks, discounts, and other adjustments, in November 2023 in conjunction with the commercial launch of VOQUEZNA, VOQUEZNA TRIPLE PAK, and VOQUEZNA DUAL PAK in the United States.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Cost of revenue includes the cost of producing and distributing inventories that are related to product sales. This also includes royalties payable to Takeda, pursuant to the Takeda License Agreement (Refer to Note 3 for further details). In addition, shipping and handling costs for product sales are recorded as incurred. Cost of revenue also includes costs related to excess or obsolete inventory adjustment charges.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3"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To date, our research and development expenses have related to the development and regulatory approvals of vonoprazan. Research and development expenses are recognized as incurred and payments made prior to the receipt of goods or services to be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6" w:name="page27"/>
    <w:bookmarkEnd w:id="26"/>
    <w:p>
      <w:pPr>
        <w:ind w:right="140"/>
        <w:spacing w:after="0" w:line="271" w:lineRule="auto"/>
        <w:rPr>
          <w:sz w:val="20"/>
          <w:szCs w:val="20"/>
          <w:color w:val="auto"/>
        </w:rPr>
      </w:pPr>
      <w:r>
        <w:rPr>
          <w:rFonts w:ascii="Arial" w:cs="Arial" w:eastAsia="Arial" w:hAnsi="Arial"/>
          <w:sz w:val="18"/>
          <w:szCs w:val="18"/>
          <w:color w:val="auto"/>
        </w:rPr>
        <w:t>used in research and development are capitalized until the goods or services are received. We do not track total research and development expenses by indication.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71" w:lineRule="exact"/>
        <w:rPr>
          <w:sz w:val="20"/>
          <w:szCs w:val="20"/>
          <w:color w:val="auto"/>
        </w:rPr>
      </w:pPr>
    </w:p>
    <w:p>
      <w:pPr>
        <w:ind w:left="900" w:right="10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Clinical development expenses: </w:t>
      </w:r>
      <w:r>
        <w:rPr>
          <w:rFonts w:ascii="Arial" w:cs="Arial" w:eastAsia="Arial" w:hAnsi="Arial"/>
          <w:sz w:val="18"/>
          <w:szCs w:val="18"/>
          <w:color w:val="auto"/>
        </w:rPr>
        <w:t>external research and development expenses incurred under agreements with CROs,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consultants to conduct and support our clinical trials of vonoprazan;</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Personnel related expenses</w:t>
      </w:r>
      <w:r>
        <w:rPr>
          <w:rFonts w:ascii="Arial" w:cs="Arial" w:eastAsia="Arial" w:hAnsi="Arial"/>
          <w:sz w:val="18"/>
          <w:szCs w:val="18"/>
          <w:color w:val="auto"/>
        </w:rPr>
        <w:t>: salaries, payroll taxes, and employee benefits;</w:t>
      </w:r>
    </w:p>
    <w:p>
      <w:pPr>
        <w:spacing w:after="0" w:line="19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Chemistry manufacturing and controls, or CMC, expenses: </w:t>
      </w:r>
      <w:r>
        <w:rPr>
          <w:rFonts w:ascii="Arial" w:cs="Arial" w:eastAsia="Arial" w:hAnsi="Arial"/>
          <w:sz w:val="18"/>
          <w:szCs w:val="18"/>
          <w:color w:val="auto"/>
        </w:rPr>
        <w:t>costs related to the manufacturing of vonoprazan for our clinical trials;</w:t>
      </w:r>
    </w:p>
    <w:p>
      <w:pPr>
        <w:spacing w:after="0" w:line="18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Consulting, professional and other costs: </w:t>
      </w:r>
      <w:r>
        <w:rPr>
          <w:rFonts w:ascii="Arial" w:cs="Arial" w:eastAsia="Arial" w:hAnsi="Arial"/>
          <w:sz w:val="18"/>
          <w:szCs w:val="18"/>
          <w:color w:val="auto"/>
        </w:rPr>
        <w:t>external costs related to consulting and professional services and other research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w:t>
      </w:r>
    </w:p>
    <w:p>
      <w:pPr>
        <w:spacing w:after="0" w:line="11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stock-based compensation expense recognized for those individuals involved in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efforts.</w:t>
      </w:r>
    </w:p>
    <w:p>
      <w:pPr>
        <w:spacing w:after="0" w:line="127"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following table summarizes our research and development expenses for the three and nine months ended September 30, 2025 and 2024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r>
      <w:tr>
        <w:trPr>
          <w:trHeight w:val="196"/>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 and regulatory</w:t>
            </w:r>
          </w:p>
        </w:tc>
        <w:tc>
          <w:tcPr>
            <w:tcW w:w="880" w:type="dxa"/>
            <w:vAlign w:val="bottom"/>
            <w:gridSpan w:val="2"/>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1,410</w:t>
            </w:r>
          </w:p>
        </w:tc>
        <w:tc>
          <w:tcPr>
            <w:tcW w:w="1140" w:type="dxa"/>
            <w:vAlign w:val="bottom"/>
            <w:gridSpan w:val="2"/>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2,640</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7,405</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8,757</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Personnel related</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2,127</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2,714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8,974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8,223</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Chemistry manufacturing and controls</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1,397</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1,454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2,730</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Consulting, professional and other costs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589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962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1,913</w:t>
            </w:r>
          </w:p>
        </w:tc>
        <w:tc>
          <w:tcPr>
            <w:tcW w:w="100" w:type="dxa"/>
            <w:vAlign w:val="bottom"/>
          </w:tcPr>
          <w:p>
            <w:pPr>
              <w:spacing w:after="0"/>
              <w:rPr>
                <w:sz w:val="17"/>
                <w:szCs w:val="17"/>
                <w:color w:val="auto"/>
              </w:rPr>
            </w:pPr>
          </w:p>
        </w:tc>
      </w:tr>
      <w:tr>
        <w:trPr>
          <w:trHeight w:val="203"/>
        </w:trPr>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2,063</w:t>
            </w: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1,296</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5,043</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ind w:left="100"/>
              <w:spacing w:after="0" w:line="196" w:lineRule="exact"/>
              <w:rPr>
                <w:sz w:val="20"/>
                <w:szCs w:val="20"/>
                <w:color w:val="auto"/>
              </w:rPr>
            </w:pPr>
            <w:r>
              <w:rPr>
                <w:rFonts w:ascii="Arial" w:cs="Arial" w:eastAsia="Arial" w:hAnsi="Arial"/>
                <w:sz w:val="18"/>
                <w:szCs w:val="18"/>
                <w:color w:val="auto"/>
              </w:rPr>
              <w:t>Total research and development expenses</w:t>
            </w:r>
          </w:p>
        </w:tc>
        <w:tc>
          <w:tcPr>
            <w:tcW w:w="880" w:type="dxa"/>
            <w:vAlign w:val="bottom"/>
            <w:gridSpan w:val="2"/>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7,027</w:t>
            </w:r>
          </w:p>
        </w:tc>
        <w:tc>
          <w:tcPr>
            <w:tcW w:w="1140" w:type="dxa"/>
            <w:vAlign w:val="bottom"/>
            <w:gridSpan w:val="2"/>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w w:val="97"/>
              </w:rPr>
              <w:t>8,693</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25,287</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25,499</w:t>
            </w:r>
          </w:p>
        </w:tc>
        <w:tc>
          <w:tcPr>
            <w:tcW w:w="10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-161925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-161925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plan to invest in our research and development expenses for the foreseeable future as we continue the development of vonoprazan and potentially in the future also develop additional product candidates.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actual results and development costs can differ materially from expectations. In addition, we cannot forecast which product candidates, if any, may be subject to future collaborations, when such arrangements will be secured, if at all, and to what degree such arrangements would affect our development plans and capital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Selling, general and administrative expenses consist of salaries and employee-related costs, including stock-based compensation, for personnel in commercial, executive, finance, accounting, legal, human resources and other administrative functions, legal fees relating to intellectual property and corporate matters, and professional fees for accounting and consulting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Interest Financing Agreement</w:t>
      </w:r>
    </w:p>
    <w:p>
      <w:pPr>
        <w:spacing w:after="0" w:line="102" w:lineRule="exact"/>
        <w:rPr>
          <w:sz w:val="20"/>
          <w:szCs w:val="20"/>
          <w:color w:val="auto"/>
        </w:rPr>
      </w:pPr>
    </w:p>
    <w:p>
      <w:pPr>
        <w:ind w:right="680" w:firstLine="509"/>
        <w:spacing w:after="0" w:line="271" w:lineRule="auto"/>
        <w:rPr>
          <w:sz w:val="20"/>
          <w:szCs w:val="20"/>
          <w:color w:val="auto"/>
        </w:rPr>
      </w:pPr>
      <w:r>
        <w:rPr>
          <w:rFonts w:ascii="Arial" w:cs="Arial" w:eastAsia="Arial" w:hAnsi="Arial"/>
          <w:sz w:val="18"/>
          <w:szCs w:val="18"/>
          <w:color w:val="auto"/>
        </w:rPr>
        <w:t>Interest expense under the Revenue Interest Financing Agreement is based on the imputed effective interest rate derived from expected future payments and the carrying value of the obligation. We recalculate the effective interest rate each period based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7" w:name="page28"/>
    <w:bookmarkEnd w:id="27"/>
    <w:p>
      <w:pPr>
        <w:ind w:right="100"/>
        <w:spacing w:after="0" w:line="271" w:lineRule="auto"/>
        <w:rPr>
          <w:sz w:val="20"/>
          <w:szCs w:val="20"/>
          <w:color w:val="auto"/>
        </w:rPr>
      </w:pPr>
      <w:r>
        <w:rPr>
          <w:rFonts w:ascii="Arial" w:cs="Arial" w:eastAsia="Arial" w:hAnsi="Arial"/>
          <w:sz w:val="18"/>
          <w:szCs w:val="18"/>
          <w:color w:val="auto"/>
        </w:rPr>
        <w:t>on the current carrying value and the revised estimated future payments. Changes in future payments from previous estimates are included in current and future 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with Hercules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expense under the Loan Agreement consists of (i) cash interest at a variable annual rate equal to the greater of (a) 9.85% and</w:t>
      </w:r>
    </w:p>
    <w:p>
      <w:pPr>
        <w:spacing w:after="0" w:line="25" w:lineRule="exact"/>
        <w:rPr>
          <w:sz w:val="20"/>
          <w:szCs w:val="20"/>
          <w:color w:val="auto"/>
        </w:rPr>
      </w:pPr>
    </w:p>
    <w:p>
      <w:pPr>
        <w:jc w:val="both"/>
        <w:ind w:right="260" w:firstLine="8"/>
        <w:spacing w:after="0"/>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Prime Rate (as reported in the Wall Street Journal) plus 1.35% and provided that the cash interest rate shall be capped at 10.35% and upon us achieving the certain milestones, the cash interest shall be decreased by 0.35%, (ii) payment-in-kind interest at a per annum rate of interest equal to 2.15%, and (iii) amortization of the Loan Agreement debt discount recorded in connection with the fair value of warrants issued to the lenders, the debt issuance costs incurred, and the obligation to make a final payment.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2025 and 2024</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2025 and 2024 (in thousands):</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49,504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16,352</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33,152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6,190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43,314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13,996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7,027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51,558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76,099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(24,541)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58,585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84,792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(26,207)</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(15,271)</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(70,796)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55,525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1,413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(16,108)</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(18,484)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(14,702)</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(14,781)</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(29,973)</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(85,577)</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55,604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-959485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-959485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-161925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-161925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revenues were $49.5 million and $16.4 million for the three months ended September 30, 2025 and 2024,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related to sales of VOQUEZNA, VOQUEZNA TRIPLE PAK, and VOQUEZNA DUAL PAK which were launched in the fourth quarter of 2023.</w:t>
      </w:r>
    </w:p>
    <w:p>
      <w:pPr>
        <w:spacing w:after="0" w:line="128" w:lineRule="exact"/>
        <w:rPr>
          <w:sz w:val="20"/>
          <w:szCs w:val="20"/>
          <w:color w:val="auto"/>
        </w:rPr>
      </w:pPr>
    </w:p>
    <w:p>
      <w:pPr>
        <w:jc w:val="both"/>
        <w:ind w:right="440" w:firstLine="509"/>
        <w:spacing w:after="0" w:line="242"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were $6.2 million and $2.4 million for the three months ended September 30, 2025 and 2024,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three months ended September 30, 2025. These previously expensed costs were not material.</w:t>
      </w:r>
    </w:p>
    <w:p>
      <w:pPr>
        <w:spacing w:after="0" w:line="15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$7.0 million and $8.7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2025 and 2024, respectively. The decrease of $1.7 million consists of $1.2 million related to lower clinical and regulatory costs and a reduction of $0.5 million of consulting expenses.</w:t>
      </w:r>
    </w:p>
    <w:p>
      <w:pPr>
        <w:spacing w:after="0" w:line="128"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$51.6 million and $ 76.1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2025 and 2024, respectively. The decrease of $24.5 million was primarily related to a $24.8 million reduction in advertising and promotional expenses and lower consulting expenses of $0.4 million offset by an increase of $0.7 million in personnel-related expenses due to restructuring charges.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28" w:name="page29"/>
    <w:bookmarkEnd w:id="28"/>
    <w:p>
      <w:pPr>
        <w:ind w:right="40" w:firstLine="509"/>
        <w:spacing w:after="0" w:line="24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$14.7 million for the three months ended September 30, 2025 consisted of $16.1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under the Loan Agreement and Revenue Interest Financing Agreement, partially offset by $1.4 million of interest income related to cash held in money market funds. Other expense of $14.8 million for the three months ended September 30, 2024 consisted of $18.5 million of interest expense under the Loan Agreement and Revenue Interest Financing Agreement, partially offset by $3.7 million of interest income related to cash held in money market funds.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2025 and 2024</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2025 and 2024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117,526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25,588</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91,938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14,951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102,575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21,430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81,145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25,287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25,499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231,346</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213,981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256,633</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239,480</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17,153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(154,058)</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(218,050)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63,992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5,840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11,648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(51,696)</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(53,416)</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(46,041)</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(41,825)</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(200,099)</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(259,875)</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59,776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-959485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-959485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-161925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-161925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revenues were $117.5 million and $25.6 million for the nine months ended September 30, 2025 and 2024,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related to sales of VOQUEZNA, VOQUEZNA TRIPLE PAK, and VOQUEZNA DUAL PAK which were launched during the fourth quarter of 2023.</w:t>
      </w:r>
    </w:p>
    <w:p>
      <w:pPr>
        <w:spacing w:after="0" w:line="128"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revenues were $15.0 million and $4.2 million for the nine months ended September 30, 2025 and 2024,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nine months ended September 30, 2025. These previously expensed costs were not material.</w:t>
      </w:r>
    </w:p>
    <w:p>
      <w:pPr>
        <w:spacing w:after="0" w:line="13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$25.3 million and $25.5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2025 and 2024, respectively. The decrease of $0.2 million consists of $1.4 million of lower clinical and regulatory costs, $0.9 million of lower project and consulting costs, partially offset by $2.1 million related to higher personnel-related expenses due to restructuring charges.</w:t>
      </w:r>
    </w:p>
    <w:p>
      <w:pPr>
        <w:spacing w:after="0" w:line="14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$231.3 million and $214.0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2025 and 2024, respectively. The increase of $ 17.3 million was due to increases of $7.6 million of advertising and promotional expenses in support of our ongoing commercial launch of VOQUEZNA, and an increase of $9.6 million in personnel-related expenses primarily due to $7.3 million of restructuring charges, and an increase of $0.1 million in consulting expenses.</w:t>
      </w:r>
    </w:p>
    <w:p>
      <w:pPr>
        <w:spacing w:after="0" w:line="13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$46.0 million for the nine months ended September 30, 2025 consisted of $51.7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under the Loan Agreement and Revenue Interest Financing Agreement, partially offset by $5.8 million of interest income related to cash held in money market funds. Other expense of $41.8 million for the nine months ended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29" w:name="page30"/>
    <w:bookmarkEnd w:id="29"/>
    <w:p>
      <w:pPr>
        <w:ind w:right="160"/>
        <w:spacing w:after="0" w:line="271" w:lineRule="auto"/>
        <w:rPr>
          <w:sz w:val="20"/>
          <w:szCs w:val="20"/>
          <w:color w:val="auto"/>
        </w:rPr>
      </w:pPr>
      <w:r>
        <w:rPr>
          <w:rFonts w:ascii="Arial" w:cs="Arial" w:eastAsia="Arial" w:hAnsi="Arial"/>
          <w:sz w:val="18"/>
          <w:szCs w:val="18"/>
          <w:color w:val="auto"/>
        </w:rPr>
        <w:t>September 30, 2024 consisted of $53.4 million of interest expense under the Loan Agreement and Revenue Interest Financing Agreement, partially offset by $11.6 million of interest income related to cash held in money market funds.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8"/>
          <w:szCs w:val="18"/>
          <w:color w:val="auto"/>
        </w:rPr>
        <w:t>We have incurred net losses and negative cash flows from operations since our inception and, despite our plans and expectations, we could continue to incur net losses for the foreseeable future. As of September 30, 2025, we had cash and cash equivalents of $135.2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183"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On September 17, 2021, or the Closing Date, we entered into the Loan Agreement with Hercules (in such capacity, the Agent or Hercules), as administrative agent and collateral agent and as a lender and the other financial institutions that from time to time become parties to the Loan Agreement as lenders (collectively, the Lenders).</w:t>
      </w:r>
    </w:p>
    <w:p>
      <w:pPr>
        <w:spacing w:after="0" w:line="12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to us in May 2022.</w:t>
      </w:r>
    </w:p>
    <w:p>
      <w:pPr>
        <w:spacing w:after="0" w:line="17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On September 27, 2022, we entered into an amendment to the Loan Agreement, or the Second Loan Amendment, pursuant to which the date the second tranche of funding of $50 million remained available to us and was moved to May 15, 2023, rather than December 15, 2022.</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May 9, 2023, we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 have been recorded as debt discount and are being amortized to interest expense using the effective interest method over the remaining term of the Term Loan.</w:t>
      </w:r>
    </w:p>
    <w:p>
      <w:pPr>
        <w:spacing w:after="0" w:line="13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December 14, 2023, we entered into a Fourth Amendment to Loan and Security Agreement, or the Fourth Loan Amendment, with the lenders, which, among other things, (i) increased the aggregate principal amount of the term loans from $200 million to $300 million; (ii) provided for the possibility of accessing the $200 million commitment through five additional tranches referred to as tranches 2 through 6, which are available subject to certain milestones and conditions: (a) Tranche 2: $ 50 million, $40 million of which was funded on December 14, 2023, and the remaining $10 million of which was funded on March 15, 2024, (b) Tranche 3: $25 million, which was funded on June 14, 2024, (c) Tranche 4: $25 million, which was funded on December 14, 2024, (d) Tranche 5: $ 50 million which was available, subject to the achievement of a specified revenue milestone, through June 30, 2025 and which we did not draw down, and (e) Tranche 6: $50 million available, subject to the achievement of a specified revenue milestone, through December 31, 2025; (iii) extended the interest only period and the maturity date from October 2026 to December 2027, (iv) reduced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us achieving the certain milestones, the cash interest shall be decreased by 0.35%, and (v) decreased the payment-in-kind interest rate from 3.35% per annum to 2.15% per annum. In connection with the Fourth Loan Amendment, an amendment fee of $250,000 was paid to the Agent and was recorded as a debt discount and being amortized to interest expense using the effective interest method over the remaining term of the Term Loan.</w:t>
      </w:r>
    </w:p>
    <w:p>
      <w:pPr>
        <w:spacing w:after="0" w:line="16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We may make payments of interest</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0" w:name="page31"/>
    <w:bookmarkEnd w:id="30"/>
    <w:p>
      <w:pPr>
        <w:ind w:right="120"/>
        <w:spacing w:after="0" w:line="271" w:lineRule="auto"/>
        <w:rPr>
          <w:sz w:val="20"/>
          <w:szCs w:val="20"/>
          <w:color w:val="auto"/>
        </w:rPr>
      </w:pPr>
      <w:r>
        <w:rPr>
          <w:rFonts w:ascii="Arial" w:cs="Arial" w:eastAsia="Arial" w:hAnsi="Arial"/>
          <w:sz w:val="18"/>
          <w:szCs w:val="18"/>
          <w:color w:val="auto"/>
        </w:rPr>
        <w:t>only through the Maturity Date. After the interest-only period, the principal balance and related interest will be required to be repaid in full on the Maturity Date.</w:t>
      </w:r>
    </w:p>
    <w:p>
      <w:pPr>
        <w:spacing w:after="0" w:line="12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addition, we are obligated to pay a final payment fee of 7.50% of the original principal amount of amounts actually advanced under the Term Loan, or each a Term Loan Advance and together, the Term Loan Advances. In connection with the Fourth Loan Amendment, the final payment fee was amended to be $1 million plus 3.00% of any future tranche drawdowns under the agreement, due upon final maturity. Additionally, the initial final payment fee for the first term Loan advance was amended to become payable on October 1, 2026. As of September 30, 2025, the aggregate $11.5 million of final payment fees includes the first Term Loan Advance of $7.5 million, $2.5 million for the second Term Loan Advance, $0.8 million for the third Term Loan Advance, and $0.7 million for the fourth Term Loan Advance and have been recorded within other long-term liabilities.</w:t>
      </w:r>
    </w:p>
    <w:p>
      <w:pPr>
        <w:spacing w:after="0" w:line="144"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Under the Fourth Loan Amendment, we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spacing w:after="0" w:line="13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spacing w:after="0" w:line="61" w:lineRule="exact"/>
        <w:rPr>
          <w:sz w:val="20"/>
          <w:szCs w:val="20"/>
          <w:color w:val="auto"/>
        </w:rPr>
      </w:pPr>
    </w:p>
    <w:p>
      <w:pPr>
        <w:ind w:left="1020" w:right="160" w:hanging="503"/>
        <w:spacing w:after="0" w:line="245" w:lineRule="auto"/>
        <w:tabs>
          <w:tab w:leader="none" w:pos="1020" w:val="left"/>
        </w:tabs>
        <w:numPr>
          <w:ilvl w:val="0"/>
          <w:numId w:val="7"/>
        </w:numPr>
        <w:rPr>
          <w:rFonts w:ascii="Calibri" w:cs="Calibri" w:eastAsia="Calibri" w:hAnsi="Calibri"/>
          <w:sz w:val="18"/>
          <w:szCs w:val="18"/>
          <w:color w:val="auto"/>
        </w:rPr>
      </w:pPr>
      <w:r>
        <w:rPr>
          <w:rFonts w:ascii="Arial" w:cs="Arial" w:eastAsia="Arial" w:hAnsi="Arial"/>
          <w:sz w:val="18"/>
          <w:szCs w:val="18"/>
          <w:color w:val="auto"/>
        </w:rPr>
        <w:t>Minimum cash covenant - We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w:t>
      </w:r>
    </w:p>
    <w:p>
      <w:pPr>
        <w:spacing w:after="0" w:line="68" w:lineRule="exact"/>
        <w:rPr>
          <w:rFonts w:ascii="Calibri" w:cs="Calibri" w:eastAsia="Calibri" w:hAnsi="Calibri"/>
          <w:sz w:val="18"/>
          <w:szCs w:val="18"/>
          <w:color w:val="auto"/>
        </w:rPr>
      </w:pPr>
    </w:p>
    <w:p>
      <w:pPr>
        <w:ind w:left="1020" w:hanging="503"/>
        <w:spacing w:after="0"/>
        <w:tabs>
          <w:tab w:leader="none" w:pos="1020" w:val="left"/>
        </w:tabs>
        <w:numPr>
          <w:ilvl w:val="0"/>
          <w:numId w:val="7"/>
        </w:numPr>
        <w:rPr>
          <w:rFonts w:ascii="Calibri" w:cs="Calibri" w:eastAsia="Calibri" w:hAnsi="Calibri"/>
          <w:sz w:val="18"/>
          <w:szCs w:val="18"/>
          <w:color w:val="auto"/>
        </w:rPr>
      </w:pPr>
      <w:r>
        <w:rPr>
          <w:rFonts w:ascii="Arial" w:cs="Arial" w:eastAsia="Arial" w:hAnsi="Arial"/>
          <w:sz w:val="18"/>
          <w:szCs w:val="18"/>
          <w:color w:val="auto"/>
        </w:rPr>
        <w:t>Performance covenant - Beginning September 30, 2024 and all times thereafter we must satisfy any one of the following:</w:t>
      </w:r>
    </w:p>
    <w:p>
      <w:pPr>
        <w:spacing w:after="0" w:line="117" w:lineRule="exact"/>
        <w:rPr>
          <w:rFonts w:ascii="Calibri" w:cs="Calibri" w:eastAsia="Calibri" w:hAnsi="Calibri"/>
          <w:sz w:val="18"/>
          <w:szCs w:val="18"/>
          <w:color w:val="auto"/>
        </w:rPr>
      </w:pPr>
    </w:p>
    <w:p>
      <w:pPr>
        <w:ind w:left="1540" w:hanging="514"/>
        <w:spacing w:after="0"/>
        <w:tabs>
          <w:tab w:leader="none" w:pos="1540" w:val="left"/>
        </w:tabs>
        <w:numPr>
          <w:ilvl w:val="1"/>
          <w:numId w:val="7"/>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560" w:hanging="514"/>
        <w:spacing w:after="0" w:line="256" w:lineRule="auto"/>
        <w:tabs>
          <w:tab w:leader="none" w:pos="1540" w:val="left"/>
        </w:tabs>
        <w:numPr>
          <w:ilvl w:val="1"/>
          <w:numId w:val="7"/>
        </w:numPr>
        <w:rPr>
          <w:rFonts w:ascii="Calibri" w:cs="Calibri" w:eastAsia="Calibri" w:hAnsi="Calibri"/>
          <w:sz w:val="18"/>
          <w:szCs w:val="18"/>
          <w:color w:val="auto"/>
        </w:rPr>
      </w:pPr>
      <w:r>
        <w:rPr>
          <w:rFonts w:ascii="Arial" w:cs="Arial" w:eastAsia="Arial" w:hAnsi="Arial"/>
          <w:sz w:val="18"/>
          <w:szCs w:val="18"/>
          <w:color w:val="auto"/>
        </w:rPr>
        <w:t>Minimum cash balance exceeding (x) outstanding principal amount of term loans, multiplied by (y) (A) 50%, prior to achieving trailing three months net product revenue of greater than $35 million, and (B) 35% thereafter; or</w:t>
      </w:r>
    </w:p>
    <w:p>
      <w:pPr>
        <w:spacing w:after="0" w:line="57" w:lineRule="exact"/>
        <w:rPr>
          <w:rFonts w:ascii="Calibri" w:cs="Calibri" w:eastAsia="Calibri" w:hAnsi="Calibri"/>
          <w:sz w:val="18"/>
          <w:szCs w:val="18"/>
          <w:color w:val="auto"/>
        </w:rPr>
      </w:pPr>
    </w:p>
    <w:p>
      <w:pPr>
        <w:ind w:left="1540" w:right="320" w:hanging="514"/>
        <w:spacing w:after="0" w:line="256" w:lineRule="auto"/>
        <w:tabs>
          <w:tab w:leader="none" w:pos="1540" w:val="left"/>
        </w:tabs>
        <w:numPr>
          <w:ilvl w:val="1"/>
          <w:numId w:val="7"/>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of at least (x) 30% of agreed upon projected net revenues for periods in the calendar year 2024 and 25% for all periods thereafter or (y) $120 million.</w:t>
      </w:r>
    </w:p>
    <w:p>
      <w:pPr>
        <w:spacing w:after="0" w:line="139" w:lineRule="exact"/>
        <w:rPr>
          <w:sz w:val="20"/>
          <w:szCs w:val="20"/>
          <w:color w:val="auto"/>
        </w:rPr>
      </w:pPr>
    </w:p>
    <w:p>
      <w:pPr>
        <w:ind w:right="880" w:firstLine="55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us may be declared immediately due and payable by Hercules, as collateral agent.</w:t>
      </w:r>
    </w:p>
    <w:p>
      <w:pPr>
        <w:spacing w:after="0" w:line="113"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As of September 30, 2025, we were in compliance with all applicable covenants under the Loan Agreement. Based on the current revenue projections, we do not expect to meet the revenue threshold to draw the Sixth Tranche. The current operating plan does not anticipate a need to draw any additional amounts under the Loan Agreement.</w:t>
      </w:r>
    </w:p>
    <w:p>
      <w:pPr>
        <w:spacing w:after="0" w:line="128"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As collateral for the obligations, we granted Hercules a senior security interest in all of our right, title, and interest in, to and under substantially all of our property, inclusive of intellectual property.</w:t>
      </w:r>
    </w:p>
    <w:p>
      <w:pPr>
        <w:spacing w:after="0" w:line="12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connection with the entry into the Loan Agreement, we issued to Hercules a warrant, or the Warrant, to purchase a number of shares of our common stock equal to 2.5% of the aggregate amount of the Term Loan advances funded, and will issue to Hercules additional warrants if any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connection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connection with the entry into the Fourth Amendment, we eliminated the warrant agreement for all future tranches. The Warrant issued with the initial tranche was not modified as part of this amendment. The exercise price and terms of the outstanding Warrant remain unchanged.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1" w:name="page32"/>
    <w:bookmarkEnd w:id="31"/>
    <w:p>
      <w:pPr>
        <w:jc w:val="both"/>
        <w:ind w:right="300" w:firstLine="509"/>
        <w:spacing w:after="0" w:line="253" w:lineRule="auto"/>
        <w:rPr>
          <w:sz w:val="20"/>
          <w:szCs w:val="20"/>
          <w:color w:val="auto"/>
        </w:rPr>
      </w:pPr>
      <w:r>
        <w:rPr>
          <w:rFonts w:ascii="Arial" w:cs="Arial" w:eastAsia="Arial" w:hAnsi="Arial"/>
          <w:sz w:val="18"/>
          <w:szCs w:val="18"/>
          <w:color w:val="auto"/>
        </w:rPr>
        <w:t>The initial $1.3 million fair value of the Warrant, the $11.5 million final interest payment fees and $4.6 million of debt issuance costs have been recorded as debt discount and are being amortized to interest expense using the effective interest method over the term of the Term Loan.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May 3, 2022, we entered into a Revenue Interest Financing Agreement, or the Revenue Interest Financing Agreement, with entities managed or advised by NovaQuest Capital Management, or NQ, Sagard Holdings Manager LP, or Sagard, and Hercules, together with NQ and Sagard, or the Initial Investors, pursuant to which we had the right to receive up to $260 million in funding from the Initial Investors. Under the terms of the Revenue Interest Financing Agreement, we received $100 million at the initial closing and received an additional $ 160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in its capacity as administrative agent and collateral agent for itself and the lenders under that certain Loan Agreement, or the Joinder Agreement, in respect of the Revenue Interest Financing Agreement. Under the terms of the Joinder Agreement, we received $15 million in additional funding upon FDA approval of vonoprazan for Erosive GERD, or Approval Additional Funding, in the fourth quarter of 2023 and provided for $25 million in additional funding for achievement of a sales milestone, or Milestone Additional Funding, and, together with the Approval Additional Funding, or the Additional Investor Funding. The Initial Investors waived their right of first offer for any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September 30, 2025, no additional funding is available under the Revenue Interest Financing Agreement.</w:t>
      </w:r>
    </w:p>
    <w:p>
      <w:pPr>
        <w:spacing w:after="0" w:line="147"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Under the Revenue Interest Financing Agreement, the Initial Investors and the Additional Investors, are entitled to receive a 10% royalty on net sales of products containing vonoprazan. The royalty rate is subject to a step-down on net sales exceeding certain annual thresholds and upon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we have the right to make a cap payment equal to 200% of the Investment Amount less any royalties already paid, at which time the agreement will terminate.</w:t>
      </w:r>
    </w:p>
    <w:p>
      <w:pPr>
        <w:spacing w:after="0" w:line="15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w:t>
      </w:r>
    </w:p>
    <w:p>
      <w:pPr>
        <w:spacing w:after="0" w:line="128"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we are obligated to pay 1.30 times Investment Amount, 1.65 times Investment Amount, and 2.0 times investment amount, respectively, less any amounts we previously paid pursuant to the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At-the-Market-Offerings</w:t>
      </w:r>
    </w:p>
    <w:p>
      <w:pPr>
        <w:spacing w:after="0" w:line="107" w:lineRule="exact"/>
        <w:rPr>
          <w:sz w:val="20"/>
          <w:szCs w:val="20"/>
          <w:color w:val="auto"/>
        </w:rPr>
      </w:pPr>
    </w:p>
    <w:p>
      <w:pPr>
        <w:ind w:right="480" w:firstLine="509"/>
        <w:spacing w:after="0" w:line="226" w:lineRule="auto"/>
        <w:rPr>
          <w:sz w:val="20"/>
          <w:szCs w:val="20"/>
          <w:color w:val="auto"/>
        </w:rPr>
      </w:pPr>
      <w:r>
        <w:rPr>
          <w:rFonts w:ascii="Arial" w:cs="Arial" w:eastAsia="Arial" w:hAnsi="Arial"/>
          <w:sz w:val="18"/>
          <w:szCs w:val="18"/>
          <w:color w:val="auto"/>
        </w:rPr>
        <w:t>In November 2020, we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we may, from time to time, sell shares of our common stock having an aggregate offering price of up to an amount registered under an effective registration statement through the Sales Agent.</w:t>
      </w:r>
    </w:p>
    <w:p>
      <w:pPr>
        <w:spacing w:after="0" w:line="15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November 2023, we filed a shelf registration statement on Form S-3 which was declared effective by the SEC on November 17, 2023, which included an at-the-market prospectus pursuant to which we may, from time to time, sell up to an aggregate of $150 million of our common stock through the Sales Agent, or the 2023 ATM Offering. We are not obligated to, and we cannot provide any assurances that we will, make any sales of the shares under the Sales Agreement. The Sales Agreement may be terminated by the Sales Agent or us at any time. No shares were sold during the three and nine months ended September 30, 2025 and 2024. As of September 30, 2025, all of the available $150 million under the 2023 ATM Offering remains available.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16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On August 20, 2024, we completed an underwritten public offering, in which we sold 8,695,652 shares of our common stock at a price of $11.50 per share and pre-funded warrants to purchase 2,608,922 shares of our common stock at a price of $11.499</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2" w:name="page33"/>
    <w:bookmarkEnd w:id="32"/>
    <w:p>
      <w:pPr>
        <w:ind w:right="420"/>
        <w:spacing w:after="0" w:line="271" w:lineRule="auto"/>
        <w:rPr>
          <w:sz w:val="20"/>
          <w:szCs w:val="20"/>
          <w:color w:val="auto"/>
        </w:rPr>
      </w:pPr>
      <w:r>
        <w:rPr>
          <w:rFonts w:ascii="Arial" w:cs="Arial" w:eastAsia="Arial" w:hAnsi="Arial"/>
          <w:sz w:val="18"/>
          <w:szCs w:val="18"/>
          <w:color w:val="auto"/>
        </w:rPr>
        <w:t>per pre-funded warrant for total gross proceeds of $130.0 million. The net purchase price after deducting the underwriting discounts and commissions and other offering expenses, was $10.77 per share or net proceeds of $121.8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Based on our current operating plan, we believe that our existing cash and cash equivalents together with anticipated product revenues, are sufficient to fund operations for at least the next twelve months. However, our forecast of the period of time through which our financial resources may be adequate to support our operations is a forward-looking statement that involves risks and uncertainties and actual results could vary materially. We have based this estimate on assumptions that may prove to be inaccurate, and we could deplete our capital resources sooner than we expect based on the amount and timing of product sales and operating expenses, among other factors. Additionally, the process of testing product candidates in clinical trials is costly, and the timing of progress and expenses in ongoing and future trials is uncertain.</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1020" w:right="78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sufficient market acceptance, coverage and adequate reimbursement from third-party payers and adequate market share and revenue for our current approved products;</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sales and marketing activities in support of the commercial launch of our approved products, or any future product candidates we may choose to pursue, if successfully developed and approved;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payers;</w:t>
      </w:r>
    </w:p>
    <w:p>
      <w:pPr>
        <w:spacing w:after="0" w:line="46"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manufacturing for vonoprazan and supply of antibiotics for use in VOQUEZNA TRIPLE PAK and VOQUEZNA DUAL PAK or any future product candidates;</w:t>
      </w:r>
    </w:p>
    <w:p>
      <w:pPr>
        <w:spacing w:after="0" w:line="46" w:lineRule="exact"/>
        <w:rPr>
          <w:rFonts w:ascii="Times New Roman" w:cs="Times New Roman" w:eastAsia="Times New Roman" w:hAnsi="Times New Roman"/>
          <w:sz w:val="18"/>
          <w:szCs w:val="18"/>
          <w:color w:val="auto"/>
        </w:rPr>
      </w:pPr>
    </w:p>
    <w:p>
      <w:pPr>
        <w:ind w:left="1020" w:right="8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62"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future vonoprazan applications or such applications for any future product candidates;</w:t>
      </w:r>
    </w:p>
    <w:p>
      <w:pPr>
        <w:spacing w:after="0" w:line="46"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obtaining, maintaining and enforcing our patents and other intellectual property rights, and the success of our enforcement efforts;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impact of introduction of competitive products;</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hiring additional personnel and consultants as our business grows and enhancing our operational systems;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9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also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and if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3" w:name="page34"/>
    <w:bookmarkEnd w:id="33"/>
    <w:p>
      <w:pPr>
        <w:ind w:right="180" w:firstLine="509"/>
        <w:spacing w:after="0" w:line="242"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unaudited interim condensed financial statements were issued. There can be no assurance that we will be successful in acquiring additional funding, that our projections of future revenues or working capital needs will prove accurate, or that any additional funding would be sufficient to continue operations in future years. Based on our current operating plan, we believe that our existing cash and cash equivalents together with anticipated product revenues, are sufficient to fund operations for at least the next twelve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(161,774)</w:t>
            </w:r>
          </w:p>
        </w:tc>
        <w:tc>
          <w:tcPr>
            <w:tcW w:w="66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(203,314)</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41,540</w:t>
            </w: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156,728</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(156,919)</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(162,107)</w:t>
            </w:r>
          </w:p>
        </w:tc>
        <w:tc>
          <w:tcPr>
            <w:tcW w:w="1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(46,716)</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Net cash used in operating activities was approximately $161.8 million and $203.3 million for the nine months ended September 30, 2025 and 2024, respectively. The net cash used in operating activities for the nine months ended September 30, 2025 was due to approximately $145.3 million spent on ongoing research and development and selling, general and administrative activities and a $16.5 million net change in operating assets and liabilities. The net change in operating assets and liabilities is related to a $6.7 million increase in accounts payable and accrued expenses (including interest, operating lease assets and liabilities), a $7.6 million decrease in prepaid assets and other current assets, and a $30.8 million increase in accounts receivable and inventory. The net cash used in operating activities for the nine months ended September 30, 2024 was due to approximately $197.0 million spent on ongoing research and development and selling, general and administrative activities and a $6.3 million net change in operating assets and liabilities. The net change in operating assets and liabilities primarily related to a $15.5 million increase in accounts payable and accrued expenses (including interest, operating lease assets and liabilities), and a $21.8 million increase in accounts receivable, inventory, and prepaid assets and other current assets in support of our growth and launch of our first commercial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3"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Net cash used in investing activities for the nine months ended September 30, 2025 and 2024, was related to payments for acquiring property and equipment.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Net cash used in financing activities for the nine months ended September 30, 2025 related to payments of employee tax obligations related to vesting of PSUs offset by proceeds from the issuance of common stock from exercise of stock options. Net cash provided by financing activities for the nine months ended September 30, 2024 was $156.7 million primarily related to $34.7 million of net proceeds from the issuance of debt under our Loan Agreement and $121.8 million of net proceeds from issuance of common stock and pre-funded warrants in connection with the underwritten public offering completed in August 2024.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There were no material changes outside the ordinary course of our business during the nine months ended September 30, 2025 to the information regarding our contractual obligations that was disclosed in Management’s Discussion and Analysis of Financial Condition and Results of Operations contained in our 2024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5"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4" w:name="page35"/>
    <w:bookmarkEnd w:id="34"/>
    <w:p>
      <w:pPr>
        <w:ind w:right="40"/>
        <w:spacing w:after="0" w:line="242" w:lineRule="auto"/>
        <w:rPr>
          <w:sz w:val="20"/>
          <w:szCs w:val="20"/>
          <w:color w:val="auto"/>
        </w:rPr>
      </w:pPr>
      <w:r>
        <w:rPr>
          <w:rFonts w:ascii="Arial" w:cs="Arial" w:eastAsia="Arial" w:hAnsi="Arial"/>
          <w:sz w:val="18"/>
          <w:szCs w:val="18"/>
          <w:color w:val="auto"/>
        </w:rPr>
        <w:t>The preparation of our financial statements requires us to make estimates and assumptions that affect the reported amounts of assets, liabilities, revenues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2" w:lineRule="exact"/>
        <w:rPr>
          <w:sz w:val="20"/>
          <w:szCs w:val="20"/>
          <w:color w:val="auto"/>
        </w:rPr>
      </w:pPr>
    </w:p>
    <w:p>
      <w:pPr>
        <w:ind w:right="380" w:firstLine="509"/>
        <w:spacing w:after="0" w:line="247"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2024 Form 10-K. There have not been any material changes to the critical accounting policies discussed therein during the nine months ended September 30,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Smaller Reporting Company Status</w:t>
      </w:r>
    </w:p>
    <w:p>
      <w:pPr>
        <w:spacing w:after="0" w:line="183"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We are a smaller reporting company as defined in Rule 12b-2 of the Exchange Act. We may take advantage of certain of the scaled disclosures available to smaller reporting companies and will be able to take advantage of these scaled disclosures for so long as (i) our voting and non-voting common stock held by non-affiliates is less than $250 million measured on the last business day of our second fiscal quarter or (ii)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As of September 30, 2025,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2024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5" w:name="page36"/>
    <w:bookmarkEnd w:id="35"/>
    <w:p>
      <w:pPr>
        <w:ind w:firstLine="509"/>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our third fiscal quarter ended September 30, 2025 that have materially affected, or are reasonably likely to materially affect, our internal control over financial reporting.</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7" w:right="3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8" w:lineRule="exact"/>
        <w:rPr>
          <w:sz w:val="20"/>
          <w:szCs w:val="20"/>
          <w:color w:val="auto"/>
        </w:rPr>
      </w:pPr>
    </w:p>
    <w:p>
      <w:pPr>
        <w:ind w:firstLine="509"/>
        <w:spacing w:after="0" w:line="279"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here have been no material changes to the risk factors disclosed in Part I, Item 1A, “Risk Factors” of our 2024 Form 10-K, as updated</w:t>
      </w:r>
      <w:r>
        <w:rPr>
          <w:rFonts w:ascii="Arial" w:cs="Arial" w:eastAsia="Arial" w:hAnsi="Arial"/>
          <w:sz w:val="20"/>
          <w:szCs w:val="20"/>
          <w:color w:val="auto"/>
        </w:rPr>
        <w:t xml:space="preserve"> </w:t>
      </w:r>
      <w:r>
        <w:rPr>
          <w:rFonts w:ascii="Arial" w:cs="Arial" w:eastAsia="Arial" w:hAnsi="Arial"/>
          <w:sz w:val="17"/>
          <w:szCs w:val="17"/>
          <w:color w:val="auto"/>
        </w:rPr>
        <w:t>in our Quarterly Report on Form 10-Q for the three months ended March 31, 2025.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8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From time to time, our officers (as defined in Rule 16a-1(f) of the Exchange Act) and directors may enter into Rule 10b5-1 or non-Rule 10b5-1 trading arrangements (as each such term is defined in Item 408 of Regulation S-K).</w:t>
      </w:r>
    </w:p>
    <w:p>
      <w:pPr>
        <w:spacing w:after="0" w:line="113"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On September 9, 2025, Anne Marie Cook, our Chief Legal Officer, and on September 10, 2025, Steve Basta, our Chief Executive Officer, each entered into a sell-to-cover arrangement intended to comply with the requirements of Rule 10b5-1(c) authorizing the pre-arranged sale of common shares to satisfy tax withholding obligations of the Company arising from the vesting of restricted stock units (RSUs) and performance stock units (PSUs), and the related issuance of shares of common stock, issued pursuant to our equity incentive plans. The amount of common shares to be sold to satisfy the Company’s tax withholding obligations under each arrangement is dependent on future events which cannot be known at this time, including the future trading price of our common stock. The expiration date relating to each arrangement is dependent on future events which cannot be known at this time, including the final vesting date of the applicable RSUs and PSUs and the officer’s termination of service. Our compensation committee subsequently approved net settlement of equity awards for Section 16 officers whereby we will withhold shares to cover tax withholdings thereby obviating the need for the sell-to-cover arrangements. As a result, the sell to cover arrangements with Ms. Cook and Mr. Basta as well as a sell to cover arrangement entered into In September 2022 by Robert Breedlove, our VP Finance and principal accounting officer, were subsequently terminated on September 30, 2025, September 24, 2025 and October 9, 2025, respectively.</w:t>
      </w:r>
    </w:p>
    <w:p>
      <w:pPr>
        <w:spacing w:after="0" w:line="14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During the three months ended September 30, 2025, no other of our officers or directors adopted, modified or terminated any Rule 10b5-1 trading arrangements or non-Rule 10b5-1 trading arrangements.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20"/>
          </w:tcPr>
          <w:p>
            <w:pPr>
              <w:ind w:left="32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56"/>
        </w:trPr>
        <w:tc>
          <w:tcPr>
            <w:tcW w:w="1060" w:type="dxa"/>
            <w:vAlign w:val="bottom"/>
          </w:tcPr>
          <w:p>
            <w:pPr>
              <w:jc w:val="center"/>
              <w:spacing w:after="0" w:line="155" w:lineRule="exact"/>
              <w:rPr>
                <w:sz w:val="20"/>
                <w:szCs w:val="20"/>
                <w:color w:val="auto"/>
              </w:rPr>
            </w:pPr>
            <w:r>
              <w:rPr>
                <w:rFonts w:ascii="Arial" w:cs="Arial" w:eastAsia="Arial" w:hAnsi="Arial"/>
                <w:sz w:val="16"/>
                <w:szCs w:val="16"/>
                <w:color w:val="auto"/>
                <w:w w:val="98"/>
              </w:rPr>
              <w:t>3.1</w:t>
            </w:r>
          </w:p>
        </w:tc>
        <w:tc>
          <w:tcPr>
            <w:tcW w:w="140" w:type="dxa"/>
            <w:vAlign w:val="bottom"/>
          </w:tcPr>
          <w:p>
            <w:pPr>
              <w:spacing w:after="0"/>
              <w:rPr>
                <w:sz w:val="13"/>
                <w:szCs w:val="13"/>
                <w:color w:val="auto"/>
              </w:rPr>
            </w:pPr>
          </w:p>
        </w:tc>
        <w:tc>
          <w:tcPr>
            <w:tcW w:w="5800" w:type="dxa"/>
            <w:vAlign w:val="bottom"/>
            <w:gridSpan w:val="28"/>
          </w:tcPr>
          <w:p>
            <w:pPr>
              <w:spacing w:after="0" w:line="155" w:lineRule="exact"/>
              <w:rPr>
                <w:rFonts w:ascii="Arial" w:cs="Arial" w:eastAsia="Arial" w:hAnsi="Arial"/>
                <w:sz w:val="16"/>
                <w:szCs w:val="16"/>
                <w:color w:val="0000FF"/>
              </w:rPr>
            </w:pPr>
            <w:hyperlink r:id="rId168">
              <w:r>
                <w:rPr>
                  <w:rFonts w:ascii="Arial" w:cs="Arial" w:eastAsia="Arial" w:hAnsi="Arial"/>
                  <w:sz w:val="16"/>
                  <w:szCs w:val="16"/>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69">
              <w:r>
                <w:rPr>
                  <w:rFonts w:ascii="Arial" w:cs="Arial" w:eastAsia="Arial" w:hAnsi="Arial"/>
                  <w:sz w:val="16"/>
                  <w:szCs w:val="16"/>
                  <w:color w:val="0000FF"/>
                </w:rPr>
                <w:t>Certificate of Amendment to Amended and Restated Certificate of Incorporation,</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169">
              <w:r>
                <w:rPr>
                  <w:rFonts w:ascii="Arial" w:cs="Arial" w:eastAsia="Arial" w:hAnsi="Arial"/>
                  <w:sz w:val="16"/>
                  <w:szCs w:val="16"/>
                  <w:color w:val="0000FF"/>
                </w:rPr>
                <w:t>as filed with the Secretary of the State of Delaware on May 26, 2023</w:t>
              </w:r>
            </w:hyperlink>
          </w:p>
        </w:tc>
        <w:tc>
          <w:tcPr>
            <w:tcW w:w="9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70">
              <w:r>
                <w:rPr>
                  <w:rFonts w:ascii="Arial" w:cs="Arial" w:eastAsia="Arial" w:hAnsi="Arial"/>
                  <w:sz w:val="16"/>
                  <w:szCs w:val="16"/>
                  <w:color w:val="0000FF"/>
                </w:rPr>
                <w:t>Amended and Restated Bylaws, effective as of December 13, 2023</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71">
              <w:r>
                <w:rPr>
                  <w:rFonts w:ascii="Arial" w:cs="Arial" w:eastAsia="Arial" w:hAnsi="Arial"/>
                  <w:sz w:val="16"/>
                  <w:szCs w:val="16"/>
                  <w:color w:val="0000FF"/>
                </w:rPr>
                <w:t>Form of Common Stock Certificate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72">
              <w:r>
                <w:rPr>
                  <w:rFonts w:ascii="Arial" w:cs="Arial" w:eastAsia="Arial" w:hAnsi="Arial"/>
                  <w:sz w:val="16"/>
                  <w:szCs w:val="16"/>
                  <w:color w:val="0000FF"/>
                </w:rPr>
                <w:t>Warrant to purchase stock issued to Silicon Valley Bank, dated May 14,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73">
              <w:r>
                <w:rPr>
                  <w:rFonts w:ascii="Arial" w:cs="Arial" w:eastAsia="Arial" w:hAnsi="Arial"/>
                  <w:sz w:val="16"/>
                  <w:szCs w:val="16"/>
                  <w:color w:val="0000FF"/>
                </w:rPr>
                <w:t>Warrant to purchase stock issued to WestRiver Innovation Lending Fund VIII,</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w w:val="99"/>
              </w:rPr>
            </w:pPr>
            <w:hyperlink r:id="rId173">
              <w:r>
                <w:rPr>
                  <w:rFonts w:ascii="Arial" w:cs="Arial" w:eastAsia="Arial" w:hAnsi="Arial"/>
                  <w:sz w:val="16"/>
                  <w:szCs w:val="16"/>
                  <w:color w:val="0000FF"/>
                  <w:w w:val="99"/>
                </w:rPr>
                <w:t>L.P., dated May 14,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3740" w:type="dxa"/>
            <w:vAlign w:val="bottom"/>
            <w:tcBorders>
              <w:top w:val="single" w:sz="8" w:color="0000FF"/>
            </w:tcBorders>
            <w:gridSpan w:val="1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74">
              <w:r>
                <w:rPr>
                  <w:rFonts w:ascii="Arial" w:cs="Arial" w:eastAsia="Arial" w:hAnsi="Arial"/>
                  <w:sz w:val="16"/>
                  <w:szCs w:val="16"/>
                  <w:color w:val="0000FF"/>
                </w:rPr>
                <w:t>Warrant to purchase stock issued to Hercules Capital, dated September 17,</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89"/>
              </w:rPr>
            </w:pPr>
            <w:hyperlink r:id="rId174">
              <w:r>
                <w:rPr>
                  <w:rFonts w:ascii="Arial" w:cs="Arial" w:eastAsia="Arial" w:hAnsi="Arial"/>
                  <w:sz w:val="16"/>
                  <w:szCs w:val="16"/>
                  <w:color w:val="0000FF"/>
                  <w:w w:val="89"/>
                </w:rPr>
                <w:t>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75">
              <w:r>
                <w:rPr>
                  <w:rFonts w:ascii="Arial" w:cs="Arial" w:eastAsia="Arial" w:hAnsi="Arial"/>
                  <w:sz w:val="16"/>
                  <w:szCs w:val="16"/>
                  <w:color w:val="0000FF"/>
                </w:rPr>
                <w:t>First Amendment to Warrant to purchase stock issued to Hercules Capital, dated</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7"/>
              </w:rPr>
            </w:pPr>
            <w:hyperlink r:id="rId175">
              <w:r>
                <w:rPr>
                  <w:rFonts w:ascii="Arial" w:cs="Arial" w:eastAsia="Arial" w:hAnsi="Arial"/>
                  <w:sz w:val="16"/>
                  <w:szCs w:val="16"/>
                  <w:color w:val="0000FF"/>
                  <w:w w:val="97"/>
                </w:rPr>
                <w:t>May 9,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4900" w:type="dxa"/>
            <w:vAlign w:val="bottom"/>
            <w:tcBorders>
              <w:top w:val="single" w:sz="8" w:color="0000FF"/>
            </w:tcBorders>
            <w:gridSpan w:val="23"/>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76">
              <w:r>
                <w:rPr>
                  <w:rFonts w:ascii="Arial" w:cs="Arial" w:eastAsia="Arial" w:hAnsi="Arial"/>
                  <w:sz w:val="16"/>
                  <w:szCs w:val="16"/>
                  <w:color w:val="0000FF"/>
                </w:rPr>
                <w:t>Form of Warrant to purchase stock issuable pursuant to the Loan and Security</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40" w:type="dxa"/>
            <w:vAlign w:val="bottom"/>
            <w:tcBorders>
              <w:top w:val="single" w:sz="8" w:color="0000FF"/>
              <w:bottom w:val="single" w:sz="8" w:color="0000FF"/>
            </w:tcBorders>
            <w:gridSpan w:val="23"/>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Agreement, as amended, by and between the Registrant and Hercules Capital,</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80" w:type="dxa"/>
            <w:vAlign w:val="bottom"/>
            <w:gridSpan w:val="25"/>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Inc.</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77">
              <w:r>
                <w:rPr>
                  <w:rFonts w:ascii="Arial" w:cs="Arial" w:eastAsia="Arial" w:hAnsi="Arial"/>
                  <w:sz w:val="16"/>
                  <w:szCs w:val="16"/>
                  <w:color w:val="0000FF"/>
                </w:rPr>
                <w:t>Note Purchase Agreement, dated May 7, 2019, by and among the Registrant</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4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177">
              <w:r>
                <w:rPr>
                  <w:rFonts w:ascii="Arial" w:cs="Arial" w:eastAsia="Arial" w:hAnsi="Arial"/>
                  <w:sz w:val="16"/>
                  <w:szCs w:val="16"/>
                  <w:color w:val="0000FF"/>
                </w:rPr>
                <w:t>and the other parties party thereto, as amended</w:t>
              </w:r>
            </w:hyperlink>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4.8</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78">
              <w:r>
                <w:rPr>
                  <w:rFonts w:ascii="Arial" w:cs="Arial" w:eastAsia="Arial" w:hAnsi="Arial"/>
                  <w:sz w:val="16"/>
                  <w:szCs w:val="16"/>
                  <w:color w:val="0000FF"/>
                </w:rPr>
                <w:t>Form of Pre-Funded Warrant to purchase common stock</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9"/>
              </w:rPr>
              <w:t>10.1#</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Employment Letter Agreement, dated September 29, 2025, by and between</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6"/>
                <w:szCs w:val="16"/>
                <w:color w:val="0000FF"/>
                <w:w w:val="99"/>
              </w:rPr>
              <w:t>Sanjeev Narula and the Registrant</w:t>
            </w:r>
          </w:p>
        </w:tc>
        <w:tc>
          <w:tcPr>
            <w:tcW w:w="2980" w:type="dxa"/>
            <w:vAlign w:val="bottom"/>
            <w:tcBorders>
              <w:top w:val="single" w:sz="8" w:color="0000FF"/>
            </w:tcBorders>
            <w:gridSpan w:val="9"/>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Certification of Chief Executive Officer of Phathom Pharmaceuticals, Inc., as</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20" w:type="dxa"/>
            <w:vAlign w:val="bottom"/>
            <w:tcBorders>
              <w:top w:val="single" w:sz="8" w:color="0000FF"/>
              <w:bottom w:val="single" w:sz="8" w:color="0000FF"/>
            </w:tcBorders>
            <w:gridSpan w:val="19"/>
          </w:tcPr>
          <w:p>
            <w:pPr>
              <w:spacing w:after="0" w:line="169" w:lineRule="exact"/>
              <w:rPr>
                <w:sz w:val="20"/>
                <w:szCs w:val="20"/>
                <w:color w:val="auto"/>
              </w:rPr>
            </w:pPr>
            <w:r>
              <w:rPr>
                <w:rFonts w:ascii="Arial" w:cs="Arial" w:eastAsia="Arial" w:hAnsi="Arial"/>
                <w:sz w:val="16"/>
                <w:szCs w:val="16"/>
                <w:color w:val="0000FF"/>
                <w:w w:val="99"/>
              </w:rPr>
              <w:t>required by Rule 13a-14(a) or Rule 15d-14(a), as adopted pursuant to Section</w:t>
            </w:r>
          </w:p>
        </w:tc>
        <w:tc>
          <w:tcPr>
            <w:tcW w:w="10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2840" w:type="dxa"/>
            <w:vAlign w:val="bottom"/>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Certification of Chief Financial Officer of Phathom Pharmaceuticals, Inc., as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4140" w:type="dxa"/>
            <w:vAlign w:val="bottom"/>
            <w:gridSpan w:val="10"/>
            <w:shd w:val="clear" w:color="auto" w:fill="0000FF"/>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0" w:type="dxa"/>
            <w:vAlign w:val="bottom"/>
            <w:gridSpan w:val="28"/>
          </w:tcPr>
          <w:p>
            <w:pPr>
              <w:spacing w:after="0" w:line="169" w:lineRule="exact"/>
              <w:rPr>
                <w:sz w:val="20"/>
                <w:szCs w:val="20"/>
                <w:color w:val="auto"/>
              </w:rPr>
            </w:pPr>
            <w:r>
              <w:rPr>
                <w:rFonts w:ascii="Arial" w:cs="Arial" w:eastAsia="Arial" w:hAnsi="Arial"/>
                <w:sz w:val="16"/>
                <w:szCs w:val="16"/>
                <w:color w:val="0000FF"/>
              </w:rPr>
              <w:t>required by Rule 13a-14(a) or Rule 15d-14(a), as adopted pursuant to Section</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284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4380" w:type="dxa"/>
            <w:vAlign w:val="bottom"/>
            <w:gridSpan w:val="18"/>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00" w:type="dxa"/>
            <w:vAlign w:val="bottom"/>
            <w:gridSpan w:val="26"/>
          </w:tcPr>
          <w:p>
            <w:pPr>
              <w:spacing w:after="0" w:line="169" w:lineRule="exact"/>
              <w:rPr>
                <w:sz w:val="20"/>
                <w:szCs w:val="20"/>
                <w:color w:val="auto"/>
              </w:rPr>
            </w:pPr>
            <w:r>
              <w:rPr>
                <w:rFonts w:ascii="Arial" w:cs="Arial" w:eastAsia="Arial" w:hAnsi="Arial"/>
                <w:sz w:val="16"/>
                <w:szCs w:val="16"/>
                <w:color w:val="0000FF"/>
              </w:rPr>
              <w:t>Oxley Act of 2002</w:t>
            </w: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6"/>
            <w:shd w:val="clear" w:color="auto" w:fill="0000FF"/>
          </w:tcPr>
          <w:p>
            <w:pPr>
              <w:spacing w:after="0" w:line="20" w:lineRule="exact"/>
              <w:rPr>
                <w:sz w:val="1"/>
                <w:szCs w:val="1"/>
                <w:color w:val="auto"/>
              </w:rPr>
            </w:pPr>
          </w:p>
        </w:tc>
        <w:tc>
          <w:tcPr>
            <w:tcW w:w="4380" w:type="dxa"/>
            <w:vAlign w:val="bottom"/>
            <w:gridSpan w:val="1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60" w:type="dxa"/>
            <w:vAlign w:val="bottom"/>
            <w:gridSpan w:val="24"/>
            <w:shd w:val="clear" w:color="auto" w:fill="0000FF"/>
          </w:tcPr>
          <w:p>
            <w:pPr>
              <w:spacing w:after="0" w:line="20" w:lineRule="exact"/>
              <w:rPr>
                <w:sz w:val="1"/>
                <w:szCs w:val="1"/>
                <w:color w:val="auto"/>
              </w:rPr>
            </w:pPr>
          </w:p>
        </w:tc>
        <w:tc>
          <w:tcPr>
            <w:tcW w:w="14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60" w:type="dxa"/>
            <w:vAlign w:val="bottom"/>
            <w:gridSpan w:val="24"/>
          </w:tcPr>
          <w:p>
            <w:pPr>
              <w:spacing w:after="0" w:line="169" w:lineRule="exact"/>
              <w:rPr>
                <w:sz w:val="20"/>
                <w:szCs w:val="20"/>
                <w:color w:val="auto"/>
              </w:rPr>
            </w:pPr>
            <w:r>
              <w:rPr>
                <w:rFonts w:ascii="Arial" w:cs="Arial" w:eastAsia="Arial" w:hAnsi="Arial"/>
                <w:sz w:val="16"/>
                <w:szCs w:val="16"/>
                <w:color w:val="0000FF"/>
              </w:rPr>
              <w:t>Oxley Act of 2002</w:t>
            </w:r>
          </w:p>
        </w:tc>
        <w:tc>
          <w:tcPr>
            <w:tcW w:w="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6"/>
            <w:shd w:val="clear" w:color="auto" w:fill="0000FF"/>
          </w:tcPr>
          <w:p>
            <w:pPr>
              <w:spacing w:after="0" w:line="20" w:lineRule="exact"/>
              <w:rPr>
                <w:sz w:val="1"/>
                <w:szCs w:val="1"/>
                <w:color w:val="auto"/>
              </w:rPr>
            </w:pPr>
          </w:p>
        </w:tc>
        <w:tc>
          <w:tcPr>
            <w:tcW w:w="452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jc w:val="center"/>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auto"/>
              </w:rPr>
              <w:t>Interactive Data File because XBRL tags are embedded within the Inline XBRL</w:t>
            </w: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378"/>
        </w:trPr>
        <w:tc>
          <w:tcPr>
            <w:tcW w:w="1060" w:type="dxa"/>
            <w:vAlign w:val="bottom"/>
          </w:tcPr>
          <w:p>
            <w:pPr>
              <w:jc w:val="center"/>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180" w:hanging="781"/>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Date</w:t>
            </w:r>
          </w:p>
        </w:tc>
        <w:tc>
          <w:tcPr>
            <w:tcW w:w="120" w:type="dxa"/>
            <w:vAlign w:val="bottom"/>
          </w:tcPr>
          <w:p>
            <w:pPr>
              <w:spacing w:after="0"/>
              <w:rPr>
                <w:sz w:val="17"/>
                <w:szCs w:val="17"/>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8"/>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10/29/19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5/30/23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12/15/23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10/15/19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11/8/21</w:t>
            </w:r>
          </w:p>
        </w:tc>
        <w:tc>
          <w:tcPr>
            <w:tcW w:w="1160" w:type="dxa"/>
            <w:vAlign w:val="bottom"/>
            <w:gridSpan w:val="2"/>
          </w:tcPr>
          <w:p>
            <w:pPr>
              <w:jc w:val="center"/>
              <w:ind w:lef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70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10/15/19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8/19/24</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980" w:space="120"/>
            <w:col w:w="4140"/>
          </w:cols>
          <w:pgMar w:left="320" w:top="1012"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17" w:lineRule="exact"/>
        <w:rPr>
          <w:sz w:val="20"/>
          <w:szCs w:val="20"/>
          <w:color w:val="auto"/>
        </w:rPr>
      </w:pPr>
    </w:p>
    <w:p>
      <w:pPr>
        <w:ind w:firstLine="8"/>
        <w:spacing w:after="0" w:line="285"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62" w:right="579" w:bottom="1440" w:gutter="0" w:footer="0" w:header="0"/>
        </w:sectPr>
      </w:pPr>
    </w:p>
    <w:bookmarkStart w:id="39" w:name="page40"/>
    <w:bookmarkEnd w:id="39"/>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PHATHOM PHARMACEUTICALS, INC.</w:t>
      </w:r>
    </w:p>
    <w:p>
      <w:pPr>
        <w:spacing w:after="0" w:line="198"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October 30, 2025</w:t>
      </w:r>
      <w:r>
        <w:rPr>
          <w:sz w:val="20"/>
          <w:szCs w:val="20"/>
          <w:color w:val="auto"/>
        </w:rPr>
        <w:tab/>
      </w:r>
      <w:r>
        <w:rPr>
          <w:rFonts w:ascii="Arial" w:cs="Arial" w:eastAsia="Arial" w:hAnsi="Arial"/>
          <w:sz w:val="18"/>
          <w:szCs w:val="18"/>
          <w:color w:val="auto"/>
        </w:rPr>
        <w:t>By:</w:t>
        <w:tab/>
        <w:t>/s/ Steven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Steven Basta</w:t>
      </w:r>
    </w:p>
    <w:p>
      <w:pPr>
        <w:ind w:left="6480"/>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October 30, 2025</w:t>
      </w:r>
      <w:r>
        <w:rPr>
          <w:sz w:val="20"/>
          <w:szCs w:val="20"/>
          <w:color w:val="auto"/>
        </w:rPr>
        <w:tab/>
      </w:r>
      <w:r>
        <w:rPr>
          <w:rFonts w:ascii="Arial" w:cs="Arial" w:eastAsia="Arial" w:hAnsi="Arial"/>
          <w:sz w:val="18"/>
          <w:szCs w:val="18"/>
          <w:color w:val="auto"/>
        </w:rPr>
        <w:t>By:</w:t>
        <w:tab/>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Sanjeev Narula</w:t>
      </w:r>
    </w:p>
    <w:p>
      <w:pPr>
        <w:ind w:left="6480"/>
        <w:spacing w:after="0" w:line="234" w:lineRule="auto"/>
        <w:rPr>
          <w:sz w:val="20"/>
          <w:szCs w:val="20"/>
          <w:color w:val="auto"/>
        </w:rPr>
      </w:pPr>
      <w:r>
        <w:rPr>
          <w:rFonts w:ascii="Arial" w:cs="Arial" w:eastAsia="Arial" w:hAnsi="Arial"/>
          <w:sz w:val="18"/>
          <w:szCs w:val="18"/>
          <w:color w:val="auto"/>
        </w:rPr>
        <w:t>Chief Financial and Business Officer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12" w:right="6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225425</wp:posOffset>
            </wp:positionV>
            <wp:extent cx="1671320" cy="402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167132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September 29, 2025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Sanjeev Narula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Employment Offer Letter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Sanjeev:</w:t>
      </w:r>
    </w:p>
    <w:p>
      <w:pPr>
        <w:spacing w:after="0" w:line="212" w:lineRule="exact"/>
        <w:rPr>
          <w:sz w:val="20"/>
          <w:szCs w:val="20"/>
          <w:color w:val="auto"/>
        </w:rPr>
      </w:pPr>
    </w:p>
    <w:p>
      <w:pPr>
        <w:ind w:right="480" w:firstLine="749"/>
        <w:spacing w:after="0" w:line="273" w:lineRule="auto"/>
        <w:rPr>
          <w:sz w:val="20"/>
          <w:szCs w:val="20"/>
          <w:color w:val="auto"/>
        </w:rPr>
      </w:pPr>
      <w:r>
        <w:rPr>
          <w:rFonts w:ascii="Times New Roman" w:cs="Times New Roman" w:eastAsia="Times New Roman" w:hAnsi="Times New Roman"/>
          <w:sz w:val="20"/>
          <w:szCs w:val="20"/>
          <w:color w:val="auto"/>
        </w:rPr>
        <w:t>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pleased to offer you a position on the terms set forth in this letter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right="2580" w:firstLine="751"/>
        <w:spacing w:after="0" w:line="273" w:lineRule="auto"/>
        <w:tabs>
          <w:tab w:leader="none" w:pos="149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tart</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expect that your employment start date (the “</w:t>
      </w:r>
      <w:r>
        <w:rPr>
          <w:rFonts w:ascii="Times New Roman" w:cs="Times New Roman" w:eastAsia="Times New Roman" w:hAnsi="Times New Roman"/>
          <w:sz w:val="20"/>
          <w:szCs w:val="20"/>
          <w:b w:val="1"/>
          <w:bCs w:val="1"/>
          <w:i w:val="1"/>
          <w:iCs w:val="1"/>
          <w:color w:val="auto"/>
        </w:rPr>
        <w:t>Start Date</w:t>
      </w:r>
      <w:r>
        <w:rPr>
          <w:rFonts w:ascii="Times New Roman" w:cs="Times New Roman" w:eastAsia="Times New Roman" w:hAnsi="Times New Roman"/>
          <w:sz w:val="20"/>
          <w:szCs w:val="20"/>
          <w:color w:val="auto"/>
        </w:rPr>
        <w:t>”) will occur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or about October 6, 2025</w:t>
      </w:r>
    </w:p>
    <w:p>
      <w:pPr>
        <w:spacing w:after="0" w:line="151" w:lineRule="exact"/>
        <w:rPr>
          <w:rFonts w:ascii="Times New Roman" w:cs="Times New Roman" w:eastAsia="Times New Roman" w:hAnsi="Times New Roman"/>
          <w:sz w:val="20"/>
          <w:szCs w:val="20"/>
          <w:color w:val="auto"/>
        </w:rPr>
      </w:pPr>
    </w:p>
    <w:p>
      <w:pPr>
        <w:ind w:left="1500" w:hanging="749"/>
        <w:spacing w:after="0"/>
        <w:tabs>
          <w:tab w:leader="none" w:pos="15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erms</w:t>
      </w:r>
      <w:r>
        <w:rPr>
          <w:rFonts w:ascii="Times New Roman" w:cs="Times New Roman" w:eastAsia="Times New Roman" w:hAnsi="Times New Roman"/>
          <w:sz w:val="20"/>
          <w:szCs w:val="20"/>
          <w:b w:val="1"/>
          <w:bCs w:val="1"/>
          <w:color w:val="auto"/>
        </w:rPr>
        <w:t>.</w:t>
      </w:r>
    </w:p>
    <w:p>
      <w:pPr>
        <w:spacing w:after="0" w:line="229" w:lineRule="exact"/>
        <w:rPr>
          <w:rFonts w:ascii="Times New Roman" w:cs="Times New Roman" w:eastAsia="Times New Roman" w:hAnsi="Times New Roman"/>
          <w:sz w:val="20"/>
          <w:szCs w:val="20"/>
          <w:color w:val="auto"/>
        </w:rPr>
      </w:pPr>
    </w:p>
    <w:p>
      <w:pPr>
        <w:ind w:left="2220" w:right="360" w:hanging="7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uties</w:t>
      </w:r>
      <w:r>
        <w:rPr>
          <w:rFonts w:ascii="Times New Roman" w:cs="Times New Roman" w:eastAsia="Times New Roman" w:hAnsi="Times New Roman"/>
          <w:sz w:val="20"/>
          <w:szCs w:val="20"/>
          <w:b w:val="1"/>
          <w:bCs w:val="1"/>
          <w:color w:val="auto"/>
        </w:rPr>
        <w:t>; L</w:t>
      </w:r>
      <w:r>
        <w:rPr>
          <w:rFonts w:ascii="Times New Roman" w:cs="Times New Roman" w:eastAsia="Times New Roman" w:hAnsi="Times New Roman"/>
          <w:sz w:val="13"/>
          <w:szCs w:val="13"/>
          <w:b w:val="1"/>
          <w:bCs w:val="1"/>
          <w:color w:val="auto"/>
        </w:rPr>
        <w:t>ocation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the Start Date, you shall serve as the Company’s Chief Financial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Officer. In such position, you shall report directly to the Chief Executive Officer of the Company (the “</w:t>
      </w:r>
      <w:r>
        <w:rPr>
          <w:rFonts w:ascii="Times New Roman" w:cs="Times New Roman" w:eastAsia="Times New Roman" w:hAnsi="Times New Roman"/>
          <w:sz w:val="20"/>
          <w:szCs w:val="20"/>
          <w:b w:val="1"/>
          <w:bCs w:val="1"/>
          <w:i w:val="1"/>
          <w:iCs w:val="1"/>
          <w:color w:val="auto"/>
        </w:rPr>
        <w:t>Supervising Officer</w:t>
      </w:r>
      <w:r>
        <w:rPr>
          <w:rFonts w:ascii="Times New Roman" w:cs="Times New Roman" w:eastAsia="Times New Roman" w:hAnsi="Times New Roman"/>
          <w:sz w:val="20"/>
          <w:szCs w:val="20"/>
          <w:color w:val="auto"/>
        </w:rPr>
        <w:t>”). You shall perform such duties as are customarily associated with such position, as well as such other duties as are lawfully and reasonably assigned to you by your Supervising Officer; provided, however, such other duties shall be consistent with your role as Chief Financial and Business Officer. You shall perform your services on a full-time basis. The Company expects that you will perform your duties remotely from your home office in Paradise Valley, Arizona, but expects that you will perform your duties on-site at the Company’s headquarters in Florham Park, New Jersey approximately once per month with each visit being approximately two to three business days (or as otherwise agreed with the Chief Executive Officer), with additional travel as needed in connection with your duties at the Company’s expense. This is an exempt position.</w:t>
      </w:r>
    </w:p>
    <w:p>
      <w:pPr>
        <w:spacing w:after="0" w:line="176" w:lineRule="exact"/>
        <w:rPr>
          <w:rFonts w:ascii="Times New Roman" w:cs="Times New Roman" w:eastAsia="Times New Roman" w:hAnsi="Times New Roman"/>
          <w:sz w:val="20"/>
          <w:szCs w:val="20"/>
          <w:color w:val="auto"/>
        </w:rPr>
      </w:pPr>
    </w:p>
    <w:p>
      <w:pPr>
        <w:ind w:left="2220" w:right="360" w:hanging="7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xclusive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your employment, you shall devote your full working time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attention to the business affairs of the Company. Subject to the terms of the Company’s form of Proprietary Information and Inventions Assignment Agreement, as described below, this shall not preclude you from (a) devoting time to personal and family investments, (b) participating in industry professional associations or boards, or (c) serving on community and civic boards, provided such activities do not interfere with your duties to the Company, as determined in good faith by the Supervising Officer. You agree that you will not join any boards, other than community and civic boards (which do not interfere with your duties to the Company), without the prior approval of the Supervising Officer, which approval shall not be unreasonably withheld, and that you shall be limited to service on two (2) outside boards, other than community and civic boards. The Company agrees that you may continue to (a) perform advisory services for Johnson and Johnson through December 31, 2025; and (b) be an advisory board member of Corstasis Therapeutics, Inc.</w:t>
      </w:r>
    </w:p>
    <w:p>
      <w:pPr>
        <w:spacing w:after="0" w:line="16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27" w:right="339" w:bottom="1440" w:gutter="0" w:footer="0" w:header="0"/>
        </w:sectPr>
      </w:pPr>
    </w:p>
    <w:bookmarkStart w:id="41" w:name="page42"/>
    <w:bookmarkEnd w:id="41"/>
    <w:p>
      <w:pPr>
        <w:ind w:left="760" w:hanging="749"/>
        <w:spacing w:after="0"/>
        <w:tabs>
          <w:tab w:leader="none" w:pos="7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initial compensation will be as follows:</w:t>
      </w:r>
    </w:p>
    <w:p>
      <w:pPr>
        <w:spacing w:after="0" w:line="229" w:lineRule="exact"/>
        <w:rPr>
          <w:rFonts w:ascii="Times New Roman" w:cs="Times New Roman" w:eastAsia="Times New Roman" w:hAnsi="Times New Roman"/>
          <w:sz w:val="20"/>
          <w:szCs w:val="20"/>
          <w:color w:val="auto"/>
        </w:rPr>
      </w:pPr>
    </w:p>
    <w:p>
      <w:pPr>
        <w:ind w:left="1480" w:hanging="72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ase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receive an initial annual base salary of $550,000. You will be paid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Company’s customary payroll procedures as established and modified from time-to-time. Your base salary is subject to annual review for increases by and at the sole discretion of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or its designated committee.</w:t>
      </w:r>
    </w:p>
    <w:p>
      <w:pPr>
        <w:spacing w:after="0" w:line="175" w:lineRule="exact"/>
        <w:rPr>
          <w:rFonts w:ascii="Times New Roman" w:cs="Times New Roman" w:eastAsia="Times New Roman" w:hAnsi="Times New Roman"/>
          <w:sz w:val="20"/>
          <w:szCs w:val="20"/>
          <w:color w:val="auto"/>
        </w:rPr>
      </w:pPr>
    </w:p>
    <w:p>
      <w:pPr>
        <w:ind w:left="1480" w:hanging="7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nnual</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base salary, you may be eligible to earn, for each fiscal year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during the term of your employment with the Company, an annual cash performance bonus under the Company’s bonus plan, as approved from time to time by the Board. Your target annual bonus will be fifty percent (50%) of your base salary actually paid for the year to which such annual bonus relates (your “</w:t>
      </w:r>
      <w:r>
        <w:rPr>
          <w:rFonts w:ascii="Times New Roman" w:cs="Times New Roman" w:eastAsia="Times New Roman" w:hAnsi="Times New Roman"/>
          <w:sz w:val="20"/>
          <w:szCs w:val="20"/>
          <w:b w:val="1"/>
          <w:bCs w:val="1"/>
          <w:i w:val="1"/>
          <w:iCs w:val="1"/>
          <w:color w:val="auto"/>
        </w:rPr>
        <w:t>Target Bonus</w:t>
      </w:r>
      <w:r>
        <w:rPr>
          <w:rFonts w:ascii="Times New Roman" w:cs="Times New Roman" w:eastAsia="Times New Roman" w:hAnsi="Times New Roman"/>
          <w:sz w:val="20"/>
          <w:szCs w:val="20"/>
          <w:color w:val="auto"/>
        </w:rPr>
        <w:t>”). Your actual annual bonus will be determined on the basis of your and/or the Company’s attainment of financial or other performance criteria established by the Board or its designated committee in accordance with the terms and conditions of such bonus plan. Except as provided herein, you must be employed by the Company on the date of payment of such annual bonus in order to be eligible to receive such annual bonus. You hereby acknowledge and agree that nothing contained herein confers upon you any right to an annual bonus in any year, and that whether the Company pays you an annual bonus and the amount of any such annual bonus will be determined by the Company in its sole discretion. Your annual bonus for 2025 will be prorated to reflect the portion of the year following the Start Date.</w:t>
      </w:r>
    </w:p>
    <w:p>
      <w:pPr>
        <w:spacing w:after="0" w:line="184" w:lineRule="exact"/>
        <w:rPr>
          <w:rFonts w:ascii="Times New Roman" w:cs="Times New Roman" w:eastAsia="Times New Roman" w:hAnsi="Times New Roman"/>
          <w:sz w:val="20"/>
          <w:szCs w:val="20"/>
          <w:color w:val="auto"/>
        </w:rPr>
      </w:pPr>
    </w:p>
    <w:p>
      <w:pPr>
        <w:ind w:left="1480" w:hanging="72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shall be eligible to participate in all of the employee benefit plans or programs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generally makes available to similarly-situated employees, pursuant to the terms and conditions of such plans. You will also be entitled to vacation and/or paid time off each year in accordance with Company policy and all holidays observed by the Company each year. The Company reserves the right to change benefits provided to its employees from time to time in its discretion.</w:t>
      </w:r>
    </w:p>
    <w:p>
      <w:pPr>
        <w:spacing w:after="0" w:line="180" w:lineRule="exact"/>
        <w:rPr>
          <w:rFonts w:ascii="Times New Roman" w:cs="Times New Roman" w:eastAsia="Times New Roman" w:hAnsi="Times New Roman"/>
          <w:sz w:val="20"/>
          <w:szCs w:val="20"/>
          <w:color w:val="auto"/>
        </w:rPr>
      </w:pPr>
    </w:p>
    <w:p>
      <w:pPr>
        <w:ind w:left="1480" w:hanging="72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w:t>
      </w:r>
      <w:r>
        <w:rPr>
          <w:rFonts w:ascii="Times New Roman" w:cs="Times New Roman" w:eastAsia="Times New Roman" w:hAnsi="Times New Roman"/>
          <w:sz w:val="20"/>
          <w:szCs w:val="20"/>
          <w:color w:val="auto"/>
        </w:rPr>
        <w:t>. As soon as practicable following your Start Date, you will be granted stock options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200,000 shares of the Company’s common stock, at an exercise price per share equal to the fair market value per share of the Company’s common stock on the date of grant (the “</w:t>
      </w:r>
      <w:r>
        <w:rPr>
          <w:rFonts w:ascii="Times New Roman" w:cs="Times New Roman" w:eastAsia="Times New Roman" w:hAnsi="Times New Roman"/>
          <w:sz w:val="20"/>
          <w:szCs w:val="20"/>
          <w:b w:val="1"/>
          <w:bCs w:val="1"/>
          <w:i w:val="1"/>
          <w:iCs w:val="1"/>
          <w:color w:val="auto"/>
        </w:rPr>
        <w:t>Stock Options</w:t>
      </w:r>
      <w:r>
        <w:rPr>
          <w:rFonts w:ascii="Times New Roman" w:cs="Times New Roman" w:eastAsia="Times New Roman" w:hAnsi="Times New Roman"/>
          <w:sz w:val="20"/>
          <w:szCs w:val="20"/>
          <w:color w:val="auto"/>
        </w:rPr>
        <w:t>”). The Stock Options will be granted pursuant to the Company’s Equity Plan (as defined below). The Stock Options will be subject to the terms and conditions of the Equity Plan and your stock option agreement. The Stock Options will vest over a four year vesting schedule, with twenty-five percent (25%) of the Stock Options vesting on the first anniversary of the Start Date and the remaining Stock Options vesting in thirty-six (36) equal monthly installments thereafter, subject to your continued employment or service to the Company on each such vesting date, except as otherwise expressly provided herein.</w:t>
      </w:r>
    </w:p>
    <w:p>
      <w:pPr>
        <w:spacing w:after="0" w:line="19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b w:val="1"/>
          <w:bCs w:val="1"/>
          <w:color w:val="auto"/>
        </w:rPr>
        <w:t>RESTRICTED STOCK UNITS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1500" w:hanging="366"/>
        <w:spacing w:after="0" w:line="254" w:lineRule="auto"/>
        <w:tabs>
          <w:tab w:leader="none" w:pos="15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Stock Options, as soon as practicable following your Start Date, you will be granted 144,000 restricted stock units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The RSUs will vest over a three-year vesting schedule, with one-third (1/3rd) of the RSUs vesting</w:t>
      </w:r>
    </w:p>
    <w:p>
      <w:pPr>
        <w:spacing w:after="0" w:line="39" w:lineRule="exact"/>
        <w:rPr>
          <w:rFonts w:ascii="Times New Roman" w:cs="Times New Roman" w:eastAsia="Times New Roman" w:hAnsi="Times New Roman"/>
          <w:sz w:val="20"/>
          <w:szCs w:val="20"/>
          <w:color w:val="auto"/>
        </w:rPr>
      </w:pPr>
    </w:p>
    <w:p>
      <w:pPr>
        <w:ind w:left="1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of the first, second and third anniversaries of the grant date, subject solely</w:t>
      </w:r>
    </w:p>
    <w:p>
      <w:pPr>
        <w:spacing w:after="0" w:line="1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395" w:right="699" w:bottom="1440" w:gutter="0" w:footer="0" w:header="0"/>
        </w:sectPr>
      </w:pPr>
    </w:p>
    <w:bookmarkStart w:id="42" w:name="page43"/>
    <w:bookmarkEnd w:id="42"/>
    <w:p>
      <w:pPr>
        <w:ind w:left="2260" w:right="20"/>
        <w:spacing w:after="0" w:line="269" w:lineRule="auto"/>
        <w:rPr>
          <w:sz w:val="20"/>
          <w:szCs w:val="20"/>
          <w:color w:val="auto"/>
        </w:rPr>
      </w:pPr>
      <w:r>
        <w:rPr>
          <w:rFonts w:ascii="Times New Roman" w:cs="Times New Roman" w:eastAsia="Times New Roman" w:hAnsi="Times New Roman"/>
          <w:sz w:val="20"/>
          <w:szCs w:val="20"/>
          <w:color w:val="auto"/>
        </w:rPr>
        <w:t>to your continued employment or service to the Company on each such vesting date, except as otherwise expressly provided herein.</w:t>
      </w:r>
    </w:p>
    <w:p>
      <w:pPr>
        <w:spacing w:after="0" w:line="159" w:lineRule="exact"/>
        <w:rPr>
          <w:sz w:val="20"/>
          <w:szCs w:val="20"/>
          <w:color w:val="auto"/>
        </w:rPr>
      </w:pPr>
    </w:p>
    <w:p>
      <w:pPr>
        <w:jc w:val="both"/>
        <w:ind w:left="2240" w:hanging="366"/>
        <w:spacing w:after="0" w:line="249" w:lineRule="auto"/>
        <w:tabs>
          <w:tab w:leader="none" w:pos="22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will be granted under the Equity Plan and will be subject to the terms and conditions of the Equity Plan and your RSU agreements. Each RSU will represent the right to receive one share of our common stock. Except as otherwise expressly provided herein, in the event of your termination of employment or service for any reason, all of your unvested RSUs will terminate immediately.</w:t>
      </w:r>
    </w:p>
    <w:p>
      <w:pPr>
        <w:spacing w:after="0" w:line="189" w:lineRule="exact"/>
        <w:rPr>
          <w:sz w:val="20"/>
          <w:szCs w:val="20"/>
          <w:color w:val="auto"/>
        </w:rPr>
      </w:pPr>
    </w:p>
    <w:p>
      <w:pPr>
        <w:ind w:left="2240" w:hanging="740"/>
        <w:spacing w:after="0"/>
        <w:tabs>
          <w:tab w:leader="none" w:pos="224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GRANT PROGRAM</w:t>
      </w:r>
    </w:p>
    <w:p>
      <w:pPr>
        <w:spacing w:after="0" w:line="192" w:lineRule="exact"/>
        <w:rPr>
          <w:rFonts w:ascii="Times New Roman" w:cs="Times New Roman" w:eastAsia="Times New Roman" w:hAnsi="Times New Roman"/>
          <w:sz w:val="20"/>
          <w:szCs w:val="20"/>
          <w:color w:val="auto"/>
        </w:rPr>
      </w:pPr>
    </w:p>
    <w:p>
      <w:pPr>
        <w:jc w:val="both"/>
        <w:ind w:left="2240" w:hanging="366"/>
        <w:spacing w:after="0" w:line="259" w:lineRule="auto"/>
        <w:tabs>
          <w:tab w:leader="none" w:pos="2240" w:val="left"/>
        </w:tabs>
        <w:numPr>
          <w:ilvl w:val="3"/>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you will be eligible to participate in the Company’s annual equity grant program beginning with the 2026 annual grant cycle under which equity awards are expected to be made based on 2025 performance. Your eligibility for the 2026 annual grant will not be prorated based on your partial service in 2025, however any equity awards, including the amount, form, and terms, will be determined at the sole discretion of the Compensation Committee of the Board of Directors (the “Compensation Committee”), taking into account, among other factors, individual performance, Company performance, and such other considerations as the Compensation Committee deems relevant.</w:t>
      </w:r>
    </w:p>
    <w:p>
      <w:pPr>
        <w:spacing w:after="0" w:line="181" w:lineRule="exact"/>
        <w:rPr>
          <w:rFonts w:ascii="Times New Roman" w:cs="Times New Roman" w:eastAsia="Times New Roman" w:hAnsi="Times New Roman"/>
          <w:sz w:val="19"/>
          <w:szCs w:val="19"/>
          <w:color w:val="auto"/>
        </w:rPr>
      </w:pPr>
    </w:p>
    <w:p>
      <w:pPr>
        <w:ind w:left="2220" w:right="20" w:hanging="720"/>
        <w:spacing w:after="0" w:line="273" w:lineRule="auto"/>
        <w:tabs>
          <w:tab w:leader="none" w:pos="222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amounts payable to you will be subject to appropriate payroll deductions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withholdings.</w:t>
      </w:r>
    </w:p>
    <w:p>
      <w:pPr>
        <w:spacing w:after="0" w:line="151" w:lineRule="exact"/>
        <w:rPr>
          <w:rFonts w:ascii="Times New Roman" w:cs="Times New Roman" w:eastAsia="Times New Roman" w:hAnsi="Times New Roman"/>
          <w:sz w:val="20"/>
          <w:szCs w:val="20"/>
          <w:color w:val="auto"/>
        </w:rPr>
      </w:pPr>
    </w:p>
    <w:p>
      <w:pPr>
        <w:jc w:val="both"/>
        <w:ind w:right="20" w:firstLine="725"/>
        <w:spacing w:after="0" w:line="256" w:lineRule="auto"/>
        <w:tabs>
          <w:tab w:leader="none" w:pos="111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be entitled to reimbursement for all ordinary and reasonable out-of- pocket business 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are reasonably incurred by you in furtherance of the Company’s business, with appropriate documentation and in accordance with the Company’s standard policies.</w:t>
      </w:r>
    </w:p>
    <w:p>
      <w:pPr>
        <w:spacing w:after="0" w:line="168" w:lineRule="exact"/>
        <w:rPr>
          <w:rFonts w:ascii="Times New Roman" w:cs="Times New Roman" w:eastAsia="Times New Roman" w:hAnsi="Times New Roman"/>
          <w:sz w:val="20"/>
          <w:szCs w:val="20"/>
          <w:color w:val="auto"/>
        </w:rPr>
      </w:pPr>
    </w:p>
    <w:p>
      <w:pPr>
        <w:ind w:left="1500" w:hanging="749"/>
        <w:spacing w:after="0"/>
        <w:tabs>
          <w:tab w:leader="none" w:pos="15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w:t>
      </w:r>
    </w:p>
    <w:p>
      <w:pPr>
        <w:spacing w:after="0" w:line="229" w:lineRule="exact"/>
        <w:rPr>
          <w:rFonts w:ascii="Times New Roman" w:cs="Times New Roman" w:eastAsia="Times New Roman" w:hAnsi="Times New Roman"/>
          <w:sz w:val="20"/>
          <w:szCs w:val="20"/>
          <w:color w:val="auto"/>
        </w:rPr>
      </w:pPr>
    </w:p>
    <w:p>
      <w:pPr>
        <w:jc w:val="both"/>
        <w:ind w:left="2220" w:hanging="720"/>
        <w:spacing w:after="0" w:line="243" w:lineRule="auto"/>
        <w:tabs>
          <w:tab w:leader="none" w:pos="222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ill</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employment with the Company will be “at-will” at all times, meaning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either you or the Company will be entitled to terminate your employment at any time and for any reason, with or without Cause (as defined below). Any contrary representations that may have been made to you are superseded by this Agreement. This Agreement in no way represents a fixed-term employment contract.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199" w:lineRule="exact"/>
        <w:rPr>
          <w:rFonts w:ascii="Times New Roman" w:cs="Times New Roman" w:eastAsia="Times New Roman" w:hAnsi="Times New Roman"/>
          <w:sz w:val="20"/>
          <w:szCs w:val="20"/>
          <w:color w:val="auto"/>
        </w:rPr>
      </w:pPr>
    </w:p>
    <w:p>
      <w:pPr>
        <w:jc w:val="both"/>
        <w:ind w:left="2220" w:hanging="720"/>
        <w:spacing w:after="0" w:line="245" w:lineRule="auto"/>
        <w:tabs>
          <w:tab w:leader="none" w:pos="222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U</w:t>
      </w:r>
      <w:r>
        <w:rPr>
          <w:rFonts w:ascii="Times New Roman" w:cs="Times New Roman" w:eastAsia="Times New Roman" w:hAnsi="Times New Roman"/>
          <w:sz w:val="13"/>
          <w:szCs w:val="13"/>
          <w:b w:val="1"/>
          <w:bCs w:val="1"/>
          <w:color w:val="auto"/>
        </w:rPr>
        <w:t>pon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termination of your employment for any reason,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specified in a written agreement between you and the Company, you shall be deemed to have resigned from all offices, directorships, and other employment positions, if any, then held with or on behalf of the Company or its affiliates, and shall take all actions reasonably requested by the Company to effectuate the foregoing. In addition, in the event of your termination of employment for any reason, the Company shall have the right, at its option, to require you to vacate your offices prior to or on the effective date of termination and to cease all activities on the Company’s behalf.</w:t>
      </w:r>
    </w:p>
    <w:p>
      <w:pPr>
        <w:spacing w:after="0" w:line="179" w:lineRule="exact"/>
        <w:rPr>
          <w:rFonts w:ascii="Times New Roman" w:cs="Times New Roman" w:eastAsia="Times New Roman" w:hAnsi="Times New Roman"/>
          <w:sz w:val="20"/>
          <w:szCs w:val="20"/>
          <w:color w:val="auto"/>
        </w:rPr>
      </w:pPr>
    </w:p>
    <w:p>
      <w:pPr>
        <w:ind w:left="2220" w:hanging="720"/>
        <w:spacing w:after="0"/>
        <w:tabs>
          <w:tab w:leader="none" w:pos="222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ccrued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your employment terminates for any reason, you are</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99" w:right="699" w:bottom="1440" w:gutter="0" w:footer="0" w:header="0"/>
        </w:sectPr>
      </w:pPr>
    </w:p>
    <w:bookmarkStart w:id="43" w:name="page44"/>
    <w:bookmarkEnd w:id="43"/>
    <w:p>
      <w:pPr>
        <w:spacing w:after="0" w:line="95" w:lineRule="exact"/>
        <w:rPr>
          <w:sz w:val="20"/>
          <w:szCs w:val="20"/>
          <w:color w:val="auto"/>
        </w:rPr>
      </w:pPr>
    </w:p>
    <w:p>
      <w:pPr>
        <w:jc w:val="both"/>
        <w:ind w:left="1480"/>
        <w:spacing w:after="0" w:line="246" w:lineRule="auto"/>
        <w:rPr>
          <w:sz w:val="20"/>
          <w:szCs w:val="20"/>
          <w:color w:val="auto"/>
        </w:rPr>
      </w:pPr>
      <w:r>
        <w:rPr>
          <w:rFonts w:ascii="Times New Roman" w:cs="Times New Roman" w:eastAsia="Times New Roman" w:hAnsi="Times New Roman"/>
          <w:sz w:val="20"/>
          <w:szCs w:val="20"/>
          <w:color w:val="auto"/>
        </w:rPr>
        <w:t>entitled to your fully earned but unpaid base salary, through the date such termination is effective at the rate then in effect, and all other amounts or benefits to which you are entitled under any compensation, retirement or benefit plan of the Company at the time of your termination of employment in accordance with the terms of such plans, including, without limitation, any accrued but unpaid paid time off and any continuation of benefits required by applicable law (the “</w:t>
      </w:r>
      <w:r>
        <w:rPr>
          <w:rFonts w:ascii="Times New Roman" w:cs="Times New Roman" w:eastAsia="Times New Roman" w:hAnsi="Times New Roman"/>
          <w:sz w:val="20"/>
          <w:szCs w:val="20"/>
          <w:b w:val="1"/>
          <w:bCs w:val="1"/>
          <w:i w:val="1"/>
          <w:iCs w:val="1"/>
          <w:color w:val="auto"/>
        </w:rPr>
        <w:t>Accrued Obligation</w:t>
      </w:r>
      <w:r>
        <w:rPr>
          <w:rFonts w:ascii="Times New Roman" w:cs="Times New Roman" w:eastAsia="Times New Roman" w:hAnsi="Times New Roman"/>
          <w:sz w:val="20"/>
          <w:szCs w:val="20"/>
          <w:color w:val="auto"/>
        </w:rPr>
        <w:t>s”).</w:t>
      </w:r>
    </w:p>
    <w:p>
      <w:pPr>
        <w:spacing w:after="0" w:line="181" w:lineRule="exact"/>
        <w:rPr>
          <w:sz w:val="20"/>
          <w:szCs w:val="20"/>
          <w:color w:val="auto"/>
        </w:rPr>
      </w:pPr>
    </w:p>
    <w:p>
      <w:pPr>
        <w:jc w:val="both"/>
        <w:ind w:left="1480" w:hanging="720"/>
        <w:spacing w:after="0" w:line="244" w:lineRule="auto"/>
        <w:tabs>
          <w:tab w:leader="none" w:pos="14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-CIC 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Accrued Obligations, subject to your continued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with the Proprietary Information and Inventions Assignment Agreement, as described below, and the effectiveness of your Release (as defined below), if your employment is involuntarily terminated by the Company without Cause (and other than by reason of your death or Disability (as defined below)) or you resign for Good Reason (as defined below) (either such termination, a “</w:t>
      </w:r>
      <w:r>
        <w:rPr>
          <w:rFonts w:ascii="Times New Roman" w:cs="Times New Roman" w:eastAsia="Times New Roman" w:hAnsi="Times New Roman"/>
          <w:sz w:val="20"/>
          <w:szCs w:val="20"/>
          <w:b w:val="1"/>
          <w:bCs w:val="1"/>
          <w:i w:val="1"/>
          <w:iCs w:val="1"/>
          <w:color w:val="auto"/>
        </w:rPr>
        <w:t>Qualifying Termination</w:t>
      </w:r>
      <w:r>
        <w:rPr>
          <w:rFonts w:ascii="Times New Roman" w:cs="Times New Roman" w:eastAsia="Times New Roman" w:hAnsi="Times New Roman"/>
          <w:sz w:val="20"/>
          <w:szCs w:val="20"/>
          <w:color w:val="auto"/>
        </w:rPr>
        <w:t>”), and such Qualifying Termination does not occur during the Change in Control Period (as defined below), you shall be entitled to receive, as the sole severance benefits to which you are entitled, the benefits provided below (the “</w:t>
      </w:r>
      <w:r>
        <w:rPr>
          <w:rFonts w:ascii="Times New Roman" w:cs="Times New Roman" w:eastAsia="Times New Roman" w:hAnsi="Times New Roman"/>
          <w:sz w:val="20"/>
          <w:szCs w:val="20"/>
          <w:b w:val="1"/>
          <w:bCs w:val="1"/>
          <w:i w:val="1"/>
          <w:iCs w:val="1"/>
          <w:color w:val="auto"/>
        </w:rPr>
        <w:t>Non-CIC Severance Benefits</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jc w:val="both"/>
        <w:ind w:left="2220" w:hanging="711"/>
        <w:spacing w:after="0" w:line="243" w:lineRule="auto"/>
        <w:tabs>
          <w:tab w:leader="none" w:pos="222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9 months’ base salary (at the rate in effect immediately prior to the date of your termination of employment, or in the case of a material diminution in your base salary which would give rise to Good Reason for your resignation, the base salary in effect prior to such material diminution), which amount will be paid over a period of 9 months following your termination of employment in accordance with the Company's standard payroll practices, with the first such installment occurring on the first regularly-scheduled payroll date following the date your Release becomes effective (which first installment will include any installments that would have occurred prior to such date but for the fact your Release was not yet effective);</w:t>
      </w:r>
    </w:p>
    <w:p>
      <w:pPr>
        <w:spacing w:after="0" w:line="199" w:lineRule="exact"/>
        <w:rPr>
          <w:rFonts w:ascii="Times New Roman" w:cs="Times New Roman" w:eastAsia="Times New Roman" w:hAnsi="Times New Roman"/>
          <w:sz w:val="20"/>
          <w:szCs w:val="20"/>
          <w:color w:val="auto"/>
        </w:rPr>
      </w:pPr>
    </w:p>
    <w:p>
      <w:pPr>
        <w:jc w:val="both"/>
        <w:ind w:left="2220" w:hanging="711"/>
        <w:spacing w:after="0" w:line="243" w:lineRule="auto"/>
        <w:tabs>
          <w:tab w:leader="none" w:pos="222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your Target Bonus for the calendar year in which your termination date occurs (at the rate in effect immediately prior to the date of your termination of employment, or in the case of a material diminution in your Target Bonus which would give rise to Good Reason for your resignation, the Target Bonus in effect prior to such material diminution), prorated for the portion of the calendar year in which your termination date occurs that has elapsed prior to such termination, which amount will be paid in a lump sum on the first regularly-scheduled payroll date following the date your Release becomes effective, but in no event more than 75 days following your termination date;</w:t>
      </w:r>
    </w:p>
    <w:p>
      <w:pPr>
        <w:spacing w:after="0" w:line="202" w:lineRule="exact"/>
        <w:rPr>
          <w:rFonts w:ascii="Times New Roman" w:cs="Times New Roman" w:eastAsia="Times New Roman" w:hAnsi="Times New Roman"/>
          <w:sz w:val="20"/>
          <w:szCs w:val="20"/>
          <w:color w:val="auto"/>
        </w:rPr>
      </w:pPr>
    </w:p>
    <w:p>
      <w:pPr>
        <w:jc w:val="both"/>
        <w:ind w:left="2220" w:hanging="711"/>
        <w:spacing w:after="0" w:line="246" w:lineRule="auto"/>
        <w:tabs>
          <w:tab w:leader="none" w:pos="222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unpaid annual bonus for the calendar year prior to the year in which your Qualifying Termination occurs, to the extent you are entitled to such bonus and if such bonus has not already been paid, which amount will be paid in a lump sum on the first regularly-scheduled payroll date following the date your Release becomes effective, but in no event more than 75 days following your termination date;</w:t>
      </w:r>
    </w:p>
    <w:p>
      <w:pPr>
        <w:spacing w:after="0" w:line="171" w:lineRule="exact"/>
        <w:rPr>
          <w:rFonts w:ascii="Times New Roman" w:cs="Times New Roman" w:eastAsia="Times New Roman" w:hAnsi="Times New Roman"/>
          <w:sz w:val="20"/>
          <w:szCs w:val="20"/>
          <w:color w:val="auto"/>
        </w:rPr>
      </w:pPr>
    </w:p>
    <w:p>
      <w:pPr>
        <w:ind w:left="2220" w:hanging="711"/>
        <w:spacing w:after="0"/>
        <w:tabs>
          <w:tab w:leader="none" w:pos="2220"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9 month period beginning on the date of your termination of employment (or, if earlier,</w:t>
      </w:r>
    </w:p>
    <w:p>
      <w:pPr>
        <w:spacing w:after="0" w:line="33" w:lineRule="exact"/>
        <w:rPr>
          <w:rFonts w:ascii="Times New Roman" w:cs="Times New Roman" w:eastAsia="Times New Roman" w:hAnsi="Times New Roman"/>
          <w:sz w:val="19"/>
          <w:szCs w:val="19"/>
          <w:color w:val="auto"/>
        </w:rPr>
      </w:pPr>
    </w:p>
    <w:p>
      <w:pPr>
        <w:ind w:left="2220" w:right="20" w:firstLine="6"/>
        <w:spacing w:after="0" w:line="246" w:lineRule="auto"/>
        <w:tabs>
          <w:tab w:leader="none" w:pos="2526"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applicable continuation period under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expires, or (b) the</w:t>
      </w:r>
    </w:p>
    <w:p>
      <w:pPr>
        <w:spacing w:after="0" w:line="1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44" w:name="page45"/>
    <w:bookmarkEnd w:id="44"/>
    <w:p>
      <w:pPr>
        <w:spacing w:after="0" w:line="95" w:lineRule="exact"/>
        <w:rPr>
          <w:sz w:val="20"/>
          <w:szCs w:val="20"/>
          <w:color w:val="auto"/>
        </w:rPr>
      </w:pPr>
    </w:p>
    <w:p>
      <w:pPr>
        <w:jc w:val="both"/>
        <w:ind w:left="2220"/>
        <w:spacing w:after="0"/>
        <w:rPr>
          <w:sz w:val="20"/>
          <w:szCs w:val="20"/>
          <w:color w:val="auto"/>
        </w:rPr>
      </w:pPr>
      <w:r>
        <w:rPr>
          <w:rFonts w:ascii="Times New Roman" w:cs="Times New Roman" w:eastAsia="Times New Roman" w:hAnsi="Times New Roman"/>
          <w:sz w:val="20"/>
          <w:szCs w:val="20"/>
          <w:color w:val="auto"/>
        </w:rPr>
        <w:t>date on which you become eligible to receive the equivalent or increased healthcare coverage by means of subsequent employment or self- employment) (such period, the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Coverage Period</w:t>
      </w:r>
      <w:r>
        <w:rPr>
          <w:rFonts w:ascii="Times New Roman" w:cs="Times New Roman" w:eastAsia="Times New Roman" w:hAnsi="Times New Roman"/>
          <w:sz w:val="20"/>
          <w:szCs w:val="20"/>
          <w:color w:val="auto"/>
        </w:rPr>
        <w:t>”), if you and/or your eligible dependents who were covered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Company’s health insurance plans as of the date of your termination of employment elect to have COBRA coverage and are eligible for such coverage, the Company shall pay for or reimburse you on a monthly basis for an amount equal to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If any of the Company’s health benefits are self-funded as of the date of your termination of employment, or if the Company cannot provide the foregoing benefits in a manner that is exempt from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 and</w:t>
      </w:r>
    </w:p>
    <w:p>
      <w:pPr>
        <w:spacing w:after="0" w:line="192" w:lineRule="exact"/>
        <w:rPr>
          <w:sz w:val="20"/>
          <w:szCs w:val="20"/>
          <w:color w:val="auto"/>
        </w:rPr>
      </w:pPr>
    </w:p>
    <w:p>
      <w:pPr>
        <w:jc w:val="both"/>
        <w:ind w:left="2220" w:hanging="711"/>
        <w:spacing w:after="0" w:line="241" w:lineRule="auto"/>
        <w:tabs>
          <w:tab w:leader="none" w:pos="22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else set forth herein, in the Company’s Equity Plans or in any Stock Award agreement, such number of the unvested Stock Awards then held by you that are subject to time-based vesting will vest on the effective date of your Release as would have vested during the 9-month period following your Qualifying Termination had you remained employed by the Company during such period. Your outstanding Stock Awards granted under the Company’s Equity Plans that are subject in whole or in part to performance-based vesting conditions will be governed by the terms of the applicable Stock Award agreement and the Equity Plan under which such Stock Awards were granted. The foregoing provisions are hereby deemed to be a part of your Stock Awards and to supersede any less favorable provision in any Stock Award agreement or Equity Plan regarding such Stock Awards. Notwithstanding the foregoing, in the event the Stock Award agreement or the Equity Plan pursuant to which your Stock Awards were granted provides for more favorable treatment of such Stock Awards upon a Qualifying Termination, nothing in this Agreement</w:t>
      </w:r>
    </w:p>
    <w:p>
      <w:pPr>
        <w:spacing w:after="0" w:line="76" w:lineRule="exact"/>
        <w:rPr>
          <w:sz w:val="20"/>
          <w:szCs w:val="20"/>
          <w:color w:val="auto"/>
        </w:rPr>
      </w:pPr>
    </w:p>
    <w:p>
      <w:pPr>
        <w:ind w:left="2260" w:right="420"/>
        <w:spacing w:after="0" w:line="269" w:lineRule="auto"/>
        <w:rPr>
          <w:sz w:val="20"/>
          <w:szCs w:val="20"/>
          <w:color w:val="auto"/>
        </w:rPr>
      </w:pPr>
      <w:r>
        <w:rPr>
          <w:rFonts w:ascii="Times New Roman" w:cs="Times New Roman" w:eastAsia="Times New Roman" w:hAnsi="Times New Roman"/>
          <w:sz w:val="20"/>
          <w:szCs w:val="20"/>
          <w:color w:val="auto"/>
        </w:rPr>
        <w:t>is intended to limit your right to such more favorable treatment as provided in such Stock Award agreement or Equity Plan.</w:t>
      </w:r>
    </w:p>
    <w:p>
      <w:pPr>
        <w:spacing w:after="0" w:line="142" w:lineRule="exact"/>
        <w:rPr>
          <w:sz w:val="20"/>
          <w:szCs w:val="20"/>
          <w:color w:val="auto"/>
        </w:rPr>
      </w:pPr>
    </w:p>
    <w:p>
      <w:pPr>
        <w:jc w:val="both"/>
        <w:ind w:left="1480" w:hanging="720"/>
        <w:spacing w:after="0" w:line="248" w:lineRule="auto"/>
        <w:tabs>
          <w:tab w:leader="none" w:pos="14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CIC 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Accrued Obligations, subject to your continued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with the Proprietary Information and Inventions Assignment Agreement, as described below, and the effectiveness of your Release, if your Qualifying Termination occurs during the Change in Control Period, you shall be entitled to receive, as the sole severance benefits to which you are entitled</w:t>
      </w:r>
    </w:p>
    <w:p>
      <w:pPr>
        <w:spacing w:after="0" w:line="3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45" w:name="page46"/>
    <w:bookmarkEnd w:id="45"/>
    <w:p>
      <w:pPr>
        <w:spacing w:after="0" w:line="91" w:lineRule="exact"/>
        <w:rPr>
          <w:sz w:val="20"/>
          <w:szCs w:val="20"/>
          <w:color w:val="auto"/>
        </w:rPr>
      </w:pPr>
    </w:p>
    <w:p>
      <w:pPr>
        <w:jc w:val="both"/>
        <w:ind w:left="1480"/>
        <w:spacing w:after="0" w:line="245" w:lineRule="auto"/>
        <w:rPr>
          <w:sz w:val="20"/>
          <w:szCs w:val="20"/>
          <w:color w:val="auto"/>
        </w:rPr>
      </w:pPr>
      <w:r>
        <w:rPr>
          <w:rFonts w:ascii="Times New Roman" w:cs="Times New Roman" w:eastAsia="Times New Roman" w:hAnsi="Times New Roman"/>
          <w:sz w:val="20"/>
          <w:szCs w:val="20"/>
          <w:color w:val="auto"/>
        </w:rPr>
        <w:t>and in lieu of any Non-CIC Severance Benefits, the benefits provided below (the “</w:t>
      </w:r>
      <w:r>
        <w:rPr>
          <w:rFonts w:ascii="Times New Roman" w:cs="Times New Roman" w:eastAsia="Times New Roman" w:hAnsi="Times New Roman"/>
          <w:sz w:val="20"/>
          <w:szCs w:val="20"/>
          <w:b w:val="1"/>
          <w:bCs w:val="1"/>
          <w:i w:val="1"/>
          <w:iCs w:val="1"/>
          <w:color w:val="auto"/>
        </w:rPr>
        <w:t>CIC Severance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Benefits</w:t>
      </w:r>
      <w:r>
        <w:rPr>
          <w:rFonts w:ascii="Times New Roman" w:cs="Times New Roman" w:eastAsia="Times New Roman" w:hAnsi="Times New Roman"/>
          <w:sz w:val="20"/>
          <w:szCs w:val="20"/>
          <w:color w:val="auto"/>
        </w:rPr>
        <w:t>”) (and for the avoidance of doubt: (a) in no event will you be entitled to both the Non-CIC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Severance Benefits and the CIC Severance Benefits, and (b) if the Company has commenced providing the Non-CIC Severance Benefits to you prior to the date that you become eligible to receive the CIC Severance Benefits, the Non-CIC Severance Benefits previously provided to you shall reduce the CIC Severance Benefits provided below by the amount of such Non-CIC Severance Benefits already provided to you):</w:t>
      </w:r>
    </w:p>
    <w:p>
      <w:pPr>
        <w:spacing w:after="0" w:line="170" w:lineRule="exact"/>
        <w:rPr>
          <w:sz w:val="20"/>
          <w:szCs w:val="20"/>
          <w:color w:val="auto"/>
        </w:rPr>
      </w:pPr>
    </w:p>
    <w:p>
      <w:pPr>
        <w:jc w:val="both"/>
        <w:ind w:left="2220" w:hanging="711"/>
        <w:spacing w:after="0" w:line="243" w:lineRule="auto"/>
        <w:tabs>
          <w:tab w:leader="none" w:pos="22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18 months’ base salary (at the rate in effect immediately prior to the date of your termination of employment, or in the case of a material diminution in your base salary which would give rise to Good Reason for your resignation, the base salary in effect prior to such material diminution), which amount will be paid over a period of 18 months following your termination of employment in accordance with the Company's standard payroll practices, with the first such installment occurring on the first regularly-scheduled payroll date following the date your Release becomes effective (which first installment will include any installments that would have occurred prior to such date but for the fact your Release was not yet effective);</w:t>
      </w:r>
    </w:p>
    <w:p>
      <w:pPr>
        <w:spacing w:after="0" w:line="199" w:lineRule="exact"/>
        <w:rPr>
          <w:rFonts w:ascii="Times New Roman" w:cs="Times New Roman" w:eastAsia="Times New Roman" w:hAnsi="Times New Roman"/>
          <w:sz w:val="20"/>
          <w:szCs w:val="20"/>
          <w:color w:val="auto"/>
        </w:rPr>
      </w:pPr>
    </w:p>
    <w:p>
      <w:pPr>
        <w:jc w:val="both"/>
        <w:ind w:left="2220" w:hanging="711"/>
        <w:spacing w:after="0" w:line="242" w:lineRule="auto"/>
        <w:tabs>
          <w:tab w:leader="none" w:pos="22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1.5 times your Target Bonus for the calendar year in which your termination date occurs (at the rate in effect immediately prior to the date of your termination of employment, or in the case of a material diminution in your Target Bonus which would give rise to Good Reason for your resignation, the Target Bonus in effect prior to such material diminution), which amount will be paid as follows: (a) an amount equal to your Target Bonus for the calendar year in which your termination date occurs, prorated for the portion of the calendar year in which your termination date occurs that has elapsed prior to such termination, will be paid in a lump sum on the first regularly-scheduled payroll date following the date your Release becomes effective, but in no event more than 75 days following your termination date, and (b) any remaining amount payable pursuant to this paragraph will be paid on the first regularly-scheduled payroll date following the later of (i) the date your Release becomes effective or (ii) the date of the Change in Control;</w:t>
      </w:r>
    </w:p>
    <w:p>
      <w:pPr>
        <w:spacing w:after="0" w:line="200" w:lineRule="exact"/>
        <w:rPr>
          <w:rFonts w:ascii="Times New Roman" w:cs="Times New Roman" w:eastAsia="Times New Roman" w:hAnsi="Times New Roman"/>
          <w:sz w:val="20"/>
          <w:szCs w:val="20"/>
          <w:color w:val="auto"/>
        </w:rPr>
      </w:pPr>
    </w:p>
    <w:p>
      <w:pPr>
        <w:jc w:val="both"/>
        <w:ind w:left="2220" w:hanging="711"/>
        <w:spacing w:after="0" w:line="266" w:lineRule="auto"/>
        <w:tabs>
          <w:tab w:leader="none" w:pos="22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equal to any unpaid annual bonus for the calendar year prior to the year in which your Qualifying Termination occurs, to the extent you are entitled to such bonus and if such bonus has not already been paid, which amount(s) will be paid on the first regularly-scheduled payroll date following the later of (a) the date your Release becomes effective, but in</w:t>
      </w:r>
    </w:p>
    <w:p>
      <w:pPr>
        <w:spacing w:after="0" w:line="30" w:lineRule="exact"/>
        <w:rPr>
          <w:sz w:val="20"/>
          <w:szCs w:val="20"/>
          <w:color w:val="auto"/>
        </w:rPr>
      </w:pPr>
    </w:p>
    <w:p>
      <w:pPr>
        <w:ind w:left="2260" w:right="180"/>
        <w:spacing w:after="0" w:line="269" w:lineRule="auto"/>
        <w:rPr>
          <w:sz w:val="20"/>
          <w:szCs w:val="20"/>
          <w:color w:val="auto"/>
        </w:rPr>
      </w:pPr>
      <w:r>
        <w:rPr>
          <w:rFonts w:ascii="Times New Roman" w:cs="Times New Roman" w:eastAsia="Times New Roman" w:hAnsi="Times New Roman"/>
          <w:sz w:val="20"/>
          <w:szCs w:val="20"/>
          <w:color w:val="auto"/>
        </w:rPr>
        <w:t>no event more than 75 days following your termination date, or (b) the date of the Change in Control;</w:t>
      </w:r>
    </w:p>
    <w:p>
      <w:pPr>
        <w:spacing w:after="0" w:line="173" w:lineRule="exact"/>
        <w:rPr>
          <w:sz w:val="20"/>
          <w:szCs w:val="20"/>
          <w:color w:val="auto"/>
        </w:rPr>
      </w:pPr>
    </w:p>
    <w:p>
      <w:pPr>
        <w:jc w:val="both"/>
        <w:ind w:left="2220" w:hanging="711"/>
        <w:spacing w:after="0" w:line="245" w:lineRule="auto"/>
        <w:tabs>
          <w:tab w:leader="none" w:pos="22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multiplied by (b) 18 (less, in the case of your Qualifying Termination prior to a Change</w:t>
      </w:r>
    </w:p>
    <w:p>
      <w:pPr>
        <w:spacing w:after="0" w:line="1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46" w:name="page47"/>
    <w:bookmarkEnd w:id="46"/>
    <w:p>
      <w:pPr>
        <w:jc w:val="both"/>
        <w:ind w:left="2220"/>
        <w:spacing w:after="0" w:line="246" w:lineRule="auto"/>
        <w:rPr>
          <w:sz w:val="20"/>
          <w:szCs w:val="20"/>
          <w:color w:val="auto"/>
        </w:rPr>
      </w:pPr>
      <w:r>
        <w:rPr>
          <w:rFonts w:ascii="Times New Roman" w:cs="Times New Roman" w:eastAsia="Times New Roman" w:hAnsi="Times New Roman"/>
          <w:sz w:val="20"/>
          <w:szCs w:val="20"/>
          <w:color w:val="auto"/>
        </w:rPr>
        <w:t>in Control but during the Change in Control Period, any number of months for which COBRA coverage was previously provided as a result of such termination at Company’s expense), paid in a lump sum on the first regularly-scheduled payroll date following the later of (i) the date your Release becomes effective, but in no event more than 75 days following your termination date, or (ii) the date of the Change in Control; and</w:t>
      </w:r>
    </w:p>
    <w:p>
      <w:pPr>
        <w:spacing w:after="0" w:line="185" w:lineRule="exact"/>
        <w:rPr>
          <w:sz w:val="20"/>
          <w:szCs w:val="20"/>
          <w:color w:val="auto"/>
        </w:rPr>
      </w:pPr>
    </w:p>
    <w:p>
      <w:pPr>
        <w:jc w:val="both"/>
        <w:ind w:left="2220" w:hanging="711"/>
        <w:spacing w:after="0" w:line="241" w:lineRule="auto"/>
        <w:tabs>
          <w:tab w:leader="none" w:pos="22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else set forth herein, in the Company’s Equity Plans or in any agreement evidencing a Stock Award, any unvested Stock Awards then held by you that are solely subject to time-based vesting conditions will vest on the later of (i) the effective date of your Release or (ii) the date of the Change in Control. Your outstanding Stock Awards granted under the Company’s Equity Plans that are subject in whole or in part to performance-based vesting conditions will be governed by the terms of the applicable Stock Award agreement and the Equity Plan under which such Stock Awards were granted. The foregoing provisions are hereby deemed to be a part of each Stock Award and to supersede any less favorable provision in any Stock Award agreement or Equity Plan regarding such Stock Award. Notwithstanding the foregoing, in the event the Stock Award agreement or the Equity Plan pursuant to which your Stock Awards were granted provides for more favorable treatment of Stock Awards upon a Change in Control or a Qualifying Termination, nothing in this Agreement is intended to limit your right to such more favorable treatment as provided in such Stock Award agreement or Equity Plan.</w:t>
      </w:r>
    </w:p>
    <w:p>
      <w:pPr>
        <w:spacing w:after="0" w:line="178" w:lineRule="exact"/>
        <w:rPr>
          <w:sz w:val="20"/>
          <w:szCs w:val="20"/>
          <w:color w:val="auto"/>
        </w:rPr>
      </w:pPr>
    </w:p>
    <w:p>
      <w:pPr>
        <w:jc w:val="both"/>
        <w:ind w:left="1480" w:hanging="720"/>
        <w:spacing w:after="0" w:line="260" w:lineRule="auto"/>
        <w:tabs>
          <w:tab w:leader="none" w:pos="14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2"/>
          <w:szCs w:val="12"/>
          <w:b w:val="1"/>
          <w:bCs w:val="1"/>
          <w:color w:val="auto"/>
        </w:rPr>
        <w:t>eath and</w:t>
      </w:r>
      <w:r>
        <w:rPr>
          <w:rFonts w:ascii="Times New Roman" w:cs="Times New Roman" w:eastAsia="Times New Roman" w:hAnsi="Times New Roman"/>
          <w:sz w:val="19"/>
          <w:szCs w:val="19"/>
          <w:b w:val="1"/>
          <w:bCs w:val="1"/>
          <w:color w:val="auto"/>
        </w:rPr>
        <w:t xml:space="preserve"> D</w:t>
      </w:r>
      <w:r>
        <w:rPr>
          <w:rFonts w:ascii="Times New Roman" w:cs="Times New Roman" w:eastAsia="Times New Roman" w:hAnsi="Times New Roman"/>
          <w:sz w:val="12"/>
          <w:szCs w:val="12"/>
          <w:b w:val="1"/>
          <w:bCs w:val="1"/>
          <w:color w:val="auto"/>
        </w:rPr>
        <w:t>isability</w:t>
      </w:r>
      <w:r>
        <w:rPr>
          <w:rFonts w:ascii="Times New Roman" w:cs="Times New Roman" w:eastAsia="Times New Roman" w:hAnsi="Times New Roman"/>
          <w:sz w:val="19"/>
          <w:szCs w:val="19"/>
          <w:b w:val="1"/>
          <w:bCs w:val="1"/>
          <w:color w:val="auto"/>
        </w:rPr>
        <w:t xml:space="preserve"> B</w:t>
      </w:r>
      <w:r>
        <w:rPr>
          <w:rFonts w:ascii="Times New Roman" w:cs="Times New Roman" w:eastAsia="Times New Roman" w:hAnsi="Times New Roman"/>
          <w:sz w:val="12"/>
          <w:szCs w:val="12"/>
          <w:b w:val="1"/>
          <w:bCs w:val="1"/>
          <w:color w:val="auto"/>
        </w:rPr>
        <w:t>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addition to your Accrued Obligations, if your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terminates by reason of your death or Disability, notwithstanding anything else set forth herein, in the Company’s Equity Plans or in any Stock Award agreement, all unvested Stock Awards then held by you that are solely subject to time-based vesting conditions will vest on the date of your termination of employment. Your outstanding Stock Awards granted under the Company’s Equity Plans that are subject in whole or in part to performance-based vesting conditions will be governed by the terms of the applicable Stock Award agreement and the Equity Plan under which such Stock Awards were granted.</w:t>
      </w:r>
    </w:p>
    <w:p>
      <w:pPr>
        <w:spacing w:after="0" w:line="179" w:lineRule="exact"/>
        <w:rPr>
          <w:rFonts w:ascii="Times New Roman" w:cs="Times New Roman" w:eastAsia="Times New Roman" w:hAnsi="Times New Roman"/>
          <w:sz w:val="19"/>
          <w:szCs w:val="19"/>
          <w:color w:val="auto"/>
        </w:rPr>
      </w:pPr>
    </w:p>
    <w:p>
      <w:pPr>
        <w:jc w:val="both"/>
        <w:ind w:left="1480" w:hanging="720"/>
        <w:spacing w:after="0" w:line="246" w:lineRule="auto"/>
        <w:tabs>
          <w:tab w:leader="none" w:pos="1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elease</w:t>
      </w:r>
      <w:r>
        <w:rPr>
          <w:rFonts w:ascii="Times New Roman" w:cs="Times New Roman" w:eastAsia="Times New Roman" w:hAnsi="Times New Roman"/>
          <w:sz w:val="20"/>
          <w:szCs w:val="20"/>
          <w:color w:val="auto"/>
        </w:rPr>
        <w:t>. As a condition to your receipt of any post-termination payments and benefits pursuant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preceding paragraphs (other than in the case of your death), you shall execute and not revoke a general release of all claims in favor of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in a form reasonably acceptable to the Company in order to effectuate a valid general release of claims. In the event the Release does not become effective within the 60-day period following the date of your termination of employment, you will not be entitled to the aforesaid payments and benefits.</w:t>
      </w:r>
    </w:p>
    <w:p>
      <w:pPr>
        <w:spacing w:after="0" w:line="192" w:lineRule="exact"/>
        <w:rPr>
          <w:sz w:val="20"/>
          <w:szCs w:val="20"/>
          <w:color w:val="auto"/>
        </w:rPr>
      </w:pPr>
    </w:p>
    <w:p>
      <w:pPr>
        <w:jc w:val="both"/>
        <w:ind w:left="1480" w:right="20" w:hanging="631"/>
        <w:spacing w:after="0" w:line="247" w:lineRule="auto"/>
        <w:tabs>
          <w:tab w:leader="none" w:pos="14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20"/>
          <w:szCs w:val="20"/>
          <w:color w:val="auto"/>
        </w:rPr>
        <w:t>. You shall not be required to mitigate, by seeking employment or otherwise, the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payment that the Company becomes obligated to make under this Agreement, and, except as expressly provided in this Agreement, amounts or other benefits to be paid or provided to you pursuant to this Agreement shall not be reduced by reason of your obtaining other employment or receiving similar payments or benefits from another employer.</w:t>
      </w:r>
    </w:p>
    <w:p>
      <w:pPr>
        <w:spacing w:after="0" w:line="180" w:lineRule="exact"/>
        <w:rPr>
          <w:rFonts w:ascii="Times New Roman" w:cs="Times New Roman" w:eastAsia="Times New Roman" w:hAnsi="Times New Roman"/>
          <w:sz w:val="20"/>
          <w:szCs w:val="20"/>
          <w:color w:val="auto"/>
        </w:rPr>
      </w:pPr>
    </w:p>
    <w:p>
      <w:pPr>
        <w:ind w:left="1500" w:hanging="651"/>
        <w:spacing w:after="0"/>
        <w:tabs>
          <w:tab w:leader="none" w:pos="1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color w:val="auto"/>
        </w:rPr>
        <w:t>.</w:t>
      </w:r>
    </w:p>
    <w:p>
      <w:pPr>
        <w:spacing w:after="0" w:line="39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318" w:right="699" w:bottom="1440" w:gutter="0" w:footer="0" w:header="0"/>
        </w:sectPr>
      </w:pPr>
    </w:p>
    <w:bookmarkStart w:id="47" w:name="page48"/>
    <w:bookmarkEnd w:id="47"/>
    <w:p>
      <w:pPr>
        <w:jc w:val="both"/>
        <w:ind w:left="1860" w:hanging="351"/>
        <w:spacing w:after="0"/>
        <w:tabs>
          <w:tab w:leader="none" w:pos="1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any of the following: (a) your commission of an act of fraud, embezzlement or dishonesty, or the commission of some other illegal act by you, that has a demonstrable adverse impact on the Company or any successor or affiliate thereof; (b) your conviction of, or plea of “guilty” or “no contest” to, a non-vehicular felony or any crime involving fraud, dishonesty or moral turpitude under the laws of the United States or any state thereof; (c) any intentional, unauthorized use or disclosure by you of confidential information or trade secrets of the Company or any successor or affiliate thereof; (d) your gross negligence, insubordination or material violation of any duty of loyalty to the Company or any successor or affiliate thereof, or any other demonstrable material misconduct on your part; (e) your ongoing and repeated failure or refusal to perform or neglect of your duties as required by this Agreement or your ongoing and repeated failure or refusal to comply with the lawful instructions given to you by the Board, which failure, refusal or neglect continues for 15 days following your receipt of written notice from the Board stating with specificity the nature of such failure, refusal or neglect; provided that it is understood that this clause (e) shall not permit the Company to terminate your employment for Cause solely because of (i) your failure to meet specified performance objectives or achieve a specific result or outcome, or (ii) Company’s dissatisfaction with the quality of services provided by you in the good faith performance of your duties to the Company; or (f) your willful, material breach of any material Company policy or any material provision of this Agreement or the Proprietary Information and Inventions Assignment Agreement. Prior to the determination that “Cause” under clauses (d), (e) or (f) has occurred, the Company shall (i) provide to you in writing, in reasonable detail, the reasons for the determination that such “Cause” exists, (ii) other than with respect to clause (e) above which specifies the applicable period of time for you to remedy your breach, afford you a reasonable opportunity to remedy any such breach, (iii) provide you an opportunity to be heard prior to the final decision to terminate your employment hereunder for such “Cause” and (iv) make any decision that such “Cause” exists in good faith. The foregoing definition shall not in any way preclude or restrict the right of the Company or any successor or affiliate thereof to discharge or dismiss you for any other acts or omissions, but such other acts or omissions shall not be deemed, for purposes of this Agreement, to constitute grounds for termination for Cause.</w:t>
      </w:r>
    </w:p>
    <w:p>
      <w:pPr>
        <w:spacing w:after="0" w:line="202" w:lineRule="exact"/>
        <w:rPr>
          <w:rFonts w:ascii="Times New Roman" w:cs="Times New Roman" w:eastAsia="Times New Roman" w:hAnsi="Times New Roman"/>
          <w:sz w:val="20"/>
          <w:szCs w:val="20"/>
          <w:color w:val="auto"/>
        </w:rPr>
      </w:pPr>
    </w:p>
    <w:p>
      <w:pPr>
        <w:jc w:val="both"/>
        <w:ind w:left="1860" w:hanging="351"/>
        <w:spacing w:after="0" w:line="245" w:lineRule="auto"/>
        <w:tabs>
          <w:tab w:leader="none" w:pos="1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Company’s 2019 Incentive Award Plan or 2025 Employment Inducement Incentive Award Plan, as the case may be.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Treasury Regulation §1.409A-3(i)(5)) in order to give rise to the payment or settlement event for such payment or benefit, to the extent required by Section 409A.</w:t>
      </w:r>
    </w:p>
    <w:p>
      <w:pPr>
        <w:spacing w:after="0" w:line="192" w:lineRule="exact"/>
        <w:rPr>
          <w:rFonts w:ascii="Times New Roman" w:cs="Times New Roman" w:eastAsia="Times New Roman" w:hAnsi="Times New Roman"/>
          <w:sz w:val="20"/>
          <w:szCs w:val="20"/>
          <w:color w:val="auto"/>
        </w:rPr>
      </w:pPr>
    </w:p>
    <w:p>
      <w:pPr>
        <w:ind w:left="1860" w:hanging="351"/>
        <w:spacing w:after="0" w:line="273" w:lineRule="auto"/>
        <w:tabs>
          <w:tab w:leader="none" w:pos="1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Change in Control Period</w:t>
      </w:r>
      <w:r>
        <w:rPr>
          <w:rFonts w:ascii="Times New Roman" w:cs="Times New Roman" w:eastAsia="Times New Roman" w:hAnsi="Times New Roman"/>
          <w:sz w:val="20"/>
          <w:szCs w:val="20"/>
          <w:color w:val="auto"/>
        </w:rPr>
        <w:t>” means the three months prior to or 24 months following a Change in Control.</w:t>
      </w:r>
    </w:p>
    <w:p>
      <w:pPr>
        <w:spacing w:after="0" w:line="151" w:lineRule="exact"/>
        <w:rPr>
          <w:rFonts w:ascii="Times New Roman" w:cs="Times New Roman" w:eastAsia="Times New Roman" w:hAnsi="Times New Roman"/>
          <w:sz w:val="20"/>
          <w:szCs w:val="20"/>
          <w:color w:val="auto"/>
        </w:rPr>
      </w:pPr>
    </w:p>
    <w:p>
      <w:pPr>
        <w:jc w:val="both"/>
        <w:ind w:left="1860" w:hanging="351"/>
        <w:spacing w:after="0" w:line="256" w:lineRule="auto"/>
        <w:tabs>
          <w:tab w:leader="none" w:pos="1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a permanent and total disability under Section 22(e)(3) of the Code, as amended. If your Disability would give rise to a payment or settlement event with respect to any payment</w:t>
      </w:r>
    </w:p>
    <w:p>
      <w:pPr>
        <w:spacing w:after="0" w:line="1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314" w:right="699" w:bottom="1440" w:gutter="0" w:footer="0" w:header="0"/>
        </w:sectPr>
      </w:pPr>
    </w:p>
    <w:bookmarkStart w:id="48" w:name="page49"/>
    <w:bookmarkEnd w:id="48"/>
    <w:p>
      <w:pPr>
        <w:spacing w:after="0" w:line="95" w:lineRule="exact"/>
        <w:rPr>
          <w:sz w:val="20"/>
          <w:szCs w:val="20"/>
          <w:color w:val="auto"/>
        </w:rPr>
      </w:pPr>
    </w:p>
    <w:p>
      <w:pPr>
        <w:ind w:left="1860"/>
        <w:spacing w:after="0" w:line="269" w:lineRule="auto"/>
        <w:rPr>
          <w:sz w:val="20"/>
          <w:szCs w:val="20"/>
          <w:color w:val="auto"/>
        </w:rPr>
      </w:pPr>
      <w:r>
        <w:rPr>
          <w:rFonts w:ascii="Times New Roman" w:cs="Times New Roman" w:eastAsia="Times New Roman" w:hAnsi="Times New Roman"/>
          <w:sz w:val="20"/>
          <w:szCs w:val="20"/>
          <w:color w:val="auto"/>
        </w:rPr>
        <w:t>or benefit that constitutes “nonqualified deferred compensation,” your Disability must also constitute a “disability” (as defined in Section 409A of the Code).</w:t>
      </w:r>
    </w:p>
    <w:p>
      <w:pPr>
        <w:spacing w:after="0" w:line="182" w:lineRule="exact"/>
        <w:rPr>
          <w:sz w:val="20"/>
          <w:szCs w:val="20"/>
          <w:color w:val="auto"/>
        </w:rPr>
      </w:pPr>
    </w:p>
    <w:p>
      <w:pPr>
        <w:ind w:left="1860" w:right="20" w:hanging="351"/>
        <w:spacing w:after="0" w:line="273" w:lineRule="auto"/>
        <w:tabs>
          <w:tab w:leader="none" w:pos="18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means an equity incentive plan maintained by the Company.</w:t>
      </w:r>
    </w:p>
    <w:p>
      <w:pPr>
        <w:spacing w:after="0" w:line="151" w:lineRule="exact"/>
        <w:rPr>
          <w:rFonts w:ascii="Times New Roman" w:cs="Times New Roman" w:eastAsia="Times New Roman" w:hAnsi="Times New Roman"/>
          <w:sz w:val="20"/>
          <w:szCs w:val="20"/>
          <w:color w:val="auto"/>
        </w:rPr>
      </w:pPr>
    </w:p>
    <w:p>
      <w:pPr>
        <w:jc w:val="both"/>
        <w:ind w:left="1860" w:hanging="351"/>
        <w:spacing w:after="0"/>
        <w:tabs>
          <w:tab w:leader="none" w:pos="18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any of the following without your written consent: (a) a material diminution in your title, authority, duties or responsibilities, including, without limitation, following a Change in Control, your ceasing to report to the chief executive officer of the ultimate parent entity of the Company (or its successor), and/or your ceasing to serve as the Chief Financial and Business Officer, or similar position, of such ultimate parent entity; (b) a material diminution in your base salary or Target Bonus compensation (and you and the Company agree that any diminution of 10% or more shall be considered material for this purpose, regardless of whether such diminution occurs due to a single reduction or a series of reductions in your base compensation), unless such a reduction is imposed across-the-board to senior management of the Company (and for the avoidance of doubt, following a Change in Control, the reference to senior management of the Company shall include, without limitation, the senior management of the ultimate parent entity of the Company (or its successor)); (c) a material change in the geographic location at which you must perform your duties (and a relocation of the geographic location at which you must perform your duties to a location that increases your one-way commute from your residence by more than 25 miles as compared to your principal place of employment prior to such relocation shall be considered material for this purpose);provided that your obligation to work from the Company’s offices as provided in this Agreement shall not constitute Good Reason for purposes of this Agreement or any other agreement between you and the Company; or (d) any other action or inaction that constitutes a material breach by the Company or any successor or affiliate of its obligations to you under this Agreement. You must provide written notice to the Company of the occurrence of any of the foregoing events or conditions without your written consent within 90 days of the occurrence of such event. The Company or any successor or affiliate shall have a period of 30 days to cure such event or condition after receipt of written notice of such event from you. Your termination of employment by reason of resignation from employment with the Company for Good Reason must occur within 90 days following the expiration of the foregoing 30-day cure period.</w:t>
      </w:r>
    </w:p>
    <w:p>
      <w:pPr>
        <w:spacing w:after="0" w:line="203" w:lineRule="exact"/>
        <w:rPr>
          <w:rFonts w:ascii="Times New Roman" w:cs="Times New Roman" w:eastAsia="Times New Roman" w:hAnsi="Times New Roman"/>
          <w:sz w:val="20"/>
          <w:szCs w:val="20"/>
          <w:color w:val="auto"/>
        </w:rPr>
      </w:pPr>
    </w:p>
    <w:p>
      <w:pPr>
        <w:jc w:val="both"/>
        <w:ind w:left="1860" w:hanging="351"/>
        <w:spacing w:after="0" w:line="261" w:lineRule="auto"/>
        <w:tabs>
          <w:tab w:leader="none" w:pos="18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b w:val="1"/>
          <w:bCs w:val="1"/>
          <w:i w:val="1"/>
          <w:iCs w:val="1"/>
          <w:color w:val="auto"/>
        </w:rPr>
        <w:t>Stock Awards</w:t>
      </w:r>
      <w:r>
        <w:rPr>
          <w:rFonts w:ascii="Times New Roman" w:cs="Times New Roman" w:eastAsia="Times New Roman" w:hAnsi="Times New Roman"/>
          <w:sz w:val="19"/>
          <w:szCs w:val="19"/>
          <w:color w:val="auto"/>
        </w:rPr>
        <w:t>” means all stock options, restricted stock and such other awards granted pursuant to the Company’s stock option and equity incentive award plans or agreements and any shares of stock issued upon exercise thereof, including the Stock Options and RSUs; provided, however, that, for the avoidance of doubt, any performance-based equity awards granted to you shall not be eligible for any accelerated vesting as provided herein and the vesting of such awards shall be solely governed by the Equity Plan and the applicable award agreements.</w:t>
      </w:r>
    </w:p>
    <w:p>
      <w:pPr>
        <w:spacing w:after="0" w:line="167" w:lineRule="exact"/>
        <w:rPr>
          <w:sz w:val="20"/>
          <w:szCs w:val="20"/>
          <w:color w:val="auto"/>
        </w:rPr>
      </w:pPr>
    </w:p>
    <w:p>
      <w:pPr>
        <w:jc w:val="both"/>
        <w:ind w:left="1480" w:hanging="720"/>
        <w:spacing w:after="0" w:line="250" w:lineRule="auto"/>
        <w:tabs>
          <w:tab w:leader="none" w:pos="1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409A</w:t>
      </w:r>
      <w:r>
        <w:rPr>
          <w:rFonts w:ascii="Times New Roman" w:cs="Times New Roman" w:eastAsia="Times New Roman" w:hAnsi="Times New Roman"/>
          <w:sz w:val="20"/>
          <w:szCs w:val="20"/>
          <w:color w:val="auto"/>
        </w:rPr>
        <w:t>. To the extent applicable, this Agreement shall be interpreted in accordance with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409A of the Code and Department of Treasury regulations and other interpretive guidance issued thereunder. The intent of the parties is that payments and benefits under this Agreement comply with, or be exempt from</w:t>
      </w:r>
    </w:p>
    <w:p>
      <w:pPr>
        <w:spacing w:after="0" w:line="1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49" w:name="page50"/>
    <w:bookmarkEnd w:id="49"/>
    <w:p>
      <w:pPr>
        <w:spacing w:after="0" w:line="95" w:lineRule="exact"/>
        <w:rPr>
          <w:sz w:val="20"/>
          <w:szCs w:val="20"/>
          <w:color w:val="auto"/>
        </w:rPr>
      </w:pPr>
    </w:p>
    <w:p>
      <w:pPr>
        <w:jc w:val="both"/>
        <w:ind w:left="2220"/>
        <w:spacing w:after="0"/>
        <w:rPr>
          <w:sz w:val="20"/>
          <w:szCs w:val="20"/>
          <w:color w:val="auto"/>
        </w:rPr>
      </w:pPr>
      <w:r>
        <w:rPr>
          <w:rFonts w:ascii="Times New Roman" w:cs="Times New Roman" w:eastAsia="Times New Roman" w:hAnsi="Times New Roman"/>
          <w:sz w:val="20"/>
          <w:szCs w:val="20"/>
          <w:color w:val="auto"/>
        </w:rPr>
        <w:t>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 Agreement shall be treated as a right to a series of separate payments. For purposes of this Agreement, all references to your “termination of employment” shall mean your “separation from service” (as defined in Treasury Regulation Section 1.409A- 1(h))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If you are a “specified employee” (as defined in Section 409A of the Code), as determined by the Company in accordance with Section 409A of the Code, on the date of your Separation from Service, to the extent that the payments or benefits under this Agreement are “non-qualified deferred compensation” subject to Section 409A of the Code and the delayed payment or distribution of all or any portion of such amounts to which you are entitled under this Agreement is required in order to avoid a prohibited distribution under Section 409A(a)(2)(B)(i) of the Code, then such portion deferred pursuant to this paragraph shall be paid or distributed to you in a lump sum on the earlier of</w:t>
      </w:r>
    </w:p>
    <w:p>
      <w:pPr>
        <w:spacing w:after="0" w:line="14" w:lineRule="exact"/>
        <w:rPr>
          <w:sz w:val="20"/>
          <w:szCs w:val="20"/>
          <w:color w:val="auto"/>
        </w:rPr>
      </w:pPr>
    </w:p>
    <w:p>
      <w:pPr>
        <w:ind w:left="2560" w:hanging="311"/>
        <w:spacing w:after="0"/>
        <w:tabs>
          <w:tab w:leader="none" w:pos="25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that is 6 months and one day following your Separation from Service,</w:t>
      </w:r>
    </w:p>
    <w:p>
      <w:pPr>
        <w:spacing w:after="0" w:line="6" w:lineRule="exact"/>
        <w:rPr>
          <w:rFonts w:ascii="Times New Roman" w:cs="Times New Roman" w:eastAsia="Times New Roman" w:hAnsi="Times New Roman"/>
          <w:sz w:val="20"/>
          <w:szCs w:val="20"/>
          <w:color w:val="auto"/>
        </w:rPr>
      </w:pPr>
    </w:p>
    <w:p>
      <w:pPr>
        <w:ind w:left="2240" w:firstLine="9"/>
        <w:spacing w:after="0" w:line="253" w:lineRule="auto"/>
        <w:tabs>
          <w:tab w:leader="none" w:pos="265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your death or (c) the earliest date as is permitted under Section 409A of the Code. Any remaining payments due under this Agreement shall be paid as otherwise provided herein.</w:t>
      </w:r>
    </w:p>
    <w:p>
      <w:pPr>
        <w:spacing w:after="0" w:line="175" w:lineRule="exact"/>
        <w:rPr>
          <w:sz w:val="20"/>
          <w:szCs w:val="20"/>
          <w:color w:val="auto"/>
        </w:rPr>
      </w:pPr>
    </w:p>
    <w:p>
      <w:pPr>
        <w:jc w:val="both"/>
        <w:ind w:left="2260"/>
        <w:spacing w:after="0" w:line="246" w:lineRule="auto"/>
        <w:rPr>
          <w:sz w:val="20"/>
          <w:szCs w:val="20"/>
          <w:color w:val="auto"/>
        </w:rPr>
      </w:pPr>
      <w:r>
        <w:rPr>
          <w:rFonts w:ascii="Times New Roman" w:cs="Times New Roman" w:eastAsia="Times New Roman" w:hAnsi="Times New Roman"/>
          <w:sz w:val="20"/>
          <w:szCs w:val="20"/>
          <w:color w:val="auto"/>
        </w:rPr>
        <w:t>To the extent that the payments or benefits under this Agreement are “non- qualified deferred compensation” subject to Section 409A of the Code, if the period during which you may deliver the Release required hereunder spans two calendar years, the payment of your post-termination benefits shall occur (or commence) on the later of (a) January 1 of the second calendar year, or (b) the first regularly-scheduled payroll date following the date your Release becomes effective.</w:t>
      </w:r>
    </w:p>
    <w:p>
      <w:pPr>
        <w:spacing w:after="0" w:line="185" w:lineRule="exact"/>
        <w:rPr>
          <w:sz w:val="20"/>
          <w:szCs w:val="20"/>
          <w:color w:val="auto"/>
        </w:rPr>
      </w:pPr>
    </w:p>
    <w:p>
      <w:pPr>
        <w:jc w:val="both"/>
        <w:ind w:left="2260"/>
        <w:spacing w:after="0" w:line="245" w:lineRule="auto"/>
        <w:rPr>
          <w:sz w:val="20"/>
          <w:szCs w:val="20"/>
          <w:color w:val="auto"/>
        </w:rPr>
      </w:pPr>
      <w:r>
        <w:rPr>
          <w:rFonts w:ascii="Times New Roman" w:cs="Times New Roman" w:eastAsia="Times New Roman" w:hAnsi="Times New Roman"/>
          <w:sz w:val="20"/>
          <w:szCs w:val="20"/>
          <w:color w:val="auto"/>
        </w:rPr>
        <w:t>Any reimbursement of expenses or in-kind benefits payable under this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w:t>
      </w:r>
    </w:p>
    <w:p>
      <w:pPr>
        <w:spacing w:after="0" w:line="180" w:lineRule="exact"/>
        <w:rPr>
          <w:sz w:val="20"/>
          <w:szCs w:val="20"/>
          <w:color w:val="auto"/>
        </w:rPr>
      </w:pPr>
    </w:p>
    <w:p>
      <w:pPr>
        <w:ind w:left="1500" w:hanging="749"/>
        <w:spacing w:after="0"/>
        <w:tabs>
          <w:tab w:leader="none" w:pos="1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roprietary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  and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nventions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ssignment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an employee of the Company, you shall be expected to abide by all of the Company’s written policies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procedures and the Company’s employee handbook, if any. As a condition of your commencement of employment hereunder, you agree to execute and abide by the terms of the Company’s form of Proprietary Information and Inventions Assignment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shall survive termination of your employment with the Company and the termination of the Proprietary Information and Inventions Assignment Agreement. You acknowledge that a remedy at law for any breach or threatened breach by you of the provisions of the Proprietary Information and Inventions Assignment Agreement would be inadequate, and you therefore agree that the Company shall be entitled to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notice; provided that any such action does not affect your rights under this Agreement.</w:t>
      </w:r>
    </w:p>
    <w:p>
      <w:pPr>
        <w:spacing w:after="0" w:line="212" w:lineRule="exact"/>
        <w:rPr>
          <w:sz w:val="20"/>
          <w:szCs w:val="20"/>
          <w:color w:val="auto"/>
        </w:rPr>
      </w:pPr>
    </w:p>
    <w:p>
      <w:pPr>
        <w:ind w:left="1500" w:hanging="749"/>
        <w:spacing w:after="0"/>
        <w:tabs>
          <w:tab w:leader="none" w:pos="15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est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rovision</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left="2220" w:hanging="720"/>
        <w:spacing w:after="0" w:line="256" w:lineRule="auto"/>
        <w:tabs>
          <w:tab w:leader="none" w:pos="22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payment or benefit received or to be received by you pursuant to the terms of any plan, arrangement or agreement (including any payment or benefit received in connection with a change in ownership or control or the termination of your employment) (all such payments and benefits being hereinafter referred to as the “</w:t>
      </w:r>
      <w:r>
        <w:rPr>
          <w:rFonts w:ascii="Times New Roman" w:cs="Times New Roman" w:eastAsia="Times New Roman" w:hAnsi="Times New Roman"/>
          <w:sz w:val="19"/>
          <w:szCs w:val="19"/>
          <w:b w:val="1"/>
          <w:bCs w:val="1"/>
          <w:i w:val="1"/>
          <w:iCs w:val="1"/>
          <w:color w:val="auto"/>
        </w:rPr>
        <w:t>Total Payments</w:t>
      </w:r>
      <w:r>
        <w:rPr>
          <w:rFonts w:ascii="Times New Roman" w:cs="Times New Roman" w:eastAsia="Times New Roman" w:hAnsi="Times New Roman"/>
          <w:sz w:val="19"/>
          <w:szCs w:val="19"/>
          <w:color w:val="auto"/>
        </w:rPr>
        <w:t>”) would be subject (in whole or part) to the excise tax (the “</w:t>
      </w:r>
      <w:r>
        <w:rPr>
          <w:rFonts w:ascii="Times New Roman" w:cs="Times New Roman" w:eastAsia="Times New Roman" w:hAnsi="Times New Roman"/>
          <w:sz w:val="19"/>
          <w:szCs w:val="19"/>
          <w:b w:val="1"/>
          <w:bCs w:val="1"/>
          <w:i w:val="1"/>
          <w:iCs w:val="1"/>
          <w:color w:val="auto"/>
        </w:rPr>
        <w:t>Excise Tax</w:t>
      </w:r>
      <w:r>
        <w:rPr>
          <w:rFonts w:ascii="Times New Roman" w:cs="Times New Roman" w:eastAsia="Times New Roman" w:hAnsi="Times New Roman"/>
          <w:sz w:val="19"/>
          <w:szCs w:val="19"/>
          <w:color w:val="auto"/>
        </w:rPr>
        <w:t>”) imposed under Section 4999 of the Code, then the Total Payments shall be reduced to the extent necessary so that no portion of the Total Payments is subject to the Excise Tax but only if</w:t>
      </w:r>
    </w:p>
    <w:p>
      <w:pPr>
        <w:jc w:val="both"/>
        <w:ind w:left="222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you would be subject in respect of such unreduced Total Payments and after taking into account the phase out of itemized deductions and personal exemptions attributable to such unreduced Total Payments). Except to the extent that an alternative reduction order would result in a greater economic benefit to you on an after-tax basis, the parties intend that the Total Payments shall be reduced in the following order: (w) reduction of any cash severance payments otherwise payable to you that are exempt from Section 409A of the Code, (x) reduction of any other cash payments or benefits otherwise payable to you that are exempt from Section 409A of the Code, but excluding any payment attributable to the acceleration of vesting or payment with respect to any equity award that is exempt from Section 409A of the Code, (y) reduction of any other payments or benefits otherwise payable to you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provided, in case of clauses (x), (y) and (z), that reduction of any payments or benefits attributable to the acceleration of vesting of Company equity awards shall be first applied to equity awards with later vesting dates; provided, further, that, notwithstanding the foregoing, any such reduction shall be undertaken in a manner that complies with and does not result in the imposition of additional taxes on you under Section 409A of the Code. The foregoing reductions shall be made in a manner that results in the maximum economic benefit to you on an after-tax basis and, to the extent economically equivalent payments or benefits are subject to reduction, in a pro rata manner.</w:t>
      </w:r>
    </w:p>
    <w:p>
      <w:pPr>
        <w:spacing w:after="0" w:line="200" w:lineRule="exact"/>
        <w:rPr>
          <w:rFonts w:ascii="Times New Roman" w:cs="Times New Roman" w:eastAsia="Times New Roman" w:hAnsi="Times New Roman"/>
          <w:sz w:val="19"/>
          <w:szCs w:val="19"/>
          <w:color w:val="auto"/>
        </w:rPr>
      </w:pPr>
    </w:p>
    <w:p>
      <w:pPr>
        <w:spacing w:after="0" w:line="212" w:lineRule="exact"/>
        <w:rPr>
          <w:rFonts w:ascii="Times New Roman" w:cs="Times New Roman" w:eastAsia="Times New Roman" w:hAnsi="Times New Roman"/>
          <w:sz w:val="19"/>
          <w:szCs w:val="19"/>
          <w:color w:val="auto"/>
        </w:rPr>
      </w:pPr>
    </w:p>
    <w:p>
      <w:pPr>
        <w:jc w:val="both"/>
        <w:ind w:left="2220" w:hanging="720"/>
        <w:spacing w:after="0" w:line="245" w:lineRule="auto"/>
        <w:tabs>
          <w:tab w:leader="none" w:pos="22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determinations regarding the application of the paragraph above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0"/>
          <w:szCs w:val="20"/>
          <w:b w:val="1"/>
          <w:bCs w:val="1"/>
          <w:i w:val="1"/>
          <w:iCs w:val="1"/>
          <w:color w:val="auto"/>
        </w:rPr>
        <w:t>280G Firm</w:t>
      </w:r>
      <w:r>
        <w:rPr>
          <w:rFonts w:ascii="Times New Roman" w:cs="Times New Roman" w:eastAsia="Times New Roman" w:hAnsi="Times New Roman"/>
          <w:sz w:val="20"/>
          <w:szCs w:val="20"/>
          <w:color w:val="auto"/>
        </w:rPr>
        <w:t>”). For purposes of determining whether and the extent to which the Total Payments will be subject to the Excise Tax, (i) no portion of the</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18" w:right="699" w:bottom="1440" w:gutter="0" w:footer="0" w:header="0"/>
        </w:sectPr>
      </w:pPr>
    </w:p>
    <w:bookmarkStart w:id="51" w:name="page52"/>
    <w:bookmarkEnd w:id="51"/>
    <w:p>
      <w:pPr>
        <w:spacing w:after="0" w:line="95" w:lineRule="exact"/>
        <w:rPr>
          <w:sz w:val="20"/>
          <w:szCs w:val="20"/>
          <w:color w:val="auto"/>
        </w:rPr>
      </w:pPr>
    </w:p>
    <w:p>
      <w:pPr>
        <w:jc w:val="both"/>
        <w:ind w:left="2220"/>
        <w:spacing w:after="0" w:line="241" w:lineRule="auto"/>
        <w:rPr>
          <w:sz w:val="20"/>
          <w:szCs w:val="20"/>
          <w:color w:val="auto"/>
        </w:rPr>
      </w:pPr>
      <w:r>
        <w:rPr>
          <w:rFonts w:ascii="Times New Roman" w:cs="Times New Roman" w:eastAsia="Times New Roman" w:hAnsi="Times New Roman"/>
          <w:sz w:val="20"/>
          <w:szCs w:val="20"/>
          <w:color w:val="auto"/>
        </w:rPr>
        <w:t>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you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“Best Pay Provision” section shall be done by the 280G Firm. The 280G Firm will be directed to submit its determination and detailed supporting calculations to both you and the Company within fifteen (15) days after notification from either the Company or you that you may receive payments which may be “parachute payments.” You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71" w:lineRule="exact"/>
        <w:rPr>
          <w:sz w:val="20"/>
          <w:szCs w:val="20"/>
          <w:color w:val="auto"/>
        </w:rPr>
      </w:pPr>
    </w:p>
    <w:p>
      <w:pPr>
        <w:jc w:val="both"/>
        <w:ind w:firstLine="751"/>
        <w:spacing w:after="0" w:line="242" w:lineRule="auto"/>
        <w:tabs>
          <w:tab w:leader="none" w:pos="113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represent and agree that your performance of your duties for the Company do not violate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agreements, obligations or understandings that you may have with any third party or prior employer. Without limiting the foregoing, you represent and agree that you are not bound by any non-compete or non-solicitation agreement or any other type of agreement that would prohibit your employment with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 While employed by the Company, you will not engage in any business activity in competition with the Company nor make preparations to do so. In the event that you wish to undertake a business activity outside the scope of your employment by the Company, which activity you believe entails no conflict with the Company’s activities, you agree to inform the Company of your intentions before the initiation of such outside business activity, and you furthermore agree to abide by the Company’s decision as to whether or not there is no conflict. If, in the Company’s reasonable determination, a conflict exists or is likely to develop, you agree not to undertake such outside business activity.</w:t>
      </w:r>
    </w:p>
    <w:p>
      <w:pPr>
        <w:spacing w:after="0" w:line="187" w:lineRule="exact"/>
        <w:rPr>
          <w:rFonts w:ascii="Times New Roman" w:cs="Times New Roman" w:eastAsia="Times New Roman" w:hAnsi="Times New Roman"/>
          <w:sz w:val="20"/>
          <w:szCs w:val="20"/>
          <w:color w:val="auto"/>
        </w:rPr>
      </w:pPr>
    </w:p>
    <w:p>
      <w:pPr>
        <w:jc w:val="both"/>
        <w:ind w:firstLine="751"/>
        <w:spacing w:after="0" w:line="243" w:lineRule="auto"/>
        <w:tabs>
          <w:tab w:leader="none" w:pos="113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nterference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While employed by the Company, and for one year immediately following the date on which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 employment or otherwise cease providing services to the Company, you agree not to interfere with the business of the Company by (a) soliciting or attempting to solicit any employee or consultant of the Company to terminate such employee’s or consultant’s employment or service in order to become an employee, consultant or independent contractor to or for any other person or entity or (b)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 The foregoing restrictions shall not apply with respect to the bona fide hiring and firing of Company personnel to the extent such acts are part of your duties for Company. Your duties under this paragraph shall survive termination of your employment with the Company and the termination of this Agreement.</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52" w:name="page53"/>
    <w:bookmarkEnd w:id="52"/>
    <w:p>
      <w:pPr>
        <w:spacing w:after="0" w:line="91" w:lineRule="exact"/>
        <w:rPr>
          <w:sz w:val="20"/>
          <w:szCs w:val="20"/>
          <w:color w:val="auto"/>
        </w:rPr>
      </w:pPr>
    </w:p>
    <w:p>
      <w:pPr>
        <w:jc w:val="both"/>
        <w:ind w:right="20" w:firstLine="725"/>
        <w:spacing w:after="0" w:line="247" w:lineRule="auto"/>
        <w:tabs>
          <w:tab w:leader="none" w:pos="111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easonableness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agree that the terms contained in the “Other Agreements” and “Non-Interference”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paragraphs above are reasonable in all respects and that the restrictions contained therein are designed to protect the Company against unfair competition. In the event a court determines that any of the terms or provisions of this Agreement are unreasonable, the court may limit the application of any provision or term, or modify any provision or term, and proceed to enforce this Agreement as so limited or modified.</w:t>
      </w:r>
    </w:p>
    <w:p>
      <w:pPr>
        <w:spacing w:after="0" w:line="180" w:lineRule="exact"/>
        <w:rPr>
          <w:rFonts w:ascii="Times New Roman" w:cs="Times New Roman" w:eastAsia="Times New Roman" w:hAnsi="Times New Roman"/>
          <w:sz w:val="20"/>
          <w:szCs w:val="20"/>
          <w:color w:val="auto"/>
        </w:rPr>
      </w:pPr>
    </w:p>
    <w:p>
      <w:pPr>
        <w:jc w:val="both"/>
        <w:ind w:firstLine="751"/>
        <w:spacing w:after="0" w:line="247" w:lineRule="auto"/>
        <w:tabs>
          <w:tab w:leader="none" w:pos="113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urisdiction and</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3"/>
          <w:szCs w:val="13"/>
          <w:b w:val="1"/>
          <w:bCs w:val="1"/>
          <w:color w:val="auto"/>
        </w:rPr>
        <w:t>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for all purposes, shall be construed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State of Arizona without regard to conflicts-of-law principles. Any action or proceeding by either party to enforce this Agreement shall be brought only in any state court in Maricopa County, Arizona, or in the United States District Court for the District of Arizona . The parties hereby irrevocably submit to the exclusive jurisdiction of such courts and waive the defense of inconvenient forum to the maintenance of any such action or proceeding in such venue.</w:t>
      </w:r>
    </w:p>
    <w:p>
      <w:pPr>
        <w:spacing w:after="0" w:line="180" w:lineRule="exact"/>
        <w:rPr>
          <w:rFonts w:ascii="Times New Roman" w:cs="Times New Roman" w:eastAsia="Times New Roman" w:hAnsi="Times New Roman"/>
          <w:sz w:val="20"/>
          <w:szCs w:val="20"/>
          <w:color w:val="auto"/>
        </w:rPr>
      </w:pPr>
    </w:p>
    <w:p>
      <w:pPr>
        <w:jc w:val="both"/>
        <w:ind w:firstLine="751"/>
        <w:spacing w:after="0"/>
        <w:tabs>
          <w:tab w:leader="none" w:pos="113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rbitration</w:t>
      </w:r>
      <w:r>
        <w:rPr>
          <w:rFonts w:ascii="Times New Roman" w:cs="Times New Roman" w:eastAsia="Times New Roman" w:hAnsi="Times New Roman"/>
          <w:sz w:val="20"/>
          <w:szCs w:val="20"/>
          <w:color w:val="auto"/>
        </w:rPr>
        <w:t>. Unless otherwise prohibited by law or specified below, any dispute, claim or controversy based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arising out of or relating to this Agreement or your employment with the Company shall be settled by final and binding arbitration in Maricopa County, Arizona, before a single neutral arbitrator in accordance with the JAMS Employment Arbitration Rules and Procedures (the “</w:t>
      </w:r>
      <w:r>
        <w:rPr>
          <w:rFonts w:ascii="Times New Roman" w:cs="Times New Roman" w:eastAsia="Times New Roman" w:hAnsi="Times New Roman"/>
          <w:sz w:val="20"/>
          <w:szCs w:val="20"/>
          <w:b w:val="1"/>
          <w:bCs w:val="1"/>
          <w:i w:val="1"/>
          <w:iCs w:val="1"/>
          <w:color w:val="auto"/>
        </w:rPr>
        <w:t>Rules</w:t>
      </w:r>
      <w:r>
        <w:rPr>
          <w:rFonts w:ascii="Times New Roman" w:cs="Times New Roman" w:eastAsia="Times New Roman" w:hAnsi="Times New Roman"/>
          <w:sz w:val="20"/>
          <w:szCs w:val="20"/>
          <w:color w:val="auto"/>
        </w:rPr>
        <w:t>”), and judgment on the award rendered by the arbitrator may be entered in any court having jurisdiction. The Rules may be found online at www.jamsadr.com and will be provided to you upon written request. Arbitration may be compelled pursuant to the Federal Arbitration Act, 9 U.S.C. §1-16, or if inapplicable, any similar statute of an applicable jurisdiction. If the parties are unable to agree upon an arbitrator, one shall be appointed by JAMS in accordance with its Rules. Each party shall pay the fees of its own attorneys, the expenses of its witnesses and all other expenses connected with presenting its case. Other costs of the arbitration, including the cost of any record or transcripts of the arbitration, JAMS administrative fees, the fee of the arbitrator, and all other fees and costs, shall be borne by the Company. This paragraph is intended to be the exclusive method for resolving any and all claims by the parties against each other for payment of damages under this Agreement or related to your employment; provided, however, that you shall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any federal or state agency); provided, however, that any appeal from an award or from denial of an award of wages and/or waiting time penalties shall be arbitrated pursuant to the terms of this Agreement; and (c) claims for administrative relief from the United States Equal Employment Opportunity Commission and/or any similar state agency in any applicable jurisdiction. This Agreement shall not limit either party’s right to obtain any provisional remedy, including, without limitation, injunctive or similar relief, from any court of competent jurisdiction as may be necessary to protect their rights and interests pending the outcome of arbitration, including without limitation injunctive relief, in any court of competent jurisdiction. Seeking any such relief shall not be deemed to be a waiver of such party’s right to compel arbitration. Each party warrants that it has had the opportunity to be represented by counsel in the negotiation and execution of this Agreement, including the attorneys’ fees provision herein. Both you and the Company expressly waive your right to a jury trial. Unless otherwise prohibited by law, you further waive your right to pursue claims against the Company on a class basis, except to the extent such rights cannot be waived under applicable laws.</w:t>
      </w:r>
    </w:p>
    <w:p>
      <w:pPr>
        <w:spacing w:after="0" w:line="204" w:lineRule="exact"/>
        <w:rPr>
          <w:rFonts w:ascii="Times New Roman" w:cs="Times New Roman" w:eastAsia="Times New Roman" w:hAnsi="Times New Roman"/>
          <w:sz w:val="20"/>
          <w:szCs w:val="20"/>
          <w:color w:val="auto"/>
        </w:rPr>
      </w:pPr>
    </w:p>
    <w:p>
      <w:pPr>
        <w:jc w:val="both"/>
        <w:ind w:right="20" w:firstLine="725"/>
        <w:spacing w:after="0" w:line="247" w:lineRule="auto"/>
        <w:tabs>
          <w:tab w:leader="none" w:pos="111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Whenever possible, each provision of this Agreement will be interpreted in such manner as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53" w:name="page54"/>
    <w:bookmarkEnd w:id="53"/>
    <w:p>
      <w:pPr>
        <w:spacing w:after="0" w:line="91" w:lineRule="exact"/>
        <w:rPr>
          <w:sz w:val="20"/>
          <w:szCs w:val="20"/>
          <w:color w:val="auto"/>
        </w:rPr>
      </w:pPr>
    </w:p>
    <w:p>
      <w:pPr>
        <w:jc w:val="both"/>
        <w:ind w:firstLine="751"/>
        <w:spacing w:after="0" w:line="250" w:lineRule="auto"/>
        <w:tabs>
          <w:tab w:leader="none" w:pos="113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 and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is intended to bind and inure to the benefit of and be enforceable by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75" w:lineRule="exact"/>
        <w:rPr>
          <w:rFonts w:ascii="Times New Roman" w:cs="Times New Roman" w:eastAsia="Times New Roman" w:hAnsi="Times New Roman"/>
          <w:sz w:val="20"/>
          <w:szCs w:val="20"/>
          <w:color w:val="auto"/>
        </w:rPr>
      </w:pPr>
    </w:p>
    <w:p>
      <w:pPr>
        <w:jc w:val="both"/>
        <w:ind w:firstLine="751"/>
        <w:spacing w:after="0" w:line="245" w:lineRule="auto"/>
        <w:tabs>
          <w:tab w:leader="none" w:pos="113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ntire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the Proprietary Information and Inventions Assignment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the complete, final and exclusive embodiment of the entire agreement between you and the Company with respect to the terms and conditions of your employment specified herein and therein. This Agreement and the Proprietary Information and Inventions Assignment Agreement supersede any other such promises, obligations, warranties, representations or agreements between you and the Company, and you agree that any and all such prior promises, obligations, warranties, representations and agreements are hereby terminated. This Agreement may not be amended or modified except by a written instrument signed by you and a duly authorized officer of the Company.</w:t>
      </w:r>
    </w:p>
    <w:p>
      <w:pPr>
        <w:spacing w:after="0" w:line="179" w:lineRule="exact"/>
        <w:rPr>
          <w:rFonts w:ascii="Times New Roman" w:cs="Times New Roman" w:eastAsia="Times New Roman" w:hAnsi="Times New Roman"/>
          <w:sz w:val="20"/>
          <w:szCs w:val="20"/>
          <w:color w:val="auto"/>
        </w:rPr>
      </w:pPr>
    </w:p>
    <w:p>
      <w:pPr>
        <w:jc w:val="both"/>
        <w:ind w:firstLine="751"/>
        <w:spacing w:after="0" w:line="248" w:lineRule="auto"/>
        <w:tabs>
          <w:tab w:leader="none" w:pos="113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onditions</w:t>
      </w:r>
      <w:r>
        <w:rPr>
          <w:rFonts w:ascii="Times New Roman" w:cs="Times New Roman" w:eastAsia="Times New Roman" w:hAnsi="Times New Roman"/>
          <w:sz w:val="20"/>
          <w:szCs w:val="20"/>
          <w:color w:val="auto"/>
        </w:rPr>
        <w:t>. As a condition to your employment with the Company on the Start Date, you are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 sign and return a satisfactory I-9 Immigration form providing sufficient documentation establishing your employment eligibility in the United States, and (b) provide satisfactory proof of your identity as required by United States law. Your commencement of employment is also subject to a satisfactory background check, the forms for which were provided to you under separate cover.</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you choose to accept this Agreement under the terms described above, please acknowledge your acceptance of our offer by returning a signed copy of this Agreement and the Proprietary Information and Inventions Assignment Agreement to our attention.</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54" w:name="page55"/>
    <w:bookmarkEnd w:id="54"/>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Sincerely,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_/s/ Steve Basta</w:t>
      </w:r>
      <w:r>
        <w:rPr>
          <w:rFonts w:ascii="Times New Roman" w:cs="Times New Roman" w:eastAsia="Times New Roman" w:hAnsi="Times New Roman"/>
          <w:sz w:val="18"/>
          <w:szCs w:val="18"/>
          <w:color w:val="auto"/>
        </w:rPr>
        <w:t>__________________</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Steve Basta</w:t>
      </w:r>
    </w:p>
    <w:p>
      <w:pPr>
        <w:ind w:left="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Agreed and Accepted:</w:t>
      </w:r>
    </w:p>
    <w:p>
      <w:pPr>
        <w:spacing w:after="0" w:line="220" w:lineRule="exact"/>
        <w:rPr>
          <w:sz w:val="20"/>
          <w:szCs w:val="20"/>
          <w:color w:val="auto"/>
        </w:rPr>
      </w:pPr>
    </w:p>
    <w:p>
      <w:pPr>
        <w:jc w:val="both"/>
        <w:ind w:left="20" w:firstLine="749"/>
        <w:spacing w:after="0" w:line="254" w:lineRule="auto"/>
        <w:rPr>
          <w:sz w:val="20"/>
          <w:szCs w:val="20"/>
          <w:color w:val="auto"/>
        </w:rPr>
      </w:pPr>
      <w:r>
        <w:rPr>
          <w:rFonts w:ascii="Times New Roman" w:cs="Times New Roman" w:eastAsia="Times New Roman" w:hAnsi="Times New Roman"/>
          <w:sz w:val="20"/>
          <w:szCs w:val="20"/>
          <w:color w:val="auto"/>
        </w:rPr>
        <w:t>I have read and understood this Agreement and hereby acknowledge, accept and agree to the terms as set forth above and further acknowledge and agree that no other commitments were made to me as part of my employment offer except as specifically set forth herein.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/s/ Sanjeev Narula</w:t>
            </w:r>
          </w:p>
        </w:tc>
        <w:tc>
          <w:tcPr>
            <w:tcW w:w="1260" w:type="dxa"/>
            <w:vAlign w:val="bottom"/>
          </w:tcPr>
          <w:p>
            <w:pPr>
              <w:spacing w:after="0"/>
              <w:rPr>
                <w:sz w:val="19"/>
                <w:szCs w:val="19"/>
                <w:color w:val="auto"/>
              </w:rPr>
            </w:pPr>
          </w:p>
        </w:tc>
        <w:tc>
          <w:tcPr>
            <w:tcW w:w="3900" w:type="dxa"/>
            <w:vAlign w:val="bottom"/>
            <w:vMerge w:val="restart"/>
          </w:tcPr>
          <w:p>
            <w:pPr>
              <w:ind w:left="880"/>
              <w:spacing w:after="0"/>
              <w:rPr>
                <w:sz w:val="20"/>
                <w:szCs w:val="20"/>
                <w:color w:val="auto"/>
              </w:rPr>
            </w:pPr>
            <w:r>
              <w:rPr>
                <w:rFonts w:ascii="Times New Roman" w:cs="Times New Roman" w:eastAsia="Times New Roman" w:hAnsi="Times New Roman"/>
                <w:sz w:val="20"/>
                <w:szCs w:val="20"/>
                <w:color w:val="auto"/>
              </w:rPr>
              <w:t xml:space="preserve">Date: </w:t>
            </w:r>
            <w:r>
              <w:rPr>
                <w:rFonts w:ascii="Arial" w:cs="Arial" w:eastAsia="Arial" w:hAnsi="Arial"/>
                <w:sz w:val="16"/>
                <w:szCs w:val="16"/>
                <w:color w:val="auto"/>
              </w:rPr>
              <w:t>05-Oct-2025</w:t>
            </w:r>
          </w:p>
        </w:tc>
        <w:tc>
          <w:tcPr>
            <w:tcW w:w="0" w:type="dxa"/>
            <w:vAlign w:val="bottom"/>
          </w:tcPr>
          <w:p>
            <w:pPr>
              <w:spacing w:after="0"/>
              <w:rPr>
                <w:sz w:val="1"/>
                <w:szCs w:val="1"/>
                <w:color w:val="auto"/>
              </w:rPr>
            </w:pPr>
          </w:p>
        </w:tc>
      </w:tr>
      <w:tr>
        <w:trPr>
          <w:trHeight w:val="25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Name: Sanjeev Narula</w:t>
            </w:r>
          </w:p>
        </w:tc>
        <w:tc>
          <w:tcPr>
            <w:tcW w:w="3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14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Exhibit A:</w:t>
            </w: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8"/>
              </w:rPr>
              <w:t>Proprietary Information and Inventions Assignment Agreement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Proprietary Information and Inventions Assignment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481330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680" w:top="1440" w:right="7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Basta, certify that:</w:t>
      </w:r>
    </w:p>
    <w:p>
      <w:pPr>
        <w:spacing w:after="0" w:line="223"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30,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Steven Basta</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Steven Basta</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President</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Sanjeev Narula, certify that:</w:t>
      </w:r>
    </w:p>
    <w:p>
      <w:pPr>
        <w:spacing w:after="0" w:line="223"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30,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Sanjeev Narula</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Sanjeev Narula</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and Business Officer</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jc w:val="both"/>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September 30, 2025 as filed with the Securities and Exchange Commission on the date hereof (the “Report”), I, Steven Basta,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Basta</w:t>
            </w:r>
          </w:p>
        </w:tc>
      </w:tr>
      <w:tr>
        <w:trPr>
          <w:trHeight w:val="191"/>
        </w:trPr>
        <w:tc>
          <w:tcPr>
            <w:tcW w:w="4000" w:type="dxa"/>
            <w:vAlign w:val="bottom"/>
          </w:tcPr>
          <w:p>
            <w:pPr>
              <w:spacing w:after="0"/>
              <w:rPr>
                <w:sz w:val="16"/>
                <w:szCs w:val="16"/>
                <w:color w:val="auto"/>
              </w:rPr>
            </w:pP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Basta</w:t>
            </w:r>
          </w:p>
        </w:tc>
      </w:tr>
      <w:tr>
        <w:trPr>
          <w:trHeight w:val="216"/>
        </w:trPr>
        <w:tc>
          <w:tcPr>
            <w:tcW w:w="40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8" w:name="page59"/>
    <w:bookmarkEnd w:id="58"/>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jc w:val="both"/>
        <w:ind w:right="4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September 30, 2025 as filed with the Securities and Exchange Commission on the date hereof (the “Report”), I, Sanjeev Narula, as Chief Financial &amp; Business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Sanjeev Narula</w:t>
            </w:r>
          </w:p>
        </w:tc>
      </w:tr>
      <w:tr>
        <w:trPr>
          <w:trHeight w:val="191"/>
        </w:trPr>
        <w:tc>
          <w:tcPr>
            <w:tcW w:w="400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Sanjeev Narula</w:t>
            </w:r>
          </w:p>
        </w:tc>
      </w:tr>
      <w:tr>
        <w:trPr>
          <w:trHeight w:val="216"/>
        </w:trPr>
        <w:tc>
          <w:tcPr>
            <w:tcW w:w="40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Business Officer</w:t>
            </w:r>
          </w:p>
        </w:tc>
      </w:tr>
      <w:tr>
        <w:trPr>
          <w:trHeight w:val="234"/>
        </w:trPr>
        <w:tc>
          <w:tcPr>
            <w:tcW w:w="4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Roman"/>
      <w:start w:val="1"/>
    </w:lvl>
    <w:lvl w:ilvl="1">
      <w:lvlJc w:val="left"/>
      <w:lvlText w:val="%2."/>
      <w:numFmt w:val="lowerLetter"/>
      <w:start w:val="1"/>
    </w:lvl>
  </w:abstractNum>
  <w:abstractNum w:abstractNumId="3">
    <w:nsid w:val="436C6125"/>
    <w:multiLevelType w:val="hybridMultilevel"/>
    <w:lvl w:ilvl="0">
      <w:lvlJc w:val="left"/>
      <w:lvlText w:val="%1."/>
      <w:numFmt w:val="lowerLetter"/>
      <w:start w:val="3"/>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lowerLetter"/>
      <w:start w:val="2"/>
    </w:lvl>
  </w:abstractNum>
  <w:abstractNum w:abstractNumId="6">
    <w:nsid w:val="721DA317"/>
    <w:multiLevelType w:val="hybridMultilevel"/>
    <w:lvl w:ilvl="0">
      <w:lvlJc w:val="left"/>
      <w:lvlText w:val="(%1)"/>
      <w:numFmt w:val="lowerRoman"/>
      <w:start w:val="1"/>
    </w:lvl>
    <w:lvl w:ilvl="1">
      <w:lvlJc w:val="left"/>
      <w:lvlText w:val="%2."/>
      <w:numFmt w:val="lowerLetter"/>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04"/>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lvl w:ilvl="1">
      <w:lvlJc w:val="left"/>
      <w:lvlText w:val="•"/>
      <w:numFmt w:val="bullet"/>
      <w:start w:val="1"/>
    </w:lvl>
    <w:lvl w:ilvl="2">
      <w:lvlJc w:val="left"/>
      <w:lvlText w:val="o"/>
      <w:numFmt w:val="bullet"/>
      <w:start w:val="1"/>
    </w:lvl>
    <w:lvl w:ilvl="3">
      <w:lvlJc w:val="left"/>
      <w:lvlText w:val="▪"/>
      <w:numFmt w:val="bullet"/>
      <w:start w:val="1"/>
    </w:lvl>
  </w:abstractNum>
  <w:abstractNum w:abstractNumId="15">
    <w:nsid w:val="189A769B"/>
    <w:multiLevelType w:val="hybridMultilevel"/>
    <w:lvl w:ilvl="0">
      <w:lvlJc w:val="left"/>
      <w:lvlText w:val="o"/>
      <w:numFmt w:val="bullet"/>
      <w:start w:val="1"/>
    </w:lvl>
    <w:lvl w:ilvl="1">
      <w:lvlJc w:val="left"/>
      <w:lvlText w:val="▪"/>
      <w:numFmt w:val="bullet"/>
      <w:start w:val="1"/>
    </w:lvl>
    <w:lvl w:ilvl="2">
      <w:lvlJc w:val="left"/>
      <w:lvlText w:val="(%3)"/>
      <w:numFmt w:val="lowerLetter"/>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o"/>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o"/>
      <w:numFmt w:val="bullet"/>
      <w:start w:val="1"/>
    </w:lvl>
  </w:abstractNum>
  <w:abstractNum w:abstractNumId="22">
    <w:nsid w:val="8138641"/>
    <w:multiLevelType w:val="hybridMultilevel"/>
    <w:lvl w:ilvl="0">
      <w:lvlJc w:val="left"/>
      <w:lvlText w:val="o"/>
      <w:numFmt w:val="bullet"/>
      <w:start w:val="1"/>
    </w:lvl>
  </w:abstractNum>
  <w:abstractNum w:abstractNumId="23">
    <w:nsid w:val="1E7FF521"/>
    <w:multiLevelType w:val="hybridMultilevel"/>
    <w:lvl w:ilvl="0">
      <w:lvlJc w:val="left"/>
      <w:lvlText w:val="o"/>
      <w:numFmt w:val="bullet"/>
      <w:start w:val="1"/>
    </w:lvl>
  </w:abstractNum>
  <w:abstractNum w:abstractNumId="24">
    <w:nsid w:val="7C3DBD3D"/>
    <w:multiLevelType w:val="hybridMultilevel"/>
    <w:lvl w:ilvl="0">
      <w:lvlJc w:val="left"/>
      <w:lvlText w:val="o"/>
      <w:numFmt w:val="bullet"/>
      <w:start w:val="1"/>
    </w:lvl>
  </w:abstractNum>
  <w:abstractNum w:abstractNumId="25">
    <w:nsid w:val="737B8DDC"/>
    <w:multiLevelType w:val="hybridMultilevel"/>
    <w:lvl w:ilvl="0">
      <w:lvlJc w:val="left"/>
      <w:lvlText w:val="o"/>
      <w:numFmt w:val="bullet"/>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o"/>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lvl w:ilvl="1">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jpe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168" Type="http://schemas.openxmlformats.org/officeDocument/2006/relationships/hyperlink" Target="https://www.sec.gov/Archives/edgar/data/1783183/000119312519277761/d795888dex31.htm" TargetMode="External"/><Relationship Id="rId169" Type="http://schemas.openxmlformats.org/officeDocument/2006/relationships/hyperlink" Target="https://www.sec.gov/Archives/edgar/data/1783183/000119312523156713/d487635dex31.htm" TargetMode="External"/><Relationship Id="rId170" Type="http://schemas.openxmlformats.org/officeDocument/2006/relationships/hyperlink" Target="https://www.sec.gov/ix?doc=/Archives/edgar/data/0001783183/000119312523296630/d602391d8k.htm" TargetMode="External"/><Relationship Id="rId171" Type="http://schemas.openxmlformats.org/officeDocument/2006/relationships/hyperlink" Target="https://www.sec.gov/Archives/edgar/data/1783183/000119312519267053/d63338dex41.htm" TargetMode="External"/><Relationship Id="rId172" Type="http://schemas.openxmlformats.org/officeDocument/2006/relationships/hyperlink" Target="https://www.sec.gov/Archives/edgar/data/1783183/000119312519258922/d63338dex43.htm" TargetMode="External"/><Relationship Id="rId173" Type="http://schemas.openxmlformats.org/officeDocument/2006/relationships/hyperlink" Target="https://www.sec.gov/Archives/edgar/data/1783183/000119312519258922/d63338dex44.htm" TargetMode="External"/><Relationship Id="rId174" Type="http://schemas.openxmlformats.org/officeDocument/2006/relationships/hyperlink" Target="https://www.sec.gov/Archives/edgar/data/1783183/000156459021055073/phat-ex102_212.htm" TargetMode="External"/><Relationship Id="rId175" Type="http://schemas.openxmlformats.org/officeDocument/2006/relationships/hyperlink" Target="https://www.sec.gov/Archives/edgar/data/1783183/000095017023020109/phat-ex4_5.htm" TargetMode="External"/><Relationship Id="rId176" Type="http://schemas.openxmlformats.org/officeDocument/2006/relationships/hyperlink" Target="https://www.sec.gov/Archives/edgar/data/1783183/000095017023020109/phat-ex4_6.htm" TargetMode="External"/><Relationship Id="rId177" Type="http://schemas.openxmlformats.org/officeDocument/2006/relationships/hyperlink" Target="https://www.sec.gov/Archives/edgar/data/1783183/000119312519267053/d63338dex45.htm" TargetMode="External"/><Relationship Id="rId178" Type="http://schemas.openxmlformats.org/officeDocument/2006/relationships/hyperlink" Target="https://www.sec.gov/Archives/edgar/data/1783183/000119312524202879/d81626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2025-10-30T06:19:34Z</dcterms:created>
  <dcterms:modified xsi:type="dcterms:W3CDTF">2025-10-30T06:19:34Z</dcterms:modified>
</cp:coreProperties>
</file>