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Breedlove Robert Charles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PHATHOM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CAMPUS DRIVE, SUITE 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FLORHAM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07932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Phathom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PHAT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Principal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16"/>
        <w:gridCol w:w="464"/>
        <w:gridCol w:w="677"/>
        <w:gridCol w:w="1210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460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9.05</w:t>
            </w:r>
          </w:p>
        </w:tc>
        <w:tc>
          <w:tcPr>
            <w:tcW w:w="12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59,465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8,191.78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underlying the restricted stock units that were surrendered by the reporting person to the Issuer in satisfaction of the Issuer's tax withholding obligation.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Charles Breedlove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6645" TargetMode="External"/><Relationship Id="rId5" Type="http://schemas.openxmlformats.org/officeDocument/2006/relationships/hyperlink" Target="http://www.sec.gov/cgi-bin/browse-edgar?action=getcompany&amp;CIK=00017831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601</Words>
  <Characters>3304</Characters>
  <CharactersWithSpaces>3833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