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hat-20260630.htm"/>
      <w:bookmarkStart w:id="1" w:name="ksphat20260630"/>
      <w:bookmarkEnd w:id="0"/>
      <w:bookmarkEnd w:id="1"/>
      <w:r>
        <w:rPr/>
        <w:t> </w:t>
      </w:r>
    </w:p>
    <w:p>
      <w:pPr>
        <w:pStyle w:val="TextBody"/>
        <w:pBdr>
          <w:top w:val="doub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8" w:space="1" w:color="000000"/>
        </w:pBdr>
        <w:bidi w:val="0"/>
        <w:jc w:val="center"/>
        <w:rPr/>
      </w:pPr>
      <w:r>
        <w:rPr/>
        <w:t> </w:t>
      </w:r>
    </w:p>
    <w:p>
      <w:pPr>
        <w:pStyle w:val="TextBody"/>
        <w:bidi w:val="0"/>
        <w:spacing w:before="80" w:after="283"/>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8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u w:val="single"/>
        </w:rPr>
        <w:t xml:space="preserve"> </w:t>
      </w:r>
      <w:r>
        <w:rPr>
          <w:rFonts w:ascii="Times New Roman" w:hAnsi="Times New Roman"/>
          <w:b/>
          <w:color w:val="000000"/>
          <w:sz w:val="20"/>
        </w:rPr>
        <w:t>.</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001-39094</w:t>
      </w:r>
    </w:p>
    <w:p>
      <w:pPr>
        <w:pStyle w:val="TextBody"/>
        <w:pBdr>
          <w:bottom w:val="single" w:sz="8" w:space="1" w:color="000000"/>
        </w:pBdr>
        <w:bidi w:val="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PHATHOM PHARMACEUTICALS,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82-4151574</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100 Campus Drive, Suite 102</w:t>
            </w:r>
          </w:p>
          <w:p>
            <w:pPr>
              <w:pStyle w:val="TableContents"/>
              <w:bidi w:val="0"/>
              <w:spacing w:before="0" w:after="283"/>
              <w:jc w:val="center"/>
              <w:rPr>
                <w:rFonts w:ascii="Times New Roman" w:hAnsi="Times New Roman"/>
                <w:sz w:val="20"/>
              </w:rPr>
            </w:pPr>
            <w:r>
              <w:rPr>
                <w:rFonts w:ascii="Times New Roman" w:hAnsi="Times New Roman"/>
                <w:b/>
                <w:color w:val="000000"/>
                <w:sz w:val="20"/>
              </w:rPr>
              <w:t>Florham Park, New Jersey</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07932</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(877) 742-8466</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140" w:type="dxa"/>
        <w:jc w:val="left"/>
        <w:tblInd w:w="0" w:type="dxa"/>
        <w:tblLayout w:type="fixed"/>
        <w:tblCellMar>
          <w:top w:w="28" w:type="dxa"/>
          <w:left w:w="28" w:type="dxa"/>
          <w:bottom w:w="28" w:type="dxa"/>
          <w:right w:w="28" w:type="dxa"/>
        </w:tblCellMar>
      </w:tblPr>
      <w:tblGrid>
        <w:gridCol w:w="3706"/>
        <w:gridCol w:w="146"/>
        <w:gridCol w:w="82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PHAT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460" w:type="dxa"/>
        <w:jc w:val="left"/>
        <w:tblInd w:w="0" w:type="dxa"/>
        <w:tblLayout w:type="fixed"/>
        <w:tblCellMar>
          <w:top w:w="28" w:type="dxa"/>
          <w:left w:w="28" w:type="dxa"/>
          <w:bottom w:w="28" w:type="dxa"/>
          <w:right w:w="28" w:type="dxa"/>
        </w:tblCellMar>
      </w:tblPr>
      <w:tblGrid>
        <w:gridCol w:w="2326"/>
        <w:gridCol w:w="316"/>
        <w:gridCol w:w="14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July 27, 2026, the registrant had 80,900,934 shares of common stock ($0.0001 par value) outstanding.</w:t>
      </w:r>
    </w:p>
    <w:p>
      <w:pPr>
        <w:pStyle w:val="Heading1"/>
        <w:pBdr>
          <w:bottom w:val="double" w:sz="4" w:space="1" w:color="000000"/>
        </w:pBdr>
        <w:bidi w:val="0"/>
        <w:jc w:val="center"/>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231F20"/>
          <w:sz w:val="20"/>
        </w:rPr>
      </w:pPr>
      <w:r>
        <w:rPr>
          <w:rFonts w:ascii="sans-serif" w:hAnsi="sans-serif"/>
          <w:b/>
          <w:color w:val="231F20"/>
          <w:sz w:val="20"/>
        </w:rPr>
        <w:t>TABLE OF CONTENTS</w:t>
      </w:r>
    </w:p>
    <w:p>
      <w:pPr>
        <w:pStyle w:val="TextBody"/>
        <w:bidi w:val="0"/>
        <w:jc w:val="both"/>
        <w:rPr/>
      </w:pPr>
      <w:r>
        <w:rPr/>
        <w:t> </w:t>
      </w:r>
    </w:p>
    <w:tbl>
      <w:tblPr>
        <w:tblW w:w="10199" w:type="dxa"/>
        <w:jc w:val="left"/>
        <w:tblInd w:w="0" w:type="dxa"/>
        <w:tblLayout w:type="fixed"/>
        <w:tblCellMar>
          <w:top w:w="28" w:type="dxa"/>
          <w:left w:w="28" w:type="dxa"/>
          <w:bottom w:w="28" w:type="dxa"/>
          <w:right w:w="28" w:type="dxa"/>
        </w:tblCellMar>
      </w:tblPr>
      <w:tblGrid>
        <w:gridCol w:w="886"/>
        <w:gridCol w:w="146"/>
        <w:gridCol w:w="8716"/>
        <w:gridCol w:w="451"/>
      </w:tblGrid>
      <w:tr>
        <w:trPr/>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0199" w:type="dxa"/>
            <w:gridSpan w:val="4"/>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sans-serif" w:hAnsi="sans-serif"/>
                  <w:b/>
                  <w:color w:val="0000FF"/>
                  <w:sz w:val="20"/>
                  <w:u w:val="single"/>
                </w:rPr>
                <w:t>PART I. FINANCIAL INFORMATION</w:t>
              </w:r>
            </w:hyperlink>
          </w:p>
        </w:tc>
      </w:tr>
      <w:tr>
        <w:trPr/>
        <w:tc>
          <w:tcPr>
            <w:tcW w:w="1019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sans-serif" w:hAnsi="sans-serif"/>
                  <w:color w:val="0000FF"/>
                  <w:sz w:val="20"/>
                  <w:u w:val="single"/>
                </w:rPr>
                <w:t>Financial Statements (unaudited)</w:t>
              </w:r>
            </w:hyperlink>
          </w:p>
        </w:tc>
        <w:tc>
          <w:tcPr>
            <w:tcW w:w="45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F-1</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tcBorders/>
            <w:tcMar>
              <w:top w:w="0" w:type="dxa"/>
              <w:left w:w="0" w:type="dxa"/>
              <w:bottom w:w="0" w:type="dxa"/>
              <w:right w:w="0" w:type="dxa"/>
            </w:tcMar>
            <w:vAlign w:val="center"/>
          </w:tcPr>
          <w:p>
            <w:pPr>
              <w:pStyle w:val="TableContents"/>
              <w:bidi w:val="0"/>
              <w:spacing w:before="0" w:after="283"/>
              <w:jc w:val="left"/>
              <w:rPr/>
            </w:pPr>
            <w:hyperlink w:anchor="combined_balance_sheets">
              <w:r>
                <w:rPr>
                  <w:rStyle w:val="InternetLink"/>
                  <w:rFonts w:ascii="sans-serif" w:hAnsi="sans-serif"/>
                  <w:color w:val="0000FF"/>
                  <w:sz w:val="20"/>
                  <w:u w:val="single"/>
                </w:rPr>
                <w:t>Condensed Balance Sheets</w:t>
              </w:r>
            </w:hyperlink>
            <w:hyperlink w:anchor="combined_balance_sheets">
              <w:r>
                <w:rPr>
                  <w:rStyle w:val="InternetLink"/>
                  <w:rFonts w:ascii="Times New Roman" w:hAnsi="Times New Roman"/>
                  <w:color w:val="0000FF"/>
                  <w:sz w:val="20"/>
                </w:rPr>
                <w:t xml:space="preserve"> </w:t>
              </w:r>
            </w:hyperlink>
          </w:p>
        </w:tc>
        <w:tc>
          <w:tcPr>
            <w:tcW w:w="45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F-1</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tcBorders/>
            <w:tcMar>
              <w:top w:w="0" w:type="dxa"/>
              <w:left w:w="0" w:type="dxa"/>
              <w:bottom w:w="0" w:type="dxa"/>
              <w:right w:w="0" w:type="dxa"/>
            </w:tcMar>
            <w:vAlign w:val="center"/>
          </w:tcPr>
          <w:p>
            <w:pPr>
              <w:pStyle w:val="TableContents"/>
              <w:bidi w:val="0"/>
              <w:spacing w:before="0" w:after="283"/>
              <w:jc w:val="left"/>
              <w:rPr/>
            </w:pPr>
            <w:hyperlink w:anchor="condensed_combined_statements_operations">
              <w:r>
                <w:rPr>
                  <w:rStyle w:val="InternetLink"/>
                  <w:rFonts w:ascii="sans-serif" w:hAnsi="sans-serif"/>
                  <w:color w:val="0000FF"/>
                  <w:sz w:val="20"/>
                  <w:u w:val="single"/>
                </w:rPr>
                <w:t>Condensed Statements of Operations and Comprehensive Loss</w:t>
              </w:r>
            </w:hyperlink>
            <w:hyperlink w:anchor="condensed_combined_statements_operations">
              <w:r>
                <w:rPr>
                  <w:rStyle w:val="InternetLink"/>
                  <w:rFonts w:ascii="Times New Roman" w:hAnsi="Times New Roman"/>
                  <w:color w:val="0000FF"/>
                  <w:sz w:val="20"/>
                </w:rPr>
                <w:t xml:space="preserve"> </w:t>
              </w:r>
            </w:hyperlink>
          </w:p>
        </w:tc>
        <w:tc>
          <w:tcPr>
            <w:tcW w:w="45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F-2</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6" w:type="dxa"/>
            <w:tcBorders/>
            <w:tcMar>
              <w:top w:w="0" w:type="dxa"/>
              <w:left w:w="0" w:type="dxa"/>
              <w:bottom w:w="0" w:type="dxa"/>
              <w:right w:w="0" w:type="dxa"/>
            </w:tcMar>
            <w:vAlign w:val="center"/>
          </w:tcPr>
          <w:p>
            <w:pPr>
              <w:pStyle w:val="TableContents"/>
              <w:bidi w:val="0"/>
              <w:spacing w:before="0" w:after="283"/>
              <w:jc w:val="left"/>
              <w:rPr/>
            </w:pPr>
            <w:hyperlink w:anchor="condensed_combined_statement_stockholder">
              <w:r>
                <w:rPr>
                  <w:rStyle w:val="InternetLink"/>
                  <w:rFonts w:ascii="sans-serif" w:hAnsi="sans-serif"/>
                  <w:color w:val="0000FF"/>
                  <w:sz w:val="20"/>
                  <w:u w:val="single"/>
                </w:rPr>
                <w:t>Condensed Statements of Stockholders’ Deficit</w:t>
              </w:r>
            </w:hyperlink>
          </w:p>
        </w:tc>
        <w:tc>
          <w:tcPr>
            <w:tcW w:w="45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F-3</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6"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sans-serif" w:hAnsi="sans-serif"/>
                  <w:color w:val="0000FF"/>
                  <w:sz w:val="20"/>
                  <w:u w:val="single"/>
                </w:rPr>
                <w:t>Condensed Statements of Cash Flows</w:t>
              </w:r>
            </w:hyperlink>
            <w:hyperlink w:anchor="consolidated_statements_cash_flows">
              <w:r>
                <w:rPr>
                  <w:rStyle w:val="InternetLink"/>
                  <w:rFonts w:ascii="Times New Roman" w:hAnsi="Times New Roman"/>
                  <w:color w:val="0000FF"/>
                  <w:sz w:val="20"/>
                </w:rPr>
                <w:t xml:space="preserve"> </w:t>
              </w:r>
            </w:hyperlink>
          </w:p>
        </w:tc>
        <w:tc>
          <w:tcPr>
            <w:tcW w:w="45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F-4</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6" w:type="dxa"/>
            <w:tcBorders/>
            <w:tcMar>
              <w:top w:w="0" w:type="dxa"/>
              <w:left w:w="0" w:type="dxa"/>
              <w:bottom w:w="0" w:type="dxa"/>
              <w:right w:w="0" w:type="dxa"/>
            </w:tcMar>
            <w:vAlign w:val="center"/>
          </w:tcPr>
          <w:p>
            <w:pPr>
              <w:pStyle w:val="TableContents"/>
              <w:bidi w:val="0"/>
              <w:spacing w:before="0" w:after="283"/>
              <w:jc w:val="left"/>
              <w:rPr/>
            </w:pPr>
            <w:hyperlink w:anchor="notes_to_unaudited_financial_statements">
              <w:r>
                <w:rPr>
                  <w:rStyle w:val="InternetLink"/>
                  <w:rFonts w:ascii="sans-serif" w:hAnsi="sans-serif"/>
                  <w:color w:val="0000FF"/>
                  <w:sz w:val="20"/>
                  <w:u w:val="single"/>
                </w:rPr>
                <w:t>Notes to Condensed Unaudited Financial Statements</w:t>
              </w:r>
            </w:hyperlink>
          </w:p>
        </w:tc>
        <w:tc>
          <w:tcPr>
            <w:tcW w:w="45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F-5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sans-serif" w:hAnsi="sans-serif"/>
                  <w:color w:val="0000FF"/>
                  <w:sz w:val="20"/>
                  <w:u w:val="single"/>
                </w:rPr>
                <w:t>Management’s Discussion and Analysis of Financial Condition and Results of Operations</w:t>
              </w:r>
            </w:hyperlink>
          </w:p>
        </w:tc>
        <w:tc>
          <w:tcPr>
            <w:tcW w:w="45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sans-serif" w:hAnsi="sans-serif"/>
                  <w:color w:val="0000FF"/>
                  <w:sz w:val="20"/>
                  <w:u w:val="single"/>
                </w:rPr>
                <w:t>Quantitative and Qualitative Disclosures About Market Risk</w:t>
              </w:r>
            </w:hyperlink>
          </w:p>
        </w:tc>
        <w:tc>
          <w:tcPr>
            <w:tcW w:w="45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sans-serif" w:hAnsi="sans-serif"/>
                  <w:color w:val="0000FF"/>
                  <w:sz w:val="20"/>
                  <w:u w:val="single"/>
                </w:rPr>
                <w:t>Controls and Procedures</w:t>
              </w:r>
            </w:hyperlink>
          </w:p>
        </w:tc>
        <w:tc>
          <w:tcPr>
            <w:tcW w:w="45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r>
      <w:tr>
        <w:trPr/>
        <w:tc>
          <w:tcPr>
            <w:tcW w:w="1019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9" w:type="dxa"/>
            <w:gridSpan w:val="4"/>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sans-serif" w:hAnsi="sans-serif"/>
                  <w:b/>
                  <w:color w:val="0000FF"/>
                  <w:sz w:val="20"/>
                  <w:u w:val="single"/>
                </w:rPr>
                <w:t>PART II. OTHER INFORMATION</w:t>
              </w:r>
            </w:hyperlink>
          </w:p>
        </w:tc>
      </w:tr>
      <w:tr>
        <w:trPr/>
        <w:tc>
          <w:tcPr>
            <w:tcW w:w="1019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sans-serif" w:hAnsi="sans-serif"/>
                  <w:color w:val="0000FF"/>
                  <w:sz w:val="20"/>
                  <w:u w:val="single"/>
                </w:rPr>
                <w:t>Legal Proceedings</w:t>
              </w:r>
            </w:hyperlink>
          </w:p>
        </w:tc>
        <w:tc>
          <w:tcPr>
            <w:tcW w:w="45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sans-serif" w:hAnsi="sans-serif"/>
                  <w:color w:val="0000FF"/>
                  <w:sz w:val="20"/>
                  <w:u w:val="single"/>
                </w:rPr>
                <w:t>Risk Factors</w:t>
              </w:r>
            </w:hyperlink>
          </w:p>
        </w:tc>
        <w:tc>
          <w:tcPr>
            <w:tcW w:w="45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_1">
              <w:r>
                <w:rPr>
                  <w:rStyle w:val="InternetLink"/>
                  <w:rFonts w:ascii="sans-serif" w:hAnsi="sans-serif"/>
                  <w:color w:val="0000FF"/>
                  <w:sz w:val="20"/>
                  <w:u w:val="single"/>
                </w:rPr>
                <w:t>Unregistered Sales of Equity Securities and Use of Proceeds</w:t>
              </w:r>
            </w:hyperlink>
          </w:p>
        </w:tc>
        <w:tc>
          <w:tcPr>
            <w:tcW w:w="45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_1">
              <w:r>
                <w:rPr>
                  <w:rStyle w:val="InternetLink"/>
                  <w:rFonts w:ascii="sans-serif" w:hAnsi="sans-serif"/>
                  <w:color w:val="0000FF"/>
                  <w:sz w:val="20"/>
                  <w:u w:val="single"/>
                </w:rPr>
                <w:t>Defaults Upon Senior Securities</w:t>
              </w:r>
            </w:hyperlink>
          </w:p>
        </w:tc>
        <w:tc>
          <w:tcPr>
            <w:tcW w:w="45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_1">
              <w:r>
                <w:rPr>
                  <w:rStyle w:val="InternetLink"/>
                  <w:rFonts w:ascii="sans-serif" w:hAnsi="sans-serif"/>
                  <w:color w:val="0000FF"/>
                  <w:sz w:val="20"/>
                  <w:u w:val="single"/>
                </w:rPr>
                <w:t>Mine Safety Disclosures</w:t>
              </w:r>
            </w:hyperlink>
          </w:p>
        </w:tc>
        <w:tc>
          <w:tcPr>
            <w:tcW w:w="45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tcBorders/>
            <w:tcMar>
              <w:top w:w="0" w:type="dxa"/>
              <w:left w:w="0" w:type="dxa"/>
              <w:bottom w:w="0" w:type="dxa"/>
              <w:right w:w="0" w:type="dxa"/>
            </w:tcMar>
            <w:vAlign w:val="center"/>
          </w:tcPr>
          <w:p>
            <w:pPr>
              <w:pStyle w:val="TableContents"/>
              <w:bidi w:val="0"/>
              <w:spacing w:before="0" w:after="283"/>
              <w:jc w:val="left"/>
              <w:rPr/>
            </w:pPr>
            <w:hyperlink w:anchor="item_5_or_information_1">
              <w:r>
                <w:rPr>
                  <w:rStyle w:val="InternetLink"/>
                  <w:rFonts w:ascii="sans-serif" w:hAnsi="sans-serif"/>
                  <w:color w:val="0000FF"/>
                  <w:sz w:val="20"/>
                  <w:u w:val="single"/>
                </w:rPr>
                <w:t>Other Information</w:t>
              </w:r>
            </w:hyperlink>
          </w:p>
        </w:tc>
        <w:tc>
          <w:tcPr>
            <w:tcW w:w="45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tcBorders/>
            <w:tcMar>
              <w:top w:w="0" w:type="dxa"/>
              <w:left w:w="0" w:type="dxa"/>
              <w:bottom w:w="0" w:type="dxa"/>
              <w:right w:w="0" w:type="dxa"/>
            </w:tcMar>
            <w:vAlign w:val="center"/>
          </w:tcPr>
          <w:p>
            <w:pPr>
              <w:pStyle w:val="TableContents"/>
              <w:bidi w:val="0"/>
              <w:spacing w:before="0" w:after="283"/>
              <w:jc w:val="left"/>
              <w:rPr/>
            </w:pPr>
            <w:hyperlink w:anchor="item_6_exhibits_1">
              <w:r>
                <w:rPr>
                  <w:rStyle w:val="InternetLink"/>
                  <w:rFonts w:ascii="sans-serif" w:hAnsi="sans-serif"/>
                  <w:color w:val="0000FF"/>
                  <w:sz w:val="20"/>
                  <w:u w:val="single"/>
                </w:rPr>
                <w:t>Exhibits</w:t>
              </w:r>
            </w:hyperlink>
          </w:p>
        </w:tc>
        <w:tc>
          <w:tcPr>
            <w:tcW w:w="45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6" w:type="dxa"/>
            <w:tcBorders/>
            <w:tcMar>
              <w:top w:w="0" w:type="dxa"/>
              <w:left w:w="0" w:type="dxa"/>
              <w:bottom w:w="0" w:type="dxa"/>
              <w:right w:w="0" w:type="dxa"/>
            </w:tcMar>
            <w:vAlign w:val="center"/>
          </w:tcPr>
          <w:p>
            <w:pPr>
              <w:pStyle w:val="TableContents"/>
              <w:bidi w:val="0"/>
              <w:spacing w:before="0" w:after="283"/>
              <w:jc w:val="left"/>
              <w:rPr/>
            </w:pPr>
            <w:hyperlink w:anchor="signatures_1">
              <w:r>
                <w:rPr>
                  <w:rStyle w:val="InternetLink"/>
                  <w:rFonts w:ascii="sans-serif" w:hAnsi="sans-serif"/>
                  <w:color w:val="0000FF"/>
                  <w:sz w:val="20"/>
                  <w:u w:val="single"/>
                </w:rPr>
                <w:t>Signatures</w:t>
              </w:r>
            </w:hyperlink>
          </w:p>
        </w:tc>
        <w:tc>
          <w:tcPr>
            <w:tcW w:w="45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2" w:name="part_i_financial_information"/>
      <w:bookmarkEnd w:id="2"/>
      <w:r>
        <w:rPr>
          <w:rFonts w:ascii="sans-serif" w:hAnsi="sans-serif"/>
          <w:b/>
          <w:color w:val="000000"/>
          <w:sz w:val="20"/>
        </w:rPr>
        <w:t>PART I. FINANCIAL INFORMATION</w:t>
      </w:r>
    </w:p>
    <w:p>
      <w:pPr>
        <w:pStyle w:val="TextBody"/>
        <w:bidi w:val="0"/>
        <w:spacing w:before="120" w:after="283"/>
        <w:jc w:val="left"/>
        <w:rPr>
          <w:rFonts w:ascii="sans-serif" w:hAnsi="sans-serif"/>
          <w:b/>
          <w:color w:val="000000"/>
          <w:sz w:val="20"/>
        </w:rPr>
      </w:pPr>
      <w:bookmarkStart w:id="3" w:name="item_1_financial_statements_unaudited"/>
      <w:bookmarkEnd w:id="3"/>
      <w:r>
        <w:rPr>
          <w:rFonts w:ascii="sans-serif" w:hAnsi="sans-serif"/>
          <w:b/>
          <w:color w:val="000000"/>
          <w:sz w:val="20"/>
        </w:rPr>
        <w:t>Item 1. Financial Statements (unaudited)</w:t>
      </w:r>
    </w:p>
    <w:p>
      <w:pPr>
        <w:pStyle w:val="TextBody"/>
        <w:bidi w:val="0"/>
        <w:jc w:val="center"/>
        <w:rPr>
          <w:rFonts w:ascii="sans-serif" w:hAnsi="sans-serif"/>
          <w:b/>
          <w:color w:val="000000"/>
          <w:sz w:val="20"/>
        </w:rPr>
      </w:pPr>
      <w:r>
        <w:rPr>
          <w:rFonts w:ascii="sans-serif" w:hAnsi="sans-serif"/>
          <w:b/>
          <w:color w:val="000000"/>
          <w:sz w:val="20"/>
        </w:rPr>
        <w:t>PHATHOM PHARMACEUTICALS, INC.</w:t>
      </w:r>
    </w:p>
    <w:p>
      <w:pPr>
        <w:pStyle w:val="TextBody"/>
        <w:bidi w:val="0"/>
        <w:jc w:val="center"/>
        <w:rPr>
          <w:rFonts w:ascii="Times New Roman" w:hAnsi="Times New Roman"/>
          <w:sz w:val="20"/>
        </w:rPr>
      </w:pPr>
      <w:bookmarkStart w:id="4" w:name="combined_balance_sheets"/>
      <w:bookmarkEnd w:id="4"/>
      <w:r>
        <w:rPr>
          <w:rFonts w:ascii="sans-serif" w:hAnsi="sans-serif"/>
          <w:b/>
          <w:color w:val="000000"/>
          <w:sz w:val="20"/>
        </w:rPr>
        <w:t>Condensed Balance Sheets</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center"/>
        <w:rPr>
          <w:rFonts w:ascii="sans-serif" w:hAnsi="sans-serif"/>
          <w:b/>
          <w:color w:val="000000"/>
          <w:sz w:val="20"/>
        </w:rPr>
      </w:pPr>
      <w:r>
        <w:rPr>
          <w:rFonts w:ascii="sans-serif" w:hAnsi="sans-serif"/>
          <w:b/>
          <w:color w:val="000000"/>
          <w:sz w:val="20"/>
        </w:rPr>
        <w:t>(in thousands, except share and par value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544"/>
        <w:gridCol w:w="146"/>
        <w:gridCol w:w="226"/>
        <w:gridCol w:w="1141"/>
        <w:gridCol w:w="181"/>
        <w:gridCol w:w="146"/>
        <w:gridCol w:w="236"/>
        <w:gridCol w:w="1193"/>
        <w:gridCol w:w="392"/>
      </w:tblGrid>
      <w:tr>
        <w:trPr/>
        <w:tc>
          <w:tcPr>
            <w:tcW w:w="6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6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br/>
              <w:t>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182,478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129,972</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15,353</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97,422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78,129</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5,518</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295,915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228,972</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1,064</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2,603</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2,864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2,861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Inventory,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21,827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20,732</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3,088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2,917</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327,075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259,149</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4,983</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109,027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89,831</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1,833</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648</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Current portion of revenue interest financing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37,283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27,249</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7,500</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153,777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132,044</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Long-term debt, net of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164,587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209,087</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 interest financing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347,629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350,122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2,065</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4,000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671,348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697,318</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Commitments and contingencies</w:t>
            </w:r>
            <w:r>
              <w:rPr>
                <w:rFonts w:ascii="Times New Roman" w:hAnsi="Times New Roman"/>
                <w:color w:val="000000"/>
                <w:sz w:val="20"/>
              </w:rPr>
              <w:t> </w:t>
            </w:r>
            <w:r>
              <w:rPr>
                <w:rFonts w:ascii="sans-serif" w:hAnsi="sans-serif"/>
                <w:color w:val="000000"/>
                <w:sz w:val="20"/>
              </w:rPr>
              <w:t>(Note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Preferred stock, $0.0001</w:t>
            </w:r>
            <w:r>
              <w:rPr>
                <w:rFonts w:ascii="Times New Roman" w:hAnsi="Times New Roman"/>
                <w:color w:val="000000"/>
                <w:sz w:val="20"/>
              </w:rPr>
              <w:t> </w:t>
            </w:r>
            <w:r>
              <w:rPr>
                <w:rFonts w:ascii="sans-serif" w:hAnsi="sans-serif"/>
                <w:color w:val="000000"/>
                <w:sz w:val="20"/>
              </w:rPr>
              <w:t>par value; authorized shares — 40,000,000</w:t>
            </w:r>
            <w:r>
              <w:rPr>
                <w:rFonts w:ascii="Times New Roman" w:hAnsi="Times New Roman"/>
                <w:color w:val="000000"/>
                <w:sz w:val="20"/>
              </w:rPr>
              <w:t> </w:t>
            </w:r>
            <w:r>
              <w:rPr>
                <w:rFonts w:ascii="sans-serif" w:hAnsi="sans-serif"/>
                <w:color w:val="000000"/>
                <w:sz w:val="20"/>
              </w:rPr>
              <w:t>at June 30, 2026 and December 31, 2025; no</w:t>
            </w:r>
            <w:r>
              <w:rPr>
                <w:rFonts w:ascii="Times New Roman" w:hAnsi="Times New Roman"/>
                <w:color w:val="000000"/>
                <w:sz w:val="20"/>
              </w:rPr>
              <w:t> </w:t>
            </w:r>
            <w:r>
              <w:rPr>
                <w:rFonts w:ascii="sans-serif" w:hAnsi="sans-serif"/>
                <w:color w:val="000000"/>
                <w:sz w:val="20"/>
              </w:rPr>
              <w:t>shares issued and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Common stock, $0.0001</w:t>
            </w:r>
            <w:r>
              <w:rPr>
                <w:rFonts w:ascii="Times New Roman" w:hAnsi="Times New Roman"/>
                <w:color w:val="000000"/>
                <w:sz w:val="20"/>
              </w:rPr>
              <w:t> </w:t>
            </w:r>
            <w:r>
              <w:rPr>
                <w:rFonts w:ascii="sans-serif" w:hAnsi="sans-serif"/>
                <w:color w:val="000000"/>
                <w:sz w:val="20"/>
              </w:rPr>
              <w:t>par value; authorized shares — 400,000,000</w:t>
            </w:r>
            <w:r>
              <w:rPr>
                <w:rFonts w:ascii="Times New Roman" w:hAnsi="Times New Roman"/>
                <w:color w:val="000000"/>
                <w:sz w:val="20"/>
              </w:rPr>
              <w:t> </w:t>
            </w:r>
            <w:r>
              <w:rPr>
                <w:rFonts w:ascii="sans-serif" w:hAnsi="sans-serif"/>
                <w:color w:val="000000"/>
                <w:sz w:val="20"/>
              </w:rPr>
              <w:t>at June 30, 2026 and December 31, 2025; issued and outstanding shares — 80,070,048</w:t>
            </w:r>
            <w:r>
              <w:rPr>
                <w:rFonts w:ascii="Times New Roman" w:hAnsi="Times New Roman"/>
                <w:color w:val="000000"/>
                <w:sz w:val="20"/>
              </w:rPr>
              <w:t> </w:t>
            </w:r>
            <w:r>
              <w:rPr>
                <w:rFonts w:ascii="sans-serif" w:hAnsi="sans-serif"/>
                <w:color w:val="000000"/>
                <w:sz w:val="20"/>
              </w:rPr>
              <w:t>and 71,419,025</w:t>
            </w:r>
            <w:r>
              <w:rPr>
                <w:rFonts w:ascii="Times New Roman" w:hAnsi="Times New Roman"/>
                <w:color w:val="000000"/>
                <w:sz w:val="20"/>
              </w:rPr>
              <w:t> </w:t>
            </w:r>
            <w:r>
              <w:rPr>
                <w:rFonts w:ascii="sans-serif" w:hAnsi="sans-serif"/>
                <w:color w:val="000000"/>
                <w:sz w:val="20"/>
              </w:rPr>
              <w:t>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Treasury stock — 19</w:t>
            </w:r>
            <w:r>
              <w:rPr>
                <w:rFonts w:ascii="Times New Roman" w:hAnsi="Times New Roman"/>
                <w:color w:val="000000"/>
                <w:sz w:val="20"/>
              </w:rPr>
              <w:t> </w:t>
            </w:r>
            <w:r>
              <w:rPr>
                <w:rFonts w:ascii="sans-serif" w:hAnsi="sans-serif"/>
                <w:color w:val="000000"/>
                <w:sz w:val="20"/>
              </w:rPr>
              <w:t>shares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1,187,928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1,046,083</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(1,532,209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(1,484,258</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5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(344,273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(438,169</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5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327,075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259,149</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sans-serif" w:hAnsi="sans-serif"/>
          <w:i/>
          <w:color w:val="000000"/>
          <w:sz w:val="20"/>
        </w:rPr>
      </w:pPr>
      <w:r>
        <w:rPr>
          <w:rFonts w:ascii="sans-serif" w:hAnsi="sans-serif"/>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sans-serif" w:hAnsi="sans-serif"/>
          <w:b/>
          <w:color w:val="000000"/>
          <w:sz w:val="20"/>
        </w:rPr>
        <w:t>PHATHOM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mbined_statements_operations"/>
      <w:bookmarkEnd w:id="5"/>
      <w:r>
        <w:rPr>
          <w:rFonts w:ascii="sans-serif" w:hAnsi="sans-serif"/>
          <w:b/>
          <w:color w:val="000000"/>
          <w:sz w:val="20"/>
        </w:rPr>
        <w:t>Condensed Statements of Operations and Comprehensive Loss</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center"/>
        <w:rPr>
          <w:rFonts w:ascii="sans-serif" w:hAnsi="sans-serif"/>
          <w:b/>
          <w:color w:val="000000"/>
          <w:sz w:val="20"/>
        </w:rPr>
      </w:pPr>
      <w:r>
        <w:rPr>
          <w:rFonts w:ascii="sans-serif" w:hAnsi="sans-serif"/>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04"/>
        <w:gridCol w:w="146"/>
        <w:gridCol w:w="226"/>
        <w:gridCol w:w="1186"/>
        <w:gridCol w:w="181"/>
        <w:gridCol w:w="146"/>
        <w:gridCol w:w="226"/>
        <w:gridCol w:w="1186"/>
        <w:gridCol w:w="181"/>
        <w:gridCol w:w="146"/>
        <w:gridCol w:w="226"/>
        <w:gridCol w:w="1186"/>
        <w:gridCol w:w="181"/>
        <w:gridCol w:w="146"/>
        <w:gridCol w:w="226"/>
        <w:gridCol w:w="1186"/>
        <w:gridCol w:w="326"/>
      </w:tblGrid>
      <w:tr>
        <w:trPr/>
        <w:tc>
          <w:tcPr>
            <w:tcW w:w="3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br/>
              <w:t>June 30,</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74,274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39,503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132,575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68,023</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15,096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5,038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27,091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8,762</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59,178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34,465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105,484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59,261</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9,076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15,585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18,260</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55,330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85,313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109,341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179,787</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63,143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94,389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124,926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198,047</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(3,965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(59,924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(19,442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(138,786</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4,427</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(15,103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(30,900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(35,588</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(13,617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(15,886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(28,509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(31,340</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(17,582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(75,810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(47,951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(170,126</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(2.36</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Weighted-average shares of common stock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83,747,104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72,466,203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82,903,547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72,219,179</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i/>
          <w:color w:val="000000"/>
          <w:sz w:val="20"/>
        </w:rPr>
      </w:pPr>
      <w:r>
        <w:rPr>
          <w:rFonts w:ascii="sans-serif" w:hAnsi="sans-serif"/>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sans-serif" w:hAnsi="sans-serif"/>
          <w:b/>
          <w:color w:val="000000"/>
          <w:sz w:val="20"/>
        </w:rPr>
        <w:t>PHATHOM PHARMACEUTICALS, INC.</w:t>
      </w:r>
      <w:r>
        <w:rPr>
          <w:rFonts w:ascii="Times New Roman" w:hAnsi="Times New Roman"/>
          <w:color w:val="000000"/>
          <w:sz w:val="20"/>
        </w:rPr>
        <w:t xml:space="preserve"> </w:t>
      </w:r>
    </w:p>
    <w:p>
      <w:pPr>
        <w:pStyle w:val="TextBody"/>
        <w:bidi w:val="0"/>
        <w:jc w:val="center"/>
        <w:rPr>
          <w:rFonts w:ascii="sans-serif" w:hAnsi="sans-serif"/>
          <w:b/>
          <w:color w:val="000000"/>
          <w:sz w:val="20"/>
        </w:rPr>
      </w:pPr>
      <w:bookmarkStart w:id="6" w:name="condensed_combined_statement_stockholder"/>
      <w:bookmarkEnd w:id="6"/>
      <w:r>
        <w:rPr>
          <w:rFonts w:ascii="sans-serif" w:hAnsi="sans-serif"/>
          <w:b/>
          <w:color w:val="000000"/>
          <w:sz w:val="20"/>
        </w:rPr>
        <w:t>Condensed Statements of Stockholders’ Deficit</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center"/>
        <w:rPr>
          <w:rFonts w:ascii="Times New Roman" w:hAnsi="Times New Roman"/>
          <w:sz w:val="20"/>
        </w:rPr>
      </w:pPr>
      <w:r>
        <w:rPr>
          <w:rFonts w:ascii="sans-serif" w:hAnsi="sans-serif"/>
          <w:b/>
          <w:color w:val="000000"/>
          <w:sz w:val="20"/>
        </w:rPr>
        <w:t>(in thousands, except share amounts)</w:t>
      </w:r>
      <w:r>
        <w:rPr>
          <w:rFonts w:ascii="Times New Roman" w:hAnsi="Times New Roman"/>
          <w:color w:val="000000"/>
          <w:sz w:val="20"/>
        </w:rPr>
        <w:t xml:space="preserve"> </w:t>
      </w:r>
    </w:p>
    <w:tbl>
      <w:tblPr>
        <w:tblW w:w="11011" w:type="dxa"/>
        <w:jc w:val="left"/>
        <w:tblInd w:w="0" w:type="dxa"/>
        <w:tblLayout w:type="fixed"/>
        <w:tblCellMar>
          <w:top w:w="28" w:type="dxa"/>
          <w:left w:w="28" w:type="dxa"/>
          <w:bottom w:w="28" w:type="dxa"/>
          <w:right w:w="28" w:type="dxa"/>
        </w:tblCellMar>
      </w:tblPr>
      <w:tblGrid>
        <w:gridCol w:w="1396"/>
        <w:gridCol w:w="146"/>
        <w:gridCol w:w="146"/>
        <w:gridCol w:w="1186"/>
        <w:gridCol w:w="146"/>
        <w:gridCol w:w="146"/>
        <w:gridCol w:w="379"/>
        <w:gridCol w:w="582"/>
        <w:gridCol w:w="146"/>
        <w:gridCol w:w="146"/>
        <w:gridCol w:w="316"/>
        <w:gridCol w:w="750"/>
        <w:gridCol w:w="146"/>
        <w:gridCol w:w="146"/>
        <w:gridCol w:w="226"/>
        <w:gridCol w:w="1066"/>
        <w:gridCol w:w="181"/>
        <w:gridCol w:w="146"/>
        <w:gridCol w:w="253"/>
        <w:gridCol w:w="1278"/>
        <w:gridCol w:w="181"/>
        <w:gridCol w:w="146"/>
        <w:gridCol w:w="291"/>
        <w:gridCol w:w="1240"/>
        <w:gridCol w:w="22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Additional</w:t>
              <w:br/>
              <w:t>Paid-in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Accumulated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br/>
              <w:t>Stockholders’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Capital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Deficit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Deficit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71,419,025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1,046,083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(1,484,258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(438,169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401(k) matching contribution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2,074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Vesting of restricted stock units and performance stock units, net of employee tax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740,564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ESPP 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211,837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1,538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Issuance of common stock from 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Issuance of common stock and pre-funded warrants in connection with the underwritten public offering,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121,973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121,974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(30,369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(30,369</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79,442,367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1,177,665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(1,514,627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(336,955</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133,370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6,712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6,712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Issuance of common stock from 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494,311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3,552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(17,582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(17,582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80,070,048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1,187,928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(1,532,209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(344,273</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bl>
    <w:p>
      <w:pPr>
        <w:pStyle w:val="TextBody"/>
        <w:bidi w:val="0"/>
        <w:jc w:val="center"/>
        <w:rPr/>
      </w:pPr>
      <w:r>
        <w:rPr/>
        <w:t> </w:t>
      </w:r>
    </w:p>
    <w:tbl>
      <w:tblPr>
        <w:tblW w:w="10976" w:type="dxa"/>
        <w:jc w:val="left"/>
        <w:tblInd w:w="0" w:type="dxa"/>
        <w:tblLayout w:type="fixed"/>
        <w:tblCellMar>
          <w:top w:w="28" w:type="dxa"/>
          <w:left w:w="28" w:type="dxa"/>
          <w:bottom w:w="28" w:type="dxa"/>
          <w:right w:w="28" w:type="dxa"/>
        </w:tblCellMar>
      </w:tblPr>
      <w:tblGrid>
        <w:gridCol w:w="1396"/>
        <w:gridCol w:w="146"/>
        <w:gridCol w:w="146"/>
        <w:gridCol w:w="1186"/>
        <w:gridCol w:w="146"/>
        <w:gridCol w:w="146"/>
        <w:gridCol w:w="379"/>
        <w:gridCol w:w="582"/>
        <w:gridCol w:w="146"/>
        <w:gridCol w:w="146"/>
        <w:gridCol w:w="316"/>
        <w:gridCol w:w="750"/>
        <w:gridCol w:w="146"/>
        <w:gridCol w:w="146"/>
        <w:gridCol w:w="226"/>
        <w:gridCol w:w="1066"/>
        <w:gridCol w:w="146"/>
        <w:gridCol w:w="146"/>
        <w:gridCol w:w="253"/>
        <w:gridCol w:w="1278"/>
        <w:gridCol w:w="181"/>
        <w:gridCol w:w="146"/>
        <w:gridCol w:w="291"/>
        <w:gridCol w:w="1240"/>
        <w:gridCol w:w="22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Accumulated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br/>
              <w:t>Stockholders’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Deficit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Deficit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68,518,238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1,009,425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(1,263,011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(253,580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401(k) matching contribution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290,165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508,568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5,540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ESPP 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321,099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1,853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(94,316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(94,316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69,638,070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1,018,945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(1,357,327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(338,376</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456,677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8,272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Issuance of common stock from 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(75,810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(75,810</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70,104,419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1,027,297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(1,433,137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(405,834</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bl>
    <w:p>
      <w:pPr>
        <w:pStyle w:val="TextBody"/>
        <w:bidi w:val="0"/>
        <w:jc w:val="center"/>
        <w:rPr/>
      </w:pPr>
      <w:r>
        <w:rPr/>
        <w:t> </w:t>
      </w:r>
    </w:p>
    <w:p>
      <w:pPr>
        <w:pStyle w:val="TextBody"/>
        <w:bidi w:val="0"/>
        <w:jc w:val="center"/>
        <w:rPr>
          <w:rFonts w:ascii="sans-serif" w:hAnsi="sans-serif"/>
          <w:i/>
          <w:color w:val="000000"/>
          <w:sz w:val="20"/>
        </w:rPr>
      </w:pPr>
      <w:r>
        <w:rPr>
          <w:rFonts w:ascii="sans-serif" w:hAnsi="sans-serif"/>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sans-serif" w:hAnsi="sans-serif"/>
          <w:b/>
          <w:color w:val="000000"/>
          <w:sz w:val="20"/>
        </w:rPr>
        <w:t>PHATHOM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statements_cash_flows"/>
      <w:bookmarkEnd w:id="7"/>
      <w:r>
        <w:rPr>
          <w:rFonts w:ascii="sans-serif" w:hAnsi="sans-serif"/>
          <w:b/>
          <w:color w:val="000000"/>
          <w:sz w:val="20"/>
        </w:rPr>
        <w:t>Condensed Statements of Cash Flows</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center"/>
        <w:rPr>
          <w:rFonts w:ascii="Times New Roman" w:hAnsi="Times New Roman"/>
          <w:sz w:val="20"/>
        </w:rPr>
      </w:pPr>
      <w:r>
        <w:rPr>
          <w:rFonts w:ascii="sans-serif" w:hAnsi="sans-serif"/>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32"/>
        <w:gridCol w:w="146"/>
        <w:gridCol w:w="226"/>
        <w:gridCol w:w="961"/>
        <w:gridCol w:w="181"/>
        <w:gridCol w:w="146"/>
        <w:gridCol w:w="226"/>
        <w:gridCol w:w="961"/>
        <w:gridCol w:w="626"/>
      </w:tblGrid>
      <w:tr>
        <w:trPr/>
        <w:tc>
          <w:tcPr>
            <w:tcW w:w="6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br/>
              <w:t>June 30,</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(47,951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(170,126</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349</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13,812</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payment-in-kind interest 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2,300</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interest on revenue interest financing liability, net of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15,491</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Amortization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1,430</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Inventory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819</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2,888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3,131</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6,246</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(19,293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(12,458</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20,274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5,416</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Operating right-of-use assets and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(14,178</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(17,577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(147,659</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paid for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Proceeds from issuance of common stock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Proceeds from issuance of long-term debt,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173,250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Repayment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(229,047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proceeds from underwritten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121,974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Payment of employee tax obligations related to vesting of PSUs and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70,191</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6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increase (decrease) in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52,509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(147,694</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 and restricted cash –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132,833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300,125</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 and restricted cash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185,342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152,431</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9,294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10,538</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Property and equipment purchases included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Settlement of ESPP liability in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1,853</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Settlement of 401(k) liability in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2,127</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Final interest payment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i/>
          <w:color w:val="000000"/>
          <w:sz w:val="20"/>
        </w:rPr>
      </w:pPr>
      <w:r>
        <w:rPr>
          <w:rFonts w:ascii="sans-serif" w:hAnsi="sans-serif"/>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PHATHOM PHARMACEUTICALS, INC.</w:t>
      </w:r>
    </w:p>
    <w:p>
      <w:pPr>
        <w:pStyle w:val="TextBody"/>
        <w:bidi w:val="0"/>
        <w:jc w:val="center"/>
        <w:rPr>
          <w:rFonts w:ascii="Times New Roman" w:hAnsi="Times New Roman"/>
          <w:sz w:val="20"/>
        </w:rPr>
      </w:pPr>
      <w:bookmarkStart w:id="8" w:name="notes_to_unaudited_financial_statements"/>
      <w:bookmarkEnd w:id="8"/>
      <w:r>
        <w:rPr>
          <w:rFonts w:ascii="sans-serif" w:hAnsi="sans-serif"/>
          <w:b/>
          <w:color w:val="000000"/>
          <w:sz w:val="20"/>
        </w:rPr>
        <w:t>Notes to Condensed Unaudited Financial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9" w:name="n1_organization_basis_presentation_summa"/>
      <w:bookmarkEnd w:id="9"/>
      <w:r>
        <w:rPr>
          <w:rFonts w:ascii="sans-serif" w:hAnsi="sans-serif"/>
          <w:b/>
          <w:color w:val="000000"/>
          <w:sz w:val="20"/>
        </w:rPr>
        <w:t>1. Organization, Basis of Presentation and Summary of Significant Accounting Policies</w:t>
      </w:r>
      <w:r>
        <w:rPr>
          <w:rFonts w:ascii="Times New Roman" w:hAnsi="Times New Roman"/>
          <w:color w:val="000000"/>
          <w:sz w:val="20"/>
        </w:rPr>
        <w:t xml:space="preserve"> </w:t>
      </w:r>
    </w:p>
    <w:p>
      <w:pPr>
        <w:pStyle w:val="TextBody"/>
        <w:bidi w:val="0"/>
        <w:spacing w:before="200" w:after="283"/>
        <w:jc w:val="left"/>
        <w:rPr>
          <w:rFonts w:ascii="sans-serif" w:hAnsi="sans-serif"/>
          <w:b/>
          <w:i/>
          <w:color w:val="000000"/>
          <w:sz w:val="20"/>
        </w:rPr>
      </w:pPr>
      <w:r>
        <w:rPr>
          <w:rFonts w:ascii="sans-serif" w:hAnsi="sans-serif"/>
          <w:b/>
          <w:i/>
          <w:color w:val="000000"/>
          <w:sz w:val="20"/>
        </w:rPr>
        <w:t>Organization</w:t>
      </w:r>
    </w:p>
    <w:p>
      <w:pPr>
        <w:pStyle w:val="TextBody"/>
        <w:bidi w:val="0"/>
        <w:spacing w:before="200" w:after="283"/>
        <w:jc w:val="left"/>
        <w:rPr>
          <w:rFonts w:ascii="Times New Roman" w:hAnsi="Times New Roman"/>
          <w:sz w:val="20"/>
        </w:rPr>
      </w:pPr>
      <w:r>
        <w:rPr>
          <w:rFonts w:ascii="sans-serif" w:hAnsi="sans-serif"/>
          <w:color w:val="000000"/>
          <w:sz w:val="20"/>
        </w:rPr>
        <w:t>Phathom Pharmaceuticals, Inc., or the Company or Phathom, was incorporated in the state of Delaware in January 2018. The Company is a commercial-stage biopharmaceutical company focused on commercializing and developing novel treatments for gastrointestinal, or GI, diseases. The Company’s financial statements are prepared in accordance with U.S. generally accepted accounting principles, or GAAP.</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 xml:space="preserve">In May 2022, the U.S. Food and Drug Administration, or FDA, approved the Company's new drug applications, or NDAs for vonoprazan triple therapy, under the brand name VOQUEZNA TRIPLE PAK, and vonoprazan dual therapy, under the brand name VOQUEZNA DUAL PAK for the treatment of Helicobacter pylori, or </w:t>
      </w:r>
      <w:r>
        <w:rPr>
          <w:rFonts w:ascii="sans-serif" w:hAnsi="sans-serif"/>
          <w:i/>
          <w:color w:val="000000"/>
          <w:sz w:val="20"/>
        </w:rPr>
        <w:t>H. pylori,</w:t>
      </w:r>
      <w:r>
        <w:rPr>
          <w:rFonts w:ascii="Times New Roman" w:hAnsi="Times New Roman"/>
          <w:color w:val="000000"/>
          <w:sz w:val="20"/>
        </w:rPr>
        <w:t xml:space="preserve"> </w:t>
      </w:r>
      <w:r>
        <w:rPr>
          <w:rFonts w:ascii="sans-serif" w:hAnsi="sans-serif"/>
          <w:color w:val="000000"/>
          <w:sz w:val="20"/>
        </w:rPr>
        <w:t xml:space="preserve">infection. On November 1, 2023, the FDA approved the Company's NDA for VOQUEZNA 10mg and 20mg tablets for the treatment of erosive gastroesophageal reflux disease, or Erosive GERD. The Company initiated commercial launch of VOQUEZNA in the U.S. for both the Erosive GERD and </w:t>
      </w:r>
      <w:r>
        <w:rPr>
          <w:rFonts w:ascii="sans-serif" w:hAnsi="sans-serif"/>
          <w:i/>
          <w:color w:val="000000"/>
          <w:sz w:val="20"/>
        </w:rPr>
        <w:t>H. pylori</w:t>
      </w:r>
      <w:r>
        <w:rPr>
          <w:rFonts w:ascii="Times New Roman" w:hAnsi="Times New Roman"/>
          <w:color w:val="000000"/>
          <w:sz w:val="20"/>
        </w:rPr>
        <w:t xml:space="preserve"> </w:t>
      </w:r>
      <w:r>
        <w:rPr>
          <w:rFonts w:ascii="sans-serif" w:hAnsi="sans-serif"/>
          <w:color w:val="000000"/>
          <w:sz w:val="20"/>
        </w:rPr>
        <w:t xml:space="preserve">indications, and VOQUEZNA TRIPLE PAK and VOQUEZNA DUAL PAK for treatment of </w:t>
      </w:r>
      <w:r>
        <w:rPr>
          <w:rFonts w:ascii="sans-serif" w:hAnsi="sans-serif"/>
          <w:i/>
          <w:color w:val="000000"/>
          <w:sz w:val="20"/>
        </w:rPr>
        <w:t>H. pylori</w:t>
      </w:r>
      <w:r>
        <w:rPr>
          <w:rFonts w:ascii="Times New Roman" w:hAnsi="Times New Roman"/>
          <w:color w:val="000000"/>
          <w:sz w:val="20"/>
        </w:rPr>
        <w:t xml:space="preserve"> </w:t>
      </w:r>
      <w:r>
        <w:rPr>
          <w:rFonts w:ascii="sans-serif" w:hAnsi="sans-serif"/>
          <w:color w:val="000000"/>
          <w:sz w:val="20"/>
        </w:rPr>
        <w:t>infection in the fourth quarter of 2023. Additionally, on July 17, 2024, the FDA approved VOQUEZNA 10 mg tablets for the relief of heartburn associated with non-erosive gastroesophageal reflux disease or Non-Erosive GERD.</w:t>
      </w:r>
    </w:p>
    <w:p>
      <w:pPr>
        <w:pStyle w:val="TextBody"/>
        <w:bidi w:val="0"/>
        <w:spacing w:before="200" w:after="283"/>
        <w:jc w:val="left"/>
        <w:rPr>
          <w:rFonts w:ascii="Times New Roman" w:hAnsi="Times New Roman"/>
          <w:sz w:val="20"/>
        </w:rPr>
      </w:pPr>
      <w:r>
        <w:rPr>
          <w:rFonts w:ascii="sans-serif" w:hAnsi="sans-serif"/>
          <w:b/>
          <w:i/>
          <w:color w:val="000000"/>
          <w:sz w:val="20"/>
        </w:rPr>
        <w:t>Liquidity and Capital Resources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From inception to June 30, 2026, the Company has devoted substantially all of its efforts to organizing and staffing the Company, business planning, raising capital, in-licensing vonoprazan, meeting with regulatory authorities, managing the clinical trials of vonoprazan, preparing for commercialization of its initial products containing vonoprazan, commercially launching its approved products in the U.S., and providing other selling, general and administrative support for these operations. The Company has a limited operating history as a commercial company. Although the Company has generated product revenue to date, the amount of future sales and income potential from its business remains uncertain. The Company has incurred net losses and negative cash flows from operating activities since its inception and despite the Company's plans and expectations, could continue to incur additional net losses in the future. The Company has funded its operations primarily through commercial bank debt, the revenue interest financing debt and various equity offerings, including the Company's at-the-market, or ATM, offerings. From inception through June 30, 2026, the Company sold 41,612,032</w:t>
      </w:r>
      <w:r>
        <w:rPr>
          <w:rFonts w:ascii="Times New Roman" w:hAnsi="Times New Roman"/>
          <w:color w:val="000000"/>
          <w:sz w:val="20"/>
        </w:rPr>
        <w:t xml:space="preserve"> </w:t>
      </w:r>
      <w:r>
        <w:rPr>
          <w:rFonts w:ascii="sans-serif" w:hAnsi="sans-serif"/>
          <w:color w:val="000000"/>
          <w:sz w:val="20"/>
        </w:rPr>
        <w:t>shares of common stock and 3,859,000</w:t>
      </w:r>
      <w:r>
        <w:rPr>
          <w:rFonts w:ascii="Times New Roman" w:hAnsi="Times New Roman"/>
          <w:color w:val="000000"/>
          <w:sz w:val="20"/>
        </w:rPr>
        <w:t xml:space="preserve"> </w:t>
      </w:r>
      <w:r>
        <w:rPr>
          <w:rFonts w:ascii="sans-serif" w:hAnsi="sans-serif"/>
          <w:color w:val="000000"/>
          <w:sz w:val="20"/>
        </w:rPr>
        <w:t>pre-funded warrants, generating net proceeds of approximately $665.3</w:t>
      </w:r>
      <w:r>
        <w:rPr>
          <w:rFonts w:ascii="Times New Roman" w:hAnsi="Times New Roman"/>
          <w:color w:val="000000"/>
          <w:sz w:val="20"/>
        </w:rPr>
        <w:t xml:space="preserve"> </w:t>
      </w:r>
      <w:r>
        <w:rPr>
          <w:rFonts w:ascii="sans-serif" w:hAnsi="sans-serif"/>
          <w:color w:val="000000"/>
          <w:sz w:val="20"/>
        </w:rPr>
        <w:t>million, after deducting underwriting discounts, commissions and offering costs.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accompanying unaudited interim condensed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in accordance with GAAP.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Management believes that it has sufficient working capital on hand to fund operations through at least the next twelve months from the date these unaudited interim condensed financial statements were issued. There can be no assurance that the Company’s projections of its future working capital needs will prove accurate, that the Company will be successful in acquiring additional funding, if needed, or that any additional funding, if needed, would be sufficient to continue operations in future years.</w:t>
      </w:r>
    </w:p>
    <w:p>
      <w:pPr>
        <w:pStyle w:val="TextBody"/>
        <w:bidi w:val="0"/>
        <w:spacing w:before="200" w:after="283"/>
        <w:jc w:val="left"/>
        <w:rPr>
          <w:rFonts w:ascii="sans-serif" w:hAnsi="sans-serif"/>
          <w:b/>
          <w:i/>
          <w:color w:val="000000"/>
          <w:sz w:val="20"/>
        </w:rPr>
      </w:pPr>
      <w:r>
        <w:rPr>
          <w:rFonts w:ascii="sans-serif" w:hAnsi="sans-serif"/>
          <w:b/>
          <w:i/>
          <w:color w:val="000000"/>
          <w:sz w:val="20"/>
        </w:rPr>
        <w:t>Basis of Presentation</w:t>
      </w:r>
    </w:p>
    <w:p>
      <w:pPr>
        <w:pStyle w:val="TextBody"/>
        <w:bidi w:val="0"/>
        <w:spacing w:before="200" w:after="283"/>
        <w:jc w:val="left"/>
        <w:rPr>
          <w:rFonts w:ascii="Times New Roman" w:hAnsi="Times New Roman"/>
          <w:sz w:val="20"/>
        </w:rPr>
      </w:pPr>
      <w:r>
        <w:rPr>
          <w:rFonts w:ascii="sans-serif" w:hAnsi="sans-serif"/>
          <w:color w:val="000000"/>
          <w:sz w:val="20"/>
        </w:rPr>
        <w:t>The unaudited interim condensed financial statements included herein have been prepared by the Company in accordance with GAAP, and pursuant to the rules and regulations of the Securities and Exchange Commission, or the SEC. In the opinion of management, the accompanying unaudited interim condensed financial statements include all adjustments, consisting of normal recurring adjustments, which are necessary to present fairly the Company’s financial position, results of operations, and cash flows. The interim results of operations are not necessarily indicative of the results that may occur for the full fiscal year. Certain information in the footnote disclosures of the financial statements has been condensed or omitted where it substantially duplicates information provided in the Company’s latest audited financial statements, in accordance with the rules and regulations of the SEC. These unaudited interim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condensed financial statements should be read in conjunction with the Company’s audited financial statements and footnotes included in its Annual Report on Form 10-K for the fiscal year ended December 31, 2025, or the 2025 Form 10-K, filed with the SEC on February 26, 2026.</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During the six months ended June 30, 2026, there were no significant changes to the Company’s summary of significant accounting policies contained in the Company’s 2025 Form 10-K. The Company’s complete listing of significant accounting policies is set forth in Note 1 of the notes to the audited financial statements in the Company's 2025 Form 10-K. Selected significant accounting policies are discussed in detail below.</w:t>
      </w:r>
    </w:p>
    <w:p>
      <w:pPr>
        <w:pStyle w:val="TextBody"/>
        <w:bidi w:val="0"/>
        <w:spacing w:before="200" w:after="283"/>
        <w:jc w:val="left"/>
        <w:rPr>
          <w:rFonts w:ascii="sans-serif" w:hAnsi="sans-serif"/>
          <w:b/>
          <w:i/>
          <w:color w:val="000000"/>
          <w:sz w:val="20"/>
        </w:rPr>
      </w:pPr>
      <w:r>
        <w:rPr>
          <w:rFonts w:ascii="sans-serif" w:hAnsi="sans-serif"/>
          <w:b/>
          <w:i/>
          <w:color w:val="000000"/>
          <w:sz w:val="20"/>
        </w:rPr>
        <w:t>Use of Estimates</w:t>
      </w:r>
    </w:p>
    <w:p>
      <w:pPr>
        <w:pStyle w:val="TextBody"/>
        <w:bidi w:val="0"/>
        <w:spacing w:before="200" w:after="283"/>
        <w:jc w:val="left"/>
        <w:rPr>
          <w:rFonts w:ascii="sans-serif" w:hAnsi="sans-serif"/>
          <w:color w:val="000000"/>
          <w:sz w:val="20"/>
        </w:rPr>
      </w:pPr>
      <w:r>
        <w:rPr>
          <w:rFonts w:ascii="sans-serif" w:hAnsi="sans-serif"/>
          <w:color w:val="000000"/>
          <w:sz w:val="20"/>
        </w:rPr>
        <w:t>The preparation of the Company’s unaudited condensed interim financial statements requires management to make estimates and assumptions that impact the reported amounts of assets, liabilities, revenues and expenses, and the disclosure of contingent assets and liabilities in the Company’s unaudited condensed interim financial statements and accompanying notes. The most significant estimates in the Company’s unaudited condensed interim financial statements relate to accruals for net product revenues and the valuation for the revenue interest financing liability. In addition, management’s assessment of the Company’s ability to continue as a going concern involves the estimation of the amount and timing of future cash inflows and outflows. Although these estimates are based on the Company’s knowledge of current events and actions it may undertake in the future, actual results could differ materially from those estimates and assumptions.</w:t>
      </w:r>
    </w:p>
    <w:p>
      <w:pPr>
        <w:pStyle w:val="TextBody"/>
        <w:bidi w:val="0"/>
        <w:spacing w:before="200" w:after="283"/>
        <w:jc w:val="left"/>
        <w:rPr>
          <w:rFonts w:ascii="sans-serif" w:hAnsi="sans-serif"/>
          <w:b/>
          <w:i/>
          <w:color w:val="000000"/>
          <w:sz w:val="20"/>
        </w:rPr>
      </w:pPr>
      <w:r>
        <w:rPr>
          <w:rFonts w:ascii="sans-serif" w:hAnsi="sans-serif"/>
          <w:b/>
          <w:i/>
          <w:color w:val="000000"/>
          <w:sz w:val="20"/>
        </w:rPr>
        <w:t>Fair Value Measurements</w:t>
      </w:r>
    </w:p>
    <w:p>
      <w:pPr>
        <w:pStyle w:val="TextBody"/>
        <w:bidi w:val="0"/>
        <w:spacing w:before="200" w:after="283"/>
        <w:jc w:val="left"/>
        <w:rPr>
          <w:rFonts w:ascii="Times New Roman" w:hAnsi="Times New Roman"/>
          <w:sz w:val="20"/>
        </w:rPr>
      </w:pPr>
      <w:r>
        <w:rPr>
          <w:rFonts w:ascii="sans-serif" w:hAnsi="sans-serif"/>
          <w:color w:val="000000"/>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Level 1: Observable inputs such as quoted prices in active markets.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Level 2: Inputs, other than the quoted prices in active markets that are observable either directly or indirectly.</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Level 3: Unobservable inputs in which there is little or no market data, which require the reporting entity to develop its own assumptions.</w:t>
      </w:r>
    </w:p>
    <w:p>
      <w:pPr>
        <w:pStyle w:val="TextBody"/>
        <w:bidi w:val="0"/>
        <w:spacing w:before="200" w:after="283"/>
        <w:jc w:val="left"/>
        <w:rPr>
          <w:rFonts w:ascii="Times New Roman" w:hAnsi="Times New Roman"/>
          <w:sz w:val="20"/>
        </w:rPr>
      </w:pPr>
      <w:r>
        <w:rPr>
          <w:rFonts w:ascii="sans-serif" w:hAnsi="sans-serif"/>
          <w:color w:val="000000"/>
          <w:sz w:val="20"/>
        </w:rPr>
        <w:t>The carrying amounts of the Company’s financial instruments, including cash and cash equivalents, are classified within the Level 1 designation discussed above, while accounts receivable, prepaid and other current assets, accounts payable, and accrued liabilities, approximate fair value due to their short maturities.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Company has no</w:t>
      </w:r>
      <w:r>
        <w:rPr>
          <w:rFonts w:ascii="Times New Roman" w:hAnsi="Times New Roman"/>
          <w:color w:val="000000"/>
          <w:sz w:val="20"/>
        </w:rPr>
        <w:t xml:space="preserve"> </w:t>
      </w:r>
      <w:r>
        <w:rPr>
          <w:rFonts w:ascii="sans-serif" w:hAnsi="sans-serif"/>
          <w:color w:val="000000"/>
          <w:sz w:val="20"/>
        </w:rPr>
        <w:t>financial assets measured at fair value on a recurring basis. None of the Company’s non-financial assets or liabilities are recorded at fair value on a non-recurring basis. No transfers between levels have occurred during the periods presented.</w:t>
      </w:r>
    </w:p>
    <w:p>
      <w:pPr>
        <w:pStyle w:val="TextBody"/>
        <w:bidi w:val="0"/>
        <w:spacing w:before="200" w:after="283"/>
        <w:jc w:val="left"/>
        <w:rPr>
          <w:rFonts w:ascii="sans-serif" w:hAnsi="sans-serif"/>
          <w:color w:val="000000"/>
          <w:sz w:val="20"/>
        </w:rPr>
      </w:pPr>
      <w:r>
        <w:rPr>
          <w:rFonts w:ascii="sans-serif" w:hAnsi="sans-serif"/>
          <w:color w:val="000000"/>
          <w:sz w:val="20"/>
        </w:rPr>
        <w:t>As of June 30, 2026 and December 31, 2025, the estimated fair value of the Company’s long-term debt approximated the carrying amount given its floating interest rate basis. The fair value of the Company’s long-term debt was estimated for disclosure purposes only and was determined based on quoted market data for valuation, and thus categorized as Level 2 in the fair value hierarchy.</w:t>
      </w:r>
    </w:p>
    <w:p>
      <w:pPr>
        <w:pStyle w:val="TextBody"/>
        <w:bidi w:val="0"/>
        <w:spacing w:before="200" w:after="283"/>
        <w:jc w:val="left"/>
        <w:rPr>
          <w:rFonts w:ascii="sans-serif" w:hAnsi="sans-serif"/>
          <w:b/>
          <w:i/>
          <w:color w:val="000000"/>
          <w:sz w:val="20"/>
        </w:rPr>
      </w:pPr>
      <w:r>
        <w:rPr>
          <w:rFonts w:ascii="sans-serif" w:hAnsi="sans-serif"/>
          <w:b/>
          <w:i/>
          <w:color w:val="000000"/>
          <w:sz w:val="20"/>
        </w:rPr>
        <w:t>Concentrations of Credit Risk</w:t>
      </w:r>
    </w:p>
    <w:p>
      <w:pPr>
        <w:pStyle w:val="TextBody"/>
        <w:bidi w:val="0"/>
        <w:spacing w:before="200" w:after="283"/>
        <w:jc w:val="left"/>
        <w:rPr>
          <w:rFonts w:ascii="sans-serif" w:hAnsi="sans-serif"/>
          <w:color w:val="000000"/>
          <w:sz w:val="20"/>
        </w:rPr>
      </w:pPr>
      <w:r>
        <w:rPr>
          <w:rFonts w:ascii="sans-serif" w:hAnsi="sans-serif"/>
          <w:color w:val="000000"/>
          <w:sz w:val="20"/>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pStyle w:val="TextBody"/>
        <w:bidi w:val="0"/>
        <w:spacing w:before="200" w:after="283"/>
        <w:jc w:val="left"/>
        <w:rPr>
          <w:rFonts w:ascii="Times New Roman" w:hAnsi="Times New Roman"/>
          <w:sz w:val="20"/>
        </w:rPr>
      </w:pPr>
      <w:r>
        <w:rPr>
          <w:rFonts w:ascii="sans-serif" w:hAnsi="sans-serif"/>
          <w:color w:val="000000"/>
          <w:sz w:val="20"/>
        </w:rPr>
        <w:t>The Company is also subject to credit risk from our accounts receivable related to our product sales. The Company monitors exposure within accounts receivable and records an allowance for credit losses as necessary. The Company extends credit primarily to wholesale distributors. Customer creditworthiness is monitored and collateral is not required. The allowance for credit losses reflects the best estimate of expected credit losses of the accounts receivable portfolio determined on the basis of historical experience, current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information, and forecasts of future economic conditions. The Company determines its allowance methodology by pooling receivable balances at the customer level. The Company considers various factors, including its previous loss history, individual credit risk associated with each customer, and the current and future conditions of the general economy. These credit risk factors are monitored on a quarterly basis and updated as necessary. To the extent that any individual debtor is identified whose credit quality has deteriorated, the Company establishes allowances based on the individual risk characteristics of such customer. The Company makes concerted efforts to collect all outstanding balances due from customers; however, account balances are charged off against the allowance when management believes it is probable the receivable will not be recovered. The Company does not have any off-balance-sheet credit exposure related to customers.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As of June 30, 2026, three</w:t>
      </w:r>
      <w:r>
        <w:rPr>
          <w:rFonts w:ascii="Times New Roman" w:hAnsi="Times New Roman"/>
          <w:color w:val="000000"/>
          <w:sz w:val="20"/>
        </w:rPr>
        <w:t xml:space="preserve"> </w:t>
      </w:r>
      <w:r>
        <w:rPr>
          <w:rFonts w:ascii="sans-serif" w:hAnsi="sans-serif"/>
          <w:color w:val="000000"/>
          <w:sz w:val="20"/>
        </w:rPr>
        <w:t>customers accounted for 81% of the accounts receivable balance, with each of these individual customers ranging from 24% to 29% of the accounts receivable balance. As of December 31, 2025, three</w:t>
      </w:r>
      <w:r>
        <w:rPr>
          <w:rFonts w:ascii="Times New Roman" w:hAnsi="Times New Roman"/>
          <w:color w:val="000000"/>
          <w:sz w:val="20"/>
        </w:rPr>
        <w:t xml:space="preserve"> </w:t>
      </w:r>
      <w:r>
        <w:rPr>
          <w:rFonts w:ascii="sans-serif" w:hAnsi="sans-serif"/>
          <w:color w:val="000000"/>
          <w:sz w:val="20"/>
        </w:rPr>
        <w:t>customers accounted for 78% of the accounts receivable balance, with each of these individual customers ranging from 19% to 30% of the accounts receivable balance. For the three and six months ended June 30, 2026, three</w:t>
      </w:r>
      <w:r>
        <w:rPr>
          <w:rFonts w:ascii="Times New Roman" w:hAnsi="Times New Roman"/>
          <w:color w:val="000000"/>
          <w:sz w:val="20"/>
        </w:rPr>
        <w:t xml:space="preserve"> </w:t>
      </w:r>
      <w:r>
        <w:rPr>
          <w:rFonts w:ascii="sans-serif" w:hAnsi="sans-serif"/>
          <w:color w:val="000000"/>
          <w:sz w:val="20"/>
        </w:rPr>
        <w:t>customers accounted for 67% and 68% of product sales in each period, with each of these individual customers ranging from 20% to 24% of product sales. For the three and six months ended June 30, 2025, three</w:t>
      </w:r>
      <w:r>
        <w:rPr>
          <w:rFonts w:ascii="Times New Roman" w:hAnsi="Times New Roman"/>
          <w:color w:val="000000"/>
          <w:sz w:val="20"/>
        </w:rPr>
        <w:t xml:space="preserve"> </w:t>
      </w:r>
      <w:r>
        <w:rPr>
          <w:rFonts w:ascii="sans-serif" w:hAnsi="sans-serif"/>
          <w:color w:val="000000"/>
          <w:sz w:val="20"/>
        </w:rPr>
        <w:t>customers accounted for 69% and 72% of product sales in each period, with each of these individual customers ranging from 22% to 24% of product sales in both periods.</w:t>
      </w:r>
    </w:p>
    <w:p>
      <w:pPr>
        <w:pStyle w:val="TextBody"/>
        <w:bidi w:val="0"/>
        <w:spacing w:before="200" w:after="283"/>
        <w:jc w:val="left"/>
        <w:rPr>
          <w:rFonts w:ascii="Times New Roman" w:hAnsi="Times New Roman"/>
          <w:sz w:val="20"/>
        </w:rPr>
      </w:pPr>
      <w:r>
        <w:rPr>
          <w:rFonts w:ascii="sans-serif" w:hAnsi="sans-serif"/>
          <w:b/>
          <w:i/>
          <w:color w:val="000000"/>
          <w:sz w:val="20"/>
        </w:rPr>
        <w:t>Net Loss Per Share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Basic net loss per share is computed by dividing the net loss by the weighted-average number of common shares outstanding and pre-funded warrants outstanding for the period, without consideration for other potentially dilutive securities. For the three and six months ended June 30, 2026 and 2025, basic shares outstanding includes the weighted average effect of the Company’s outstanding pre-funded warrants, the exercise of which requires little or no consideration for the delivery of shares of common stock. For the three and six months ended June 30, 2026 and 2025, the Company had no</w:t>
      </w:r>
      <w:r>
        <w:rPr>
          <w:rFonts w:ascii="Times New Roman" w:hAnsi="Times New Roman"/>
          <w:color w:val="000000"/>
          <w:sz w:val="20"/>
        </w:rPr>
        <w:t xml:space="preserve"> </w:t>
      </w:r>
      <w:r>
        <w:rPr>
          <w:rFonts w:ascii="sans-serif" w:hAnsi="sans-serif"/>
          <w:color w:val="000000"/>
          <w:sz w:val="20"/>
        </w:rPr>
        <w:t>weighted-average unvested shares to exclude from the weighted-average number of common shares outstanding. Diluted net loss per share is computed by dividing the net loss by the weighted-average number of common shares and dilutive common stock equivalents outstanding for the period determined using the treasury-stock and if-converted methods. Dilutive common stock equivalents are comprised of unvested common stock, options and warrants. For the periods presented, there is no difference in the number of shares used to calculate basic and diluted shares outstanding as inclusion of the potentially dilutive securities (warrants, stock options, and restricted stock units) would be antidilutive.</w:t>
      </w:r>
    </w:p>
    <w:p>
      <w:pPr>
        <w:pStyle w:val="TextBody"/>
        <w:bidi w:val="0"/>
        <w:spacing w:before="200" w:after="283"/>
        <w:jc w:val="left"/>
        <w:rPr>
          <w:rFonts w:ascii="Times New Roman" w:hAnsi="Times New Roman"/>
          <w:sz w:val="20"/>
        </w:rPr>
      </w:pPr>
      <w:r>
        <w:rPr>
          <w:rFonts w:ascii="sans-serif" w:hAnsi="sans-serif"/>
          <w:b/>
          <w:color w:val="000000"/>
          <w:sz w:val="20"/>
        </w:rPr>
        <w:t>Recently Adopted Accounting Standards</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There were no recently adopted accounting standards which would have a material impact on the Company's unaudited interim condensed financial statements.</w:t>
      </w:r>
    </w:p>
    <w:p>
      <w:pPr>
        <w:pStyle w:val="TextBody"/>
        <w:bidi w:val="0"/>
        <w:spacing w:before="200" w:after="283"/>
        <w:jc w:val="left"/>
        <w:rPr>
          <w:rFonts w:ascii="sans-serif" w:hAnsi="sans-serif"/>
          <w:b/>
          <w:color w:val="000000"/>
          <w:sz w:val="20"/>
        </w:rPr>
      </w:pPr>
      <w:r>
        <w:rPr>
          <w:rFonts w:ascii="sans-serif" w:hAnsi="sans-serif"/>
          <w:b/>
          <w:color w:val="000000"/>
          <w:sz w:val="20"/>
        </w:rPr>
        <w:t>Recently Issued Accounting Pronouncements</w:t>
      </w:r>
    </w:p>
    <w:p>
      <w:pPr>
        <w:pStyle w:val="TextBody"/>
        <w:bidi w:val="0"/>
        <w:spacing w:before="200" w:after="283"/>
        <w:jc w:val="left"/>
        <w:rPr>
          <w:rFonts w:ascii="Times New Roman" w:hAnsi="Times New Roman"/>
          <w:sz w:val="20"/>
        </w:rPr>
      </w:pPr>
      <w:r>
        <w:rPr>
          <w:rFonts w:ascii="sans-serif" w:hAnsi="sans-serif"/>
          <w:color w:val="000000"/>
          <w:sz w:val="20"/>
        </w:rPr>
        <w:t xml:space="preserve">In November 2024, the FASB issued </w:t>
      </w:r>
      <w:r>
        <w:rPr>
          <w:rFonts w:ascii="sans-serif" w:hAnsi="sans-serif"/>
          <w:i/>
          <w:color w:val="000000"/>
          <w:sz w:val="20"/>
        </w:rPr>
        <w:t>ASU 2024-03 - Disaggregation of Income Statement Expenses</w:t>
      </w:r>
      <w:r>
        <w:rPr>
          <w:rFonts w:ascii="sans-serif" w:hAnsi="sans-serif"/>
          <w:color w:val="000000"/>
          <w:sz w:val="20"/>
        </w:rPr>
        <w:t>, which requires more detailed disclosures about specified categories of expenses (including employee compensation, depreciation, and amortization) included in certain expense captions presented on the face of the income statement. ASU 2024-03 is effective for fiscal years beginning after December 15, 2026, and for interim periods within fiscal years beginning after December 15, 2027, may be applied prospectively or retrospectively, and allows for early adoption. This standard is not expected to have an impact on any amounts recognized in our financial statements, but will result in more detailed disclosures addressing the categorization of expenses.</w:t>
      </w:r>
    </w:p>
    <w:p>
      <w:pPr>
        <w:pStyle w:val="TextBody"/>
        <w:bidi w:val="0"/>
        <w:spacing w:before="200" w:after="283"/>
        <w:jc w:val="left"/>
        <w:rPr>
          <w:rFonts w:ascii="Times New Roman" w:hAnsi="Times New Roman"/>
          <w:sz w:val="20"/>
        </w:rPr>
      </w:pPr>
      <w:r>
        <w:rPr>
          <w:rFonts w:ascii="sans-serif" w:hAnsi="sans-serif"/>
          <w:color w:val="000000"/>
          <w:sz w:val="20"/>
        </w:rPr>
        <w:t>The Company assesses the adoption impact of recently issued accounting standards by the Financial Accounting Standards Board or other standard setting bodies on the Company's financial statements as well as material updates to previous assessments, if any, from the Company’s 2025 Form 10-K. There were no new accounting standards issued in the second quarter of 2026</w:t>
      </w:r>
      <w:r>
        <w:rPr>
          <w:rFonts w:ascii="Times New Roman" w:hAnsi="Times New Roman"/>
          <w:color w:val="000000"/>
          <w:sz w:val="20"/>
        </w:rPr>
        <w:t xml:space="preserve"> </w:t>
      </w:r>
      <w:r>
        <w:rPr>
          <w:rFonts w:ascii="sans-serif" w:hAnsi="sans-serif"/>
          <w:color w:val="000000"/>
          <w:sz w:val="20"/>
        </w:rPr>
        <w:t>that are expected to materially impact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2. Balance Sheet Details</w:t>
      </w:r>
    </w:p>
    <w:p>
      <w:pPr>
        <w:pStyle w:val="TextBody"/>
        <w:bidi w:val="0"/>
        <w:spacing w:before="200" w:after="283"/>
        <w:jc w:val="left"/>
        <w:rPr>
          <w:rFonts w:ascii="sans-serif" w:hAnsi="sans-serif"/>
          <w:b/>
          <w:i/>
          <w:color w:val="000000"/>
          <w:sz w:val="20"/>
        </w:rPr>
      </w:pPr>
      <w:r>
        <w:rPr>
          <w:rFonts w:ascii="sans-serif" w:hAnsi="sans-serif"/>
          <w:b/>
          <w:i/>
          <w:color w:val="000000"/>
          <w:sz w:val="20"/>
        </w:rPr>
        <w:t>Accrued Expenses</w:t>
      </w:r>
    </w:p>
    <w:p>
      <w:pPr>
        <w:pStyle w:val="TextBody"/>
        <w:bidi w:val="0"/>
        <w:spacing w:before="200" w:after="200"/>
        <w:jc w:val="left"/>
        <w:rPr>
          <w:rFonts w:ascii="sans-serif" w:hAnsi="sans-serif"/>
          <w:color w:val="000000"/>
          <w:sz w:val="20"/>
        </w:rPr>
      </w:pPr>
      <w:r>
        <w:rPr>
          <w:rFonts w:ascii="sans-serif" w:hAnsi="sans-serif"/>
          <w:color w:val="000000"/>
          <w:sz w:val="20"/>
        </w:rPr>
        <w:t>Accrued expenses consist of the following (in thousands):</w:t>
      </w:r>
    </w:p>
    <w:tbl>
      <w:tblPr>
        <w:tblW w:w="7952" w:type="dxa"/>
        <w:jc w:val="left"/>
        <w:tblInd w:w="0" w:type="dxa"/>
        <w:tblLayout w:type="fixed"/>
        <w:tblCellMar>
          <w:top w:w="28" w:type="dxa"/>
          <w:left w:w="28" w:type="dxa"/>
          <w:bottom w:w="28" w:type="dxa"/>
          <w:right w:w="28" w:type="dxa"/>
        </w:tblCellMar>
      </w:tblPr>
      <w:tblGrid>
        <w:gridCol w:w="4561"/>
        <w:gridCol w:w="146"/>
        <w:gridCol w:w="226"/>
        <w:gridCol w:w="886"/>
        <w:gridCol w:w="146"/>
        <w:gridCol w:w="146"/>
        <w:gridCol w:w="375"/>
        <w:gridCol w:w="1275"/>
        <w:gridCol w:w="1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Accrued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Accrued professional &amp; consulting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Accrued revenue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65,462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6,920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109,027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89,831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sans-serif" w:hAnsi="sans-serif"/>
          <w:b/>
          <w:i/>
          <w:color w:val="000000"/>
          <w:sz w:val="20"/>
        </w:rPr>
      </w:pPr>
      <w:r>
        <w:rPr>
          <w:rFonts w:ascii="sans-serif" w:hAnsi="sans-serif"/>
          <w:b/>
          <w:i/>
          <w:color w:val="000000"/>
          <w:sz w:val="20"/>
        </w:rPr>
        <w:t>Inventory</w:t>
      </w:r>
    </w:p>
    <w:p>
      <w:pPr>
        <w:pStyle w:val="TextBody"/>
        <w:bidi w:val="0"/>
        <w:spacing w:before="200" w:after="200"/>
        <w:jc w:val="left"/>
        <w:rPr>
          <w:rFonts w:ascii="sans-serif" w:hAnsi="sans-serif"/>
          <w:color w:val="000000"/>
          <w:sz w:val="20"/>
        </w:rPr>
      </w:pPr>
      <w:r>
        <w:rPr>
          <w:rFonts w:ascii="sans-serif" w:hAnsi="sans-serif"/>
          <w:color w:val="000000"/>
          <w:sz w:val="20"/>
        </w:rPr>
        <w:t>Inventory consists of the following (in thousands):</w:t>
      </w:r>
    </w:p>
    <w:tbl>
      <w:tblPr>
        <w:tblW w:w="6060" w:type="dxa"/>
        <w:jc w:val="left"/>
        <w:tblInd w:w="0" w:type="dxa"/>
        <w:tblLayout w:type="fixed"/>
        <w:tblCellMar>
          <w:top w:w="28" w:type="dxa"/>
          <w:left w:w="28" w:type="dxa"/>
          <w:bottom w:w="28" w:type="dxa"/>
          <w:right w:w="28" w:type="dxa"/>
        </w:tblCellMar>
      </w:tblPr>
      <w:tblGrid>
        <w:gridCol w:w="2776"/>
        <w:gridCol w:w="146"/>
        <w:gridCol w:w="229"/>
        <w:gridCol w:w="776"/>
        <w:gridCol w:w="146"/>
        <w:gridCol w:w="146"/>
        <w:gridCol w:w="375"/>
        <w:gridCol w:w="1275"/>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inventory,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Raw materials,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21,827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29,540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26,250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sans-serif" w:hAnsi="sans-serif"/>
          <w:color w:val="000000"/>
          <w:sz w:val="20"/>
        </w:rPr>
      </w:pPr>
      <w:r>
        <w:rPr>
          <w:rFonts w:ascii="sans-serif" w:hAnsi="sans-serif"/>
          <w:color w:val="000000"/>
          <w:sz w:val="20"/>
        </w:rPr>
        <w:t>Raw materials consist of materials, including active pharmaceutical ingredients, to be consumed in the production of inventory related to FDA-approved products. Inventory that is used for clinical development purposes is expensed to research and development expense when consumed. Inventory, noncurrent includes inventory expected to remain on-hand beyond one year from the balance sheet dates presented.</w:t>
      </w:r>
    </w:p>
    <w:p>
      <w:pPr>
        <w:pStyle w:val="TextBody"/>
        <w:bidi w:val="0"/>
        <w:spacing w:before="200" w:after="283"/>
        <w:jc w:val="left"/>
        <w:rPr>
          <w:rFonts w:ascii="Times New Roman" w:hAnsi="Times New Roman"/>
          <w:sz w:val="20"/>
        </w:rPr>
      </w:pPr>
      <w:r>
        <w:rPr>
          <w:rFonts w:ascii="sans-serif" w:hAnsi="sans-serif"/>
          <w:b/>
          <w:color w:val="000000"/>
          <w:sz w:val="20"/>
        </w:rPr>
        <w:t>3. Commitments and Contingencies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b/>
          <w:i/>
          <w:color w:val="000000"/>
          <w:sz w:val="20"/>
        </w:rPr>
        <w:t>License Agreement</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On May 7, 2019, the Company entered into a license agreement with Takeda pursuant to which it was granted an exclusive license to commercialize vonoprazan fumarate in the United States, Canada and Europe, or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pStyle w:val="TextBody"/>
        <w:bidi w:val="0"/>
        <w:spacing w:before="200" w:after="283"/>
        <w:jc w:val="left"/>
        <w:rPr>
          <w:rFonts w:ascii="Times New Roman" w:hAnsi="Times New Roman"/>
          <w:sz w:val="20"/>
        </w:rPr>
      </w:pPr>
      <w:r>
        <w:rPr>
          <w:rFonts w:ascii="sans-serif" w:hAnsi="sans-serif"/>
          <w:color w:val="000000"/>
          <w:sz w:val="20"/>
        </w:rPr>
        <w:t>In consideration of the Takeda License, the Company (i) paid Takeda $25</w:t>
      </w:r>
      <w:r>
        <w:rPr>
          <w:rFonts w:ascii="Times New Roman" w:hAnsi="Times New Roman"/>
          <w:color w:val="000000"/>
          <w:sz w:val="20"/>
        </w:rPr>
        <w:t xml:space="preserve"> </w:t>
      </w:r>
      <w:r>
        <w:rPr>
          <w:rFonts w:ascii="sans-serif" w:hAnsi="sans-serif"/>
          <w:color w:val="000000"/>
          <w:sz w:val="20"/>
        </w:rPr>
        <w:t>million in cash, (ii) issued Takeda 1,084,000</w:t>
      </w:r>
      <w:r>
        <w:rPr>
          <w:rFonts w:ascii="Times New Roman" w:hAnsi="Times New Roman"/>
          <w:color w:val="000000"/>
          <w:sz w:val="20"/>
        </w:rPr>
        <w:t xml:space="preserve"> </w:t>
      </w:r>
      <w:r>
        <w:rPr>
          <w:rFonts w:ascii="sans-serif" w:hAnsi="sans-serif"/>
          <w:color w:val="000000"/>
          <w:sz w:val="20"/>
        </w:rPr>
        <w:t>shares of its common stock at a fair value of $5.9</w:t>
      </w:r>
      <w:r>
        <w:rPr>
          <w:rFonts w:ascii="Times New Roman" w:hAnsi="Times New Roman"/>
          <w:color w:val="000000"/>
          <w:sz w:val="20"/>
        </w:rPr>
        <w:t xml:space="preserve"> </w:t>
      </w:r>
      <w:r>
        <w:rPr>
          <w:rFonts w:ascii="sans-serif" w:hAnsi="sans-serif"/>
          <w:color w:val="000000"/>
          <w:sz w:val="20"/>
        </w:rPr>
        <w:t>million, (iii) issued the Takeda Warrant to purchase 7,588,000</w:t>
      </w:r>
      <w:r>
        <w:rPr>
          <w:rFonts w:ascii="Times New Roman" w:hAnsi="Times New Roman"/>
          <w:color w:val="000000"/>
          <w:sz w:val="20"/>
        </w:rPr>
        <w:t xml:space="preserve"> </w:t>
      </w:r>
      <w:r>
        <w:rPr>
          <w:rFonts w:ascii="sans-serif" w:hAnsi="sans-serif"/>
          <w:color w:val="000000"/>
          <w:sz w:val="20"/>
        </w:rPr>
        <w:t>shares of its common stock at an exercise price of $0.00004613</w:t>
      </w:r>
      <w:r>
        <w:rPr>
          <w:rFonts w:ascii="Times New Roman" w:hAnsi="Times New Roman"/>
          <w:color w:val="000000"/>
          <w:sz w:val="20"/>
        </w:rPr>
        <w:t xml:space="preserve"> </w:t>
      </w:r>
      <w:r>
        <w:rPr>
          <w:rFonts w:ascii="sans-serif" w:hAnsi="sans-serif"/>
          <w:color w:val="000000"/>
          <w:sz w:val="20"/>
        </w:rPr>
        <w:t>per share at an initial fair value of $47.9</w:t>
      </w:r>
      <w:r>
        <w:rPr>
          <w:rFonts w:ascii="Times New Roman" w:hAnsi="Times New Roman"/>
          <w:color w:val="000000"/>
          <w:sz w:val="20"/>
        </w:rPr>
        <w:t xml:space="preserve"> </w:t>
      </w:r>
      <w:r>
        <w:rPr>
          <w:rFonts w:ascii="sans-serif" w:hAnsi="sans-serif"/>
          <w:color w:val="000000"/>
          <w:sz w:val="20"/>
        </w:rPr>
        <w:t>million, and (iv) issued a right to receive an additional common stock warrant, or the Takeda Warrant Right,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initial public offering, or IPO, with a nominal initial fair value due to the low probability of issuance. The Takeda Warrant Right expired without effect since no fair value had been allocated to it upon completion of the IPO, and no</w:t>
      </w:r>
      <w:r>
        <w:rPr>
          <w:rFonts w:ascii="Times New Roman" w:hAnsi="Times New Roman"/>
          <w:color w:val="000000"/>
          <w:sz w:val="20"/>
        </w:rPr>
        <w:t xml:space="preserve"> </w:t>
      </w:r>
      <w:r>
        <w:rPr>
          <w:rFonts w:ascii="sans-serif" w:hAnsi="sans-serif"/>
          <w:color w:val="000000"/>
          <w:sz w:val="20"/>
        </w:rPr>
        <w:t>additional warrant was issued. In addition, the Company is obligated to pay Takeda up to an aggregate of $250</w:t>
      </w:r>
      <w:r>
        <w:rPr>
          <w:rFonts w:ascii="Times New Roman" w:hAnsi="Times New Roman"/>
          <w:color w:val="000000"/>
          <w:sz w:val="20"/>
        </w:rPr>
        <w:t xml:space="preserve"> </w:t>
      </w:r>
      <w:r>
        <w:rPr>
          <w:rFonts w:ascii="sans-serif" w:hAnsi="sans-serif"/>
          <w:color w:val="000000"/>
          <w:sz w:val="20"/>
        </w:rPr>
        <w:t>million in sales milestones upon the achievement of specified levels of product sales, and a low double-digit royalty rate on aggregate net sales of licensed products, subject to certain adjustments. The Takeda Warrant had an exercise price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$0.00004613</w:t>
      </w:r>
      <w:r>
        <w:rPr>
          <w:rFonts w:ascii="Times New Roman" w:hAnsi="Times New Roman"/>
          <w:color w:val="000000"/>
          <w:sz w:val="20"/>
        </w:rPr>
        <w:t xml:space="preserve"> </w:t>
      </w:r>
      <w:r>
        <w:rPr>
          <w:rFonts w:ascii="sans-serif" w:hAnsi="sans-serif"/>
          <w:color w:val="000000"/>
          <w:sz w:val="20"/>
        </w:rPr>
        <w:t>per share, and was to expire on May 7, 2029</w:t>
      </w:r>
      <w:r>
        <w:rPr>
          <w:rFonts w:ascii="Times New Roman" w:hAnsi="Times New Roman"/>
          <w:color w:val="000000"/>
          <w:sz w:val="20"/>
        </w:rPr>
        <w:t xml:space="preserve"> </w:t>
      </w:r>
      <w:r>
        <w:rPr>
          <w:rFonts w:ascii="sans-serif" w:hAnsi="sans-serif"/>
          <w:color w:val="000000"/>
          <w:sz w:val="20"/>
        </w:rPr>
        <w:t>and became exercisable upon the consummation of the IPO. All Takeda Warrants were exercised by March 2022.</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During the three months ended June 30, 2026 and 2025, the Company recorded $7.4</w:t>
      </w:r>
      <w:r>
        <w:rPr>
          <w:rFonts w:ascii="Times New Roman" w:hAnsi="Times New Roman"/>
          <w:color w:val="000000"/>
          <w:sz w:val="20"/>
        </w:rPr>
        <w:t xml:space="preserve"> </w:t>
      </w:r>
      <w:r>
        <w:rPr>
          <w:rFonts w:ascii="sans-serif" w:hAnsi="sans-serif"/>
          <w:color w:val="000000"/>
          <w:sz w:val="20"/>
        </w:rPr>
        <w:t>million and $4.0</w:t>
      </w:r>
      <w:r>
        <w:rPr>
          <w:rFonts w:ascii="Times New Roman" w:hAnsi="Times New Roman"/>
          <w:color w:val="000000"/>
          <w:sz w:val="20"/>
        </w:rPr>
        <w:t xml:space="preserve"> </w:t>
      </w:r>
      <w:r>
        <w:rPr>
          <w:rFonts w:ascii="sans-serif" w:hAnsi="sans-serif"/>
          <w:color w:val="000000"/>
          <w:sz w:val="20"/>
        </w:rPr>
        <w:t>million, respectively, of royalty expense under the Takeda License, of which $7.4</w:t>
      </w:r>
      <w:r>
        <w:rPr>
          <w:rFonts w:ascii="Times New Roman" w:hAnsi="Times New Roman"/>
          <w:color w:val="000000"/>
          <w:sz w:val="20"/>
        </w:rPr>
        <w:t xml:space="preserve"> </w:t>
      </w:r>
      <w:r>
        <w:rPr>
          <w:rFonts w:ascii="sans-serif" w:hAnsi="sans-serif"/>
          <w:color w:val="000000"/>
          <w:sz w:val="20"/>
        </w:rPr>
        <w:t>million is included within accrued expenses as of June 30, 2026. During the six months ended June 30, 2026 and 2025, the Company recorded $13.3</w:t>
      </w:r>
      <w:r>
        <w:rPr>
          <w:rFonts w:ascii="Times New Roman" w:hAnsi="Times New Roman"/>
          <w:color w:val="000000"/>
          <w:sz w:val="20"/>
        </w:rPr>
        <w:t xml:space="preserve"> </w:t>
      </w:r>
      <w:r>
        <w:rPr>
          <w:rFonts w:ascii="sans-serif" w:hAnsi="sans-serif"/>
          <w:color w:val="000000"/>
          <w:sz w:val="20"/>
        </w:rPr>
        <w:t>million and $6.8</w:t>
      </w:r>
      <w:r>
        <w:rPr>
          <w:rFonts w:ascii="Times New Roman" w:hAnsi="Times New Roman"/>
          <w:color w:val="000000"/>
          <w:sz w:val="20"/>
        </w:rPr>
        <w:t xml:space="preserve"> </w:t>
      </w:r>
      <w:r>
        <w:rPr>
          <w:rFonts w:ascii="sans-serif" w:hAnsi="sans-serif"/>
          <w:color w:val="000000"/>
          <w:sz w:val="20"/>
        </w:rPr>
        <w:t>million, respectively, of royalty expense under the Takeda License.</w:t>
      </w:r>
    </w:p>
    <w:p>
      <w:pPr>
        <w:pStyle w:val="TextBody"/>
        <w:bidi w:val="0"/>
        <w:spacing w:before="200" w:after="283"/>
        <w:jc w:val="left"/>
        <w:rPr>
          <w:rFonts w:ascii="Times New Roman" w:hAnsi="Times New Roman"/>
          <w:sz w:val="20"/>
        </w:rPr>
      </w:pPr>
      <w:r>
        <w:rPr>
          <w:rFonts w:ascii="sans-serif" w:hAnsi="sans-serif"/>
          <w:b/>
          <w:i/>
          <w:color w:val="000000"/>
          <w:sz w:val="20"/>
        </w:rPr>
        <w:t>Purchase Commitments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In December 2020, the Company entered into a supply agreement with Sandoz pursuant to which Sandoz supplies commercial quantities of amoxicillin capsules and clarithromycin tablets, packages these antibiotics with vonoprazan, and provides finished convenience packs which the Company sells as the VOQUEZNA DUAL PAK and the VOQUEZNA TRIPLE PAK. The supply agreement commits the Company to annual minimum purchase obligations. In March 2026, the Company entered into the second amendment to the supply agreement, or the Second Amendment, and as amended, the Amended Supply Agreement, whereby the parties agreed to the payment amount to be made by the Company to satisfy the remaining portion of the 2025 minimum purchase obligation of approximately $1.1</w:t>
      </w:r>
      <w:r>
        <w:rPr>
          <w:rFonts w:ascii="Times New Roman" w:hAnsi="Times New Roman"/>
          <w:color w:val="000000"/>
          <w:sz w:val="20"/>
        </w:rPr>
        <w:t xml:space="preserve"> </w:t>
      </w:r>
      <w:r>
        <w:rPr>
          <w:rFonts w:ascii="sans-serif" w:hAnsi="sans-serif"/>
          <w:color w:val="000000"/>
          <w:sz w:val="20"/>
        </w:rPr>
        <w:t>million, which was paid during the second quarter of 2026, and agreed to set the minimum purchase quantity for 2026. The parties further agreed that the determination of the minimum purchase obligation for years after 2026 would be mutually agreed by the parties at a specified time period prior to the end of the immediately preceding calendar year. In case the parties fail to reach an agreement on the minimum purchase obligation by such date, each party may terminate this agreement on twenty-four months prior written notice. The Second Amendment also included a price adjustment.</w:t>
      </w:r>
    </w:p>
    <w:p>
      <w:pPr>
        <w:pStyle w:val="TextBody"/>
        <w:bidi w:val="0"/>
        <w:spacing w:before="200" w:after="283"/>
        <w:jc w:val="left"/>
        <w:rPr>
          <w:rFonts w:ascii="Times New Roman" w:hAnsi="Times New Roman"/>
          <w:sz w:val="20"/>
        </w:rPr>
      </w:pPr>
      <w:r>
        <w:rPr>
          <w:rFonts w:ascii="sans-serif" w:hAnsi="sans-serif"/>
          <w:color w:val="000000"/>
          <w:sz w:val="20"/>
        </w:rPr>
        <w:t>The Company incurred $0.5</w:t>
      </w:r>
      <w:r>
        <w:rPr>
          <w:rFonts w:ascii="Times New Roman" w:hAnsi="Times New Roman"/>
          <w:color w:val="000000"/>
          <w:sz w:val="20"/>
        </w:rPr>
        <w:t xml:space="preserve"> </w:t>
      </w:r>
      <w:r>
        <w:rPr>
          <w:rFonts w:ascii="sans-serif" w:hAnsi="sans-serif"/>
          <w:color w:val="000000"/>
          <w:sz w:val="20"/>
        </w:rPr>
        <w:t>million and $0.1</w:t>
      </w:r>
      <w:r>
        <w:rPr>
          <w:rFonts w:ascii="Times New Roman" w:hAnsi="Times New Roman"/>
          <w:color w:val="000000"/>
          <w:sz w:val="20"/>
        </w:rPr>
        <w:t xml:space="preserve"> </w:t>
      </w:r>
      <w:r>
        <w:rPr>
          <w:rFonts w:ascii="sans-serif" w:hAnsi="sans-serif"/>
          <w:color w:val="000000"/>
          <w:sz w:val="20"/>
        </w:rPr>
        <w:t>million of expense under the agreement with Sandoz during the three months ended June 30, 2026 and 2025, respectively. During the six months ended June 30, 2026 and 2025, the Company incurred $0.5</w:t>
      </w:r>
      <w:r>
        <w:rPr>
          <w:rFonts w:ascii="Times New Roman" w:hAnsi="Times New Roman"/>
          <w:color w:val="000000"/>
          <w:sz w:val="20"/>
        </w:rPr>
        <w:t xml:space="preserve"> </w:t>
      </w:r>
      <w:r>
        <w:rPr>
          <w:rFonts w:ascii="sans-serif" w:hAnsi="sans-serif"/>
          <w:color w:val="000000"/>
          <w:sz w:val="20"/>
        </w:rPr>
        <w:t>million and $0.2</w:t>
      </w:r>
      <w:r>
        <w:rPr>
          <w:rFonts w:ascii="Times New Roman" w:hAnsi="Times New Roman"/>
          <w:color w:val="000000"/>
          <w:sz w:val="20"/>
        </w:rPr>
        <w:t xml:space="preserve"> </w:t>
      </w:r>
      <w:r>
        <w:rPr>
          <w:rFonts w:ascii="sans-serif" w:hAnsi="sans-serif"/>
          <w:color w:val="000000"/>
          <w:sz w:val="20"/>
        </w:rPr>
        <w:t>million, respectively, under the agreement.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Company had previously been informed by Sandoz that there could be a disruption in the supply of clarithromycin tablets, a component of the VOQUEZNA TRIPLE PAK, which could lead to a disruption in supply of the VOQUEZNA TRIPLE PAKs. Given more recent communications, however, the Company does not currently anticipate any near-term disruptions. The Company plans to continue to actively monitor the situation to determine if a supply disruption may arise in the future. The VOQUEZNA TRIPLE PAK represented approximately 1% of the Company's total revenue for 2025. While the Company has not experienced any commercial disruption to date, any disruption for such supply would result in the Company's inability to continue to commercialize the VOQUEZNA TRIPLE PAK. The VOQUEZNA bottles and the VOQUEZNA DUAL PAKs are not impacted, as they do not include clarithromycin.</w:t>
      </w:r>
      <w:r>
        <w:rPr>
          <w:rFonts w:ascii="Times New Roman" w:hAnsi="Times New Roman"/>
          <w:color w:val="000000"/>
          <w:sz w:val="20"/>
        </w:rPr>
        <w:t xml:space="preserve"> </w:t>
      </w:r>
    </w:p>
    <w:p>
      <w:pPr>
        <w:pStyle w:val="TextBody"/>
        <w:bidi w:val="0"/>
        <w:spacing w:before="200" w:after="283"/>
        <w:jc w:val="left"/>
        <w:rPr>
          <w:rFonts w:ascii="sans-serif" w:hAnsi="sans-serif"/>
          <w:b/>
          <w:i/>
          <w:color w:val="000000"/>
          <w:sz w:val="20"/>
        </w:rPr>
      </w:pPr>
      <w:r>
        <w:rPr>
          <w:rFonts w:ascii="sans-serif" w:hAnsi="sans-serif"/>
          <w:b/>
          <w:i/>
          <w:color w:val="000000"/>
          <w:sz w:val="20"/>
        </w:rPr>
        <w:t>Contingencies</w:t>
      </w:r>
    </w:p>
    <w:p>
      <w:pPr>
        <w:pStyle w:val="TextBody"/>
        <w:bidi w:val="0"/>
        <w:spacing w:before="200" w:after="283"/>
        <w:jc w:val="left"/>
        <w:rPr>
          <w:rFonts w:ascii="Times New Roman" w:hAnsi="Times New Roman"/>
          <w:sz w:val="20"/>
        </w:rPr>
      </w:pPr>
      <w:r>
        <w:rPr>
          <w:rFonts w:ascii="sans-serif" w:hAnsi="sans-serif"/>
          <w:color w:val="000000"/>
          <w:sz w:val="20"/>
        </w:rPr>
        <w:t>In the event the Company becomes subject to claims or suits arising in the ordinary course of business, the Company would accrue a liability for such matters when it is probable that future expenditures will be made and such expenditures can be reasonably estimated.</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4. Lease Commitments</w:t>
      </w:r>
    </w:p>
    <w:p>
      <w:pPr>
        <w:pStyle w:val="TextBody"/>
        <w:bidi w:val="0"/>
        <w:spacing w:before="200" w:after="283"/>
        <w:jc w:val="left"/>
        <w:rPr>
          <w:rFonts w:ascii="Times New Roman" w:hAnsi="Times New Roman"/>
          <w:sz w:val="20"/>
        </w:rPr>
      </w:pPr>
      <w:r>
        <w:rPr>
          <w:rFonts w:ascii="sans-serif" w:hAnsi="sans-serif"/>
          <w:color w:val="000000"/>
          <w:sz w:val="20"/>
        </w:rPr>
        <w:t>As of June 30, 2026, the Company had operating leases for office space in both Buffalo Grove, Illinois and Florham Park, New Jersey, with weighted average remaining lease terms of 4.0</w:t>
      </w:r>
      <w:r>
        <w:rPr>
          <w:rFonts w:ascii="Times New Roman" w:hAnsi="Times New Roman"/>
          <w:color w:val="000000"/>
          <w:sz w:val="20"/>
        </w:rPr>
        <w:t xml:space="preserve"> </w:t>
      </w:r>
      <w:r>
        <w:rPr>
          <w:rFonts w:ascii="sans-serif" w:hAnsi="sans-serif"/>
          <w:color w:val="000000"/>
          <w:sz w:val="20"/>
        </w:rPr>
        <w:t>years and 4.7</w:t>
      </w:r>
      <w:r>
        <w:rPr>
          <w:rFonts w:ascii="Times New Roman" w:hAnsi="Times New Roman"/>
          <w:color w:val="000000"/>
          <w:sz w:val="20"/>
        </w:rPr>
        <w:t xml:space="preserve"> </w:t>
      </w:r>
      <w:r>
        <w:rPr>
          <w:rFonts w:ascii="sans-serif" w:hAnsi="sans-serif"/>
          <w:color w:val="000000"/>
          <w:sz w:val="20"/>
        </w:rPr>
        <w:t>years, respectively. In September 2025, the Company entered into amendments to its lease agreements for the New Jersey office space to extend the terms of the leases through February 2031. All</w:t>
      </w:r>
      <w:r>
        <w:rPr>
          <w:rFonts w:ascii="Times New Roman" w:hAnsi="Times New Roman"/>
          <w:color w:val="000000"/>
          <w:sz w:val="20"/>
        </w:rPr>
        <w:t xml:space="preserve"> </w:t>
      </w:r>
      <w:r>
        <w:rPr>
          <w:rFonts w:ascii="sans-serif" w:hAnsi="sans-serif"/>
          <w:color w:val="000000"/>
          <w:sz w:val="20"/>
        </w:rPr>
        <w:t>operating leases contain an option to extend the term for one additional five year period, which was not considered in the determination of the right-of-use asset or lease liability as the Company did not consider it reasonably certain that it would exercise such options.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total rent expense for the three months ended June 30, 2026 and 2025 was $0.2</w:t>
      </w:r>
      <w:r>
        <w:rPr>
          <w:rFonts w:ascii="Times New Roman" w:hAnsi="Times New Roman"/>
          <w:color w:val="000000"/>
          <w:sz w:val="20"/>
        </w:rPr>
        <w:t xml:space="preserve"> </w:t>
      </w:r>
      <w:r>
        <w:rPr>
          <w:rFonts w:ascii="sans-serif" w:hAnsi="sans-serif"/>
          <w:color w:val="000000"/>
          <w:sz w:val="20"/>
        </w:rPr>
        <w:t>million and $0.3</w:t>
      </w:r>
      <w:r>
        <w:rPr>
          <w:rFonts w:ascii="Times New Roman" w:hAnsi="Times New Roman"/>
          <w:color w:val="000000"/>
          <w:sz w:val="20"/>
        </w:rPr>
        <w:t xml:space="preserve"> </w:t>
      </w:r>
      <w:r>
        <w:rPr>
          <w:rFonts w:ascii="sans-serif" w:hAnsi="sans-serif"/>
          <w:color w:val="000000"/>
          <w:sz w:val="20"/>
        </w:rPr>
        <w:t>million, respectively. Total rent expense for the six months ended June 30, 2026 and 2025</w:t>
      </w:r>
      <w:r>
        <w:rPr>
          <w:rFonts w:ascii="Times New Roman" w:hAnsi="Times New Roman"/>
          <w:color w:val="000000"/>
          <w:sz w:val="20"/>
        </w:rPr>
        <w:t xml:space="preserve"> </w:t>
      </w:r>
      <w:r>
        <w:rPr>
          <w:rFonts w:ascii="sans-serif" w:hAnsi="sans-serif"/>
          <w:color w:val="000000"/>
          <w:sz w:val="20"/>
        </w:rPr>
        <w:t>was $0.4</w:t>
      </w:r>
      <w:r>
        <w:rPr>
          <w:rFonts w:ascii="Times New Roman" w:hAnsi="Times New Roman"/>
          <w:color w:val="000000"/>
          <w:sz w:val="20"/>
        </w:rPr>
        <w:t xml:space="preserve"> </w:t>
      </w:r>
      <w:r>
        <w:rPr>
          <w:rFonts w:ascii="sans-serif" w:hAnsi="sans-serif"/>
          <w:color w:val="000000"/>
          <w:sz w:val="20"/>
        </w:rPr>
        <w:t>million and $0.5</w:t>
      </w:r>
      <w:r>
        <w:rPr>
          <w:rFonts w:ascii="Times New Roman" w:hAnsi="Times New Roman"/>
          <w:color w:val="000000"/>
          <w:sz w:val="20"/>
        </w:rPr>
        <w:t xml:space="preserve"> </w:t>
      </w:r>
      <w:r>
        <w:rPr>
          <w:rFonts w:ascii="sans-serif" w:hAnsi="sans-serif"/>
          <w:color w:val="000000"/>
          <w:sz w:val="20"/>
        </w:rPr>
        <w:t>million, respectively. Total short-term lease costs relating to leased vehicles were $1.9</w:t>
      </w:r>
      <w:r>
        <w:rPr>
          <w:rFonts w:ascii="Times New Roman" w:hAnsi="Times New Roman"/>
          <w:color w:val="000000"/>
          <w:sz w:val="20"/>
        </w:rPr>
        <w:t xml:space="preserve"> </w:t>
      </w:r>
      <w:r>
        <w:rPr>
          <w:rFonts w:ascii="sans-serif" w:hAnsi="sans-serif"/>
          <w:color w:val="000000"/>
          <w:sz w:val="20"/>
        </w:rPr>
        <w:t>million and $1.8</w:t>
      </w:r>
      <w:r>
        <w:rPr>
          <w:rFonts w:ascii="Times New Roman" w:hAnsi="Times New Roman"/>
          <w:color w:val="000000"/>
          <w:sz w:val="20"/>
        </w:rPr>
        <w:t xml:space="preserve"> </w:t>
      </w:r>
      <w:r>
        <w:rPr>
          <w:rFonts w:ascii="sans-serif" w:hAnsi="sans-serif"/>
          <w:color w:val="000000"/>
          <w:sz w:val="20"/>
        </w:rPr>
        <w:t>million for the three months ended June 30, 2026 and 2025, respectively. Total short-term lease costs relating to leased vehicles were approximately $3.7</w:t>
      </w:r>
      <w:r>
        <w:rPr>
          <w:rFonts w:ascii="Times New Roman" w:hAnsi="Times New Roman"/>
          <w:color w:val="000000"/>
          <w:sz w:val="20"/>
        </w:rPr>
        <w:t xml:space="preserve"> </w:t>
      </w:r>
      <w:r>
        <w:rPr>
          <w:rFonts w:ascii="sans-serif" w:hAnsi="sans-serif"/>
          <w:color w:val="000000"/>
          <w:sz w:val="20"/>
        </w:rPr>
        <w:t>million and $3.6</w:t>
      </w:r>
      <w:r>
        <w:rPr>
          <w:rFonts w:ascii="Times New Roman" w:hAnsi="Times New Roman"/>
          <w:color w:val="000000"/>
          <w:sz w:val="20"/>
        </w:rPr>
        <w:t xml:space="preserve"> </w:t>
      </w:r>
      <w:r>
        <w:rPr>
          <w:rFonts w:ascii="sans-serif" w:hAnsi="sans-serif"/>
          <w:color w:val="000000"/>
          <w:sz w:val="20"/>
        </w:rPr>
        <w:t>million for the six months ended June 30, 2026 and 2025,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sans-serif" w:hAnsi="sans-serif"/>
          <w:color w:val="000000"/>
          <w:sz w:val="20"/>
        </w:rPr>
      </w:pPr>
      <w:r>
        <w:rPr>
          <w:rFonts w:ascii="sans-serif" w:hAnsi="sans-serif"/>
          <w:color w:val="000000"/>
          <w:sz w:val="20"/>
        </w:rPr>
        <w:t>As of June 30, 2026, the future minimum annual lease payments under the operating leases were as follows (in thousands):</w:t>
      </w:r>
    </w:p>
    <w:tbl>
      <w:tblPr>
        <w:tblW w:w="6480" w:type="dxa"/>
        <w:jc w:val="left"/>
        <w:tblInd w:w="0" w:type="dxa"/>
        <w:tblLayout w:type="fixed"/>
        <w:tblCellMar>
          <w:top w:w="28" w:type="dxa"/>
          <w:left w:w="28" w:type="dxa"/>
          <w:bottom w:w="28" w:type="dxa"/>
          <w:right w:w="28" w:type="dxa"/>
        </w:tblCellMar>
      </w:tblPr>
      <w:tblGrid>
        <w:gridCol w:w="5071"/>
        <w:gridCol w:w="146"/>
        <w:gridCol w:w="226"/>
        <w:gridCol w:w="646"/>
        <w:gridCol w:w="391"/>
      </w:tblGrid>
      <w:tr>
        <w:trPr/>
        <w:tc>
          <w:tcPr>
            <w:tcW w:w="5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amount representing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Present value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Weighted-average remaining lease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Weighted-average incremental borrowing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200" w:after="283"/>
        <w:jc w:val="left"/>
        <w:rPr>
          <w:rFonts w:ascii="Times New Roman" w:hAnsi="Times New Roman"/>
          <w:sz w:val="20"/>
        </w:rPr>
      </w:pPr>
      <w:r>
        <w:rPr>
          <w:rFonts w:ascii="sans-serif" w:hAnsi="sans-serif"/>
          <w:color w:val="000000"/>
          <w:sz w:val="20"/>
        </w:rPr>
        <w:t>Operating cash flows for the six months ended June 30, 2026 and 2025 included cash payments for operating leases of approximately $0.5</w:t>
      </w:r>
      <w:r>
        <w:rPr>
          <w:rFonts w:ascii="Times New Roman" w:hAnsi="Times New Roman"/>
          <w:color w:val="000000"/>
          <w:sz w:val="20"/>
        </w:rPr>
        <w:t xml:space="preserve"> </w:t>
      </w:r>
      <w:r>
        <w:rPr>
          <w:rFonts w:ascii="sans-serif" w:hAnsi="sans-serif"/>
          <w:color w:val="000000"/>
          <w:sz w:val="20"/>
        </w:rPr>
        <w:t>million and $0.4</w:t>
      </w:r>
      <w:r>
        <w:rPr>
          <w:rFonts w:ascii="Times New Roman" w:hAnsi="Times New Roman"/>
          <w:color w:val="000000"/>
          <w:sz w:val="20"/>
        </w:rPr>
        <w:t xml:space="preserve"> </w:t>
      </w:r>
      <w:r>
        <w:rPr>
          <w:rFonts w:ascii="sans-serif" w:hAnsi="sans-serif"/>
          <w:color w:val="000000"/>
          <w:sz w:val="20"/>
        </w:rPr>
        <w:t>million, respectively.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b/>
          <w:color w:val="000000"/>
          <w:sz w:val="22"/>
        </w:rPr>
        <w:t>5</w:t>
      </w:r>
      <w:r>
        <w:rPr>
          <w:rFonts w:ascii="sans-serif" w:hAnsi="sans-serif"/>
          <w:b/>
          <w:color w:val="000000"/>
          <w:sz w:val="20"/>
        </w:rPr>
        <w:t>. Debt</w:t>
      </w:r>
      <w:r>
        <w:rPr>
          <w:rFonts w:ascii="Times New Roman" w:hAnsi="Times New Roman"/>
          <w:color w:val="000000"/>
          <w:sz w:val="20"/>
        </w:rPr>
        <w:t xml:space="preserve"> </w:t>
      </w:r>
    </w:p>
    <w:p>
      <w:pPr>
        <w:pStyle w:val="TextBody"/>
        <w:bidi w:val="0"/>
        <w:spacing w:before="200" w:after="200"/>
        <w:jc w:val="left"/>
        <w:rPr>
          <w:rFonts w:ascii="sans-serif" w:hAnsi="sans-serif"/>
          <w:color w:val="000000"/>
          <w:sz w:val="20"/>
        </w:rPr>
      </w:pPr>
      <w:r>
        <w:rPr>
          <w:rFonts w:ascii="sans-serif" w:hAnsi="sans-serif"/>
          <w:color w:val="000000"/>
          <w:sz w:val="20"/>
        </w:rPr>
        <w:t>Total debt consists of the following (in thousands):</w:t>
      </w:r>
    </w:p>
    <w:tbl>
      <w:tblPr>
        <w:tblW w:w="7077" w:type="dxa"/>
        <w:jc w:val="left"/>
        <w:tblInd w:w="0" w:type="dxa"/>
        <w:tblLayout w:type="fixed"/>
        <w:tblCellMar>
          <w:top w:w="28" w:type="dxa"/>
          <w:left w:w="28" w:type="dxa"/>
          <w:bottom w:w="28" w:type="dxa"/>
          <w:right w:w="28" w:type="dxa"/>
        </w:tblCellMar>
      </w:tblPr>
      <w:tblGrid>
        <w:gridCol w:w="3616"/>
        <w:gridCol w:w="146"/>
        <w:gridCol w:w="226"/>
        <w:gridCol w:w="886"/>
        <w:gridCol w:w="181"/>
        <w:gridCol w:w="146"/>
        <w:gridCol w:w="335"/>
        <w:gridCol w:w="1315"/>
        <w:gridCol w:w="226"/>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Long-term debt,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Long-term debt, non-current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175,000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216,495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Unamortized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(10,413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(7,408</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debt, net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164,587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209,087</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sans-serif" w:hAnsi="sans-serif"/>
          <w:color w:val="000000"/>
          <w:sz w:val="20"/>
        </w:rPr>
        <w:t>On September 17, 2021, or the Closing Date, the Company entered into a Loan and Security Agreement, or, the Loan Agreement, with Hercules Capital, Inc., or Hercules, in its capacity as administrative agent and collateral agent and as a lender, or, in such capacity, the Agent or Hercules, and the other financial institutions that from time to time become parties to the Loan Agreement as lenders. The Loan Agreement initially provided for term loans in an aggregate principal amount of up to $200</w:t>
      </w:r>
      <w:r>
        <w:rPr>
          <w:rFonts w:ascii="Times New Roman" w:hAnsi="Times New Roman"/>
          <w:color w:val="000000"/>
          <w:sz w:val="20"/>
        </w:rPr>
        <w:t xml:space="preserve"> </w:t>
      </w:r>
      <w:r>
        <w:rPr>
          <w:rFonts w:ascii="sans-serif" w:hAnsi="sans-serif"/>
          <w:color w:val="000000"/>
          <w:sz w:val="20"/>
        </w:rPr>
        <w:t>million under multiple tranches. The Company has entered into several amendments to the Loan Agreement since the initial advance and the current loan terms provided for in the latest amendment are described below.</w:t>
      </w:r>
    </w:p>
    <w:p>
      <w:pPr>
        <w:pStyle w:val="TextBody"/>
        <w:bidi w:val="0"/>
        <w:spacing w:before="200" w:after="283"/>
        <w:jc w:val="left"/>
        <w:rPr>
          <w:rFonts w:ascii="Times New Roman" w:hAnsi="Times New Roman"/>
          <w:sz w:val="20"/>
        </w:rPr>
      </w:pPr>
      <w:r>
        <w:rPr>
          <w:rFonts w:ascii="sans-serif" w:hAnsi="sans-serif"/>
          <w:color w:val="000000"/>
          <w:sz w:val="20"/>
        </w:rPr>
        <w:t>On February 25, 2026, or the Fifth Amendment Closing Date, the Company entered into the Fifth Amendment to the Loan and Security Agreement, or the Fifth Loan Amendment, which, among other things, (i) provided for a new term loan advance of $175</w:t>
      </w:r>
      <w:r>
        <w:rPr>
          <w:rFonts w:ascii="Times New Roman" w:hAnsi="Times New Roman"/>
          <w:color w:val="000000"/>
          <w:sz w:val="20"/>
        </w:rPr>
        <w:t xml:space="preserve"> </w:t>
      </w:r>
      <w:r>
        <w:rPr>
          <w:rFonts w:ascii="sans-serif" w:hAnsi="sans-serif"/>
          <w:color w:val="000000"/>
          <w:sz w:val="20"/>
        </w:rPr>
        <w:t>million, or the Term Loan Advance, the proceeds of which, along with cash on the Company's balance sheet, were used to repay in full the existing secured obligations outstanding under the Loan Agreement, including principal, capitalized payment-in-kind interest, cash interest, existing final fee payments, and any applicable prepayment fees, (ii) provided for an additional loan tranche of up to $25</w:t>
      </w:r>
      <w:r>
        <w:rPr>
          <w:rFonts w:ascii="Times New Roman" w:hAnsi="Times New Roman"/>
          <w:color w:val="000000"/>
          <w:sz w:val="20"/>
        </w:rPr>
        <w:t xml:space="preserve"> </w:t>
      </w:r>
      <w:r>
        <w:rPr>
          <w:rFonts w:ascii="sans-serif" w:hAnsi="sans-serif"/>
          <w:color w:val="000000"/>
          <w:sz w:val="20"/>
        </w:rPr>
        <w:t>million which shall be available to the Company in the lenders’ discretion, (iii) extended the maturity date from December 1, 2027 to February 1, 2029, or the Maturity Date, subject to further extension to December 1, 2030 upon the achievement of a specified revenue milestone and subject to a certain pro forma liquidity test, (iv) extended the interest only period from October 2026 to December 2027, thereafter, monthly payment of interest and principal repayments at 2.5% of the aggregate original principal balance of the Term Loan Advance through the Maturity Date, with any remaining payments to be repaid in full on the Maturity Date, (v) set cash interest rate set at a floating rate based on the greater of (a) US WSJ Prime + 3.10% or (b) 9.85%, (vi) eliminated the payment-in-kind interest rate of 2.15% per annum, (vii) amended the prepayment charge, which is a percentage of the principal amount advanced under the Term Loans under the Fifth Loan Amendment, or each a Term Loan Advance and together, the Term Loan Advances, as follows: (a) if the Term Loan Advances are prepaid after the Fifth Amendment Closing Date but prior to the twelfth month anniversary of the Fifth Amendment Closing Date, 2.50%; (b) if the Term Loan Advances are prepaid on or after the twelfth month anniversary of the Fifth Amendment Closing Date but prior to the twenty-fourth month anniversary of the Fifth Amendment Closing Date, 2.00%; (c) if the Term Loan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Advances are prepaid on or after the twenty-fourth month anniversary of the Fifth Amendment Closing Date but prior to the thirty-sixth month anniversary of the Fifth Amendment Closing Date, 1.50%; (d) thereafter, 1.00%; provided that (x) any such prepayment charge shall be reduced by 50.0% if such prepayment is a result of a change in control and (y) upon any refinancing by Hercules such prepayment charge shall be waived in full; and (viii) provided for a new final payment fee which is as a percentage of the Term Loan Advance, calculated as follows: (a) if the Term Loan Advances are repaid prior to September 2027, 1.25%; (b) if the Term Loan Advances are repaid after September 1, 2027 but on or prior to February 1, 2029, 2.00%; (c) if the Term Loan Advances are repaid after February 1, 2029 but on or prior to January 1, 2030, 3.00%, and (d) if the Term Loan Advances are repaid after January 1, 2030, 3.50%. As of June 30, 2026, the Company recorded $3.5</w:t>
      </w:r>
      <w:r>
        <w:rPr>
          <w:rFonts w:ascii="Times New Roman" w:hAnsi="Times New Roman"/>
          <w:color w:val="000000"/>
          <w:sz w:val="20"/>
        </w:rPr>
        <w:t xml:space="preserve"> </w:t>
      </w:r>
      <w:r>
        <w:rPr>
          <w:rFonts w:ascii="sans-serif" w:hAnsi="sans-serif"/>
          <w:color w:val="000000"/>
          <w:sz w:val="20"/>
        </w:rPr>
        <w:t>million within other long-term liabilities for the new final payment fee based on the Term Loan Advance being repaid by the Maturity Date.</w:t>
      </w:r>
    </w:p>
    <w:p>
      <w:pPr>
        <w:pStyle w:val="TextBody"/>
        <w:bidi w:val="0"/>
        <w:spacing w:before="200" w:after="160"/>
        <w:jc w:val="left"/>
        <w:rPr>
          <w:rFonts w:ascii="Times New Roman" w:hAnsi="Times New Roman"/>
          <w:sz w:val="20"/>
        </w:rPr>
      </w:pPr>
      <w:r>
        <w:rPr>
          <w:rFonts w:ascii="sans-serif" w:hAnsi="sans-serif"/>
          <w:color w:val="000000"/>
          <w:sz w:val="20"/>
        </w:rPr>
        <w:t xml:space="preserve">The Company accounted for the Fifth Loan Amendment in accordance with </w:t>
      </w:r>
      <w:r>
        <w:rPr>
          <w:rFonts w:ascii="sans-serif" w:hAnsi="sans-serif"/>
          <w:i/>
          <w:color w:val="000000"/>
          <w:sz w:val="20"/>
        </w:rPr>
        <w:t>ASC 470-50, Modification and Extinguishments</w:t>
      </w:r>
      <w:r>
        <w:rPr>
          <w:rFonts w:ascii="sans-serif" w:hAnsi="sans-serif"/>
          <w:color w:val="000000"/>
          <w:sz w:val="20"/>
        </w:rPr>
        <w:t>, or ASC 470-50, to determine if the transaction was treated as a modification or an extinguishment of debt. The Company reviewed the debt terms and determined the change would be accounted for prospectively as a partial debt extinguishment in accordance with ASC 470-50. As a result, the Company expensed a portion of the remaining deferred debt issuance costs and fees of $0.8</w:t>
      </w:r>
      <w:r>
        <w:rPr>
          <w:rFonts w:ascii="Times New Roman" w:hAnsi="Times New Roman"/>
          <w:color w:val="000000"/>
          <w:sz w:val="20"/>
        </w:rPr>
        <w:t xml:space="preserve"> </w:t>
      </w:r>
      <w:r>
        <w:rPr>
          <w:rFonts w:ascii="sans-serif" w:hAnsi="sans-serif"/>
          <w:color w:val="000000"/>
          <w:sz w:val="20"/>
        </w:rPr>
        <w:t>million associated with the debt prior to the Fifth Loan Amendment, as a loss on partial debt extinguishment within other expense, net in the condensed statements of operations and comprehensive loss during the first quarter of the 2026 fiscal year. Prior to the Fifth Loan Amendment, there were approximately $6.9</w:t>
      </w:r>
      <w:r>
        <w:rPr>
          <w:rFonts w:ascii="Times New Roman" w:hAnsi="Times New Roman"/>
          <w:color w:val="000000"/>
          <w:sz w:val="20"/>
        </w:rPr>
        <w:t xml:space="preserve"> </w:t>
      </w:r>
      <w:r>
        <w:rPr>
          <w:rFonts w:ascii="sans-serif" w:hAnsi="sans-serif"/>
          <w:color w:val="000000"/>
          <w:sz w:val="20"/>
        </w:rPr>
        <w:t>million of deferred debt issuance costs remaining to be amortized. The partial extinguishment and modification resulted in a net reduction in deferred issuance fees of $0.5</w:t>
      </w:r>
      <w:r>
        <w:rPr>
          <w:rFonts w:ascii="Times New Roman" w:hAnsi="Times New Roman"/>
          <w:color w:val="000000"/>
          <w:sz w:val="20"/>
        </w:rPr>
        <w:t xml:space="preserve"> </w:t>
      </w:r>
      <w:r>
        <w:rPr>
          <w:rFonts w:ascii="sans-serif" w:hAnsi="sans-serif"/>
          <w:color w:val="000000"/>
          <w:sz w:val="20"/>
        </w:rPr>
        <w:t>million with a remaining balance of $6.4</w:t>
      </w:r>
      <w:r>
        <w:rPr>
          <w:rFonts w:ascii="Times New Roman" w:hAnsi="Times New Roman"/>
          <w:color w:val="000000"/>
          <w:sz w:val="20"/>
        </w:rPr>
        <w:t xml:space="preserve"> </w:t>
      </w:r>
      <w:r>
        <w:rPr>
          <w:rFonts w:ascii="sans-serif" w:hAnsi="sans-serif"/>
          <w:color w:val="000000"/>
          <w:sz w:val="20"/>
        </w:rPr>
        <w:t>million in debt issuance costs capitalized to be amortized over the three year</w:t>
      </w:r>
      <w:r>
        <w:rPr>
          <w:rFonts w:ascii="Times New Roman" w:hAnsi="Times New Roman"/>
          <w:color w:val="000000"/>
          <w:sz w:val="20"/>
        </w:rPr>
        <w:t xml:space="preserve"> </w:t>
      </w:r>
      <w:r>
        <w:rPr>
          <w:rFonts w:ascii="sans-serif" w:hAnsi="sans-serif"/>
          <w:color w:val="000000"/>
          <w:sz w:val="20"/>
        </w:rPr>
        <w:t>life of the new debt.</w:t>
      </w:r>
    </w:p>
    <w:p>
      <w:pPr>
        <w:pStyle w:val="TextBody"/>
        <w:bidi w:val="0"/>
        <w:spacing w:before="40" w:after="283"/>
        <w:jc w:val="left"/>
        <w:rPr>
          <w:rFonts w:ascii="Times New Roman" w:hAnsi="Times New Roman"/>
          <w:sz w:val="20"/>
        </w:rPr>
      </w:pPr>
      <w:r>
        <w:rPr>
          <w:rFonts w:ascii="sans-serif" w:hAnsi="sans-serif"/>
          <w:color w:val="000000"/>
          <w:sz w:val="20"/>
        </w:rPr>
        <w:t>As collateral for the obligations, the Company has granted to Hercules a senior security interest in all of Company’s right, title, and interest in, to and under substantially all of Company’s property, inclusive of intellectual property.</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The Loan Agreement contains customary closing fees, prepayment fees and provisions, events of default, and representations, warranties and covenants, including financial covenants. The financial covenants under the Fifth Loan Amendment include (i) a minimum cash covenant and (ii) a performance covenant as follows:</w:t>
      </w:r>
    </w:p>
    <w:p>
      <w:pPr>
        <w:pStyle w:val="TextBody"/>
        <w:bidi w:val="0"/>
        <w:spacing w:before="120" w:after="283"/>
        <w:jc w:val="left"/>
        <w:rPr>
          <w:rFonts w:ascii="sans-serif" w:hAnsi="sans-serif"/>
          <w:color w:val="000000"/>
          <w:sz w:val="20"/>
        </w:rPr>
      </w:pPr>
      <w:r>
        <w:rPr>
          <w:rFonts w:ascii="sans-serif" w:hAnsi="sans-serif"/>
          <w:color w:val="000000"/>
          <w:sz w:val="20"/>
        </w:rPr>
        <w:t>(i)</w:t>
      </w:r>
    </w:p>
    <w:p>
      <w:pPr>
        <w:pStyle w:val="TextBody"/>
        <w:bidi w:val="0"/>
        <w:spacing w:before="120" w:after="283"/>
        <w:jc w:val="left"/>
        <w:rPr/>
      </w:pPr>
      <w:r>
        <w:rPr>
          <w:rFonts w:ascii="sans-serif" w:hAnsi="sans-serif"/>
          <w:color w:val="000000"/>
          <w:sz w:val="20"/>
        </w:rPr>
        <w:t>Minimum cash covenant - The Company must maintain a minimum cash balance of 20% of the outstanding principal balance at all times, which will decrease to 15% of the outstanding principal amount upon the Company reporting and maintaining $75</w:t>
      </w:r>
      <w:r>
        <w:rPr>
          <w:color w:val="000000"/>
        </w:rPr>
        <w:t xml:space="preserve"> </w:t>
      </w:r>
      <w:r>
        <w:rPr>
          <w:rFonts w:ascii="sans-serif" w:hAnsi="sans-serif"/>
          <w:color w:val="000000"/>
          <w:sz w:val="20"/>
        </w:rPr>
        <w:t>million of trailing three months</w:t>
      </w:r>
      <w:r>
        <w:rPr>
          <w:color w:val="000000"/>
        </w:rPr>
        <w:t xml:space="preserve"> </w:t>
      </w:r>
      <w:r>
        <w:rPr>
          <w:rFonts w:ascii="sans-serif" w:hAnsi="sans-serif"/>
          <w:color w:val="000000"/>
          <w:sz w:val="20"/>
        </w:rPr>
        <w:t xml:space="preserve">net product revenue. </w:t>
      </w:r>
    </w:p>
    <w:p>
      <w:pPr>
        <w:pStyle w:val="TextBody"/>
        <w:bidi w:val="0"/>
        <w:spacing w:before="120" w:after="283"/>
        <w:jc w:val="left"/>
        <w:rPr>
          <w:rFonts w:ascii="sans-serif" w:hAnsi="sans-serif"/>
          <w:color w:val="000000"/>
          <w:sz w:val="20"/>
        </w:rPr>
      </w:pPr>
      <w:r>
        <w:rPr>
          <w:rFonts w:ascii="sans-serif" w:hAnsi="sans-serif"/>
          <w:color w:val="000000"/>
          <w:sz w:val="20"/>
        </w:rPr>
        <w:t>(ii)</w:t>
      </w:r>
    </w:p>
    <w:p>
      <w:pPr>
        <w:pStyle w:val="TextBody"/>
        <w:bidi w:val="0"/>
        <w:spacing w:before="120" w:after="283"/>
        <w:jc w:val="left"/>
        <w:rPr>
          <w:rFonts w:ascii="sans-serif" w:hAnsi="sans-serif"/>
          <w:color w:val="000000"/>
          <w:sz w:val="20"/>
        </w:rPr>
      </w:pPr>
      <w:r>
        <w:rPr>
          <w:rFonts w:ascii="sans-serif" w:hAnsi="sans-serif"/>
          <w:color w:val="000000"/>
          <w:sz w:val="20"/>
        </w:rPr>
        <w:t>Performance covenant - In addition, the Company must satisfy any one of the following:</w:t>
      </w:r>
    </w:p>
    <w:p>
      <w:pPr>
        <w:pStyle w:val="TextBody"/>
        <w:bidi w:val="0"/>
        <w:spacing w:before="120" w:after="283"/>
        <w:jc w:val="left"/>
        <w:rPr>
          <w:rFonts w:ascii="sans-serif" w:hAnsi="sans-serif"/>
          <w:color w:val="000000"/>
          <w:sz w:val="20"/>
        </w:rPr>
      </w:pPr>
      <w:r>
        <w:rPr>
          <w:rFonts w:ascii="sans-serif" w:hAnsi="sans-serif"/>
          <w:color w:val="000000"/>
          <w:sz w:val="20"/>
        </w:rPr>
        <w:t>a.</w:t>
      </w:r>
    </w:p>
    <w:p>
      <w:pPr>
        <w:pStyle w:val="TextBody"/>
        <w:bidi w:val="0"/>
        <w:spacing w:before="120" w:after="283"/>
        <w:jc w:val="left"/>
        <w:rPr/>
      </w:pPr>
      <w:r>
        <w:rPr>
          <w:rFonts w:ascii="sans-serif" w:hAnsi="sans-serif"/>
          <w:color w:val="000000"/>
          <w:sz w:val="20"/>
        </w:rPr>
        <w:t>Market capitalization exceeding $900</w:t>
      </w:r>
      <w:r>
        <w:rPr>
          <w:color w:val="000000"/>
        </w:rPr>
        <w:t xml:space="preserve"> </w:t>
      </w:r>
      <w:r>
        <w:rPr>
          <w:rFonts w:ascii="sans-serif" w:hAnsi="sans-serif"/>
          <w:color w:val="000000"/>
          <w:sz w:val="20"/>
        </w:rPr>
        <w:t>million;</w:t>
      </w:r>
    </w:p>
    <w:p>
      <w:pPr>
        <w:pStyle w:val="TextBody"/>
        <w:bidi w:val="0"/>
        <w:spacing w:before="120" w:after="283"/>
        <w:jc w:val="left"/>
        <w:rPr>
          <w:rFonts w:ascii="sans-serif" w:hAnsi="sans-serif"/>
          <w:color w:val="000000"/>
          <w:sz w:val="20"/>
        </w:rPr>
      </w:pPr>
      <w:r>
        <w:rPr>
          <w:rFonts w:ascii="sans-serif" w:hAnsi="sans-serif"/>
          <w:color w:val="000000"/>
          <w:sz w:val="20"/>
        </w:rPr>
        <w:t>b.</w:t>
      </w:r>
    </w:p>
    <w:p>
      <w:pPr>
        <w:pStyle w:val="TextBody"/>
        <w:bidi w:val="0"/>
        <w:spacing w:before="120" w:after="283"/>
        <w:jc w:val="left"/>
        <w:rPr/>
      </w:pPr>
      <w:r>
        <w:rPr>
          <w:rFonts w:ascii="sans-serif" w:hAnsi="sans-serif"/>
          <w:color w:val="000000"/>
          <w:sz w:val="20"/>
        </w:rPr>
        <w:t>Minimum cash balance of 50% of the outstanding principal amount of the term loans, which will decrease to 40% upon achieving $65</w:t>
      </w:r>
      <w:r>
        <w:rPr>
          <w:color w:val="000000"/>
        </w:rPr>
        <w:t xml:space="preserve"> </w:t>
      </w:r>
      <w:r>
        <w:rPr>
          <w:rFonts w:ascii="sans-serif" w:hAnsi="sans-serif"/>
          <w:color w:val="000000"/>
          <w:sz w:val="20"/>
        </w:rPr>
        <w:t>million of trailing three months net product revenue, and to 30% upon achieving $85</w:t>
      </w:r>
      <w:r>
        <w:rPr>
          <w:color w:val="000000"/>
        </w:rPr>
        <w:t xml:space="preserve"> </w:t>
      </w:r>
      <w:r>
        <w:rPr>
          <w:rFonts w:ascii="sans-serif" w:hAnsi="sans-serif"/>
          <w:color w:val="000000"/>
          <w:sz w:val="20"/>
        </w:rPr>
        <w:t>million of trailing three months net product revenue; or</w:t>
      </w:r>
    </w:p>
    <w:p>
      <w:pPr>
        <w:pStyle w:val="TextBody"/>
        <w:bidi w:val="0"/>
        <w:spacing w:before="120" w:after="283"/>
        <w:jc w:val="left"/>
        <w:rPr>
          <w:rFonts w:ascii="sans-serif" w:hAnsi="sans-serif"/>
          <w:color w:val="000000"/>
          <w:sz w:val="20"/>
        </w:rPr>
      </w:pPr>
      <w:r>
        <w:rPr>
          <w:rFonts w:ascii="sans-serif" w:hAnsi="sans-serif"/>
          <w:color w:val="000000"/>
          <w:sz w:val="20"/>
        </w:rPr>
        <w:t>c.</w:t>
      </w:r>
    </w:p>
    <w:p>
      <w:pPr>
        <w:pStyle w:val="TextBody"/>
        <w:bidi w:val="0"/>
        <w:spacing w:before="120" w:after="283"/>
        <w:jc w:val="left"/>
        <w:rPr/>
      </w:pPr>
      <w:r>
        <w:rPr>
          <w:rFonts w:ascii="sans-serif" w:hAnsi="sans-serif"/>
          <w:color w:val="000000"/>
          <w:sz w:val="20"/>
        </w:rPr>
        <w:t>Trailing three months</w:t>
      </w:r>
      <w:r>
        <w:rPr>
          <w:color w:val="000000"/>
        </w:rPr>
        <w:t xml:space="preserve"> </w:t>
      </w:r>
      <w:r>
        <w:rPr>
          <w:rFonts w:ascii="sans-serif" w:hAnsi="sans-serif"/>
          <w:color w:val="000000"/>
          <w:sz w:val="20"/>
        </w:rPr>
        <w:t>net product revenue equal to 75% of projected revenue in 2026 and 70% of projected revenue in 2027 and beyond, tested on a quarterly basis.</w:t>
      </w:r>
    </w:p>
    <w:p>
      <w:pPr>
        <w:pStyle w:val="TextBody"/>
        <w:bidi w:val="0"/>
        <w:spacing w:before="200" w:after="283"/>
        <w:jc w:val="left"/>
        <w:rPr>
          <w:rFonts w:ascii="sans-serif" w:hAnsi="sans-serif"/>
          <w:color w:val="000000"/>
          <w:sz w:val="20"/>
        </w:rPr>
      </w:pPr>
      <w:r>
        <w:rPr>
          <w:rFonts w:ascii="sans-serif" w:hAnsi="sans-serif"/>
          <w:color w:val="000000"/>
          <w:sz w:val="20"/>
        </w:rPr>
        <w:t>Upon the occurrence of an event of default, subject to any specified cure periods, all amounts owed by the Company may be declared immediately due and payable by Hercules, as collateral agent.</w:t>
      </w:r>
    </w:p>
    <w:p>
      <w:pPr>
        <w:pStyle w:val="TextBody"/>
        <w:bidi w:val="0"/>
        <w:spacing w:before="200" w:after="283"/>
        <w:jc w:val="left"/>
        <w:rPr>
          <w:rFonts w:ascii="Times New Roman" w:hAnsi="Times New Roman"/>
          <w:sz w:val="20"/>
        </w:rPr>
      </w:pPr>
      <w:r>
        <w:rPr>
          <w:rFonts w:ascii="sans-serif" w:hAnsi="sans-serif"/>
          <w:color w:val="000000"/>
          <w:sz w:val="20"/>
        </w:rPr>
        <w:t>As of June 30, 2026, the Company was in compliance with all applicable covenants under the Loan Agreement.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In connection with the entry into the initial Loan Agreement, the Company issued to Hercules a warrant, or the Warrant, to purchase a number of shares of the Company’s common stock equal to 2.5% of the aggregate amount of the Term Loan advances. On the Closing Date, the Company issued a Warrant for 74,782</w:t>
      </w:r>
      <w:r>
        <w:rPr>
          <w:rFonts w:ascii="Times New Roman" w:hAnsi="Times New Roman"/>
          <w:color w:val="000000"/>
          <w:sz w:val="20"/>
        </w:rPr>
        <w:t xml:space="preserve"> </w:t>
      </w:r>
      <w:r>
        <w:rPr>
          <w:rFonts w:ascii="sans-serif" w:hAnsi="sans-serif"/>
          <w:color w:val="000000"/>
          <w:sz w:val="20"/>
        </w:rPr>
        <w:t>shares of common stock. The Warrant will be exercisable until September 17, 2028 (seven years</w:t>
      </w:r>
      <w:r>
        <w:rPr>
          <w:rFonts w:ascii="Times New Roman" w:hAnsi="Times New Roman"/>
          <w:color w:val="000000"/>
          <w:sz w:val="20"/>
        </w:rPr>
        <w:t xml:space="preserve"> </w:t>
      </w:r>
      <w:r>
        <w:rPr>
          <w:rFonts w:ascii="sans-serif" w:hAnsi="sans-serif"/>
          <w:color w:val="000000"/>
          <w:sz w:val="20"/>
        </w:rPr>
        <w:t>from the date of issuance) at a per-share exercise price equal to $33.43, which was the closing price of the Company’s common stock on September 16, 2021. The Warrant issued with the initial tranche was not modified as part of the Fifth Loan Amendment. The exercise price and terms of the outstanding Warrant remain unchanged.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$3.5</w:t>
      </w:r>
      <w:r>
        <w:rPr>
          <w:rFonts w:ascii="Times New Roman" w:hAnsi="Times New Roman"/>
          <w:color w:val="000000"/>
          <w:sz w:val="20"/>
        </w:rPr>
        <w:t xml:space="preserve"> </w:t>
      </w:r>
      <w:r>
        <w:rPr>
          <w:rFonts w:ascii="sans-serif" w:hAnsi="sans-serif"/>
          <w:color w:val="000000"/>
          <w:sz w:val="20"/>
        </w:rPr>
        <w:t>million of final payment fees and $1.8</w:t>
      </w:r>
      <w:r>
        <w:rPr>
          <w:rFonts w:ascii="Times New Roman" w:hAnsi="Times New Roman"/>
          <w:color w:val="000000"/>
          <w:sz w:val="20"/>
        </w:rPr>
        <w:t xml:space="preserve"> </w:t>
      </w:r>
      <w:r>
        <w:rPr>
          <w:rFonts w:ascii="sans-serif" w:hAnsi="sans-serif"/>
          <w:color w:val="000000"/>
          <w:sz w:val="20"/>
        </w:rPr>
        <w:t>million facility fee incurred as part of the Fifth Loan Amendment, along with the $6.4</w:t>
      </w:r>
      <w:r>
        <w:rPr>
          <w:rFonts w:ascii="Times New Roman" w:hAnsi="Times New Roman"/>
          <w:color w:val="000000"/>
          <w:sz w:val="20"/>
        </w:rPr>
        <w:t xml:space="preserve"> </w:t>
      </w:r>
      <w:r>
        <w:rPr>
          <w:rFonts w:ascii="sans-serif" w:hAnsi="sans-serif"/>
          <w:color w:val="000000"/>
          <w:sz w:val="20"/>
        </w:rPr>
        <w:t>million of unamortized debt issuance costs as a result of the debt modification, have been recorded as debt discount and are being amortized to interest expense using the effective interest method over the remaining term of the Loan Agreement.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sans-serif" w:hAnsi="sans-serif"/>
          <w:color w:val="000000"/>
          <w:sz w:val="20"/>
        </w:rPr>
      </w:pPr>
      <w:r>
        <w:rPr>
          <w:rFonts w:ascii="sans-serif" w:hAnsi="sans-serif"/>
          <w:color w:val="000000"/>
          <w:sz w:val="20"/>
        </w:rPr>
        <w:t>Future minimum principal payments under the Loan Agreement, including the final payment fees, as of June 30, 2026 are as follows (in thousands):</w:t>
      </w:r>
    </w:p>
    <w:tbl>
      <w:tblPr>
        <w:tblW w:w="4410" w:type="dxa"/>
        <w:jc w:val="left"/>
        <w:tblInd w:w="0" w:type="dxa"/>
        <w:tblLayout w:type="fixed"/>
        <w:tblCellMar>
          <w:top w:w="28" w:type="dxa"/>
          <w:left w:w="28" w:type="dxa"/>
          <w:bottom w:w="28" w:type="dxa"/>
          <w:right w:w="28" w:type="dxa"/>
        </w:tblCellMar>
      </w:tblPr>
      <w:tblGrid>
        <w:gridCol w:w="2761"/>
        <w:gridCol w:w="146"/>
        <w:gridCol w:w="226"/>
        <w:gridCol w:w="886"/>
        <w:gridCol w:w="3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52,500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principal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178,500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final payment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term loan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sans-serif" w:hAnsi="sans-serif"/>
          <w:color w:val="000000"/>
          <w:sz w:val="20"/>
        </w:rPr>
        <w:t>During the three months ended June 30, 2026 and 2025, the Company recognized $5.3</w:t>
      </w:r>
      <w:r>
        <w:rPr>
          <w:rFonts w:ascii="Times New Roman" w:hAnsi="Times New Roman"/>
          <w:color w:val="000000"/>
          <w:sz w:val="20"/>
        </w:rPr>
        <w:t xml:space="preserve"> </w:t>
      </w:r>
      <w:r>
        <w:rPr>
          <w:rFonts w:ascii="sans-serif" w:hAnsi="sans-serif"/>
          <w:color w:val="000000"/>
          <w:sz w:val="20"/>
        </w:rPr>
        <w:t>million and $7.2</w:t>
      </w:r>
      <w:r>
        <w:rPr>
          <w:rFonts w:ascii="Times New Roman" w:hAnsi="Times New Roman"/>
          <w:color w:val="000000"/>
          <w:sz w:val="20"/>
        </w:rPr>
        <w:t xml:space="preserve"> </w:t>
      </w:r>
      <w:r>
        <w:rPr>
          <w:rFonts w:ascii="sans-serif" w:hAnsi="sans-serif"/>
          <w:color w:val="000000"/>
          <w:sz w:val="20"/>
        </w:rPr>
        <w:t>million, respectively, of interest expense, including amortization of the debt discount, in connection with the Loan Agreement. During the six months ended June 30, 2026 and 2025, the Company recognized $11.8</w:t>
      </w:r>
      <w:r>
        <w:rPr>
          <w:rFonts w:ascii="Times New Roman" w:hAnsi="Times New Roman"/>
          <w:color w:val="000000"/>
          <w:sz w:val="20"/>
        </w:rPr>
        <w:t xml:space="preserve"> </w:t>
      </w:r>
      <w:r>
        <w:rPr>
          <w:rFonts w:ascii="sans-serif" w:hAnsi="sans-serif"/>
          <w:color w:val="000000"/>
          <w:sz w:val="20"/>
        </w:rPr>
        <w:t>million and $14.3</w:t>
      </w:r>
      <w:r>
        <w:rPr>
          <w:rFonts w:ascii="Times New Roman" w:hAnsi="Times New Roman"/>
          <w:color w:val="000000"/>
          <w:sz w:val="20"/>
        </w:rPr>
        <w:t xml:space="preserve"> </w:t>
      </w:r>
      <w:r>
        <w:rPr>
          <w:rFonts w:ascii="sans-serif" w:hAnsi="sans-serif"/>
          <w:color w:val="000000"/>
          <w:sz w:val="20"/>
        </w:rPr>
        <w:t>million, respectively, of interest expense, including amortization of the debt discount, in connection with the Loan Agreement. As of June 30, 2026, the Company had an outstanding loan balance of $175.0</w:t>
      </w:r>
      <w:r>
        <w:rPr>
          <w:rFonts w:ascii="Times New Roman" w:hAnsi="Times New Roman"/>
          <w:color w:val="000000"/>
          <w:sz w:val="20"/>
        </w:rPr>
        <w:t xml:space="preserve"> </w:t>
      </w:r>
      <w:r>
        <w:rPr>
          <w:rFonts w:ascii="sans-serif" w:hAnsi="sans-serif"/>
          <w:color w:val="000000"/>
          <w:sz w:val="20"/>
        </w:rPr>
        <w:t>million and accrued interest of $1.4</w:t>
      </w:r>
      <w:r>
        <w:rPr>
          <w:rFonts w:ascii="Times New Roman" w:hAnsi="Times New Roman"/>
          <w:color w:val="000000"/>
          <w:sz w:val="20"/>
        </w:rPr>
        <w:t xml:space="preserve"> </w:t>
      </w:r>
      <w:r>
        <w:rPr>
          <w:rFonts w:ascii="sans-serif" w:hAnsi="sans-serif"/>
          <w:color w:val="000000"/>
          <w:sz w:val="20"/>
        </w:rPr>
        <w:t>million.</w:t>
      </w:r>
    </w:p>
    <w:p>
      <w:pPr>
        <w:pStyle w:val="TextBody"/>
        <w:bidi w:val="0"/>
        <w:spacing w:before="200" w:after="283"/>
        <w:jc w:val="left"/>
        <w:rPr>
          <w:rFonts w:ascii="Times New Roman" w:hAnsi="Times New Roman"/>
          <w:sz w:val="20"/>
        </w:rPr>
      </w:pPr>
      <w:r>
        <w:rPr>
          <w:rFonts w:ascii="sans-serif" w:hAnsi="sans-serif"/>
          <w:b/>
          <w:color w:val="000000"/>
          <w:sz w:val="20"/>
        </w:rPr>
        <w:t>6. Revenue Interest Financing Liability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May 3, 2022, the Company entered into a Revenue Interest Financing Agreement with Initial Investors NovaQuest Capital Management, or NQ, Sagard Holdings Manager LP, or Sagard, and Hercules pursuant to which the Company had the right to receive up to $260</w:t>
      </w:r>
      <w:r>
        <w:rPr>
          <w:rFonts w:ascii="Times New Roman" w:hAnsi="Times New Roman"/>
          <w:color w:val="000000"/>
          <w:sz w:val="20"/>
        </w:rPr>
        <w:t xml:space="preserve"> </w:t>
      </w:r>
      <w:r>
        <w:rPr>
          <w:rFonts w:ascii="sans-serif" w:hAnsi="sans-serif"/>
          <w:color w:val="000000"/>
          <w:sz w:val="20"/>
        </w:rPr>
        <w:t>million in funding from the Initial Investors. Under the terms of the Revenue Interest Financing Agreement, the Company received $100</w:t>
      </w:r>
      <w:r>
        <w:rPr>
          <w:rFonts w:ascii="Times New Roman" w:hAnsi="Times New Roman"/>
          <w:color w:val="000000"/>
          <w:sz w:val="20"/>
        </w:rPr>
        <w:t xml:space="preserve"> </w:t>
      </w:r>
      <w:r>
        <w:rPr>
          <w:rFonts w:ascii="sans-serif" w:hAnsi="sans-serif"/>
          <w:color w:val="000000"/>
          <w:sz w:val="20"/>
        </w:rPr>
        <w:t>million at the initial closing and received an additional $160</w:t>
      </w:r>
      <w:r>
        <w:rPr>
          <w:rFonts w:ascii="Times New Roman" w:hAnsi="Times New Roman"/>
          <w:color w:val="000000"/>
          <w:sz w:val="20"/>
        </w:rPr>
        <w:t xml:space="preserve"> </w:t>
      </w:r>
      <w:r>
        <w:rPr>
          <w:rFonts w:ascii="sans-serif" w:hAnsi="sans-serif"/>
          <w:color w:val="000000"/>
          <w:sz w:val="20"/>
        </w:rPr>
        <w:t>million upon FDA approval of VOQUEZNA for treatment of Erosive GERD during the fourth quarter of 2023.</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Additionally, on October 31, 2022, the Company entered into a Joinder Agreement with the Initial Investors and CO Finance LVS XXXVII LLC, or the Additional Investor, and Hercules, together as the investors. Under the terms of the Joinder Agreement, the Company received $15</w:t>
      </w:r>
      <w:r>
        <w:rPr>
          <w:rFonts w:ascii="Times New Roman" w:hAnsi="Times New Roman"/>
          <w:color w:val="000000"/>
          <w:sz w:val="20"/>
        </w:rPr>
        <w:t xml:space="preserve"> </w:t>
      </w:r>
      <w:r>
        <w:rPr>
          <w:rFonts w:ascii="sans-serif" w:hAnsi="sans-serif"/>
          <w:color w:val="000000"/>
          <w:sz w:val="20"/>
        </w:rPr>
        <w:t>million in additional funding upon FDA approval of vonoprazan for Erosive GERD, or Approval Additional Funding, during the fourth quarter of 2023, and provided for $25</w:t>
      </w:r>
      <w:r>
        <w:rPr>
          <w:rFonts w:ascii="Times New Roman" w:hAnsi="Times New Roman"/>
          <w:color w:val="000000"/>
          <w:sz w:val="20"/>
        </w:rPr>
        <w:t xml:space="preserve"> </w:t>
      </w:r>
      <w:r>
        <w:rPr>
          <w:rFonts w:ascii="sans-serif" w:hAnsi="sans-serif"/>
          <w:color w:val="000000"/>
          <w:sz w:val="20"/>
        </w:rPr>
        <w:t>million in additional funding for achievement of a sales milestone, or Milestone Additional Funding, and, together with the Approval Additional Funding, or the Additional Investor Funding. The Initial Investors waived their rights of first offer regarding the Additional Investor Funding and the Additional Investor joined the Revenue Interest Financing Agreement to extend commitments for the Additional Investor Funding. On December 23, 2024, CO Finance LVS XXXVII LLC agreed to assign and transfer to OC III LVS LX LP all of its rights, title and interest as an Additional Investor and in connection therewith, OC III LVS LX LP executed a Joinder Agreement. The total amount funded by the Initial Investors and any subsequent investors is referred to herein as the Investment Amount. As of June 30, 2026, no</w:t>
      </w:r>
      <w:r>
        <w:rPr>
          <w:rFonts w:ascii="Times New Roman" w:hAnsi="Times New Roman"/>
          <w:color w:val="000000"/>
          <w:sz w:val="20"/>
        </w:rPr>
        <w:t xml:space="preserve"> </w:t>
      </w:r>
      <w:r>
        <w:rPr>
          <w:rFonts w:ascii="sans-serif" w:hAnsi="sans-serif"/>
          <w:color w:val="000000"/>
          <w:sz w:val="20"/>
        </w:rPr>
        <w:t>additional funding is available under the Revenue Interest Financing Agreement.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Under the Revenue Interest Financing Agreement, the investors are entitled to receive a 10% royalty on net sales of products containing vonoprazan. The royalty rate is subject to a step-down on net sales exceeding certain annual thresholds and when the Company received FDA approval for vonoprazan for an indication relating to the treatment of heartburn associated with Non-Erosive GERD, which occurred on July 17, 2024. The investors’ right to receive royalties on net sales will terminate when the investors have received aggregate payments equal to 200% of the Investment Amount. In addition, at any time after April 30, 2024, the Company has the right to make a cap payment equal to 200% of the Investment Amount less any royalties already paid, at which time the agreement will terminate.</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If the investors have not received aggregate payments of at least 100% of the Investment Amount by December 31, 2028, and at least 200% of the Investment Amount by December 31, 2037, each a Minimum Amount, then the Company will be obligated to make a cash payment to the investors in an amount sufficient to gross the investors up to the applicable Minimum Amount. As of June 30, 2026, the aggregate payments made to investors under the Revenue Interest Financing Agreement equaled $28.9 million.</w:t>
      </w:r>
    </w:p>
    <w:p>
      <w:pPr>
        <w:pStyle w:val="TextBody"/>
        <w:bidi w:val="0"/>
        <w:spacing w:before="200" w:after="283"/>
        <w:jc w:val="left"/>
        <w:rPr>
          <w:rFonts w:ascii="sans-serif" w:hAnsi="sans-serif"/>
          <w:color w:val="000000"/>
          <w:sz w:val="20"/>
        </w:rPr>
      </w:pPr>
      <w:r>
        <w:rPr>
          <w:rFonts w:ascii="sans-serif" w:hAnsi="sans-serif"/>
          <w:color w:val="000000"/>
          <w:sz w:val="20"/>
        </w:rPr>
        <w:t>Upon the occurrence of an event of default taking place between April 1, 2025 and April 1, 2028, or after April 1, 2028, the Company is obligated to pay 1.65 times Investment Amount and 2.0 times Investment Amount, respectively, less any amounts the Company previously paid pursuant to the agreement.</w:t>
      </w:r>
    </w:p>
    <w:p>
      <w:pPr>
        <w:pStyle w:val="TextBody"/>
        <w:bidi w:val="0"/>
        <w:spacing w:before="200" w:after="283"/>
        <w:jc w:val="left"/>
        <w:rPr>
          <w:rFonts w:ascii="Times New Roman" w:hAnsi="Times New Roman"/>
          <w:sz w:val="20"/>
        </w:rPr>
      </w:pPr>
      <w:r>
        <w:rPr>
          <w:rFonts w:ascii="sans-serif" w:hAnsi="sans-serif"/>
          <w:color w:val="000000"/>
          <w:sz w:val="20"/>
        </w:rPr>
        <w:t>Additionally, under the terms of Revenue Interest Financing Agreement, the Company is subject to a minimum cash covenant of at least (a) beginning on the date that the Hercules Loan Agreement is terminated and each day thereafter until September 30, 2026,</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$30</w:t>
      </w:r>
      <w:r>
        <w:rPr>
          <w:rFonts w:ascii="Times New Roman" w:hAnsi="Times New Roman"/>
          <w:color w:val="000000"/>
          <w:sz w:val="20"/>
        </w:rPr>
        <w:t xml:space="preserve"> </w:t>
      </w:r>
      <w:r>
        <w:rPr>
          <w:rFonts w:ascii="sans-serif" w:hAnsi="sans-serif"/>
          <w:color w:val="000000"/>
          <w:sz w:val="20"/>
        </w:rPr>
        <w:t>million, and (b) beginning on October 1, 2026 and on each day thereafter until September 30, 2029, a certain percentage of the minimum cash reference amount defined as the difference between the Investment Amount and the amount of all royalty payments received by the Investors as of each such date as follows: (i) 50% from October 1, 2026 to September 30, 2027 (ii) 75% from October 1, 2027 to September 30, 2028, and (iii) 100% from October 1, 2028 to September 30, 2029. As of June 30, 2026, the Company was in compliance with all applicable covenants under the Revenue Interest Financing Agreement.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Company has evaluated the terms of the Revenue Interest Financing Agreement and concluded that the features of the Investment Amount are similar to those of a debt instrument. Accordingly, the Company has accounted for the transaction as a debt obligation with interest expense based on an imputed effective rate derived from the initial carrying value of the obligation and the expected future payments. The Company recalculates the effective interest rate each period based on the current carrying value and the revised estimated future payments. As of June 30, 2026, the effective interest rate of the revenue interest financing liability was approximately 10.20%. Changes in future payments from previous estimates are included in the current and future interest expense. The carrying value of the revenue interest financing liability was $384.9</w:t>
      </w:r>
      <w:r>
        <w:rPr>
          <w:rFonts w:ascii="Times New Roman" w:hAnsi="Times New Roman"/>
          <w:color w:val="000000"/>
          <w:sz w:val="20"/>
        </w:rPr>
        <w:t xml:space="preserve"> </w:t>
      </w:r>
      <w:r>
        <w:rPr>
          <w:rFonts w:ascii="sans-serif" w:hAnsi="sans-serif"/>
          <w:color w:val="000000"/>
          <w:sz w:val="20"/>
        </w:rPr>
        <w:t>million and $377.4</w:t>
      </w:r>
      <w:r>
        <w:rPr>
          <w:rFonts w:ascii="Times New Roman" w:hAnsi="Times New Roman"/>
          <w:color w:val="000000"/>
          <w:sz w:val="20"/>
        </w:rPr>
        <w:t xml:space="preserve"> </w:t>
      </w:r>
      <w:r>
        <w:rPr>
          <w:rFonts w:ascii="sans-serif" w:hAnsi="sans-serif"/>
          <w:color w:val="000000"/>
          <w:sz w:val="20"/>
        </w:rPr>
        <w:t>million as of June 30, 2026 and December 31, 2025, respectively.</w:t>
      </w:r>
      <w:r>
        <w:rPr>
          <w:rFonts w:ascii="Times New Roman" w:hAnsi="Times New Roman"/>
          <w:color w:val="000000"/>
          <w:sz w:val="20"/>
        </w:rPr>
        <w:t xml:space="preserve"> </w:t>
      </w:r>
    </w:p>
    <w:p>
      <w:pPr>
        <w:pStyle w:val="TextBody"/>
        <w:bidi w:val="0"/>
        <w:spacing w:before="200" w:after="200"/>
        <w:jc w:val="left"/>
        <w:rPr>
          <w:rFonts w:ascii="sans-serif" w:hAnsi="sans-serif"/>
          <w:color w:val="000000"/>
          <w:sz w:val="20"/>
        </w:rPr>
      </w:pPr>
      <w:r>
        <w:rPr>
          <w:rFonts w:ascii="sans-serif" w:hAnsi="sans-serif"/>
          <w:color w:val="000000"/>
          <w:sz w:val="20"/>
        </w:rPr>
        <w:t>Total revenue interest financing liability consists of the following (in thousands):</w:t>
      </w:r>
    </w:p>
    <w:tbl>
      <w:tblPr>
        <w:tblW w:w="7245" w:type="dxa"/>
        <w:jc w:val="left"/>
        <w:tblInd w:w="0" w:type="dxa"/>
        <w:tblLayout w:type="fixed"/>
        <w:tblCellMar>
          <w:top w:w="28" w:type="dxa"/>
          <w:left w:w="28" w:type="dxa"/>
          <w:bottom w:w="28" w:type="dxa"/>
          <w:right w:w="28" w:type="dxa"/>
        </w:tblCellMar>
      </w:tblPr>
      <w:tblGrid>
        <w:gridCol w:w="5761"/>
        <w:gridCol w:w="146"/>
        <w:gridCol w:w="226"/>
        <w:gridCol w:w="886"/>
        <w:gridCol w:w="226"/>
      </w:tblGrid>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Liability 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353,038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Proceeds from the Revenue Interest Financing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royalty payments and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(14,719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Plus: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39,052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Ending liability 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377,371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(27,249</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Long-term liability 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350,122</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Liability 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377,371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Proceeds from the Revenue Interest Financing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royalty payments and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(11,588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Plus: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19,129</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Ending liability 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384,912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(37,283</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Long-term liability 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347,629</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sans-serif" w:hAnsi="sans-serif"/>
          <w:color w:val="000000"/>
          <w:sz w:val="20"/>
        </w:rPr>
        <w:t>During the three months ended June 30, 2026 and 2025, the Company recognized $9.8</w:t>
      </w:r>
      <w:r>
        <w:rPr>
          <w:rFonts w:ascii="Times New Roman" w:hAnsi="Times New Roman"/>
          <w:color w:val="000000"/>
          <w:sz w:val="20"/>
        </w:rPr>
        <w:t xml:space="preserve"> </w:t>
      </w:r>
      <w:r>
        <w:rPr>
          <w:rFonts w:ascii="sans-serif" w:hAnsi="sans-serif"/>
          <w:color w:val="000000"/>
          <w:sz w:val="20"/>
        </w:rPr>
        <w:t>million and $10.3</w:t>
      </w:r>
      <w:r>
        <w:rPr>
          <w:rFonts w:ascii="Times New Roman" w:hAnsi="Times New Roman"/>
          <w:color w:val="000000"/>
          <w:sz w:val="20"/>
        </w:rPr>
        <w:t xml:space="preserve"> </w:t>
      </w:r>
      <w:r>
        <w:rPr>
          <w:rFonts w:ascii="sans-serif" w:hAnsi="sans-serif"/>
          <w:color w:val="000000"/>
          <w:sz w:val="20"/>
        </w:rPr>
        <w:t>million, respectively, of interest expense in connection with the revenue interest financing liability. During the six months ended June 30, 2026 and 2025, the Company recognized $19.1</w:t>
      </w:r>
      <w:r>
        <w:rPr>
          <w:rFonts w:ascii="Times New Roman" w:hAnsi="Times New Roman"/>
          <w:color w:val="000000"/>
          <w:sz w:val="20"/>
        </w:rPr>
        <w:t xml:space="preserve"> </w:t>
      </w:r>
      <w:r>
        <w:rPr>
          <w:rFonts w:ascii="sans-serif" w:hAnsi="sans-serif"/>
          <w:color w:val="000000"/>
          <w:sz w:val="20"/>
        </w:rPr>
        <w:t>million and $21.3</w:t>
      </w:r>
      <w:r>
        <w:rPr>
          <w:rFonts w:ascii="Times New Roman" w:hAnsi="Times New Roman"/>
          <w:color w:val="000000"/>
          <w:sz w:val="20"/>
        </w:rPr>
        <w:t xml:space="preserve"> </w:t>
      </w:r>
      <w:r>
        <w:rPr>
          <w:rFonts w:ascii="sans-serif" w:hAnsi="sans-serif"/>
          <w:color w:val="000000"/>
          <w:sz w:val="20"/>
        </w:rPr>
        <w:t>million, respectively, of interest expense in connection with the revenue interest financing liability.</w:t>
      </w:r>
    </w:p>
    <w:p>
      <w:pPr>
        <w:pStyle w:val="TextBody"/>
        <w:bidi w:val="0"/>
        <w:spacing w:before="200" w:after="283"/>
        <w:jc w:val="left"/>
        <w:rPr>
          <w:rFonts w:ascii="sans-serif" w:hAnsi="sans-serif"/>
          <w:color w:val="000000"/>
          <w:sz w:val="20"/>
        </w:rPr>
      </w:pPr>
      <w:r>
        <w:rPr>
          <w:rFonts w:ascii="sans-serif" w:hAnsi="sans-serif"/>
          <w:color w:val="000000"/>
          <w:sz w:val="20"/>
        </w:rPr>
        <w:t>The Company will record liabilities associated with achievement of the sales milestone when such contingent event occurs. To determine the accretion of the liability related to the Revenue Interest Financing Agreement, the Company is required to estimate the total amount of future royalty payments and estimated timing of such payments based on the Company’s revenue projections. As royalty payments are made, the balance of the debt obligation will be effectively repaid. Based on the Company’s periodic review, the exact timing of repayment is likely to be different in each reporting period as compared to those estimated in the Company’s initial revenue projections. A significant increase or decrease in actual net sales of vonoprazan compared to the Company’s revenue projections could impact the interest expense associated with the revenue interest financing liability. Also, the Company’s total obligation can vary depending on default events and achievement of the sales milestone.</w:t>
      </w:r>
    </w:p>
    <w:p>
      <w:pPr>
        <w:pStyle w:val="TextBody"/>
        <w:bidi w:val="0"/>
        <w:spacing w:before="200" w:after="283"/>
        <w:jc w:val="left"/>
        <w:rPr>
          <w:rFonts w:ascii="Times New Roman" w:hAnsi="Times New Roman"/>
          <w:sz w:val="20"/>
        </w:rPr>
      </w:pPr>
      <w:r>
        <w:rPr>
          <w:rFonts w:ascii="sans-serif" w:hAnsi="sans-serif"/>
          <w:b/>
          <w:color w:val="000000"/>
          <w:sz w:val="20"/>
        </w:rPr>
        <w:t>7. Stockholders’ Equity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b/>
          <w:i/>
          <w:color w:val="000000"/>
          <w:sz w:val="20"/>
        </w:rPr>
        <w:t>Common Stock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From inception through June 30, 2026, the Company sold 41,612,032</w:t>
      </w:r>
      <w:r>
        <w:rPr>
          <w:rFonts w:ascii="Times New Roman" w:hAnsi="Times New Roman"/>
          <w:color w:val="000000"/>
          <w:sz w:val="20"/>
        </w:rPr>
        <w:t xml:space="preserve"> </w:t>
      </w:r>
      <w:r>
        <w:rPr>
          <w:rFonts w:ascii="sans-serif" w:hAnsi="sans-serif"/>
          <w:color w:val="000000"/>
          <w:sz w:val="20"/>
        </w:rPr>
        <w:t>shares of common stock and 3,859,000</w:t>
      </w:r>
      <w:r>
        <w:rPr>
          <w:rFonts w:ascii="Times New Roman" w:hAnsi="Times New Roman"/>
          <w:color w:val="000000"/>
          <w:sz w:val="20"/>
        </w:rPr>
        <w:t xml:space="preserve"> </w:t>
      </w:r>
      <w:r>
        <w:rPr>
          <w:rFonts w:ascii="sans-serif" w:hAnsi="sans-serif"/>
          <w:color w:val="000000"/>
          <w:sz w:val="20"/>
        </w:rPr>
        <w:t>pre-funded warrants, generating net proceeds of approximately $665.3</w:t>
      </w:r>
      <w:r>
        <w:rPr>
          <w:rFonts w:ascii="Times New Roman" w:hAnsi="Times New Roman"/>
          <w:color w:val="000000"/>
          <w:sz w:val="20"/>
        </w:rPr>
        <w:t xml:space="preserve"> </w:t>
      </w:r>
      <w:r>
        <w:rPr>
          <w:rFonts w:ascii="sans-serif" w:hAnsi="sans-serif"/>
          <w:color w:val="000000"/>
          <w:sz w:val="20"/>
        </w:rPr>
        <w:t>million, after deducting underwriting discounts, commissions and offering costs.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sans-serif" w:hAnsi="sans-serif"/>
          <w:i/>
          <w:color w:val="000000"/>
          <w:sz w:val="20"/>
        </w:rPr>
      </w:pPr>
      <w:r>
        <w:rPr>
          <w:rFonts w:ascii="sans-serif" w:hAnsi="sans-serif"/>
          <w:i/>
          <w:color w:val="000000"/>
          <w:sz w:val="20"/>
        </w:rPr>
        <w:t>Underwritten Public Offering</w:t>
      </w:r>
    </w:p>
    <w:p>
      <w:pPr>
        <w:pStyle w:val="TextBody"/>
        <w:bidi w:val="0"/>
        <w:spacing w:before="200" w:after="283"/>
        <w:jc w:val="left"/>
        <w:rPr>
          <w:rFonts w:ascii="Times New Roman" w:hAnsi="Times New Roman"/>
          <w:sz w:val="20"/>
        </w:rPr>
      </w:pPr>
      <w:r>
        <w:rPr>
          <w:rFonts w:ascii="sans-serif" w:hAnsi="sans-serif"/>
          <w:color w:val="000000"/>
          <w:sz w:val="20"/>
        </w:rPr>
        <w:t>In January 2026, the Company sold 6,875,000</w:t>
      </w:r>
      <w:r>
        <w:rPr>
          <w:rFonts w:ascii="Times New Roman" w:hAnsi="Times New Roman"/>
          <w:color w:val="000000"/>
          <w:sz w:val="20"/>
        </w:rPr>
        <w:t xml:space="preserve"> </w:t>
      </w:r>
      <w:r>
        <w:rPr>
          <w:rFonts w:ascii="sans-serif" w:hAnsi="sans-serif"/>
          <w:color w:val="000000"/>
          <w:sz w:val="20"/>
        </w:rPr>
        <w:t>shares of common stock at a price of $16.00</w:t>
      </w:r>
      <w:r>
        <w:rPr>
          <w:rFonts w:ascii="Times New Roman" w:hAnsi="Times New Roman"/>
          <w:color w:val="000000"/>
          <w:sz w:val="20"/>
        </w:rPr>
        <w:t xml:space="preserve"> </w:t>
      </w:r>
      <w:r>
        <w:rPr>
          <w:rFonts w:ascii="sans-serif" w:hAnsi="sans-serif"/>
          <w:color w:val="000000"/>
          <w:sz w:val="20"/>
        </w:rPr>
        <w:t>per share and pre-funded warrants to purchase 1,250,078</w:t>
      </w:r>
      <w:r>
        <w:rPr>
          <w:rFonts w:ascii="Times New Roman" w:hAnsi="Times New Roman"/>
          <w:color w:val="000000"/>
          <w:sz w:val="20"/>
        </w:rPr>
        <w:t xml:space="preserve"> </w:t>
      </w:r>
      <w:r>
        <w:rPr>
          <w:rFonts w:ascii="sans-serif" w:hAnsi="sans-serif"/>
          <w:color w:val="000000"/>
          <w:sz w:val="20"/>
        </w:rPr>
        <w:t>shares of common stock at a price of $15.999</w:t>
      </w:r>
      <w:r>
        <w:rPr>
          <w:rFonts w:ascii="Times New Roman" w:hAnsi="Times New Roman"/>
          <w:color w:val="000000"/>
          <w:sz w:val="20"/>
        </w:rPr>
        <w:t xml:space="preserve"> </w:t>
      </w:r>
      <w:r>
        <w:rPr>
          <w:rFonts w:ascii="sans-serif" w:hAnsi="sans-serif"/>
          <w:color w:val="000000"/>
          <w:sz w:val="20"/>
        </w:rPr>
        <w:t>per pre-funded warrant, which represents the per share price for the common stock less the $0.001</w:t>
      </w:r>
      <w:r>
        <w:rPr>
          <w:rFonts w:ascii="Times New Roman" w:hAnsi="Times New Roman"/>
          <w:color w:val="000000"/>
          <w:sz w:val="20"/>
        </w:rPr>
        <w:t xml:space="preserve"> </w:t>
      </w:r>
      <w:r>
        <w:rPr>
          <w:rFonts w:ascii="sans-serif" w:hAnsi="sans-serif"/>
          <w:color w:val="000000"/>
          <w:sz w:val="20"/>
        </w:rPr>
        <w:t>per share exercise price for each such pre-funded warrant. The Company received gross proceeds of $130.0</w:t>
      </w:r>
      <w:r>
        <w:rPr>
          <w:rFonts w:ascii="Times New Roman" w:hAnsi="Times New Roman"/>
          <w:color w:val="000000"/>
          <w:sz w:val="20"/>
        </w:rPr>
        <w:t xml:space="preserve"> </w:t>
      </w:r>
      <w:r>
        <w:rPr>
          <w:rFonts w:ascii="sans-serif" w:hAnsi="sans-serif"/>
          <w:color w:val="000000"/>
          <w:sz w:val="20"/>
        </w:rPr>
        <w:t>million, before deducting underwriting discounts and commissions. The net purchase price after deducting the underwriting discounts and commissions and other offering expenses, was $15.01</w:t>
      </w:r>
      <w:r>
        <w:rPr>
          <w:rFonts w:ascii="Times New Roman" w:hAnsi="Times New Roman"/>
          <w:color w:val="000000"/>
          <w:sz w:val="20"/>
        </w:rPr>
        <w:t xml:space="preserve"> </w:t>
      </w:r>
      <w:r>
        <w:rPr>
          <w:rFonts w:ascii="sans-serif" w:hAnsi="sans-serif"/>
          <w:color w:val="000000"/>
          <w:sz w:val="20"/>
        </w:rPr>
        <w:t>per share or net proceeds of $122.0</w:t>
      </w:r>
      <w:r>
        <w:rPr>
          <w:rFonts w:ascii="Times New Roman" w:hAnsi="Times New Roman"/>
          <w:color w:val="000000"/>
          <w:sz w:val="20"/>
        </w:rPr>
        <w:t xml:space="preserve"> </w:t>
      </w:r>
      <w:r>
        <w:rPr>
          <w:rFonts w:ascii="sans-serif" w:hAnsi="sans-serif"/>
          <w:color w:val="000000"/>
          <w:sz w:val="20"/>
        </w:rPr>
        <w:t>million. Certain affiliates of Frazier Life Sciences IX, L.P., or Frazier, a significant stockholder and Dr. James Topper, who currently serves on the Company's Board of Directors, share voting and investment power of the securities held by Frazier. Frazier participated in the offering by purchasing pre-funded warrants on the same terms as all other investors at a purchase price of $15.999, which represents the per share public offering price for the common stock less the $0.001</w:t>
      </w:r>
      <w:r>
        <w:rPr>
          <w:rFonts w:ascii="Times New Roman" w:hAnsi="Times New Roman"/>
          <w:color w:val="000000"/>
          <w:sz w:val="20"/>
        </w:rPr>
        <w:t xml:space="preserve"> </w:t>
      </w:r>
      <w:r>
        <w:rPr>
          <w:rFonts w:ascii="sans-serif" w:hAnsi="sans-serif"/>
          <w:color w:val="000000"/>
          <w:sz w:val="20"/>
        </w:rPr>
        <w:t>per share exercise price for each pre-funded warrant. Each pre-funded warrant became exercisable upon issuance and will not expire until exercised in full. The pre-funded warrants may not be exercised if the aggregate number of ordinary shares beneficially owned by the holders thereof immediately following such exercise would exceed a specified beneficial ownership limitation.</w:t>
      </w:r>
    </w:p>
    <w:p>
      <w:pPr>
        <w:pStyle w:val="TextBody"/>
        <w:bidi w:val="0"/>
        <w:spacing w:before="200" w:after="283"/>
        <w:jc w:val="left"/>
        <w:rPr>
          <w:rFonts w:ascii="Times New Roman" w:hAnsi="Times New Roman"/>
          <w:sz w:val="20"/>
        </w:rPr>
      </w:pPr>
      <w:r>
        <w:rPr>
          <w:rFonts w:ascii="sans-serif" w:hAnsi="sans-serif"/>
          <w:color w:val="000000"/>
          <w:sz w:val="20"/>
        </w:rPr>
        <w:t>The pre-funded warrants from the offering were classified as a component of equity in the Company's condensed balance sheets as they are freestanding financial instruments that are immediately exercisable, do not embody an obligation for the Company to repurchase its own shares and permit the holders to receive a fixed number of shares of common stock upon exercise. The Company valued the pre-funded warrants at issuance, concluding that their sales price approximated their fair value, and allocated net proceeds from the sale proportionately to the common stock and pre-funded warrants, of which</w:t>
      </w:r>
      <w:r>
        <w:rPr>
          <w:rFonts w:ascii="Times New Roman" w:hAnsi="Times New Roman"/>
          <w:color w:val="000000"/>
          <w:sz w:val="20"/>
        </w:rPr>
        <w:t xml:space="preserve"> </w:t>
      </w:r>
      <w:r>
        <w:rPr>
          <w:rFonts w:ascii="sans-serif" w:hAnsi="sans-serif"/>
          <w:color w:val="000000"/>
          <w:sz w:val="20"/>
        </w:rPr>
        <w:t>$18.8</w:t>
      </w:r>
      <w:r>
        <w:rPr>
          <w:rFonts w:ascii="Times New Roman" w:hAnsi="Times New Roman"/>
          <w:color w:val="000000"/>
          <w:sz w:val="20"/>
        </w:rPr>
        <w:t xml:space="preserve"> </w:t>
      </w:r>
      <w:r>
        <w:rPr>
          <w:rFonts w:ascii="sans-serif" w:hAnsi="sans-serif"/>
          <w:color w:val="000000"/>
          <w:sz w:val="20"/>
        </w:rPr>
        <w:t>million was allocated to the pre-funded warrants and recorded as a component of additional paid-in capital during the first fiscal quarter of the 2026 fiscal year. As of June 30, 2026, none of the pre-funded warrants have been exercised.</w:t>
      </w:r>
    </w:p>
    <w:p>
      <w:pPr>
        <w:pStyle w:val="TextBody"/>
        <w:bidi w:val="0"/>
        <w:spacing w:before="200" w:after="283"/>
        <w:jc w:val="left"/>
        <w:rPr>
          <w:rFonts w:ascii="sans-serif" w:hAnsi="sans-serif"/>
          <w:i/>
          <w:color w:val="000000"/>
          <w:sz w:val="20"/>
        </w:rPr>
      </w:pPr>
      <w:r>
        <w:rPr>
          <w:rFonts w:ascii="sans-serif" w:hAnsi="sans-serif"/>
          <w:i/>
          <w:color w:val="000000"/>
          <w:sz w:val="20"/>
        </w:rPr>
        <w:t>ATM Offerings</w:t>
      </w:r>
    </w:p>
    <w:p>
      <w:pPr>
        <w:pStyle w:val="TextBody"/>
        <w:bidi w:val="0"/>
        <w:spacing w:before="200" w:after="283"/>
        <w:jc w:val="left"/>
        <w:rPr>
          <w:rFonts w:ascii="Times New Roman" w:hAnsi="Times New Roman"/>
          <w:sz w:val="20"/>
        </w:rPr>
      </w:pPr>
      <w:r>
        <w:rPr>
          <w:rFonts w:ascii="sans-serif" w:hAnsi="sans-serif"/>
          <w:color w:val="000000"/>
          <w:sz w:val="20"/>
        </w:rPr>
        <w:t>In November 2020, the Company entered into an Open Market Sale Agreement</w:t>
      </w:r>
      <w:r>
        <w:rPr>
          <w:rFonts w:ascii="sans-serif" w:hAnsi="sans-serif"/>
          <w:color w:val="000000"/>
          <w:sz w:val="13"/>
        </w:rPr>
        <w:t>SM</w:t>
      </w:r>
      <w:r>
        <w:rPr>
          <w:rFonts w:ascii="sans-serif" w:hAnsi="sans-serif"/>
          <w:color w:val="000000"/>
          <w:sz w:val="20"/>
        </w:rPr>
        <w:t>, or the Sales Agreement, with Jefferies LLC, or the Sales Agent, under which the Company may, from time to time, sell shares of common stock having an aggregate offering price of up to an amount registered under an effective registration statement through the Sales Agent.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In November 2023, the Company filed a shelf registration statement on Form S-3 which was declared effective by the SEC on November 17, 2023, which included an at-the-market prospectus pursuant to which the Company may, from time to time, sell up to an aggregate of $150</w:t>
      </w:r>
      <w:r>
        <w:rPr>
          <w:rFonts w:ascii="Times New Roman" w:hAnsi="Times New Roman"/>
          <w:color w:val="000000"/>
          <w:sz w:val="20"/>
        </w:rPr>
        <w:t xml:space="preserve"> </w:t>
      </w:r>
      <w:r>
        <w:rPr>
          <w:rFonts w:ascii="sans-serif" w:hAnsi="sans-serif"/>
          <w:color w:val="000000"/>
          <w:sz w:val="20"/>
        </w:rPr>
        <w:t>million of the Company's common stock through the Sales Agent, or the 2023 ATM Offering. The Company is not obligated to, and cannot provide any assurances that the Company will, make any sales of the shares under the Sales Agreement. The Sales Agreement may be terminated by the Sales Agent or the Company at any time. No</w:t>
      </w:r>
      <w:r>
        <w:rPr>
          <w:rFonts w:ascii="Times New Roman" w:hAnsi="Times New Roman"/>
          <w:color w:val="000000"/>
          <w:sz w:val="20"/>
        </w:rPr>
        <w:t xml:space="preserve"> </w:t>
      </w:r>
      <w:r>
        <w:rPr>
          <w:rFonts w:ascii="sans-serif" w:hAnsi="sans-serif"/>
          <w:color w:val="000000"/>
          <w:sz w:val="20"/>
        </w:rPr>
        <w:t>shares were sold during the three and six months ended June 30, 2026 and 2025. As of June 30, 2026, all of the available $150</w:t>
      </w:r>
      <w:r>
        <w:rPr>
          <w:rFonts w:ascii="Times New Roman" w:hAnsi="Times New Roman"/>
          <w:color w:val="000000"/>
          <w:sz w:val="20"/>
        </w:rPr>
        <w:t xml:space="preserve"> </w:t>
      </w:r>
      <w:r>
        <w:rPr>
          <w:rFonts w:ascii="sans-serif" w:hAnsi="sans-serif"/>
          <w:color w:val="000000"/>
          <w:sz w:val="20"/>
        </w:rPr>
        <w:t>million under the 2023 ATM Offering remains available.</w:t>
      </w:r>
    </w:p>
    <w:p>
      <w:pPr>
        <w:pStyle w:val="TextBody"/>
        <w:bidi w:val="0"/>
        <w:spacing w:before="200" w:after="283"/>
        <w:jc w:val="left"/>
        <w:rPr>
          <w:rFonts w:ascii="sans-serif" w:hAnsi="sans-serif"/>
          <w:i/>
          <w:color w:val="000000"/>
          <w:sz w:val="20"/>
        </w:rPr>
      </w:pPr>
      <w:r>
        <w:rPr>
          <w:rFonts w:ascii="sans-serif" w:hAnsi="sans-serif"/>
          <w:i/>
          <w:color w:val="000000"/>
          <w:sz w:val="20"/>
        </w:rPr>
        <w:t>Common Stock Reserves</w:t>
      </w:r>
    </w:p>
    <w:p>
      <w:pPr>
        <w:pStyle w:val="TextBody"/>
        <w:bidi w:val="0"/>
        <w:spacing w:before="200" w:after="200"/>
        <w:jc w:val="left"/>
        <w:rPr>
          <w:rFonts w:ascii="sans-serif" w:hAnsi="sans-serif"/>
          <w:color w:val="000000"/>
          <w:sz w:val="20"/>
        </w:rPr>
      </w:pPr>
      <w:r>
        <w:rPr>
          <w:rFonts w:ascii="sans-serif" w:hAnsi="sans-serif"/>
          <w:color w:val="000000"/>
          <w:sz w:val="20"/>
        </w:rPr>
        <w:t>Common stock reserved for future issuance consists of the following:</w:t>
      </w:r>
    </w:p>
    <w:tbl>
      <w:tblPr>
        <w:tblW w:w="9638" w:type="dxa"/>
        <w:jc w:val="left"/>
        <w:tblInd w:w="0" w:type="dxa"/>
        <w:tblLayout w:type="fixed"/>
        <w:tblCellMar>
          <w:top w:w="28" w:type="dxa"/>
          <w:left w:w="28" w:type="dxa"/>
          <w:bottom w:w="28" w:type="dxa"/>
          <w:right w:w="28" w:type="dxa"/>
        </w:tblCellMar>
      </w:tblPr>
      <w:tblGrid>
        <w:gridCol w:w="7681"/>
        <w:gridCol w:w="146"/>
        <w:gridCol w:w="177"/>
        <w:gridCol w:w="1443"/>
        <w:gridCol w:w="191"/>
      </w:tblGrid>
      <w:tr>
        <w:trPr/>
        <w:tc>
          <w:tcPr>
            <w:tcW w:w="7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Common stock warrants including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3,950,228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 options, performance stock units and restricted stock units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10,810,623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Shares available for issuance under the 2019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4,752,307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Shares available for issuance under the ESPP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1,859,861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Shares available for issuance under the Inducement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409,661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21,782,680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sans-serif" w:hAnsi="sans-serif"/>
          <w:b/>
          <w:i/>
          <w:color w:val="000000"/>
          <w:sz w:val="20"/>
        </w:rPr>
      </w:pPr>
      <w:r>
        <w:rPr>
          <w:rFonts w:ascii="sans-serif" w:hAnsi="sans-serif"/>
          <w:b/>
          <w:i/>
          <w:color w:val="000000"/>
          <w:sz w:val="20"/>
        </w:rPr>
        <w:t>Preferred Stock</w:t>
      </w:r>
    </w:p>
    <w:p>
      <w:pPr>
        <w:pStyle w:val="TextBody"/>
        <w:bidi w:val="0"/>
        <w:spacing w:before="200" w:after="283"/>
        <w:jc w:val="left"/>
        <w:rPr>
          <w:rFonts w:ascii="Times New Roman" w:hAnsi="Times New Roman"/>
          <w:sz w:val="20"/>
        </w:rPr>
      </w:pPr>
      <w:r>
        <w:rPr>
          <w:rFonts w:ascii="sans-serif" w:hAnsi="sans-serif"/>
          <w:color w:val="000000"/>
          <w:sz w:val="20"/>
        </w:rPr>
        <w:t>The Company is authorized to issue up to 40</w:t>
      </w:r>
      <w:r>
        <w:rPr>
          <w:rFonts w:ascii="Times New Roman" w:hAnsi="Times New Roman"/>
          <w:color w:val="000000"/>
          <w:sz w:val="20"/>
        </w:rPr>
        <w:t xml:space="preserve"> </w:t>
      </w:r>
      <w:r>
        <w:rPr>
          <w:rFonts w:ascii="sans-serif" w:hAnsi="sans-serif"/>
          <w:color w:val="000000"/>
          <w:sz w:val="20"/>
        </w:rPr>
        <w:t>million shares of preferred stock. As of June 30, 2026 and December 31, 2025, there were no</w:t>
      </w:r>
      <w:r>
        <w:rPr>
          <w:rFonts w:ascii="Times New Roman" w:hAnsi="Times New Roman"/>
          <w:color w:val="000000"/>
          <w:sz w:val="20"/>
        </w:rPr>
        <w:t xml:space="preserve"> </w:t>
      </w:r>
      <w:r>
        <w:rPr>
          <w:rFonts w:ascii="sans-serif" w:hAnsi="sans-serif"/>
          <w:color w:val="000000"/>
          <w:sz w:val="20"/>
        </w:rPr>
        <w:t>shares of preferred stock issued or outstanding.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sans-serif" w:hAnsi="sans-serif"/>
          <w:b/>
          <w:i/>
          <w:color w:val="000000"/>
          <w:sz w:val="20"/>
        </w:rPr>
      </w:pPr>
      <w:r>
        <w:rPr>
          <w:rFonts w:ascii="sans-serif" w:hAnsi="sans-serif"/>
          <w:b/>
          <w:i/>
          <w:color w:val="000000"/>
          <w:sz w:val="20"/>
        </w:rPr>
        <w:t>Equity Incentive Plan</w:t>
      </w:r>
    </w:p>
    <w:p>
      <w:pPr>
        <w:pStyle w:val="TextBody"/>
        <w:bidi w:val="0"/>
        <w:spacing w:before="200" w:after="283"/>
        <w:jc w:val="left"/>
        <w:rPr>
          <w:rFonts w:ascii="Times New Roman" w:hAnsi="Times New Roman"/>
          <w:sz w:val="20"/>
        </w:rPr>
      </w:pPr>
      <w:r>
        <w:rPr>
          <w:rFonts w:ascii="sans-serif" w:hAnsi="sans-serif"/>
          <w:color w:val="000000"/>
          <w:sz w:val="20"/>
        </w:rPr>
        <w:t>The Company’s 2019 Equity Incentive Plan, or the Prior Incentive Plan, provided for the grant of incentive stock options, non-statutory stock options, stock appreciation rights, restricted stock awards, restricted stock unit awards, and other stock awards to eligible recipients, including employees, directors or consultants of the Company. The Company had 2,231,739</w:t>
      </w:r>
      <w:r>
        <w:rPr>
          <w:rFonts w:ascii="Times New Roman" w:hAnsi="Times New Roman"/>
          <w:color w:val="000000"/>
          <w:sz w:val="20"/>
        </w:rPr>
        <w:t xml:space="preserve"> </w:t>
      </w:r>
      <w:r>
        <w:rPr>
          <w:rFonts w:ascii="sans-serif" w:hAnsi="sans-serif"/>
          <w:color w:val="000000"/>
          <w:sz w:val="20"/>
        </w:rPr>
        <w:t>shares of common stock authorized for issuance under the Prior Incentive Plan, of which, 1,400,528</w:t>
      </w:r>
      <w:r>
        <w:rPr>
          <w:rFonts w:ascii="Times New Roman" w:hAnsi="Times New Roman"/>
          <w:color w:val="000000"/>
          <w:sz w:val="20"/>
        </w:rPr>
        <w:t xml:space="preserve"> </w:t>
      </w:r>
      <w:r>
        <w:rPr>
          <w:rFonts w:ascii="sans-serif" w:hAnsi="sans-serif"/>
          <w:color w:val="000000"/>
          <w:sz w:val="20"/>
        </w:rPr>
        <w:t>stock options and 16,260</w:t>
      </w:r>
      <w:r>
        <w:rPr>
          <w:rFonts w:ascii="Times New Roman" w:hAnsi="Times New Roman"/>
          <w:color w:val="000000"/>
          <w:sz w:val="20"/>
        </w:rPr>
        <w:t xml:space="preserve"> </w:t>
      </w:r>
      <w:r>
        <w:rPr>
          <w:rFonts w:ascii="sans-serif" w:hAnsi="sans-serif"/>
          <w:color w:val="000000"/>
          <w:sz w:val="20"/>
        </w:rPr>
        <w:t>restricted stock awards were granted in 2019. As a result of the adoption of the 2019 Incentive Award Plan, or the 2019 Plan, in October 2019, no</w:t>
      </w:r>
      <w:r>
        <w:rPr>
          <w:rFonts w:ascii="Times New Roman" w:hAnsi="Times New Roman"/>
          <w:color w:val="000000"/>
          <w:sz w:val="20"/>
        </w:rPr>
        <w:t xml:space="preserve"> </w:t>
      </w:r>
      <w:r>
        <w:rPr>
          <w:rFonts w:ascii="sans-serif" w:hAnsi="sans-serif"/>
          <w:color w:val="000000"/>
          <w:sz w:val="20"/>
        </w:rPr>
        <w:t>further awards may be available for issuance under the Prior Incentive Plan.</w:t>
      </w:r>
    </w:p>
    <w:p>
      <w:pPr>
        <w:pStyle w:val="TextBody"/>
        <w:bidi w:val="0"/>
        <w:spacing w:before="200" w:after="283"/>
        <w:jc w:val="left"/>
        <w:rPr>
          <w:rFonts w:ascii="sans-serif" w:hAnsi="sans-serif"/>
          <w:b/>
          <w:i/>
          <w:color w:val="000000"/>
          <w:sz w:val="20"/>
        </w:rPr>
      </w:pPr>
      <w:r>
        <w:rPr>
          <w:rFonts w:ascii="sans-serif" w:hAnsi="sans-serif"/>
          <w:b/>
          <w:i/>
          <w:color w:val="000000"/>
          <w:sz w:val="20"/>
        </w:rPr>
        <w:t>2019 Incentive Award Plan</w:t>
      </w:r>
    </w:p>
    <w:p>
      <w:pPr>
        <w:pStyle w:val="TextBody"/>
        <w:bidi w:val="0"/>
        <w:spacing w:before="200" w:after="283"/>
        <w:jc w:val="left"/>
        <w:rPr>
          <w:rFonts w:ascii="sans-serif" w:hAnsi="sans-serif"/>
          <w:color w:val="000000"/>
          <w:sz w:val="20"/>
        </w:rPr>
      </w:pPr>
      <w:r>
        <w:rPr>
          <w:rFonts w:ascii="sans-serif" w:hAnsi="sans-serif"/>
          <w:color w:val="000000"/>
          <w:sz w:val="20"/>
        </w:rPr>
        <w:t>In October 2019, the Board of Directors adopted, and the Company’s stockholders approved, the 2019 Plan, which became effective in connection with the IPO. Under the 2019 Plan, the Company may grant stock options, stock appreciation rights, restricted stock, restricted stock units, or RSUs, performance stock units, or PSUs, and other awards to individuals who are then employees, officers, non-employee directors or consultants of the Company or its subsidiaries. The number of shares initially available for issuance will be increased by (i) the number of shares subject to stock options or similar awards granted under the Prior Incentive Plan that expire or otherwise terminate without having been exercised in full after the effective date of the 2019 Plan and unvested shares issued pursuant to awards granted under the Prior Incentive Plan that are forfeited to or repurchased by the Company after the effective date of the 2019 Plan, with the maximum number of shares to be added to the 2019 Plan pursuant to clause (i) not to exceed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w:t>
      </w:r>
    </w:p>
    <w:p>
      <w:pPr>
        <w:pStyle w:val="TextBody"/>
        <w:bidi w:val="0"/>
        <w:spacing w:before="200" w:after="283"/>
        <w:jc w:val="left"/>
        <w:rPr>
          <w:rFonts w:ascii="Times New Roman" w:hAnsi="Times New Roman"/>
          <w:sz w:val="20"/>
        </w:rPr>
      </w:pPr>
      <w:r>
        <w:rPr>
          <w:rFonts w:ascii="sans-serif" w:hAnsi="sans-serif"/>
          <w:color w:val="000000"/>
          <w:sz w:val="20"/>
        </w:rPr>
        <w:t>As of June 30, 2026, 4,752,307</w:t>
      </w:r>
      <w:r>
        <w:rPr>
          <w:rFonts w:ascii="Times New Roman" w:hAnsi="Times New Roman"/>
          <w:color w:val="000000"/>
          <w:sz w:val="20"/>
        </w:rPr>
        <w:t xml:space="preserve"> </w:t>
      </w:r>
      <w:r>
        <w:rPr>
          <w:rFonts w:ascii="sans-serif" w:hAnsi="sans-serif"/>
          <w:color w:val="000000"/>
          <w:sz w:val="20"/>
        </w:rPr>
        <w:t>shares remain available for issuance under the 2019 Plan, which reflects 2,142,768</w:t>
      </w:r>
      <w:r>
        <w:rPr>
          <w:rFonts w:ascii="Times New Roman" w:hAnsi="Times New Roman"/>
          <w:color w:val="000000"/>
          <w:sz w:val="20"/>
        </w:rPr>
        <w:t xml:space="preserve"> </w:t>
      </w:r>
      <w:r>
        <w:rPr>
          <w:rFonts w:ascii="sans-serif" w:hAnsi="sans-serif"/>
          <w:color w:val="000000"/>
          <w:sz w:val="20"/>
        </w:rPr>
        <w:t>stock options, RSUs and PSUs granted, and 704,644</w:t>
      </w:r>
      <w:r>
        <w:rPr>
          <w:rFonts w:ascii="Times New Roman" w:hAnsi="Times New Roman"/>
          <w:color w:val="000000"/>
          <w:sz w:val="20"/>
        </w:rPr>
        <w:t xml:space="preserve"> </w:t>
      </w:r>
      <w:r>
        <w:rPr>
          <w:rFonts w:ascii="sans-serif" w:hAnsi="sans-serif"/>
          <w:color w:val="000000"/>
          <w:sz w:val="20"/>
        </w:rPr>
        <w:t>of awards cancelled or forfeited, during the six months ended June 30, 2026 as well as an increase of 3,570,952</w:t>
      </w:r>
      <w:r>
        <w:rPr>
          <w:rFonts w:ascii="Times New Roman" w:hAnsi="Times New Roman"/>
          <w:color w:val="000000"/>
          <w:sz w:val="20"/>
        </w:rPr>
        <w:t xml:space="preserve"> </w:t>
      </w:r>
      <w:r>
        <w:rPr>
          <w:rFonts w:ascii="sans-serif" w:hAnsi="sans-serif"/>
          <w:color w:val="000000"/>
          <w:sz w:val="20"/>
        </w:rPr>
        <w:t>shares authorized effective as of January 1, 2026.</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b/>
          <w:i/>
          <w:color w:val="000000"/>
          <w:sz w:val="20"/>
        </w:rPr>
        <w:t>2025 Employment Inducement Incentive Award Plan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March 30, 2025, the Board of Directors adopted the 2025 Employment Inducement Incentive Award Plan, or the Inducement Plan, and reserved 2,500,000</w:t>
      </w:r>
      <w:r>
        <w:rPr>
          <w:rFonts w:ascii="Times New Roman" w:hAnsi="Times New Roman"/>
          <w:color w:val="000000"/>
          <w:sz w:val="20"/>
        </w:rPr>
        <w:t xml:space="preserve"> </w:t>
      </w:r>
      <w:r>
        <w:rPr>
          <w:rFonts w:ascii="sans-serif" w:hAnsi="sans-serif"/>
          <w:color w:val="000000"/>
          <w:sz w:val="20"/>
        </w:rPr>
        <w:t>shares of the Company’s common stock for issuance pursuant to equity awards granted under the Inducement Plan to individuals not previously employees or non-employee directors of the Company (or following such individuals’ bona fide period of non-employment with the Company) as an inducement to join the Company. The Inducement Plan provides for the grant of equity-based awards, including nonstatutory stock options, RSUs, restricted stock, stock appreciation rights, performance shares and PSUs, and its terms are substantially similar to the Company’s 2019 Plan, but with such other terms and conditions intended to comply with the Nasdaq inducement award exception or to comply with the Nasdaq acquisition and merger exception. As of June 30, 2026, the Company has granted 2,090,339</w:t>
      </w:r>
      <w:r>
        <w:rPr>
          <w:rFonts w:ascii="Times New Roman" w:hAnsi="Times New Roman"/>
          <w:color w:val="000000"/>
          <w:sz w:val="20"/>
        </w:rPr>
        <w:t xml:space="preserve"> </w:t>
      </w:r>
      <w:r>
        <w:rPr>
          <w:rFonts w:ascii="sans-serif" w:hAnsi="sans-serif"/>
          <w:color w:val="000000"/>
          <w:sz w:val="20"/>
        </w:rPr>
        <w:t>stock options, RSUs and PSUs under the Inducement Plan and 409,661</w:t>
      </w:r>
      <w:r>
        <w:rPr>
          <w:rFonts w:ascii="Times New Roman" w:hAnsi="Times New Roman"/>
          <w:color w:val="000000"/>
          <w:sz w:val="20"/>
        </w:rPr>
        <w:t xml:space="preserve"> </w:t>
      </w:r>
      <w:r>
        <w:rPr>
          <w:rFonts w:ascii="sans-serif" w:hAnsi="sans-serif"/>
          <w:color w:val="000000"/>
          <w:sz w:val="20"/>
        </w:rPr>
        <w:t>shares remain available for issuance.</w:t>
      </w:r>
    </w:p>
    <w:p>
      <w:pPr>
        <w:pStyle w:val="TextBody"/>
        <w:bidi w:val="0"/>
        <w:spacing w:before="200" w:after="283"/>
        <w:jc w:val="left"/>
        <w:rPr>
          <w:rFonts w:ascii="sans-serif" w:hAnsi="sans-serif"/>
          <w:b/>
          <w:i/>
          <w:color w:val="000000"/>
          <w:sz w:val="20"/>
        </w:rPr>
      </w:pPr>
      <w:r>
        <w:rPr>
          <w:rFonts w:ascii="sans-serif" w:hAnsi="sans-serif"/>
          <w:b/>
          <w:i/>
          <w:color w:val="000000"/>
          <w:sz w:val="20"/>
        </w:rPr>
        <w:t>Performance-Based Units</w:t>
      </w:r>
    </w:p>
    <w:p>
      <w:pPr>
        <w:pStyle w:val="TextBody"/>
        <w:bidi w:val="0"/>
        <w:spacing w:before="200" w:after="200"/>
        <w:jc w:val="left"/>
        <w:rPr>
          <w:rFonts w:ascii="Times New Roman" w:hAnsi="Times New Roman"/>
          <w:sz w:val="20"/>
        </w:rPr>
      </w:pPr>
      <w:r>
        <w:rPr>
          <w:rFonts w:ascii="sans-serif" w:hAnsi="sans-serif"/>
          <w:color w:val="000000"/>
          <w:sz w:val="20"/>
        </w:rPr>
        <w:t xml:space="preserve">In 2025, the Board of Directors approved the grant of PSUs, whereby vesting depends on certain revenue performance milestones for 2025 and over the next two years and stock price hurdle PSUs. The Company estimates the likelihood of achievement of performance milestones for all PSU awards at the end of each reporting period. To the extent those awards or portions thereof are considered probable of being achieved, such awards or portions thereof are expensed over the performance period. Recognition of stock-based compensation expense related to the stock price hurdle PSUs commenced on the date of grant and the expense is being recognized ratably over the requisite service period of the award. The stock price hurdle PSUs are considered a market condition under FASB </w:t>
      </w:r>
      <w:r>
        <w:rPr>
          <w:rFonts w:ascii="sans-serif" w:hAnsi="sans-serif"/>
          <w:i/>
          <w:color w:val="000000"/>
          <w:sz w:val="20"/>
        </w:rPr>
        <w:t xml:space="preserve">ASC Topic 718 Compensation – Stock Compensation </w:t>
      </w:r>
      <w:r>
        <w:rPr>
          <w:rFonts w:ascii="sans-serif" w:hAnsi="sans-serif"/>
          <w:color w:val="000000"/>
          <w:sz w:val="20"/>
        </w:rPr>
        <w:t>and the fair value was estimated on the grant date using Monte Carlo simulations. The key assumptions used in determining this valuation included an expected volatility of 86.84%, a dividend yield of zero, a risk-free interest rate of 3.67%, and an expected term of 3.75</w:t>
      </w:r>
      <w:r>
        <w:rPr>
          <w:rFonts w:ascii="Times New Roman" w:hAnsi="Times New Roman"/>
          <w:color w:val="000000"/>
          <w:sz w:val="20"/>
        </w:rPr>
        <w:t xml:space="preserve"> </w:t>
      </w:r>
      <w:r>
        <w:rPr>
          <w:rFonts w:ascii="sans-serif" w:hAnsi="sans-serif"/>
          <w:color w:val="000000"/>
          <w:sz w:val="20"/>
        </w:rPr>
        <w:t>years.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sans-serif" w:hAnsi="sans-serif"/>
          <w:color w:val="000000"/>
          <w:sz w:val="20"/>
        </w:rPr>
      </w:pPr>
      <w:r>
        <w:rPr>
          <w:rFonts w:ascii="sans-serif" w:hAnsi="sans-serif"/>
          <w:color w:val="000000"/>
          <w:sz w:val="20"/>
        </w:rPr>
        <w:t>The following table summarizes PSU activity during the six months ended June 30, 2026:</w:t>
      </w:r>
    </w:p>
    <w:tbl>
      <w:tblPr>
        <w:tblW w:w="7750" w:type="dxa"/>
        <w:jc w:val="left"/>
        <w:tblInd w:w="0" w:type="dxa"/>
        <w:tblLayout w:type="fixed"/>
        <w:tblCellMar>
          <w:top w:w="28" w:type="dxa"/>
          <w:left w:w="28" w:type="dxa"/>
          <w:bottom w:w="28" w:type="dxa"/>
          <w:right w:w="28" w:type="dxa"/>
        </w:tblCellMar>
      </w:tblPr>
      <w:tblGrid>
        <w:gridCol w:w="3706"/>
        <w:gridCol w:w="146"/>
        <w:gridCol w:w="180"/>
        <w:gridCol w:w="1185"/>
        <w:gridCol w:w="181"/>
        <w:gridCol w:w="146"/>
        <w:gridCol w:w="470"/>
        <w:gridCol w:w="1345"/>
        <w:gridCol w:w="3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Number of</w:t>
              <w:br/>
              <w:t>Stock Units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Weighted-</w:t>
              <w:br/>
              <w:t>Average Grant</w:t>
              <w:br/>
              <w:t>Date Fair Value</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Unvested 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495,124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58,914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(154,077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Unvested 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393,636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sans-serif" w:hAnsi="sans-serif"/>
          <w:color w:val="000000"/>
          <w:sz w:val="20"/>
        </w:rPr>
        <w:t>For performance milestone PSUs, stock-based compensation expense is recorded based on the market price of the Company's common stock on the grant date and is recognized if and when the achievement of such performance milestones are determined to be probable by the Company. During the six months ended June 30, 2026, a revenue performance milestone was considered probable, and the Company recognized stock-based compensation expense related to the probable vesting of PSUs. The fair value of the PSUs that vested during the six months ended June 30, 2026</w:t>
      </w:r>
      <w:r>
        <w:rPr>
          <w:rFonts w:ascii="Times New Roman" w:hAnsi="Times New Roman"/>
          <w:color w:val="000000"/>
          <w:sz w:val="20"/>
        </w:rPr>
        <w:t xml:space="preserve"> </w:t>
      </w:r>
      <w:r>
        <w:rPr>
          <w:rFonts w:ascii="sans-serif" w:hAnsi="sans-serif"/>
          <w:color w:val="000000"/>
          <w:sz w:val="20"/>
        </w:rPr>
        <w:t>was approximately $1.1</w:t>
      </w:r>
      <w:r>
        <w:rPr>
          <w:rFonts w:ascii="Times New Roman" w:hAnsi="Times New Roman"/>
          <w:color w:val="000000"/>
          <w:sz w:val="20"/>
        </w:rPr>
        <w:t xml:space="preserve"> </w:t>
      </w:r>
      <w:r>
        <w:rPr>
          <w:rFonts w:ascii="sans-serif" w:hAnsi="sans-serif"/>
          <w:color w:val="000000"/>
          <w:sz w:val="20"/>
        </w:rPr>
        <w:t>million.</w:t>
      </w:r>
    </w:p>
    <w:p>
      <w:pPr>
        <w:pStyle w:val="TextBody"/>
        <w:bidi w:val="0"/>
        <w:spacing w:before="200" w:after="283"/>
        <w:jc w:val="left"/>
        <w:rPr>
          <w:rFonts w:ascii="Times New Roman" w:hAnsi="Times New Roman"/>
          <w:sz w:val="20"/>
        </w:rPr>
      </w:pPr>
      <w:r>
        <w:rPr>
          <w:rFonts w:ascii="sans-serif" w:hAnsi="sans-serif"/>
          <w:color w:val="000000"/>
          <w:sz w:val="20"/>
        </w:rPr>
        <w:t>As of June 30, 2026, the Company had approximately $2.3</w:t>
      </w:r>
      <w:r>
        <w:rPr>
          <w:rFonts w:ascii="Times New Roman" w:hAnsi="Times New Roman"/>
          <w:color w:val="000000"/>
          <w:sz w:val="20"/>
        </w:rPr>
        <w:t xml:space="preserve"> </w:t>
      </w:r>
      <w:r>
        <w:rPr>
          <w:rFonts w:ascii="sans-serif" w:hAnsi="sans-serif"/>
          <w:color w:val="000000"/>
          <w:sz w:val="20"/>
        </w:rPr>
        <w:t>million of unrecognized stock-based compensation expense related to PSUs, which is expected to be recognized over a weighted-average period of approximately 1.5</w:t>
      </w:r>
      <w:r>
        <w:rPr>
          <w:rFonts w:ascii="Times New Roman" w:hAnsi="Times New Roman"/>
          <w:color w:val="000000"/>
          <w:sz w:val="20"/>
        </w:rPr>
        <w:t xml:space="preserve"> </w:t>
      </w:r>
      <w:r>
        <w:rPr>
          <w:rFonts w:ascii="sans-serif" w:hAnsi="sans-serif"/>
          <w:color w:val="000000"/>
          <w:sz w:val="20"/>
        </w:rPr>
        <w:t>years.</w:t>
      </w:r>
      <w:r>
        <w:rPr>
          <w:rFonts w:ascii="Times New Roman" w:hAnsi="Times New Roman"/>
          <w:color w:val="000000"/>
          <w:sz w:val="20"/>
        </w:rPr>
        <w:t xml:space="preserve"> </w:t>
      </w:r>
    </w:p>
    <w:p>
      <w:pPr>
        <w:pStyle w:val="TextBody"/>
        <w:bidi w:val="0"/>
        <w:spacing w:before="200" w:after="200"/>
        <w:jc w:val="left"/>
        <w:rPr>
          <w:rFonts w:ascii="sans-serif" w:hAnsi="sans-serif"/>
          <w:b/>
          <w:i/>
          <w:color w:val="000000"/>
          <w:sz w:val="20"/>
        </w:rPr>
      </w:pPr>
      <w:r>
        <w:rPr>
          <w:rFonts w:ascii="sans-serif" w:hAnsi="sans-serif"/>
          <w:b/>
          <w:i/>
          <w:color w:val="000000"/>
          <w:sz w:val="20"/>
        </w:rPr>
        <w:t>Restricted Stock Units</w:t>
      </w:r>
    </w:p>
    <w:p>
      <w:pPr>
        <w:pStyle w:val="TextBody"/>
        <w:bidi w:val="0"/>
        <w:spacing w:before="0" w:after="200"/>
        <w:jc w:val="left"/>
        <w:rPr>
          <w:rFonts w:ascii="sans-serif" w:hAnsi="sans-serif"/>
          <w:color w:val="000000"/>
          <w:sz w:val="20"/>
        </w:rPr>
      </w:pPr>
      <w:r>
        <w:rPr>
          <w:rFonts w:ascii="sans-serif" w:hAnsi="sans-serif"/>
          <w:color w:val="000000"/>
          <w:sz w:val="20"/>
        </w:rPr>
        <w:t>The following table summarizes RSU activity during the six months ended June 30, 2026:</w:t>
      </w:r>
    </w:p>
    <w:tbl>
      <w:tblPr>
        <w:tblW w:w="7750" w:type="dxa"/>
        <w:jc w:val="left"/>
        <w:tblInd w:w="0" w:type="dxa"/>
        <w:tblLayout w:type="fixed"/>
        <w:tblCellMar>
          <w:top w:w="28" w:type="dxa"/>
          <w:left w:w="28" w:type="dxa"/>
          <w:bottom w:w="28" w:type="dxa"/>
          <w:right w:w="28" w:type="dxa"/>
        </w:tblCellMar>
      </w:tblPr>
      <w:tblGrid>
        <w:gridCol w:w="3706"/>
        <w:gridCol w:w="146"/>
        <w:gridCol w:w="164"/>
        <w:gridCol w:w="1201"/>
        <w:gridCol w:w="181"/>
        <w:gridCol w:w="146"/>
        <w:gridCol w:w="470"/>
        <w:gridCol w:w="1345"/>
        <w:gridCol w:w="3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Number of</w:t>
              <w:br/>
              <w:t>Stock Units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Weighted-</w:t>
              <w:br/>
              <w:t>Average Grant</w:t>
              <w:br/>
              <w:t>Date Fair Value</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Unvested 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2,154,584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1,746,645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(730,313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(83,265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Unvested 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3,087,651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sans-serif" w:hAnsi="sans-serif"/>
          <w:color w:val="000000"/>
          <w:sz w:val="20"/>
        </w:rPr>
        <w:t>As of June 30, 2026, the Company had $26.0</w:t>
      </w:r>
      <w:r>
        <w:rPr>
          <w:rFonts w:ascii="Times New Roman" w:hAnsi="Times New Roman"/>
          <w:color w:val="000000"/>
          <w:sz w:val="20"/>
        </w:rPr>
        <w:t xml:space="preserve"> </w:t>
      </w:r>
      <w:r>
        <w:rPr>
          <w:rFonts w:ascii="sans-serif" w:hAnsi="sans-serif"/>
          <w:color w:val="000000"/>
          <w:sz w:val="20"/>
        </w:rPr>
        <w:t>million of unrecognized stock-based compensation expense related to RSUs, which is expected to be recognized over a weighted-average period of 2.2</w:t>
      </w:r>
      <w:r>
        <w:rPr>
          <w:rFonts w:ascii="Times New Roman" w:hAnsi="Times New Roman"/>
          <w:color w:val="000000"/>
          <w:sz w:val="20"/>
        </w:rPr>
        <w:t xml:space="preserve"> </w:t>
      </w:r>
      <w:r>
        <w:rPr>
          <w:rFonts w:ascii="sans-serif" w:hAnsi="sans-serif"/>
          <w:color w:val="000000"/>
          <w:sz w:val="20"/>
        </w:rPr>
        <w:t>years. The total fair value of RSUs vested during the six months ended June 30, 2026, was approximately $4.7</w:t>
      </w:r>
      <w:r>
        <w:rPr>
          <w:rFonts w:ascii="Times New Roman" w:hAnsi="Times New Roman"/>
          <w:color w:val="000000"/>
          <w:sz w:val="20"/>
        </w:rPr>
        <w:t xml:space="preserve"> </w:t>
      </w:r>
      <w:r>
        <w:rPr>
          <w:rFonts w:ascii="sans-serif" w:hAnsi="sans-serif"/>
          <w:color w:val="000000"/>
          <w:sz w:val="20"/>
        </w:rPr>
        <w:t>million.</w:t>
      </w:r>
    </w:p>
    <w:p>
      <w:pPr>
        <w:pStyle w:val="TextBody"/>
        <w:bidi w:val="0"/>
        <w:spacing w:before="200" w:after="283"/>
        <w:jc w:val="left"/>
        <w:rPr>
          <w:rFonts w:ascii="sans-serif" w:hAnsi="sans-serif"/>
          <w:b/>
          <w:i/>
          <w:color w:val="000000"/>
          <w:sz w:val="20"/>
        </w:rPr>
      </w:pPr>
      <w:r>
        <w:rPr>
          <w:rFonts w:ascii="sans-serif" w:hAnsi="sans-serif"/>
          <w:b/>
          <w:i/>
          <w:color w:val="000000"/>
          <w:sz w:val="20"/>
        </w:rPr>
        <w:t>Employee Stock Purchase Plan</w:t>
      </w:r>
    </w:p>
    <w:p>
      <w:pPr>
        <w:pStyle w:val="TextBody"/>
        <w:bidi w:val="0"/>
        <w:spacing w:before="200" w:after="283"/>
        <w:jc w:val="left"/>
        <w:rPr>
          <w:rFonts w:ascii="Times New Roman" w:hAnsi="Times New Roman"/>
          <w:sz w:val="20"/>
        </w:rPr>
      </w:pPr>
      <w:r>
        <w:rPr>
          <w:rFonts w:ascii="sans-serif" w:hAnsi="sans-serif"/>
          <w:color w:val="000000"/>
          <w:sz w:val="20"/>
        </w:rPr>
        <w:t>In October 2019, the Board of Directors adopted, and the Company’s stockholders approved, the Employee Stock Purchase Plan, or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w:t>
      </w:r>
      <w:r>
        <w:rPr>
          <w:rFonts w:ascii="Times New Roman" w:hAnsi="Times New Roman"/>
          <w:color w:val="000000"/>
          <w:sz w:val="20"/>
        </w:rPr>
        <w:t xml:space="preserve"> </w:t>
      </w:r>
      <w:r>
        <w:rPr>
          <w:rFonts w:ascii="sans-serif" w:hAnsi="sans-serif"/>
          <w:color w:val="000000"/>
          <w:sz w:val="20"/>
        </w:rPr>
        <w:t>shares of common stock was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 As of June 30, 2026, 1,859,861 shares of common stock remain available for issuance under the ESPP, which reflects the issuance of 211,837 shares sold to employees during the six months ended June 30, 2026 as well as an annual increase of 714,190 shares authorized on January 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sz w:val="20"/>
        </w:rPr>
      </w:pPr>
      <w:r>
        <w:rPr>
          <w:rFonts w:ascii="sans-serif" w:hAnsi="sans-serif"/>
          <w:color w:val="000000"/>
          <w:sz w:val="20"/>
        </w:rPr>
        <w:t>The ESPP is considered a compensatory plan, and for the three and six months ended June 30, 2026, the Company recorded related stock-based compensation of $0.3</w:t>
      </w:r>
      <w:r>
        <w:rPr>
          <w:rFonts w:ascii="Times New Roman" w:hAnsi="Times New Roman"/>
          <w:color w:val="000000"/>
          <w:sz w:val="20"/>
        </w:rPr>
        <w:t xml:space="preserve"> </w:t>
      </w:r>
      <w:r>
        <w:rPr>
          <w:rFonts w:ascii="sans-serif" w:hAnsi="sans-serif"/>
          <w:color w:val="000000"/>
          <w:sz w:val="20"/>
        </w:rPr>
        <w:t>million and $0.6</w:t>
      </w:r>
      <w:r>
        <w:rPr>
          <w:rFonts w:ascii="Times New Roman" w:hAnsi="Times New Roman"/>
          <w:color w:val="000000"/>
          <w:sz w:val="20"/>
        </w:rPr>
        <w:t xml:space="preserve"> </w:t>
      </w:r>
      <w:r>
        <w:rPr>
          <w:rFonts w:ascii="sans-serif" w:hAnsi="sans-serif"/>
          <w:color w:val="000000"/>
          <w:sz w:val="20"/>
        </w:rPr>
        <w:t>million, respectively, compared to $0.5</w:t>
      </w:r>
      <w:r>
        <w:rPr>
          <w:rFonts w:ascii="Times New Roman" w:hAnsi="Times New Roman"/>
          <w:color w:val="000000"/>
          <w:sz w:val="20"/>
        </w:rPr>
        <w:t xml:space="preserve"> </w:t>
      </w:r>
      <w:r>
        <w:rPr>
          <w:rFonts w:ascii="sans-serif" w:hAnsi="sans-serif"/>
          <w:color w:val="000000"/>
          <w:sz w:val="20"/>
        </w:rPr>
        <w:t>million and $0.8</w:t>
      </w:r>
      <w:r>
        <w:rPr>
          <w:rFonts w:ascii="Times New Roman" w:hAnsi="Times New Roman"/>
          <w:color w:val="000000"/>
          <w:sz w:val="20"/>
        </w:rPr>
        <w:t xml:space="preserve"> </w:t>
      </w:r>
      <w:r>
        <w:rPr>
          <w:rFonts w:ascii="sans-serif" w:hAnsi="sans-serif"/>
          <w:color w:val="000000"/>
          <w:sz w:val="20"/>
        </w:rPr>
        <w:t>million, respectively, for the same periods in 2025. The weighted-average assumptions used to estimate the fair value of ESPP awards using the Black-Scholes option valuation model were as follows:</w:t>
      </w:r>
    </w:p>
    <w:tbl>
      <w:tblPr>
        <w:tblW w:w="4982" w:type="dxa"/>
        <w:jc w:val="left"/>
        <w:tblInd w:w="0" w:type="dxa"/>
        <w:tblLayout w:type="fixed"/>
        <w:tblCellMar>
          <w:top w:w="28" w:type="dxa"/>
          <w:left w:w="28" w:type="dxa"/>
          <w:bottom w:w="28" w:type="dxa"/>
          <w:right w:w="28" w:type="dxa"/>
        </w:tblCellMar>
      </w:tblPr>
      <w:tblGrid>
        <w:gridCol w:w="2736"/>
        <w:gridCol w:w="146"/>
        <w:gridCol w:w="849"/>
        <w:gridCol w:w="150"/>
        <w:gridCol w:w="1101"/>
      </w:tblGrid>
      <w:tr>
        <w:trPr/>
        <w:tc>
          <w:tcPr>
            <w:tcW w:w="2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br/>
              <w:t>June 30,</w:t>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r>
      <w:tr>
        <w:trPr/>
        <w:tc>
          <w:tcPr>
            <w:tcW w:w="27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Assumptions: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sans-serif" w:hAnsi="sans-serif"/>
                <w:color w:val="000000"/>
                <w:sz w:val="20"/>
              </w:rPr>
            </w:pPr>
            <w:r>
              <w:rPr>
                <w:rFonts w:ascii="sans-serif" w:hAnsi="sans-serif"/>
                <w:color w:val="000000"/>
                <w:sz w:val="20"/>
              </w:rPr>
              <w:t>0.49</w:t>
            </w:r>
          </w:p>
        </w:tc>
      </w:tr>
      <w:tr>
        <w:trPr/>
        <w:tc>
          <w:tcPr>
            <w:tcW w:w="2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61.01%</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sans-serif" w:hAnsi="sans-serif"/>
                <w:color w:val="000000"/>
                <w:sz w:val="20"/>
              </w:rPr>
            </w:pPr>
            <w:r>
              <w:rPr>
                <w:rFonts w:ascii="sans-serif" w:hAnsi="sans-serif"/>
                <w:color w:val="000000"/>
                <w:sz w:val="20"/>
              </w:rPr>
              <w:t>86.93%</w:t>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Risk 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sans-serif" w:hAnsi="sans-serif"/>
                <w:color w:val="000000"/>
                <w:sz w:val="20"/>
              </w:rPr>
            </w:pPr>
            <w:r>
              <w:rPr>
                <w:rFonts w:ascii="sans-serif" w:hAnsi="sans-serif"/>
                <w:color w:val="000000"/>
                <w:sz w:val="20"/>
              </w:rPr>
              <w:t>4.26%</w:t>
            </w:r>
          </w:p>
        </w:tc>
      </w:tr>
      <w:tr>
        <w:trPr/>
        <w:tc>
          <w:tcPr>
            <w:tcW w:w="2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spacing w:before="200" w:after="283"/>
        <w:jc w:val="left"/>
        <w:rPr>
          <w:rFonts w:ascii="Times New Roman" w:hAnsi="Times New Roman"/>
          <w:sz w:val="20"/>
        </w:rPr>
      </w:pPr>
      <w:r>
        <w:rPr>
          <w:rFonts w:ascii="sans-serif" w:hAnsi="sans-serif"/>
          <w:color w:val="000000"/>
          <w:sz w:val="20"/>
        </w:rPr>
        <w:t>The estimated weighted-average fair value of ESPP awards for the six months ended June 30, 2026 and 2025, was $4.85</w:t>
      </w:r>
      <w:r>
        <w:rPr>
          <w:rFonts w:ascii="Times New Roman" w:hAnsi="Times New Roman"/>
          <w:color w:val="000000"/>
          <w:sz w:val="20"/>
        </w:rPr>
        <w:t xml:space="preserve"> </w:t>
      </w:r>
      <w:r>
        <w:rPr>
          <w:rFonts w:ascii="sans-serif" w:hAnsi="sans-serif"/>
          <w:color w:val="000000"/>
          <w:sz w:val="20"/>
        </w:rPr>
        <w:t>and $2.81, respectively. As of June 30, 2026, the total unrecognized compensation expense related to the ESPP was $0.1</w:t>
      </w:r>
      <w:r>
        <w:rPr>
          <w:rFonts w:ascii="Times New Roman" w:hAnsi="Times New Roman"/>
          <w:color w:val="000000"/>
          <w:sz w:val="20"/>
        </w:rPr>
        <w:t xml:space="preserve"> </w:t>
      </w:r>
      <w:r>
        <w:rPr>
          <w:rFonts w:ascii="sans-serif" w:hAnsi="sans-serif"/>
          <w:color w:val="000000"/>
          <w:sz w:val="20"/>
        </w:rPr>
        <w:t>million, which is expected to be recognized over a weighted-average period of approximately 0.5</w:t>
      </w:r>
      <w:r>
        <w:rPr>
          <w:rFonts w:ascii="Times New Roman" w:hAnsi="Times New Roman"/>
          <w:color w:val="000000"/>
          <w:sz w:val="20"/>
        </w:rPr>
        <w:t xml:space="preserve"> </w:t>
      </w:r>
      <w:r>
        <w:rPr>
          <w:rFonts w:ascii="sans-serif" w:hAnsi="sans-serif"/>
          <w:color w:val="000000"/>
          <w:sz w:val="20"/>
        </w:rPr>
        <w:t>months.</w:t>
      </w:r>
      <w:r>
        <w:rPr>
          <w:rFonts w:ascii="Times New Roman" w:hAnsi="Times New Roman"/>
          <w:color w:val="000000"/>
          <w:sz w:val="20"/>
        </w:rPr>
        <w:t xml:space="preserve"> </w:t>
      </w:r>
    </w:p>
    <w:p>
      <w:pPr>
        <w:pStyle w:val="TextBody"/>
        <w:bidi w:val="0"/>
        <w:spacing w:before="200" w:after="283"/>
        <w:jc w:val="left"/>
        <w:rPr>
          <w:rFonts w:ascii="sans-serif" w:hAnsi="sans-serif"/>
          <w:b/>
          <w:i/>
          <w:color w:val="000000"/>
          <w:sz w:val="20"/>
        </w:rPr>
      </w:pPr>
      <w:r>
        <w:rPr>
          <w:rFonts w:ascii="sans-serif" w:hAnsi="sans-serif"/>
          <w:b/>
          <w:i/>
          <w:color w:val="000000"/>
          <w:sz w:val="20"/>
        </w:rPr>
        <w:t>401(k) Plan</w:t>
      </w:r>
    </w:p>
    <w:p>
      <w:pPr>
        <w:pStyle w:val="TextBody"/>
        <w:bidi w:val="0"/>
        <w:spacing w:before="200" w:after="283"/>
        <w:jc w:val="left"/>
        <w:rPr>
          <w:rFonts w:ascii="Times New Roman" w:hAnsi="Times New Roman"/>
          <w:sz w:val="20"/>
        </w:rPr>
      </w:pPr>
      <w:r>
        <w:rPr>
          <w:rFonts w:ascii="sans-serif" w:hAnsi="sans-serif"/>
          <w:color w:val="000000"/>
          <w:sz w:val="20"/>
        </w:rPr>
        <w:t>During 2020, the Company established a 401(k) savings plan. The Company’s contributions to the plan are discretionary. During the three and six months ended June 30, 2026, the Company incurred $1.3</w:t>
      </w:r>
      <w:r>
        <w:rPr>
          <w:rFonts w:ascii="Times New Roman" w:hAnsi="Times New Roman"/>
          <w:color w:val="000000"/>
          <w:sz w:val="20"/>
        </w:rPr>
        <w:t xml:space="preserve"> </w:t>
      </w:r>
      <w:r>
        <w:rPr>
          <w:rFonts w:ascii="sans-serif" w:hAnsi="sans-serif"/>
          <w:color w:val="000000"/>
          <w:sz w:val="20"/>
        </w:rPr>
        <w:t>million and $2.9</w:t>
      </w:r>
      <w:r>
        <w:rPr>
          <w:rFonts w:ascii="Times New Roman" w:hAnsi="Times New Roman"/>
          <w:color w:val="000000"/>
          <w:sz w:val="20"/>
        </w:rPr>
        <w:t xml:space="preserve"> </w:t>
      </w:r>
      <w:r>
        <w:rPr>
          <w:rFonts w:ascii="sans-serif" w:hAnsi="sans-serif"/>
          <w:color w:val="000000"/>
          <w:sz w:val="20"/>
        </w:rPr>
        <w:t>million, respectively, of expense related to estimated employer contribution liabilities, which was based on a 75% match of employees’ contributions during the periods, compared to $1.3</w:t>
      </w:r>
      <w:r>
        <w:rPr>
          <w:rFonts w:ascii="Times New Roman" w:hAnsi="Times New Roman"/>
          <w:color w:val="000000"/>
          <w:sz w:val="20"/>
        </w:rPr>
        <w:t xml:space="preserve"> </w:t>
      </w:r>
      <w:r>
        <w:rPr>
          <w:rFonts w:ascii="sans-serif" w:hAnsi="sans-serif"/>
          <w:color w:val="000000"/>
          <w:sz w:val="20"/>
        </w:rPr>
        <w:t>million and $3.1</w:t>
      </w:r>
      <w:r>
        <w:rPr>
          <w:rFonts w:ascii="Times New Roman" w:hAnsi="Times New Roman"/>
          <w:color w:val="000000"/>
          <w:sz w:val="20"/>
        </w:rPr>
        <w:t xml:space="preserve"> </w:t>
      </w:r>
      <w:r>
        <w:rPr>
          <w:rFonts w:ascii="sans-serif" w:hAnsi="sans-serif"/>
          <w:color w:val="000000"/>
          <w:sz w:val="20"/>
        </w:rPr>
        <w:t>million, respectively, for the same periods in 2025. During the six months ended June 30, 2026 and 2025, the Board of Directors approved employer matching contributions settled by contributing 132,035</w:t>
      </w:r>
      <w:r>
        <w:rPr>
          <w:rFonts w:ascii="Times New Roman" w:hAnsi="Times New Roman"/>
          <w:color w:val="000000"/>
          <w:sz w:val="20"/>
        </w:rPr>
        <w:t xml:space="preserve"> </w:t>
      </w:r>
      <w:r>
        <w:rPr>
          <w:rFonts w:ascii="sans-serif" w:hAnsi="sans-serif"/>
          <w:color w:val="000000"/>
          <w:sz w:val="20"/>
        </w:rPr>
        <w:t>and 290,165</w:t>
      </w:r>
      <w:r>
        <w:rPr>
          <w:rFonts w:ascii="Times New Roman" w:hAnsi="Times New Roman"/>
          <w:color w:val="000000"/>
          <w:sz w:val="20"/>
        </w:rPr>
        <w:t xml:space="preserve"> </w:t>
      </w:r>
      <w:r>
        <w:rPr>
          <w:rFonts w:ascii="sans-serif" w:hAnsi="sans-serif"/>
          <w:color w:val="000000"/>
          <w:sz w:val="20"/>
        </w:rPr>
        <w:t>shares of common stock, respectively.</w:t>
      </w:r>
    </w:p>
    <w:p>
      <w:pPr>
        <w:pStyle w:val="TextBody"/>
        <w:bidi w:val="0"/>
        <w:spacing w:before="200" w:after="283"/>
        <w:jc w:val="left"/>
        <w:rPr>
          <w:rFonts w:ascii="sans-serif" w:hAnsi="sans-serif"/>
          <w:b/>
          <w:i/>
          <w:color w:val="000000"/>
          <w:sz w:val="20"/>
        </w:rPr>
      </w:pPr>
      <w:r>
        <w:rPr>
          <w:rFonts w:ascii="sans-serif" w:hAnsi="sans-serif"/>
          <w:b/>
          <w:i/>
          <w:color w:val="000000"/>
          <w:sz w:val="20"/>
        </w:rPr>
        <w:t>Stock Options</w:t>
      </w:r>
    </w:p>
    <w:p>
      <w:pPr>
        <w:pStyle w:val="TextBody"/>
        <w:bidi w:val="0"/>
        <w:spacing w:before="200" w:after="283"/>
        <w:jc w:val="left"/>
        <w:rPr>
          <w:rFonts w:ascii="Times New Roman" w:hAnsi="Times New Roman"/>
          <w:sz w:val="20"/>
        </w:rPr>
      </w:pPr>
      <w:r>
        <w:rPr>
          <w:rFonts w:ascii="sans-serif" w:hAnsi="sans-serif"/>
          <w:color w:val="000000"/>
          <w:sz w:val="20"/>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the Company estimated its expected volatility based on the historical volatility of a publicly 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w:t>
      </w:r>
      <w:r>
        <w:rPr>
          <w:rFonts w:ascii="Times New Roman" w:hAnsi="Times New Roman"/>
          <w:color w:val="000000"/>
          <w:sz w:val="20"/>
        </w:rPr>
        <w:t xml:space="preserve"> </w:t>
      </w:r>
      <w:r>
        <w:rPr>
          <w:rFonts w:ascii="sans-serif" w:hAnsi="sans-serif"/>
          <w:color w:val="000000"/>
          <w:sz w:val="20"/>
        </w:rPr>
        <w:t>based on the fact that the Company has never paid cash dividends and does not expect to pay any cash dividends in the foreseeable future.</w:t>
      </w:r>
    </w:p>
    <w:p>
      <w:pPr>
        <w:pStyle w:val="TextBody"/>
        <w:bidi w:val="0"/>
        <w:spacing w:before="200" w:after="200"/>
        <w:jc w:val="left"/>
        <w:rPr>
          <w:rFonts w:ascii="sans-serif" w:hAnsi="sans-serif"/>
          <w:color w:val="000000"/>
          <w:sz w:val="20"/>
        </w:rPr>
      </w:pPr>
      <w:r>
        <w:rPr>
          <w:rFonts w:ascii="sans-serif" w:hAnsi="sans-serif"/>
          <w:color w:val="000000"/>
          <w:sz w:val="20"/>
        </w:rPr>
        <w:t>A summary of the Company’s stock option activity and related information during the six months ended June 30, 2026 is as follows:</w:t>
      </w:r>
    </w:p>
    <w:tbl>
      <w:tblPr>
        <w:tblW w:w="10205" w:type="dxa"/>
        <w:jc w:val="left"/>
        <w:tblInd w:w="0" w:type="dxa"/>
        <w:tblLayout w:type="fixed"/>
        <w:tblCellMar>
          <w:top w:w="28" w:type="dxa"/>
          <w:left w:w="28" w:type="dxa"/>
          <w:bottom w:w="28" w:type="dxa"/>
          <w:right w:w="28" w:type="dxa"/>
        </w:tblCellMar>
      </w:tblPr>
      <w:tblGrid>
        <w:gridCol w:w="3226"/>
        <w:gridCol w:w="146"/>
        <w:gridCol w:w="163"/>
        <w:gridCol w:w="1278"/>
        <w:gridCol w:w="181"/>
        <w:gridCol w:w="146"/>
        <w:gridCol w:w="315"/>
        <w:gridCol w:w="901"/>
        <w:gridCol w:w="146"/>
        <w:gridCol w:w="146"/>
        <w:gridCol w:w="300"/>
        <w:gridCol w:w="1081"/>
        <w:gridCol w:w="146"/>
        <w:gridCol w:w="146"/>
        <w:gridCol w:w="339"/>
        <w:gridCol w:w="1153"/>
        <w:gridCol w:w="392"/>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Options</w:t>
              <w:br/>
              <w:t>Outstanding</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Aggregate</w:t>
              <w:br/>
              <w:t>Intrinsic</w:t>
              <w:br/>
              <w:t xml:space="preserve">Value </w:t>
              <w:br/>
              <w:t>(in thousands)</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9,443,623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80,509</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345,282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(1,844,515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Options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(615,054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7,329,336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25,541</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Options 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3,593,326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9,662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Vested and expected to vest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7,329,336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25,541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The estimated weighted-average fair value of employee and non-employee director stock options granted for the six months ended June 30, 2026 and 2025 was $12.08</w:t>
      </w:r>
      <w:r>
        <w:rPr>
          <w:rFonts w:ascii="Times New Roman" w:hAnsi="Times New Roman"/>
          <w:color w:val="000000"/>
          <w:sz w:val="20"/>
        </w:rPr>
        <w:t xml:space="preserve"> </w:t>
      </w:r>
      <w:r>
        <w:rPr>
          <w:rFonts w:ascii="sans-serif" w:hAnsi="sans-serif"/>
          <w:color w:val="000000"/>
          <w:sz w:val="20"/>
        </w:rPr>
        <w:t>and $3.77, respectively. As of June 30, 2026, the Company had $18.1</w:t>
      </w:r>
      <w:r>
        <w:rPr>
          <w:rFonts w:ascii="Times New Roman" w:hAnsi="Times New Roman"/>
          <w:color w:val="000000"/>
          <w:sz w:val="20"/>
        </w:rPr>
        <w:t xml:space="preserve"> </w:t>
      </w:r>
      <w:r>
        <w:rPr>
          <w:rFonts w:ascii="sans-serif" w:hAnsi="sans-serif"/>
          <w:color w:val="000000"/>
          <w:sz w:val="20"/>
        </w:rPr>
        <w:t>million of unrecognized stock-based compensation expense related to stock options, which is expected to be recognized over a weighted-average period of 2.7</w:t>
      </w:r>
      <w:r>
        <w:rPr>
          <w:rFonts w:ascii="Times New Roman" w:hAnsi="Times New Roman"/>
          <w:color w:val="000000"/>
          <w:sz w:val="20"/>
        </w:rPr>
        <w:t xml:space="preserve"> </w:t>
      </w:r>
      <w:r>
        <w:rPr>
          <w:rFonts w:ascii="sans-serif" w:hAnsi="sans-serif"/>
          <w:color w:val="000000"/>
          <w:sz w:val="20"/>
        </w:rPr>
        <w:t>years.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at June 30, 2026. The total intrinsic value of stock options exercised during the six months ended June 30, 2026 was approximately $7.5</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p>
    <w:p>
      <w:pPr>
        <w:pStyle w:val="TextBody"/>
        <w:bidi w:val="0"/>
        <w:spacing w:before="200" w:after="200"/>
        <w:jc w:val="left"/>
        <w:rPr>
          <w:rFonts w:ascii="sans-serif" w:hAnsi="sans-serif"/>
          <w:color w:val="000000"/>
          <w:sz w:val="20"/>
        </w:rPr>
      </w:pPr>
      <w:r>
        <w:rPr>
          <w:rFonts w:ascii="sans-serif" w:hAnsi="sans-serif"/>
          <w:color w:val="000000"/>
          <w:sz w:val="20"/>
        </w:rPr>
        <w:t>The weighted-average assumptions used to estimate the fair value of stock options using the Black-Scholes option valuation model were as follows:</w:t>
      </w:r>
    </w:p>
    <w:tbl>
      <w:tblPr>
        <w:tblW w:w="4982" w:type="dxa"/>
        <w:jc w:val="left"/>
        <w:tblInd w:w="0" w:type="dxa"/>
        <w:tblLayout w:type="fixed"/>
        <w:tblCellMar>
          <w:top w:w="28" w:type="dxa"/>
          <w:left w:w="28" w:type="dxa"/>
          <w:bottom w:w="28" w:type="dxa"/>
          <w:right w:w="28" w:type="dxa"/>
        </w:tblCellMar>
      </w:tblPr>
      <w:tblGrid>
        <w:gridCol w:w="2736"/>
        <w:gridCol w:w="146"/>
        <w:gridCol w:w="849"/>
        <w:gridCol w:w="150"/>
        <w:gridCol w:w="1101"/>
      </w:tblGrid>
      <w:tr>
        <w:trPr/>
        <w:tc>
          <w:tcPr>
            <w:tcW w:w="2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br/>
              <w:t>June 30,</w:t>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r>
      <w:tr>
        <w:trPr/>
        <w:tc>
          <w:tcPr>
            <w:tcW w:w="27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Assumptions: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sans-serif" w:hAnsi="sans-serif"/>
                <w:color w:val="000000"/>
                <w:sz w:val="20"/>
              </w:rPr>
            </w:pPr>
            <w:r>
              <w:rPr>
                <w:rFonts w:ascii="sans-serif" w:hAnsi="sans-serif"/>
                <w:color w:val="000000"/>
                <w:sz w:val="20"/>
              </w:rPr>
              <w:t>6.07</w:t>
            </w:r>
          </w:p>
        </w:tc>
      </w:tr>
      <w:tr>
        <w:trPr/>
        <w:tc>
          <w:tcPr>
            <w:tcW w:w="2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91.70%</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sans-serif" w:hAnsi="sans-serif"/>
                <w:color w:val="000000"/>
                <w:sz w:val="20"/>
              </w:rPr>
            </w:pPr>
            <w:r>
              <w:rPr>
                <w:rFonts w:ascii="sans-serif" w:hAnsi="sans-serif"/>
                <w:color w:val="000000"/>
                <w:sz w:val="20"/>
              </w:rPr>
              <w:t>84.58%</w:t>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Risk 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sans-serif" w:hAnsi="sans-serif"/>
                <w:color w:val="000000"/>
                <w:sz w:val="20"/>
              </w:rPr>
            </w:pPr>
            <w:r>
              <w:rPr>
                <w:rFonts w:ascii="sans-serif" w:hAnsi="sans-serif"/>
                <w:color w:val="000000"/>
                <w:sz w:val="20"/>
              </w:rPr>
              <w:t>4.07%</w:t>
            </w:r>
          </w:p>
        </w:tc>
      </w:tr>
      <w:tr>
        <w:trPr/>
        <w:tc>
          <w:tcPr>
            <w:tcW w:w="2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spacing w:before="200" w:after="283"/>
        <w:jc w:val="left"/>
        <w:rPr>
          <w:rFonts w:ascii="sans-serif" w:hAnsi="sans-serif"/>
          <w:b/>
          <w:i/>
          <w:color w:val="000000"/>
          <w:sz w:val="20"/>
        </w:rPr>
      </w:pPr>
      <w:r>
        <w:rPr>
          <w:rFonts w:ascii="sans-serif" w:hAnsi="sans-serif"/>
          <w:b/>
          <w:i/>
          <w:color w:val="000000"/>
          <w:sz w:val="20"/>
        </w:rPr>
        <w:t>Stock-Based Compensation Expense</w:t>
      </w:r>
    </w:p>
    <w:p>
      <w:pPr>
        <w:pStyle w:val="TextBody"/>
        <w:bidi w:val="0"/>
        <w:spacing w:before="200" w:after="200"/>
        <w:jc w:val="left"/>
        <w:rPr>
          <w:rFonts w:ascii="sans-serif" w:hAnsi="sans-serif"/>
          <w:color w:val="000000"/>
          <w:sz w:val="20"/>
        </w:rPr>
      </w:pPr>
      <w:r>
        <w:rPr>
          <w:rFonts w:ascii="sans-serif" w:hAnsi="sans-serif"/>
          <w:color w:val="000000"/>
          <w:sz w:val="20"/>
        </w:rPr>
        <w:t>Stock-based compensation expense recognized for all equity awards has been reported in the condensed statements of operations and comprehensive loss as follows (in thousands):</w:t>
      </w:r>
    </w:p>
    <w:tbl>
      <w:tblPr>
        <w:tblW w:w="9701" w:type="dxa"/>
        <w:jc w:val="left"/>
        <w:tblInd w:w="0" w:type="dxa"/>
        <w:tblLayout w:type="fixed"/>
        <w:tblCellMar>
          <w:top w:w="28" w:type="dxa"/>
          <w:left w:w="28" w:type="dxa"/>
          <w:bottom w:w="28" w:type="dxa"/>
          <w:right w:w="28" w:type="dxa"/>
        </w:tblCellMar>
      </w:tblPr>
      <w:tblGrid>
        <w:gridCol w:w="4426"/>
        <w:gridCol w:w="146"/>
        <w:gridCol w:w="263"/>
        <w:gridCol w:w="752"/>
        <w:gridCol w:w="170"/>
        <w:gridCol w:w="170"/>
        <w:gridCol w:w="263"/>
        <w:gridCol w:w="752"/>
        <w:gridCol w:w="146"/>
        <w:gridCol w:w="146"/>
        <w:gridCol w:w="226"/>
        <w:gridCol w:w="766"/>
        <w:gridCol w:w="146"/>
        <w:gridCol w:w="146"/>
        <w:gridCol w:w="226"/>
        <w:gridCol w:w="766"/>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5,586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6,712</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8. Revenue Recognition</w:t>
      </w:r>
    </w:p>
    <w:p>
      <w:pPr>
        <w:pStyle w:val="TextBody"/>
        <w:bidi w:val="0"/>
        <w:spacing w:before="200" w:after="200"/>
        <w:jc w:val="left"/>
        <w:rPr>
          <w:rFonts w:ascii="Times New Roman" w:hAnsi="Times New Roman"/>
          <w:sz w:val="20"/>
        </w:rPr>
      </w:pPr>
      <w:r>
        <w:rPr>
          <w:rFonts w:ascii="sans-serif" w:hAnsi="sans-serif"/>
          <w:color w:val="000000"/>
          <w:sz w:val="20"/>
        </w:rPr>
        <w:t>To date, our only source of revenue has been from the U.S. sales of VOQUEZNA products, which the Company began selling during the fourth quarter of 2023. The Company records its best estimate of chargebacks, sales returns, sales discounts and other reserves to which customers are likely expected to be entitled to as contra accounts receivable charges, and within accrued expenses if payable to a third-party or related to product returns on the condensed balance sheets. During the six months ended June 30, 2026 and 2025, the Company recognized $132.6</w:t>
      </w:r>
      <w:r>
        <w:rPr>
          <w:rFonts w:ascii="Times New Roman" w:hAnsi="Times New Roman"/>
          <w:color w:val="000000"/>
          <w:sz w:val="20"/>
        </w:rPr>
        <w:t xml:space="preserve"> </w:t>
      </w:r>
      <w:r>
        <w:rPr>
          <w:rFonts w:ascii="sans-serif" w:hAnsi="sans-serif"/>
          <w:color w:val="000000"/>
          <w:sz w:val="20"/>
        </w:rPr>
        <w:t>million and $68.0</w:t>
      </w:r>
      <w:r>
        <w:rPr>
          <w:rFonts w:ascii="Times New Roman" w:hAnsi="Times New Roman"/>
          <w:color w:val="000000"/>
          <w:sz w:val="20"/>
        </w:rPr>
        <w:t xml:space="preserve"> </w:t>
      </w:r>
      <w:r>
        <w:rPr>
          <w:rFonts w:ascii="sans-serif" w:hAnsi="sans-serif"/>
          <w:color w:val="000000"/>
          <w:sz w:val="20"/>
        </w:rPr>
        <w:t>million, respectively, of net product revenues related to sales of VOQUEZNA, VOQUEZNA DUAL PAK and VOQUEZNA TRIPLE PAK.</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The following table provides a summary of the Company's revenue allowances and related accruals for the six months ended June 30, 2026, which have been deducted in arriving at product revenues, net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93"/>
        <w:gridCol w:w="246"/>
        <w:gridCol w:w="636"/>
        <w:gridCol w:w="2377"/>
        <w:gridCol w:w="181"/>
        <w:gridCol w:w="146"/>
        <w:gridCol w:w="528"/>
        <w:gridCol w:w="2256"/>
        <w:gridCol w:w="181"/>
        <w:gridCol w:w="146"/>
        <w:gridCol w:w="226"/>
        <w:gridCol w:w="961"/>
        <w:gridCol w:w="228"/>
      </w:tblGrid>
      <w:tr>
        <w:trPr/>
        <w:tc>
          <w:tcPr>
            <w:tcW w:w="209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Customer Credits, Discounts and Allowances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Rebates, Returns and Co-Pay Assistance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(contra accounts receivable)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xml:space="preserve">(accrued </w:t>
              <w:br/>
              <w:t>expenses)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as of January 1, 2026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3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65,462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76,108</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Accruals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36,700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129,966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166,666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Utilizations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(38,674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(107,679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(146,353</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as of June 30, 2026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8,672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87,749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96,421</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9. Segment Information</w:t>
      </w:r>
    </w:p>
    <w:p>
      <w:pPr>
        <w:pStyle w:val="TextBody"/>
        <w:bidi w:val="0"/>
        <w:spacing w:before="200" w:after="200"/>
        <w:jc w:val="left"/>
        <w:rPr>
          <w:rFonts w:ascii="Times New Roman" w:hAnsi="Times New Roman"/>
          <w:sz w:val="20"/>
        </w:rPr>
      </w:pPr>
      <w:r>
        <w:rPr>
          <w:rFonts w:ascii="sans-serif" w:hAnsi="sans-serif"/>
          <w:color w:val="000000"/>
          <w:sz w:val="20"/>
        </w:rPr>
        <w:t>The Company's chief operating decision maker, or CODM, the Chief Executive Officer, manages the Company’s business activities as a single</w:t>
      </w:r>
      <w:r>
        <w:rPr>
          <w:rFonts w:ascii="Times New Roman" w:hAnsi="Times New Roman"/>
          <w:color w:val="000000"/>
          <w:sz w:val="20"/>
        </w:rPr>
        <w:t xml:space="preserve"> </w:t>
      </w:r>
      <w:r>
        <w:rPr>
          <w:rFonts w:ascii="sans-serif" w:hAnsi="sans-serif"/>
          <w:color w:val="000000"/>
          <w:sz w:val="20"/>
        </w:rPr>
        <w:t>reportable segment. The segment derives its current revenues from the sale of VOQUEZNA products. Accordingly, the CODM uses net income (loss) to measure segment profit or loss, allocate resources and assess performance. Further, the CODM reviews and utilizes functional expenses (research and development, general and administrative, sales and marketing and stock-based compensation) to manage the Company’s operations. Other segment items included in net loss are interest income, interest expense and other expense, which are reflected in the condensed statements of operations and comprehensive loss.</w:t>
      </w:r>
      <w:r>
        <w:rPr>
          <w:rFonts w:ascii="Times New Roman" w:hAnsi="Times New Roman"/>
          <w:color w:val="000000"/>
          <w:sz w:val="20"/>
        </w:rPr>
        <w:t xml:space="preserve"> </w:t>
      </w:r>
      <w:r>
        <w:rPr>
          <w:rFonts w:ascii="sans-serif" w:hAnsi="sans-serif"/>
          <w:color w:val="000000"/>
          <w:sz w:val="20"/>
        </w:rPr>
        <w:t>The measure of segment assets is reported on the condensed balance sheets as total assets.</w:t>
      </w:r>
    </w:p>
    <w:p>
      <w:pPr>
        <w:pStyle w:val="TextBody"/>
        <w:bidi w:val="0"/>
        <w:spacing w:before="0" w:after="200"/>
        <w:jc w:val="left"/>
        <w:rPr>
          <w:rFonts w:ascii="sans-serif" w:hAnsi="sans-serif"/>
          <w:color w:val="000000"/>
          <w:sz w:val="20"/>
        </w:rPr>
      </w:pPr>
      <w:r>
        <w:rPr>
          <w:rFonts w:ascii="sans-serif" w:hAnsi="sans-serif"/>
          <w:color w:val="000000"/>
          <w:sz w:val="20"/>
        </w:rPr>
        <w:t>The following table presents selected financial information with respect to the Company’s single operating segment for the six months ended June 30, 2026 and 2025 (in thousands):</w:t>
      </w:r>
    </w:p>
    <w:tbl>
      <w:tblPr>
        <w:tblW w:w="5989" w:type="dxa"/>
        <w:jc w:val="left"/>
        <w:tblInd w:w="0" w:type="dxa"/>
        <w:tblLayout w:type="fixed"/>
        <w:tblCellMar>
          <w:top w:w="28" w:type="dxa"/>
          <w:left w:w="28" w:type="dxa"/>
          <w:bottom w:w="28" w:type="dxa"/>
          <w:right w:w="28" w:type="dxa"/>
        </w:tblCellMar>
      </w:tblPr>
      <w:tblGrid>
        <w:gridCol w:w="2891"/>
        <w:gridCol w:w="146"/>
        <w:gridCol w:w="226"/>
        <w:gridCol w:w="886"/>
        <w:gridCol w:w="181"/>
        <w:gridCol w:w="146"/>
        <w:gridCol w:w="226"/>
        <w:gridCol w:w="961"/>
        <w:gridCol w:w="326"/>
      </w:tblGrid>
      <w:tr>
        <w:trPr/>
        <w:tc>
          <w:tcPr>
            <w:tcW w:w="2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br/>
              <w:t>June 30,</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132,575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68,023</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27,091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8,762</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15,280</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15,187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19,521</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83,833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149,434</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13,812</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(4,427</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30,900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35,588</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(47,951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(170,126</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10. Restructuring</w:t>
      </w:r>
    </w:p>
    <w:p>
      <w:pPr>
        <w:pStyle w:val="TextBody"/>
        <w:bidi w:val="0"/>
        <w:spacing w:before="200" w:after="283"/>
        <w:jc w:val="left"/>
        <w:rPr>
          <w:rFonts w:ascii="Times New Roman" w:hAnsi="Times New Roman"/>
          <w:sz w:val="20"/>
        </w:rPr>
      </w:pPr>
      <w:r>
        <w:rPr>
          <w:rFonts w:ascii="sans-serif" w:hAnsi="sans-serif"/>
          <w:color w:val="000000"/>
          <w:sz w:val="20"/>
        </w:rPr>
        <w:t>In May 2025, the Company implemented a cost reduction and organizational restructuring plan to reduce cash burn and focus resources on commercial execution. In connection with the restructuring, the Company's workforce was reduced by 26</w:t>
      </w:r>
      <w:r>
        <w:rPr>
          <w:rFonts w:ascii="Times New Roman" w:hAnsi="Times New Roman"/>
          <w:color w:val="000000"/>
          <w:sz w:val="20"/>
        </w:rPr>
        <w:t xml:space="preserve"> </w:t>
      </w:r>
      <w:r>
        <w:rPr>
          <w:rFonts w:ascii="sans-serif" w:hAnsi="sans-serif"/>
          <w:color w:val="000000"/>
          <w:sz w:val="20"/>
        </w:rPr>
        <w:t>employees, or approximately 6%, including certain leadership changes all designed to right-size the organization. In 2025, the Company incurred restructuring charges of $9.2</w:t>
      </w:r>
      <w:r>
        <w:rPr>
          <w:rFonts w:ascii="Times New Roman" w:hAnsi="Times New Roman"/>
          <w:color w:val="000000"/>
          <w:sz w:val="20"/>
        </w:rPr>
        <w:t xml:space="preserve"> </w:t>
      </w:r>
      <w:r>
        <w:rPr>
          <w:rFonts w:ascii="sans-serif" w:hAnsi="sans-serif"/>
          <w:color w:val="000000"/>
          <w:sz w:val="20"/>
        </w:rPr>
        <w:t>million consisting of one-time termination benefits to affected employees for severance, non-cash stock-based compensation costs, healthcare benefits and outplacement assistance. The costs were included in research and development and selling, general, and administrative expenses on the Company’s condensed consolidated statement of operations and comprehensive loss. As of June 30, 2026, the Company had paid substantially all of the accrued restructuring charges.</w:t>
      </w:r>
    </w:p>
    <w:p>
      <w:pPr>
        <w:pStyle w:val="TextBody"/>
        <w:bidi w:val="0"/>
        <w:spacing w:before="200" w:after="200"/>
        <w:jc w:val="left"/>
        <w:rPr>
          <w:rFonts w:ascii="sans-serif" w:hAnsi="sans-serif"/>
          <w:color w:val="000000"/>
          <w:sz w:val="20"/>
        </w:rPr>
      </w:pPr>
      <w:r>
        <w:rPr>
          <w:rFonts w:ascii="sans-serif" w:hAnsi="sans-serif"/>
          <w:color w:val="000000"/>
          <w:sz w:val="20"/>
        </w:rPr>
        <w:t>The following table summarizes activity related to the restructuring accrual during the six months ended June 30, 2026 and 2025 (in thousands):</w:t>
      </w:r>
    </w:p>
    <w:tbl>
      <w:tblPr>
        <w:tblW w:w="6384" w:type="dxa"/>
        <w:jc w:val="left"/>
        <w:tblInd w:w="0" w:type="dxa"/>
        <w:tblLayout w:type="fixed"/>
        <w:tblCellMar>
          <w:top w:w="28" w:type="dxa"/>
          <w:left w:w="28" w:type="dxa"/>
          <w:bottom w:w="28" w:type="dxa"/>
          <w:right w:w="28" w:type="dxa"/>
        </w:tblCellMar>
      </w:tblPr>
      <w:tblGrid>
        <w:gridCol w:w="3706"/>
        <w:gridCol w:w="246"/>
        <w:gridCol w:w="226"/>
        <w:gridCol w:w="541"/>
        <w:gridCol w:w="246"/>
        <w:gridCol w:w="246"/>
        <w:gridCol w:w="226"/>
        <w:gridCol w:w="721"/>
        <w:gridCol w:w="226"/>
      </w:tblGrid>
      <w:tr>
        <w:trPr/>
        <w:tc>
          <w:tcPr>
            <w:tcW w:w="37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accrual as of January 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Restructuring expenses incurred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paid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(2,105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Non-cash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(3,221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accrual as of June 30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2,644</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10" w:name="consolidated_statements_operations"/>
      <w:bookmarkEnd w:id="10"/>
      <w:r>
        <w:rPr>
          <w:rFonts w:ascii="sans-serif" w:hAnsi="sans-serif"/>
          <w:b/>
          <w:color w:val="000000"/>
          <w:sz w:val="20"/>
        </w:rPr>
        <w:t>Item 2. Management’s Discussion and Analysis o</w:t>
      </w:r>
      <w:bookmarkStart w:id="11" w:name="item_2_managements_discussion_analysis_f"/>
      <w:bookmarkEnd w:id="11"/>
      <w:r>
        <w:rPr>
          <w:rFonts w:ascii="sans-serif" w:hAnsi="sans-serif"/>
          <w:b/>
          <w:color w:val="000000"/>
          <w:sz w:val="20"/>
        </w:rPr>
        <w:t>f Financial Condition and Results of Operations</w:t>
      </w:r>
    </w:p>
    <w:p>
      <w:pPr>
        <w:pStyle w:val="TextBody"/>
        <w:bidi w:val="0"/>
        <w:spacing w:before="200" w:after="283"/>
        <w:jc w:val="left"/>
        <w:rPr>
          <w:rFonts w:ascii="sans-serif" w:hAnsi="sans-serif"/>
          <w:i/>
          <w:color w:val="000000"/>
          <w:sz w:val="20"/>
        </w:rPr>
      </w:pPr>
      <w:r>
        <w:rPr>
          <w:rFonts w:ascii="sans-serif" w:hAnsi="sans-serif"/>
          <w:i/>
          <w:color w:val="000000"/>
          <w:sz w:val="20"/>
        </w:rPr>
        <w:t>You should read the following discussion and analysis of our financial condition and results of operations in conjunction with the unaudited interim condensed financial statements and notes thereto included in this Quarterly Report on Form 10-Q and with our audited financial statements and notes thereto for the year ended December 31, 2025 and the related Management’s Discussion and Analysis of Financial Condition and Results of Operations, both of which are contained in our Annual Report on Form 10-K for the year ended December 31, 2025, or the 2025 Form 10-K.</w:t>
      </w:r>
    </w:p>
    <w:p>
      <w:pPr>
        <w:pStyle w:val="TextBody"/>
        <w:bidi w:val="0"/>
        <w:spacing w:before="200" w:after="283"/>
        <w:jc w:val="left"/>
        <w:rPr>
          <w:rFonts w:ascii="sans-serif" w:hAnsi="sans-serif"/>
          <w:b/>
          <w:color w:val="000000"/>
          <w:sz w:val="20"/>
        </w:rPr>
      </w:pPr>
      <w:r>
        <w:rPr>
          <w:rFonts w:ascii="sans-serif" w:hAnsi="sans-serif"/>
          <w:b/>
          <w:color w:val="000000"/>
          <w:sz w:val="20"/>
        </w:rPr>
        <w:t>Forward Looking Statements</w:t>
      </w:r>
    </w:p>
    <w:p>
      <w:pPr>
        <w:pStyle w:val="TextBody"/>
        <w:bidi w:val="0"/>
        <w:spacing w:before="200" w:after="283"/>
        <w:jc w:val="left"/>
        <w:rPr>
          <w:rFonts w:ascii="sans-serif" w:hAnsi="sans-serif"/>
          <w:color w:val="000000"/>
          <w:sz w:val="20"/>
        </w:rPr>
      </w:pPr>
      <w:r>
        <w:rPr>
          <w:rFonts w:ascii="sans-serif" w:hAnsi="sans-serif"/>
          <w:color w:val="000000"/>
          <w:sz w:val="20"/>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commercialization plans and costs, research and development plans and costs, pricing and reimbursement, the potential to develop future product candidates, the timing and likelihood of success of the plans and objectives of management for current and future operations, and future results of planned commercialization activities, product development and other efforts,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short-term and long-term business operations and objectives. These forward-looking statements speak only as of the date of this quarterly report and are subject to a number of risks, uncertainties and assumptions, including those described in the Part II, Item 1A under the heading “Risk Factors" of our Annual Report on Form 10-K and our Quarterly Reports on Form 10-Q.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pStyle w:val="TextBody"/>
        <w:bidi w:val="0"/>
        <w:spacing w:before="200" w:after="283"/>
        <w:jc w:val="left"/>
        <w:rPr>
          <w:rFonts w:ascii="sans-serif" w:hAnsi="sans-serif"/>
          <w:b/>
          <w:color w:val="000000"/>
          <w:sz w:val="20"/>
        </w:rPr>
      </w:pPr>
      <w:r>
        <w:rPr>
          <w:rFonts w:ascii="sans-serif" w:hAnsi="sans-serif"/>
          <w:b/>
          <w:color w:val="000000"/>
          <w:sz w:val="20"/>
        </w:rPr>
        <w:t>Overview</w:t>
      </w:r>
    </w:p>
    <w:p>
      <w:pPr>
        <w:pStyle w:val="TextBody"/>
        <w:bidi w:val="0"/>
        <w:spacing w:before="200" w:after="283"/>
        <w:jc w:val="left"/>
        <w:rPr>
          <w:rFonts w:ascii="sans-serif" w:hAnsi="sans-serif"/>
          <w:color w:val="000000"/>
          <w:sz w:val="20"/>
        </w:rPr>
      </w:pPr>
      <w:r>
        <w:rPr>
          <w:rFonts w:ascii="sans-serif" w:hAnsi="sans-serif"/>
          <w:color w:val="000000"/>
          <w:sz w:val="20"/>
        </w:rPr>
        <w:t>We are a commercial-stage biopharmaceutical company focused on commercializing and developing novel treatments for gastrointestinal, or GI, diseases. Our approved products, VOQUEZNA®, VOQUEZNA DUAL PAK® and VOQUEZNA TRIPLE PAK®, contain vonoprazan, an oral small molecule potassium-competitive acid blocker, or PCAB. PCABs are a novel class of molecules that block acid secretion in the stomach. VOQUEZNA is the only PCAB currently approved for marketing and sale in the United States.</w:t>
      </w:r>
    </w:p>
    <w:p>
      <w:pPr>
        <w:pStyle w:val="TextBody"/>
        <w:bidi w:val="0"/>
        <w:spacing w:before="200" w:after="283"/>
        <w:jc w:val="left"/>
        <w:rPr>
          <w:rFonts w:ascii="Times New Roman" w:hAnsi="Times New Roman"/>
          <w:sz w:val="20"/>
        </w:rPr>
      </w:pPr>
      <w:r>
        <w:rPr>
          <w:rFonts w:ascii="sans-serif" w:hAnsi="sans-serif"/>
          <w:color w:val="000000"/>
          <w:sz w:val="20"/>
        </w:rPr>
        <w:t xml:space="preserve">We began U.S. commercialization of VOQUEZNA for the treatment of erosive gastroesophageal reflux disease, or Erosive GERD, and Helicobacter pylori, or </w:t>
      </w:r>
      <w:r>
        <w:rPr>
          <w:rFonts w:ascii="sans-serif" w:hAnsi="sans-serif"/>
          <w:i/>
          <w:color w:val="000000"/>
          <w:sz w:val="20"/>
        </w:rPr>
        <w:t>H. pylori</w:t>
      </w:r>
      <w:r>
        <w:rPr>
          <w:rFonts w:ascii="sans-serif" w:hAnsi="sans-serif"/>
          <w:color w:val="000000"/>
          <w:sz w:val="20"/>
        </w:rPr>
        <w:t xml:space="preserve">, infection, and VOQUEZNA DUAL PAK and VOQUEZNA TRIPLE PAK for the treatment of </w:t>
      </w:r>
      <w:r>
        <w:rPr>
          <w:rFonts w:ascii="sans-serif" w:hAnsi="sans-serif"/>
          <w:i/>
          <w:color w:val="000000"/>
          <w:sz w:val="20"/>
        </w:rPr>
        <w:t>H. pylori</w:t>
      </w:r>
      <w:r>
        <w:rPr>
          <w:rFonts w:ascii="Times New Roman" w:hAnsi="Times New Roman"/>
          <w:color w:val="000000"/>
          <w:sz w:val="20"/>
        </w:rPr>
        <w:t xml:space="preserve"> </w:t>
      </w:r>
      <w:r>
        <w:rPr>
          <w:rFonts w:ascii="sans-serif" w:hAnsi="sans-serif"/>
          <w:color w:val="000000"/>
          <w:sz w:val="20"/>
        </w:rPr>
        <w:t>infection in November 2023. The U.S. Food and Drug Administration, or FDA, approved VOQUEZNA for the relief of heartburn associated with Non-Erosive GERD, the largest category of GERD, in July 2024.</w:t>
      </w:r>
    </w:p>
    <w:p>
      <w:pPr>
        <w:pStyle w:val="TextBody"/>
        <w:bidi w:val="0"/>
        <w:spacing w:before="200" w:after="283"/>
        <w:jc w:val="left"/>
        <w:rPr>
          <w:rFonts w:ascii="sans-serif" w:hAnsi="sans-serif"/>
          <w:color w:val="000000"/>
          <w:sz w:val="20"/>
        </w:rPr>
      </w:pPr>
      <w:r>
        <w:rPr>
          <w:rFonts w:ascii="sans-serif" w:hAnsi="sans-serif"/>
          <w:color w:val="000000"/>
          <w:sz w:val="20"/>
        </w:rPr>
        <w:t>Vonoprazan was originally developed by Takeda Pharmaceutical Company Limited, or Takeda, and is marketed in multiple countries outside the United States. We licensed U.S., European and Canadian rights to vonoprazan from Takeda in 2019. We are independently commercializing VOQUEZNA, VOQUEZNA DUAL PAK and VOQUEZNA TRIPLE PAK in the United States.</w:t>
      </w:r>
    </w:p>
    <w:p>
      <w:pPr>
        <w:pStyle w:val="TextBody"/>
        <w:bidi w:val="0"/>
        <w:spacing w:before="200" w:after="283"/>
        <w:jc w:val="left"/>
        <w:rPr>
          <w:rFonts w:ascii="Times New Roman" w:hAnsi="Times New Roman"/>
          <w:sz w:val="20"/>
        </w:rPr>
      </w:pPr>
      <w:r>
        <w:rPr>
          <w:rFonts w:ascii="sans-serif" w:hAnsi="sans-serif"/>
          <w:color w:val="000000"/>
          <w:sz w:val="20"/>
        </w:rPr>
        <w:t>During the six months ended June 30, 2026, we generated increased revenues from sales of our VOQUEZNA products compared to the same period in the prior year, reflecting continued execution of our U.S. commercial strategy. The majority of our revenue was derived from sales of VOQUEZNA. During this period, we also experienced growth in prescription volume and prescriber adoption, with most prescriptions written for GERD indications. As of July 17, 2026, approximately 1.7 million prescriptions for VOQUEZNA, VOQUEZNA DUAL PAK and VOQUEZNA TRIPLE PAK have been filled since launch. We continue to have broad commercial coverage for VOQUEZNA, with access for over 120 million, or over 80%, of U.S. commercial lives.</w:t>
      </w:r>
      <w:r>
        <w:rPr>
          <w:rFonts w:ascii="Times New Roman" w:hAnsi="Times New Roman"/>
          <w:color w:val="000000"/>
          <w:sz w:val="20"/>
        </w:rPr>
        <w:t xml:space="preserve"> </w:t>
      </w:r>
      <w:r>
        <w:rPr>
          <w:rFonts w:ascii="sans-serif" w:hAnsi="sans-serif"/>
          <w:color w:val="000000"/>
          <w:sz w:val="20"/>
        </w:rPr>
        <w:t>Our commercial efforts are supported by a targeted sales force and continued focus on prescriber engagement and payer access.</w:t>
      </w:r>
    </w:p>
    <w:p>
      <w:pPr>
        <w:pStyle w:val="TextBody"/>
        <w:bidi w:val="0"/>
        <w:spacing w:before="200" w:after="283"/>
        <w:jc w:val="left"/>
        <w:rPr>
          <w:rFonts w:ascii="Times New Roman" w:hAnsi="Times New Roman"/>
          <w:sz w:val="20"/>
        </w:rPr>
      </w:pPr>
      <w:r>
        <w:rPr>
          <w:rFonts w:ascii="sans-serif" w:hAnsi="sans-serif"/>
          <w:color w:val="000000"/>
          <w:sz w:val="20"/>
        </w:rPr>
        <w:t>In May 2021, the FDA granted qualified infectious disease product, or QIDP, designation to VOQUEZNA DUAL PAK and VOQUEZNA TRIPLE PAK, resulting in an extension of the five-year new chemical entity, or NCE, exclusivity by an additional five years.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sans-serif" w:hAnsi="sans-serif"/>
          <w:color w:val="000000"/>
          <w:sz w:val="20"/>
        </w:rPr>
      </w:pPr>
      <w:r>
        <w:rPr>
          <w:rFonts w:ascii="sans-serif" w:hAnsi="sans-serif"/>
          <w:color w:val="000000"/>
          <w:sz w:val="20"/>
        </w:rPr>
        <w:t>In December 2024, we submitted a citizen petition requesting that the FDA update the Orange Book listing for VOQUEZNA to reflect the same ten-year period of NCE exclusivity applicable to VOQUEZNA DUAL PAK and VOQUEZNA TRIPLE PAK. In June 2025, the FDA granted the petition and updated the Orange Book listing for VOQUEZNA to reflect the ten-year period of NCE exclusivity for vonoprazan. As a result, all three VOQUEZNA products now have NCE exclusivity extending through May 3, 2032.</w:t>
      </w:r>
    </w:p>
    <w:p>
      <w:pPr>
        <w:pStyle w:val="TextBody"/>
        <w:bidi w:val="0"/>
        <w:spacing w:before="200" w:after="283"/>
        <w:jc w:val="left"/>
        <w:rPr>
          <w:rFonts w:ascii="Times New Roman" w:hAnsi="Times New Roman"/>
          <w:sz w:val="20"/>
        </w:rPr>
      </w:pPr>
      <w:r>
        <w:rPr>
          <w:rFonts w:ascii="sans-serif" w:hAnsi="sans-serif"/>
          <w:color w:val="000000"/>
          <w:sz w:val="20"/>
        </w:rPr>
        <w:t xml:space="preserve">In the fourth quarter of 2025, we initiated a Phase 2 clinical trial evaluating vonoprazan in the treatment of adults with eosinophilic esophagitis, or EoE. In June 2026, we announced that we completed enrollment ahead of schedule in the Phase 2 EoE clinical trial study. The study has enrolled 95 patients at 41 U.S. sites. Topline results from the 12-week blinded treatment portion of the trial are expected during the fourth quarter of 2026. While our current focus is on continued U.S. commercialization of VOQUEZNA products for GERD and </w:t>
      </w:r>
      <w:r>
        <w:rPr>
          <w:rFonts w:ascii="sans-serif" w:hAnsi="sans-serif"/>
          <w:i/>
          <w:color w:val="000000"/>
          <w:sz w:val="20"/>
        </w:rPr>
        <w:t>H. pylori</w:t>
      </w:r>
      <w:r>
        <w:rPr>
          <w:rFonts w:ascii="sans-serif" w:hAnsi="sans-serif"/>
          <w:color w:val="000000"/>
          <w:sz w:val="20"/>
        </w:rPr>
        <w:t>, we are also selectively pursuing life-cycle management opportunities for vonoprazan. We may also explore the potential for vonoprazan in Europe and Canada, as well as opportunities to in-license or acquire additional clinical or commercial-stage product candidates for GI diseases.</w:t>
      </w:r>
    </w:p>
    <w:p>
      <w:pPr>
        <w:pStyle w:val="TextBody"/>
        <w:bidi w:val="0"/>
        <w:spacing w:before="200" w:after="283"/>
        <w:jc w:val="left"/>
        <w:rPr>
          <w:rFonts w:ascii="Times New Roman" w:hAnsi="Times New Roman"/>
          <w:sz w:val="20"/>
        </w:rPr>
      </w:pPr>
      <w:r>
        <w:rPr>
          <w:rFonts w:ascii="sans-serif" w:hAnsi="sans-serif"/>
          <w:color w:val="000000"/>
          <w:sz w:val="20"/>
        </w:rPr>
        <w:t>We commenced our operations in 2018 and have devoted substantially all of our resources to date to organizing and staffing our company, business planning, raising capital, in-licensing vonoprazan, meeting with regulatory authorities, managing our clinical trials of vonoprazan, preparing for commercialization of our products containing vonoprazan, commercially launching our approved products in the U.S., and providing other selling, general and administrative support for our operations. Our operations to date have been funded primarily through commercial bank debt, our revenue interest financing debt and various equity offerings, including our at-the-market offerings. From inception through June 30, 2026, we sold 41,612,032 shares of common stock and 3,859,000 pre-funded warrants, generating net proceeds of approximately $665.3 million, after deducting underwriting discounts, commissions and offering costs.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As of June 30, 2026, we had cash and cash equivalents of $182.5 million. Based on our current operating plan, we believe that our existing cash and cash equivalents together with our anticipated product revenues, are sufficient to fund operations for at least the next twelve months.</w:t>
      </w:r>
      <w:r>
        <w:rPr>
          <w:rFonts w:ascii="Times New Roman" w:hAnsi="Times New Roman"/>
          <w:color w:val="000000"/>
          <w:sz w:val="20"/>
        </w:rPr>
        <w:t xml:space="preserve"> </w:t>
      </w:r>
      <w:r>
        <w:rPr>
          <w:rFonts w:ascii="sans-serif" w:hAnsi="sans-serif"/>
          <w:color w:val="000000"/>
          <w:sz w:val="20"/>
        </w:rPr>
        <w:t>We have based these estimates on assumptions that may prove to be incorrect, and, if operating results, commercial performance or expenses differ materially from those contemplated by our current operating plan, our capital resources, together with anticipated product revenues, may not be sufficient to fund operations and our cash needs for as long as we currently expect. In such event, we may need to seek additional funds sooner than planned, through public or private equity or debt financings or other capital sources, including potentially collaborations, licenses and other similar arrangements. In addition, we may seek additional capital due to favorable market conditions or strategic considerations even if we believe we have sufficient funds for our current or future operating plans. Additional financing or other capital may not be available on favorable terms, or at all, and our failure to obtain additional capital, if and when needed, could adversely affect our financial condition and require us to delay, limit, reduce or terminate development or commercialization activities or grant rights to products or product candidates that we would otherwise prefer to retain.</w:t>
      </w:r>
    </w:p>
    <w:p>
      <w:pPr>
        <w:pStyle w:val="TextBody"/>
        <w:bidi w:val="0"/>
        <w:spacing w:before="200" w:after="283"/>
        <w:jc w:val="left"/>
        <w:rPr>
          <w:rFonts w:ascii="sans-serif" w:hAnsi="sans-serif"/>
          <w:color w:val="000000"/>
          <w:sz w:val="20"/>
        </w:rPr>
      </w:pPr>
      <w:r>
        <w:rPr>
          <w:rFonts w:ascii="sans-serif" w:hAnsi="sans-serif"/>
          <w:color w:val="000000"/>
          <w:sz w:val="20"/>
        </w:rPr>
        <w:t>Since inception, we have incurred significant operating losses. Our net losses were $48.0 million and $170.1 million for the six months ended June 30, 2026 and 2025, respectively. As of June 30, 2026, we had an accumulated deficit of $1.5 billion. If we do not achieve our operating plan or, if our revenues or expenses differ materially from our current expectations, we may continue to incur operating losses longer than we currently anticipate.</w:t>
      </w:r>
    </w:p>
    <w:p>
      <w:pPr>
        <w:pStyle w:val="TextBody"/>
        <w:bidi w:val="0"/>
        <w:spacing w:before="200" w:after="283"/>
        <w:jc w:val="left"/>
        <w:rPr>
          <w:rFonts w:ascii="sans-serif" w:hAnsi="sans-serif"/>
          <w:b/>
          <w:i/>
          <w:color w:val="000000"/>
          <w:sz w:val="20"/>
        </w:rPr>
      </w:pPr>
      <w:r>
        <w:rPr>
          <w:rFonts w:ascii="sans-serif" w:hAnsi="sans-serif"/>
          <w:b/>
          <w:i/>
          <w:color w:val="000000"/>
          <w:sz w:val="20"/>
        </w:rPr>
        <w:t>Restructuring</w:t>
      </w:r>
    </w:p>
    <w:p>
      <w:pPr>
        <w:pStyle w:val="TextBody"/>
        <w:bidi w:val="0"/>
        <w:spacing w:before="200" w:after="283"/>
        <w:jc w:val="left"/>
        <w:rPr>
          <w:rFonts w:ascii="sans-serif" w:hAnsi="sans-serif"/>
          <w:color w:val="000000"/>
          <w:sz w:val="20"/>
        </w:rPr>
      </w:pPr>
      <w:r>
        <w:rPr>
          <w:rFonts w:ascii="sans-serif" w:hAnsi="sans-serif"/>
          <w:color w:val="000000"/>
          <w:sz w:val="20"/>
        </w:rPr>
        <w:t>In May 2025, we implemented a cost reduction and organizational restructuring plan to reduce cash burn and focus resources on commercial execution. In connection with the restructuring, our workforce was reduced by 26 employees, or approximately 6%, including certain leadership changes all designed to right-size the organization. In 2025, total restructuring charges incurred were $9.2 million consisting of one-time termination benefits to affected employees for severance, non-cash stock-based compensation costs, healthcare benefits and outplacement assistance. As of June 30, 2026, we have paid substantially all of the accrued restructuring charges.</w:t>
      </w:r>
    </w:p>
    <w:p>
      <w:pPr>
        <w:pStyle w:val="TextBody"/>
        <w:bidi w:val="0"/>
        <w:spacing w:before="200" w:after="283"/>
        <w:jc w:val="left"/>
        <w:rPr>
          <w:rFonts w:ascii="sans-serif" w:hAnsi="sans-serif"/>
          <w:b/>
          <w:i/>
          <w:color w:val="000000"/>
          <w:sz w:val="20"/>
        </w:rPr>
      </w:pPr>
      <w:r>
        <w:rPr>
          <w:rFonts w:ascii="sans-serif" w:hAnsi="sans-serif"/>
          <w:b/>
          <w:i/>
          <w:color w:val="000000"/>
          <w:sz w:val="20"/>
        </w:rPr>
        <w:t>License Agreement with Takeda</w:t>
      </w:r>
    </w:p>
    <w:p>
      <w:pPr>
        <w:pStyle w:val="TextBody"/>
        <w:bidi w:val="0"/>
        <w:spacing w:before="200" w:after="283"/>
        <w:jc w:val="left"/>
        <w:rPr>
          <w:rFonts w:ascii="sans-serif" w:hAnsi="sans-serif"/>
          <w:color w:val="000000"/>
          <w:sz w:val="20"/>
        </w:rPr>
      </w:pPr>
      <w:r>
        <w:rPr>
          <w:rFonts w:ascii="sans-serif" w:hAnsi="sans-serif"/>
          <w:color w:val="000000"/>
          <w:sz w:val="20"/>
        </w:rPr>
        <w:t>On May 7, 2019, we and Takeda entered into an exclusive license, or the Takeda License, pursuant to which we in-licensed the U.S., European, and Canadian rights to vonoprazan fumarate. During the term of the Takeda License, we and our affiliates are not permitted to commercialize any pharmaceutical product, other than vonoprazan, that treats acid-related disorders, except for certain generic and OTC competing products in specified circumstances. We are responsible at our cost for our development, manufacture and commercialization of vonoprazan products. We are required to use commercially reasonable efforts to develop and commercialize the vonoprazan products in our licensed territory.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sans-serif" w:hAnsi="sans-serif"/>
          <w:color w:val="000000"/>
          <w:sz w:val="20"/>
        </w:rPr>
      </w:pPr>
      <w:r>
        <w:rPr>
          <w:rFonts w:ascii="sans-serif" w:hAnsi="sans-serif"/>
          <w:color w:val="000000"/>
          <w:sz w:val="20"/>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pStyle w:val="TextBody"/>
        <w:bidi w:val="0"/>
        <w:spacing w:before="200" w:after="283"/>
        <w:jc w:val="left"/>
        <w:rPr>
          <w:rFonts w:ascii="sans-serif" w:hAnsi="sans-serif"/>
          <w:color w:val="000000"/>
          <w:sz w:val="20"/>
        </w:rPr>
      </w:pPr>
      <w:r>
        <w:rPr>
          <w:rFonts w:ascii="sans-serif" w:hAnsi="sans-serif"/>
          <w:color w:val="000000"/>
          <w:sz w:val="20"/>
        </w:rPr>
        <w:t>We paid Takeda upfront consideration consisting of a cash fee of $25 million, 1,084,000 shares of our common stock, a warrant to purchase 7,588,000 shares of our common stock at an exercise price of $0.00004613 per share, or the Takeda Warrant,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then outstanding convertible promissory notes, calculated immediately prior to the closing of our IPO. The Takeda Warrant Right expired without effect since no fair value had been allocated to it upon completion of our IPO, and no additional warrant was issued. We agreed to make milestone payments to Takeda upon achieving certain tiered aggregate annual net sales of licensed products in the United States, Europe and Canada up to a total maximum milestone amount of $250 million. We also agreed to make tiered royalty payments at percentages averaging in the low double digits on net sales of licensed products, subject to specified offsets and reductions. Royalties are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 We currently pay royalties to Takeda on sales of VOQUEZNA tablets, VOQUEZNA DUAL PAK and VOQUEZNA TRIPLE PAK in the U.S. During the three months ended June 30, 2026 and 2025, we recorded $7.4 million and $4.0 million, respectively, of royalty expense under the Takeda License, of which $7.4 million is included within accrued expenses as of June 30, 2026. During the six months ended June 30, 2026 and 2025, we recorded $13.3 million and $6.8 million, respectively, of royalty expense under the Takeda License.</w:t>
      </w:r>
    </w:p>
    <w:p>
      <w:pPr>
        <w:pStyle w:val="TextBody"/>
        <w:bidi w:val="0"/>
        <w:spacing w:before="200" w:after="283"/>
        <w:jc w:val="left"/>
        <w:rPr>
          <w:rFonts w:ascii="Times New Roman" w:hAnsi="Times New Roman"/>
          <w:sz w:val="20"/>
        </w:rPr>
      </w:pPr>
      <w:r>
        <w:rPr>
          <w:rFonts w:ascii="sans-serif" w:hAnsi="sans-serif"/>
          <w:b/>
          <w:color w:val="000000"/>
          <w:sz w:val="20"/>
        </w:rPr>
        <w:t>Components of Results of Operations</w:t>
      </w:r>
      <w:r>
        <w:rPr>
          <w:rFonts w:ascii="Times New Roman" w:hAnsi="Times New Roman"/>
          <w:color w:val="000000"/>
          <w:sz w:val="20"/>
        </w:rPr>
        <w:t xml:space="preserve"> </w:t>
      </w:r>
    </w:p>
    <w:p>
      <w:pPr>
        <w:pStyle w:val="TextBody"/>
        <w:bidi w:val="0"/>
        <w:spacing w:before="200" w:after="283"/>
        <w:jc w:val="left"/>
        <w:rPr>
          <w:rFonts w:ascii="sans-serif" w:hAnsi="sans-serif"/>
          <w:b/>
          <w:i/>
          <w:color w:val="000000"/>
          <w:sz w:val="20"/>
        </w:rPr>
      </w:pPr>
      <w:r>
        <w:rPr>
          <w:rFonts w:ascii="sans-serif" w:hAnsi="sans-serif"/>
          <w:b/>
          <w:i/>
          <w:color w:val="000000"/>
          <w:sz w:val="20"/>
        </w:rPr>
        <w:t>Revenue</w:t>
      </w:r>
    </w:p>
    <w:p>
      <w:pPr>
        <w:pStyle w:val="TextBody"/>
        <w:bidi w:val="0"/>
        <w:spacing w:before="200" w:after="283"/>
        <w:jc w:val="left"/>
        <w:rPr>
          <w:rFonts w:ascii="Times New Roman" w:hAnsi="Times New Roman"/>
          <w:sz w:val="20"/>
        </w:rPr>
      </w:pPr>
      <w:r>
        <w:rPr>
          <w:rFonts w:ascii="sans-serif" w:hAnsi="sans-serif"/>
          <w:color w:val="000000"/>
          <w:sz w:val="20"/>
        </w:rPr>
        <w:t>We began to recognize revenue from product sales, net of rebates, chargebacks, sales returns, discounts, and other adjustments, in November 2023 in conjunction with the commercial launch of VOQUEZNA, VOQUEZNA TRIPLE PAK, and VOQUEZNA DUAL PAK in the United States.</w:t>
      </w:r>
      <w:r>
        <w:rPr>
          <w:rFonts w:ascii="Times New Roman" w:hAnsi="Times New Roman"/>
          <w:color w:val="000000"/>
          <w:sz w:val="20"/>
        </w:rPr>
        <w:t xml:space="preserve"> </w:t>
      </w:r>
    </w:p>
    <w:p>
      <w:pPr>
        <w:pStyle w:val="TextBody"/>
        <w:bidi w:val="0"/>
        <w:spacing w:before="200" w:after="283"/>
        <w:jc w:val="left"/>
        <w:rPr>
          <w:rFonts w:ascii="sans-serif" w:hAnsi="sans-serif"/>
          <w:b/>
          <w:i/>
          <w:color w:val="000000"/>
          <w:sz w:val="20"/>
        </w:rPr>
      </w:pPr>
      <w:r>
        <w:rPr>
          <w:rFonts w:ascii="sans-serif" w:hAnsi="sans-serif"/>
          <w:b/>
          <w:i/>
          <w:color w:val="000000"/>
          <w:sz w:val="20"/>
        </w:rPr>
        <w:t>Cost of Revenue</w:t>
      </w:r>
    </w:p>
    <w:p>
      <w:pPr>
        <w:pStyle w:val="TextBody"/>
        <w:bidi w:val="0"/>
        <w:spacing w:before="200" w:after="283"/>
        <w:jc w:val="left"/>
        <w:rPr>
          <w:rFonts w:ascii="Times New Roman" w:hAnsi="Times New Roman"/>
          <w:sz w:val="20"/>
        </w:rPr>
      </w:pPr>
      <w:r>
        <w:rPr>
          <w:rFonts w:ascii="sans-serif" w:hAnsi="sans-serif"/>
          <w:color w:val="000000"/>
          <w:sz w:val="20"/>
        </w:rPr>
        <w:t>Cost of revenue includes the cost of producing and distributing inventories that are related to product sales. This also includes royalties payable to Takeda, pursuant to the Takeda License (Refer to Note 3 for further details). In addition, shipping and handling costs for product sales along with fulfillment costs are recorded as incurred. Cost of revenue also includes costs related to excess or obsolete inventory adjustment charges.</w:t>
      </w:r>
      <w:r>
        <w:rPr>
          <w:rFonts w:ascii="Times New Roman" w:hAnsi="Times New Roman"/>
          <w:color w:val="000000"/>
          <w:sz w:val="20"/>
        </w:rPr>
        <w:t xml:space="preserve"> </w:t>
      </w:r>
    </w:p>
    <w:p>
      <w:pPr>
        <w:pStyle w:val="TextBody"/>
        <w:bidi w:val="0"/>
        <w:spacing w:before="200" w:after="283"/>
        <w:jc w:val="left"/>
        <w:rPr>
          <w:rFonts w:ascii="sans-serif" w:hAnsi="sans-serif"/>
          <w:b/>
          <w:i/>
          <w:color w:val="000000"/>
          <w:sz w:val="20"/>
        </w:rPr>
      </w:pPr>
      <w:r>
        <w:rPr>
          <w:rFonts w:ascii="sans-serif" w:hAnsi="sans-serif"/>
          <w:b/>
          <w:i/>
          <w:color w:val="000000"/>
          <w:sz w:val="20"/>
        </w:rPr>
        <w:t>Operating Expenses</w:t>
      </w:r>
    </w:p>
    <w:p>
      <w:pPr>
        <w:pStyle w:val="TextBody"/>
        <w:bidi w:val="0"/>
        <w:spacing w:before="200" w:after="283"/>
        <w:jc w:val="left"/>
        <w:rPr>
          <w:rFonts w:ascii="sans-serif" w:hAnsi="sans-serif"/>
          <w:b/>
          <w:i/>
          <w:color w:val="000000"/>
          <w:sz w:val="20"/>
        </w:rPr>
      </w:pPr>
      <w:r>
        <w:rPr>
          <w:rFonts w:ascii="sans-serif" w:hAnsi="sans-serif"/>
          <w:b/>
          <w:i/>
          <w:color w:val="000000"/>
          <w:sz w:val="20"/>
        </w:rPr>
        <w:t>Research and Development</w:t>
      </w:r>
    </w:p>
    <w:p>
      <w:pPr>
        <w:pStyle w:val="TextBody"/>
        <w:bidi w:val="0"/>
        <w:spacing w:before="200" w:after="283"/>
        <w:jc w:val="left"/>
        <w:rPr>
          <w:rFonts w:ascii="sans-serif" w:hAnsi="sans-serif"/>
          <w:color w:val="000000"/>
          <w:sz w:val="20"/>
        </w:rPr>
      </w:pPr>
      <w:r>
        <w:rPr>
          <w:rFonts w:ascii="sans-serif" w:hAnsi="sans-serif"/>
          <w:color w:val="000000"/>
          <w:sz w:val="20"/>
        </w:rPr>
        <w:t>To date, our research and development expenses have related to the development of vonoprazan. Research and development expenses are recognized as incurred and payments made prior to the receipt of goods or services to be used in research and development are capitalized until the goods or services are received. We do not track total research and development expenses by indication.</w:t>
      </w:r>
    </w:p>
    <w:p>
      <w:pPr>
        <w:pStyle w:val="TextBody"/>
        <w:bidi w:val="0"/>
        <w:spacing w:before="200" w:after="283"/>
        <w:jc w:val="left"/>
        <w:rPr>
          <w:rFonts w:ascii="sans-serif" w:hAnsi="sans-serif"/>
          <w:color w:val="000000"/>
          <w:sz w:val="20"/>
        </w:rPr>
      </w:pPr>
      <w:r>
        <w:rPr>
          <w:rFonts w:ascii="sans-serif" w:hAnsi="sans-serif"/>
          <w:color w:val="000000"/>
          <w:sz w:val="20"/>
        </w:rPr>
        <w:t>Research and development expenses include:</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sans-serif" w:hAnsi="sans-serif"/>
          <w:i/>
          <w:color w:val="000000"/>
          <w:sz w:val="20"/>
        </w:rPr>
        <w:t>Clinical development expenses:</w:t>
      </w:r>
      <w:r>
        <w:rPr>
          <w:color w:val="000000"/>
        </w:rPr>
        <w:t xml:space="preserve"> </w:t>
      </w:r>
      <w:r>
        <w:rPr>
          <w:rFonts w:ascii="sans-serif" w:hAnsi="sans-serif"/>
          <w:color w:val="000000"/>
          <w:sz w:val="20"/>
        </w:rPr>
        <w:t xml:space="preserve">external research and development expenses incurred under agreements with clinical research organizations, regulatory costs, and consultants to conduct and support our clinical trials of vonoprazan;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sans-serif" w:hAnsi="sans-serif"/>
          <w:i/>
          <w:color w:val="000000"/>
          <w:sz w:val="20"/>
        </w:rPr>
        <w:t>Personnel related expenses</w:t>
      </w:r>
      <w:r>
        <w:rPr>
          <w:rFonts w:ascii="sans-serif" w:hAnsi="sans-serif"/>
          <w:color w:val="000000"/>
          <w:sz w:val="20"/>
        </w:rPr>
        <w:t xml:space="preserve">: salaries, payroll taxes, and employee benefits, and restructuring expenses in 2025;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sans-serif" w:hAnsi="sans-serif"/>
          <w:i/>
          <w:color w:val="000000"/>
          <w:sz w:val="20"/>
        </w:rPr>
        <w:t>Chemistry manufacturing and controls, or CMC, expenses:</w:t>
      </w:r>
      <w:r>
        <w:rPr>
          <w:color w:val="000000"/>
        </w:rPr>
        <w:t xml:space="preserve"> </w:t>
      </w:r>
      <w:r>
        <w:rPr>
          <w:rFonts w:ascii="sans-serif" w:hAnsi="sans-serif"/>
          <w:color w:val="000000"/>
          <w:sz w:val="20"/>
        </w:rPr>
        <w:t xml:space="preserve">costs related to the manufacturing of vonoprazan for our clinical trials;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sans-serif" w:hAnsi="sans-serif"/>
          <w:i/>
          <w:color w:val="000000"/>
          <w:sz w:val="20"/>
        </w:rPr>
        <w:t xml:space="preserve">Consulting, professional and other costs: </w:t>
      </w:r>
      <w:r>
        <w:rPr>
          <w:rFonts w:ascii="sans-serif" w:hAnsi="sans-serif"/>
          <w:color w:val="000000"/>
          <w:sz w:val="20"/>
        </w:rPr>
        <w:t>external costs related to consulting and professional services and other research costs incurred; and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sans-serif" w:hAnsi="sans-serif"/>
          <w:i/>
          <w:color w:val="000000"/>
          <w:sz w:val="20"/>
        </w:rPr>
        <w:t>Stock-based compensation expenses</w:t>
      </w:r>
      <w:r>
        <w:rPr>
          <w:rFonts w:ascii="sans-serif" w:hAnsi="sans-serif"/>
          <w:color w:val="000000"/>
          <w:sz w:val="20"/>
        </w:rPr>
        <w:t>: stock-based compensation expense recognized for those individuals involved in research and development efforts including for any restructuring expenses in 2025.</w:t>
      </w:r>
    </w:p>
    <w:p>
      <w:pPr>
        <w:pStyle w:val="TextBody"/>
        <w:bidi w:val="0"/>
        <w:spacing w:before="200" w:after="200"/>
        <w:jc w:val="left"/>
        <w:rPr>
          <w:rFonts w:ascii="sans-serif" w:hAnsi="sans-serif"/>
          <w:color w:val="000000"/>
          <w:sz w:val="20"/>
        </w:rPr>
      </w:pPr>
      <w:r>
        <w:rPr>
          <w:rFonts w:ascii="sans-serif" w:hAnsi="sans-serif"/>
          <w:color w:val="000000"/>
          <w:sz w:val="20"/>
        </w:rPr>
        <w:t>The following table summarizes our research and development expenses for the three and six months ended June 30, 2026 and 2025 (in thousands):</w:t>
      </w:r>
    </w:p>
    <w:tbl>
      <w:tblPr>
        <w:tblW w:w="9951" w:type="dxa"/>
        <w:jc w:val="left"/>
        <w:tblInd w:w="0" w:type="dxa"/>
        <w:tblLayout w:type="fixed"/>
        <w:tblCellMar>
          <w:top w:w="28" w:type="dxa"/>
          <w:left w:w="28" w:type="dxa"/>
          <w:bottom w:w="28" w:type="dxa"/>
          <w:right w:w="28" w:type="dxa"/>
        </w:tblCellMar>
      </w:tblPr>
      <w:tblGrid>
        <w:gridCol w:w="4476"/>
        <w:gridCol w:w="146"/>
        <w:gridCol w:w="263"/>
        <w:gridCol w:w="752"/>
        <w:gridCol w:w="170"/>
        <w:gridCol w:w="170"/>
        <w:gridCol w:w="263"/>
        <w:gridCol w:w="752"/>
        <w:gridCol w:w="146"/>
        <w:gridCol w:w="146"/>
        <w:gridCol w:w="226"/>
        <w:gridCol w:w="766"/>
        <w:gridCol w:w="146"/>
        <w:gridCol w:w="146"/>
        <w:gridCol w:w="226"/>
        <w:gridCol w:w="766"/>
        <w:gridCol w:w="391"/>
      </w:tblGrid>
      <w:tr>
        <w:trPr/>
        <w:tc>
          <w:tcPr>
            <w:tcW w:w="4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Clinical development and regulatory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4,233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Personnel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1,930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Chemistry manufacturing and controls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Consulting, professional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1,126</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7,813</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18,260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sans-serif" w:hAnsi="sans-serif"/>
          <w:color w:val="000000"/>
          <w:sz w:val="20"/>
        </w:rPr>
      </w:pPr>
      <w:r>
        <w:rPr>
          <w:rFonts w:ascii="sans-serif" w:hAnsi="sans-serif"/>
          <w:color w:val="000000"/>
          <w:sz w:val="20"/>
        </w:rPr>
        <w:t>We plan to invest in research and development for the foreseeable future as we continue the development of vonoprazan and potentially in the future also develop additional product candidates. We cannot determine with certainty the timing, duration or costs of ongoing or future clinical trials and nonclinical studies of vonoprazan or any future product candidates due to the inherently unpredictable nature of clinical and preclinical development. Clinical and preclinical development timelines, the probability of success, actual results and development costs can differ materially from expectations. In addition, we cannot forecast which product candidates, if any, may be subject to future collaborations, when such arrangements will be secured, if at all, and to what degree such arrangements would affect our development plans, expenses and capital requirements.</w:t>
      </w:r>
    </w:p>
    <w:p>
      <w:pPr>
        <w:pStyle w:val="TextBody"/>
        <w:bidi w:val="0"/>
        <w:spacing w:before="200" w:after="283"/>
        <w:jc w:val="left"/>
        <w:rPr>
          <w:rFonts w:ascii="sans-serif" w:hAnsi="sans-serif"/>
          <w:b/>
          <w:i/>
          <w:color w:val="000000"/>
          <w:sz w:val="20"/>
        </w:rPr>
      </w:pPr>
      <w:r>
        <w:rPr>
          <w:rFonts w:ascii="sans-serif" w:hAnsi="sans-serif"/>
          <w:b/>
          <w:i/>
          <w:color w:val="000000"/>
          <w:sz w:val="20"/>
        </w:rPr>
        <w:t>Selling, General and Administrative</w:t>
      </w:r>
    </w:p>
    <w:p>
      <w:pPr>
        <w:pStyle w:val="TextBody"/>
        <w:bidi w:val="0"/>
        <w:spacing w:before="200" w:after="283"/>
        <w:jc w:val="left"/>
        <w:rPr>
          <w:rFonts w:ascii="Times New Roman" w:hAnsi="Times New Roman"/>
          <w:sz w:val="20"/>
        </w:rPr>
      </w:pPr>
      <w:r>
        <w:rPr>
          <w:rFonts w:ascii="sans-serif" w:hAnsi="sans-serif"/>
          <w:color w:val="000000"/>
          <w:sz w:val="20"/>
        </w:rPr>
        <w:t>Selling, general and administrative expenses consist of salaries and employee-related costs, including stock-based compensation, for personnel in commercial, executive, finance, accounting, legal, human resources and other administrative functions, restructuring expenses in 2025, legal fees relating to intellectual property and corporate matters, and professional fees for accounting and consulting services.</w:t>
      </w:r>
      <w:r>
        <w:rPr>
          <w:rFonts w:ascii="Times New Roman" w:hAnsi="Times New Roman"/>
          <w:color w:val="000000"/>
          <w:sz w:val="20"/>
        </w:rPr>
        <w:t xml:space="preserve"> </w:t>
      </w:r>
    </w:p>
    <w:p>
      <w:pPr>
        <w:pStyle w:val="TextBody"/>
        <w:bidi w:val="0"/>
        <w:spacing w:before="200" w:after="283"/>
        <w:jc w:val="left"/>
        <w:rPr>
          <w:rFonts w:ascii="sans-serif" w:hAnsi="sans-serif"/>
          <w:b/>
          <w:i/>
          <w:color w:val="000000"/>
          <w:sz w:val="20"/>
        </w:rPr>
      </w:pPr>
      <w:r>
        <w:rPr>
          <w:rFonts w:ascii="sans-serif" w:hAnsi="sans-serif"/>
          <w:b/>
          <w:i/>
          <w:color w:val="000000"/>
          <w:sz w:val="20"/>
        </w:rPr>
        <w:t>Interest Income</w:t>
      </w:r>
    </w:p>
    <w:p>
      <w:pPr>
        <w:pStyle w:val="TextBody"/>
        <w:bidi w:val="0"/>
        <w:spacing w:before="200" w:after="283"/>
        <w:jc w:val="left"/>
        <w:rPr>
          <w:rFonts w:ascii="sans-serif" w:hAnsi="sans-serif"/>
          <w:color w:val="000000"/>
          <w:sz w:val="20"/>
        </w:rPr>
      </w:pPr>
      <w:r>
        <w:rPr>
          <w:rFonts w:ascii="sans-serif" w:hAnsi="sans-serif"/>
          <w:color w:val="000000"/>
          <w:sz w:val="20"/>
        </w:rPr>
        <w:t>Interest income consists of interest on our money market funds.</w:t>
      </w:r>
    </w:p>
    <w:p>
      <w:pPr>
        <w:pStyle w:val="TextBody"/>
        <w:bidi w:val="0"/>
        <w:spacing w:before="200" w:after="283"/>
        <w:jc w:val="left"/>
        <w:rPr>
          <w:rFonts w:ascii="sans-serif" w:hAnsi="sans-serif"/>
          <w:b/>
          <w:i/>
          <w:color w:val="000000"/>
          <w:sz w:val="20"/>
        </w:rPr>
      </w:pPr>
      <w:r>
        <w:rPr>
          <w:rFonts w:ascii="sans-serif" w:hAnsi="sans-serif"/>
          <w:b/>
          <w:i/>
          <w:color w:val="000000"/>
          <w:sz w:val="20"/>
        </w:rPr>
        <w:t>Interest Expense</w:t>
      </w:r>
    </w:p>
    <w:p>
      <w:pPr>
        <w:pStyle w:val="TextBody"/>
        <w:bidi w:val="0"/>
        <w:spacing w:before="200" w:after="283"/>
        <w:jc w:val="left"/>
        <w:rPr>
          <w:rFonts w:ascii="sans-serif" w:hAnsi="sans-serif"/>
          <w:i/>
          <w:color w:val="000000"/>
          <w:sz w:val="20"/>
        </w:rPr>
      </w:pPr>
      <w:r>
        <w:rPr>
          <w:rFonts w:ascii="sans-serif" w:hAnsi="sans-serif"/>
          <w:i/>
          <w:color w:val="000000"/>
          <w:sz w:val="20"/>
        </w:rPr>
        <w:t>Revenue Interest Financing Agreement</w:t>
      </w:r>
    </w:p>
    <w:p>
      <w:pPr>
        <w:pStyle w:val="TextBody"/>
        <w:bidi w:val="0"/>
        <w:spacing w:before="120" w:after="283"/>
        <w:jc w:val="left"/>
        <w:rPr>
          <w:rFonts w:ascii="sans-serif" w:hAnsi="sans-serif"/>
          <w:color w:val="000000"/>
          <w:sz w:val="20"/>
        </w:rPr>
      </w:pPr>
      <w:r>
        <w:rPr>
          <w:rFonts w:ascii="sans-serif" w:hAnsi="sans-serif"/>
          <w:color w:val="000000"/>
          <w:sz w:val="20"/>
        </w:rPr>
        <w:t>Interest expense under the Revenue Interest Financing Agreement (as further described below under Liquidity and Capital Resources) is based on the imputed effective interest rate derived from expected future payments and the carrying value of the obligation. We recalculate the effective interest rate each period based on the current carrying value and the revised estimated future payments. Changes in future payments from previous estimates are included in current and future interest expense.</w:t>
      </w:r>
    </w:p>
    <w:p>
      <w:pPr>
        <w:pStyle w:val="TextBody"/>
        <w:bidi w:val="0"/>
        <w:spacing w:before="200" w:after="283"/>
        <w:jc w:val="left"/>
        <w:rPr>
          <w:rFonts w:ascii="sans-serif" w:hAnsi="sans-serif"/>
          <w:i/>
          <w:color w:val="000000"/>
          <w:sz w:val="20"/>
        </w:rPr>
      </w:pPr>
      <w:r>
        <w:rPr>
          <w:rFonts w:ascii="sans-serif" w:hAnsi="sans-serif"/>
          <w:i/>
          <w:color w:val="000000"/>
          <w:sz w:val="20"/>
        </w:rPr>
        <w:t>Loan Agreement with Hercules</w:t>
      </w:r>
    </w:p>
    <w:p>
      <w:pPr>
        <w:pStyle w:val="TextBody"/>
        <w:bidi w:val="0"/>
        <w:spacing w:before="120" w:after="283"/>
        <w:jc w:val="left"/>
        <w:rPr>
          <w:rFonts w:ascii="sans-serif" w:hAnsi="sans-serif"/>
          <w:color w:val="000000"/>
          <w:sz w:val="20"/>
        </w:rPr>
      </w:pPr>
      <w:r>
        <w:rPr>
          <w:rFonts w:ascii="sans-serif" w:hAnsi="sans-serif"/>
          <w:color w:val="000000"/>
          <w:sz w:val="20"/>
        </w:rPr>
        <w:t>Beginning on February 25, 2026, interest expense under our Loan and Security Agreement, or the Loan Agreement, with Hercules Capital, Inc., or Hercules, in its capacity as administrative agent and collateral agent and as a lender, consists of (i) cash interest at a variable annual rate equal to the greater of (a) 9.85% and (b) the Prime Rate (as reported in the Wall Street Journal) plus 3.10%, and (ii) amortization of the Loan Agreement debt discount recorded in connection with the fair value of warrants issued to the lenders, the debt issuance costs incurred, and the obligation to make a final payment.</w:t>
      </w:r>
    </w:p>
    <w:p>
      <w:pPr>
        <w:pStyle w:val="TextBody"/>
        <w:bidi w:val="0"/>
        <w:spacing w:before="120" w:after="283"/>
        <w:jc w:val="left"/>
        <w:rPr>
          <w:rFonts w:ascii="sans-serif" w:hAnsi="sans-serif"/>
          <w:color w:val="000000"/>
          <w:sz w:val="20"/>
        </w:rPr>
      </w:pPr>
      <w:r>
        <w:rPr>
          <w:rFonts w:ascii="sans-serif" w:hAnsi="sans-serif"/>
          <w:color w:val="000000"/>
          <w:sz w:val="20"/>
        </w:rPr>
        <w:t>From December 14, 2023 through February 25, 2026, interest expense under the Loan Agreement consisted of (i) cash interest at a variable annual rate equal to the greater of (a) 9.85% and (b) the Prime Rate (as reported in the Wall Street Journal) plus 1.35% and provided that the cash interest rate was to be capped at 10.35% and upon achieving certain milestones, the cash interest was to decrease by 0.35%, (ii) payment-in-kind interest was at a per annum rate of interest equal to 2.15%, and (iii) amortization of the Loan Agreement debt discount recorded in connection with the fair value of warrants issued to the lenders, the debt issuance costs incurred, and the obligation to make a final payment.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Results of Operations</w:t>
      </w:r>
    </w:p>
    <w:p>
      <w:pPr>
        <w:pStyle w:val="TextBody"/>
        <w:bidi w:val="0"/>
        <w:spacing w:before="200" w:after="283"/>
        <w:jc w:val="left"/>
        <w:rPr>
          <w:rFonts w:ascii="sans-serif" w:hAnsi="sans-serif"/>
          <w:b/>
          <w:i/>
          <w:color w:val="000000"/>
          <w:sz w:val="20"/>
        </w:rPr>
      </w:pPr>
      <w:r>
        <w:rPr>
          <w:rFonts w:ascii="sans-serif" w:hAnsi="sans-serif"/>
          <w:b/>
          <w:i/>
          <w:color w:val="000000"/>
          <w:sz w:val="20"/>
        </w:rPr>
        <w:t>Comparison of the Three Months Ended June 30, 2026 and 2025</w:t>
      </w:r>
    </w:p>
    <w:p>
      <w:pPr>
        <w:pStyle w:val="TextBody"/>
        <w:bidi w:val="0"/>
        <w:spacing w:before="200" w:after="200"/>
        <w:jc w:val="left"/>
        <w:rPr>
          <w:rFonts w:ascii="sans-serif" w:hAnsi="sans-serif"/>
          <w:color w:val="000000"/>
          <w:sz w:val="20"/>
        </w:rPr>
      </w:pPr>
      <w:r>
        <w:rPr>
          <w:rFonts w:ascii="sans-serif" w:hAnsi="sans-serif"/>
          <w:color w:val="000000"/>
          <w:sz w:val="20"/>
        </w:rPr>
        <w:t>The following table summarizes our results of operations for the three months ended June 30, 2026 and 2025 (in thousands):</w:t>
      </w:r>
    </w:p>
    <w:tbl>
      <w:tblPr>
        <w:tblW w:w="7968" w:type="dxa"/>
        <w:jc w:val="left"/>
        <w:tblInd w:w="0" w:type="dxa"/>
        <w:tblLayout w:type="fixed"/>
        <w:tblCellMar>
          <w:top w:w="28" w:type="dxa"/>
          <w:left w:w="28" w:type="dxa"/>
          <w:bottom w:w="28" w:type="dxa"/>
          <w:right w:w="28" w:type="dxa"/>
        </w:tblCellMar>
      </w:tblPr>
      <w:tblGrid>
        <w:gridCol w:w="3641"/>
        <w:gridCol w:w="146"/>
        <w:gridCol w:w="226"/>
        <w:gridCol w:w="841"/>
        <w:gridCol w:w="181"/>
        <w:gridCol w:w="146"/>
        <w:gridCol w:w="226"/>
        <w:gridCol w:w="841"/>
        <w:gridCol w:w="181"/>
        <w:gridCol w:w="146"/>
        <w:gridCol w:w="226"/>
        <w:gridCol w:w="841"/>
        <w:gridCol w:w="326"/>
      </w:tblGrid>
      <w:tr>
        <w:trPr/>
        <w:tc>
          <w:tcPr>
            <w:tcW w:w="3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Change</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74,274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39,503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34,771</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15,096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5,038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10,058</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59,178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34,465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24,713</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9,076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(1,263</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55,330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85,313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(29,983</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63,143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94,389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(31,246</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(3,965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(59,924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55,959</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(277</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(15,103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2,415</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131</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(13,617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(15,886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2,269</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(17,582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(75,810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58,228</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sans-serif" w:hAnsi="sans-serif"/>
          <w:i/>
          <w:color w:val="000000"/>
          <w:sz w:val="20"/>
        </w:rPr>
        <w:t xml:space="preserve">Revenue. </w:t>
      </w:r>
      <w:r>
        <w:rPr>
          <w:rFonts w:ascii="sans-serif" w:hAnsi="sans-serif"/>
          <w:color w:val="000000"/>
          <w:sz w:val="20"/>
        </w:rPr>
        <w:t>Product revenues were $74.3 million and $39.5 million for the three months ended June 30, 2026 and 2025, respectively, related to sales of VOQUEZNA, VOQUEZNA TRIPLE PAK, and VOQUEZNA DUAL PAK which were launched in the fourth quarter of 2023. The increase of $34.8 million was due to continued execution of our commercial strategy.</w:t>
      </w:r>
    </w:p>
    <w:p>
      <w:pPr>
        <w:pStyle w:val="TextBody"/>
        <w:bidi w:val="0"/>
        <w:spacing w:before="200" w:after="283"/>
        <w:jc w:val="left"/>
        <w:rPr>
          <w:rFonts w:ascii="Times New Roman" w:hAnsi="Times New Roman"/>
          <w:sz w:val="20"/>
        </w:rPr>
      </w:pPr>
      <w:r>
        <w:rPr>
          <w:rFonts w:ascii="sans-serif" w:hAnsi="sans-serif"/>
          <w:i/>
          <w:color w:val="000000"/>
          <w:sz w:val="20"/>
        </w:rPr>
        <w:t xml:space="preserve">Cost of Revenue. </w:t>
      </w:r>
      <w:r>
        <w:rPr>
          <w:rFonts w:ascii="sans-serif" w:hAnsi="sans-serif"/>
          <w:color w:val="000000"/>
          <w:sz w:val="20"/>
        </w:rPr>
        <w:t>Cost of revenue was $15.1 million and $5.0 million for the three months ended June 30, 2026 and 2025, respectively. The increase of $10.1 million was due to the increase in revenues and the corresponding increase in Takeda royalties incurred, as well as increased fulfillment costs.</w:t>
      </w:r>
    </w:p>
    <w:p>
      <w:pPr>
        <w:pStyle w:val="TextBody"/>
        <w:bidi w:val="0"/>
        <w:spacing w:before="200" w:after="283"/>
        <w:jc w:val="left"/>
        <w:rPr>
          <w:rFonts w:ascii="Times New Roman" w:hAnsi="Times New Roman"/>
          <w:sz w:val="20"/>
        </w:rPr>
      </w:pPr>
      <w:r>
        <w:rPr>
          <w:rFonts w:ascii="sans-serif" w:hAnsi="sans-serif"/>
          <w:i/>
          <w:color w:val="000000"/>
          <w:sz w:val="20"/>
        </w:rPr>
        <w:t>Research and Development Expenses.</w:t>
      </w:r>
      <w:r>
        <w:rPr>
          <w:rFonts w:ascii="Times New Roman" w:hAnsi="Times New Roman"/>
          <w:color w:val="000000"/>
          <w:sz w:val="20"/>
        </w:rPr>
        <w:t xml:space="preserve"> </w:t>
      </w:r>
      <w:r>
        <w:rPr>
          <w:rFonts w:ascii="sans-serif" w:hAnsi="sans-serif"/>
          <w:color w:val="000000"/>
          <w:sz w:val="20"/>
        </w:rPr>
        <w:t>Research and development expenses were $7.8 million and $9.1 million for the three months ended June 30, 2026 and 2025, respectively. The decrease of $1.3 million consists of $2.5 million related to lower personnel-related expenses and $0.6 million of lower consulting costs offset by an increase of $1.8 million of clinical development and regulatory costs.</w:t>
      </w:r>
    </w:p>
    <w:p>
      <w:pPr>
        <w:pStyle w:val="TextBody"/>
        <w:bidi w:val="0"/>
        <w:spacing w:before="200" w:after="283"/>
        <w:jc w:val="left"/>
        <w:rPr>
          <w:rFonts w:ascii="Times New Roman" w:hAnsi="Times New Roman"/>
          <w:sz w:val="20"/>
        </w:rPr>
      </w:pPr>
      <w:r>
        <w:rPr>
          <w:rFonts w:ascii="sans-serif" w:hAnsi="sans-serif"/>
          <w:i/>
          <w:color w:val="000000"/>
          <w:sz w:val="20"/>
        </w:rPr>
        <w:t>Selling, General and Administrative Expenses.</w:t>
      </w:r>
      <w:r>
        <w:rPr>
          <w:rFonts w:ascii="Times New Roman" w:hAnsi="Times New Roman"/>
          <w:color w:val="000000"/>
          <w:sz w:val="20"/>
        </w:rPr>
        <w:t xml:space="preserve"> </w:t>
      </w:r>
      <w:r>
        <w:rPr>
          <w:rFonts w:ascii="sans-serif" w:hAnsi="sans-serif"/>
          <w:color w:val="000000"/>
          <w:sz w:val="20"/>
        </w:rPr>
        <w:t>Selling, general and administrative expenses were $55.3 million and $85.3 million for the three months ended June 30, 2026 and 2025, respectively. The decrease of $30.0 million was primarily related to a $23.0 million reduction in advertising and promotional expenses and $7.0 million of lower personnel-related expenses.</w:t>
      </w:r>
    </w:p>
    <w:p>
      <w:pPr>
        <w:pStyle w:val="TextBody"/>
        <w:bidi w:val="0"/>
        <w:spacing w:before="200" w:after="283"/>
        <w:jc w:val="left"/>
        <w:rPr>
          <w:rFonts w:ascii="Times New Roman" w:hAnsi="Times New Roman"/>
          <w:sz w:val="20"/>
        </w:rPr>
      </w:pPr>
      <w:r>
        <w:rPr>
          <w:rFonts w:ascii="sans-serif" w:hAnsi="sans-serif"/>
          <w:i/>
          <w:color w:val="000000"/>
          <w:sz w:val="20"/>
        </w:rPr>
        <w:t>Other (Expense) Income.</w:t>
      </w:r>
      <w:r>
        <w:rPr>
          <w:rFonts w:ascii="Times New Roman" w:hAnsi="Times New Roman"/>
          <w:color w:val="000000"/>
          <w:sz w:val="20"/>
        </w:rPr>
        <w:t xml:space="preserve"> </w:t>
      </w:r>
      <w:r>
        <w:rPr>
          <w:rFonts w:ascii="sans-serif" w:hAnsi="sans-serif"/>
          <w:color w:val="000000"/>
          <w:sz w:val="20"/>
        </w:rPr>
        <w:t>Other expense of $13.6 million for the three months ended June 30, 2026 consisted of $15.1 million of interest expense under the Loan Agreement and Revenue Interest Financing Agreement, partially offset by $1.5 million of interest income related to cash held in money market funds. Other expense of $15.9 million for the three months ended June 30, 2025 consisted of $17.5 million of interest expense under the Loan Agreement and Revenue Interest Financing Agreement, partially offset by $1.8 million of interest income related to cash held in money market funds.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sans-serif" w:hAnsi="sans-serif"/>
          <w:b/>
          <w:i/>
          <w:color w:val="000000"/>
          <w:sz w:val="20"/>
        </w:rPr>
      </w:pPr>
      <w:r>
        <w:rPr>
          <w:rFonts w:ascii="sans-serif" w:hAnsi="sans-serif"/>
          <w:b/>
          <w:i/>
          <w:color w:val="000000"/>
          <w:sz w:val="20"/>
        </w:rPr>
        <w:t>Comparison of the Six Months Ended June 30, 2026 and 2025</w:t>
      </w:r>
    </w:p>
    <w:p>
      <w:pPr>
        <w:pStyle w:val="TextBody"/>
        <w:bidi w:val="0"/>
        <w:spacing w:before="200" w:after="200"/>
        <w:jc w:val="left"/>
        <w:rPr>
          <w:rFonts w:ascii="sans-serif" w:hAnsi="sans-serif"/>
          <w:color w:val="000000"/>
          <w:sz w:val="20"/>
        </w:rPr>
      </w:pPr>
      <w:r>
        <w:rPr>
          <w:rFonts w:ascii="sans-serif" w:hAnsi="sans-serif"/>
          <w:color w:val="000000"/>
          <w:sz w:val="20"/>
        </w:rPr>
        <w:t>The following table summarizes our results of operations for the six months ended June 30, 2026 and 2025 (in thousands):</w:t>
      </w:r>
    </w:p>
    <w:tbl>
      <w:tblPr>
        <w:tblW w:w="8178" w:type="dxa"/>
        <w:jc w:val="left"/>
        <w:tblInd w:w="0" w:type="dxa"/>
        <w:tblLayout w:type="fixed"/>
        <w:tblCellMar>
          <w:top w:w="28" w:type="dxa"/>
          <w:left w:w="28" w:type="dxa"/>
          <w:bottom w:w="28" w:type="dxa"/>
          <w:right w:w="28" w:type="dxa"/>
        </w:tblCellMar>
      </w:tblPr>
      <w:tblGrid>
        <w:gridCol w:w="3641"/>
        <w:gridCol w:w="146"/>
        <w:gridCol w:w="226"/>
        <w:gridCol w:w="886"/>
        <w:gridCol w:w="181"/>
        <w:gridCol w:w="146"/>
        <w:gridCol w:w="226"/>
        <w:gridCol w:w="961"/>
        <w:gridCol w:w="181"/>
        <w:gridCol w:w="146"/>
        <w:gridCol w:w="226"/>
        <w:gridCol w:w="886"/>
        <w:gridCol w:w="326"/>
      </w:tblGrid>
      <w:tr>
        <w:trPr/>
        <w:tc>
          <w:tcPr>
            <w:tcW w:w="3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Change</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132,575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68,023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64,552</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27,091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8,762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18,329</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105,484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59,261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46,223</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15,585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(2,675</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109,341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179,787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(70,446</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124,926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198,047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(73,121</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(19,442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(138,786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119,344</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(1,181</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(30,900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(35,588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4,688</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(676</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(28,509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(31,340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2,831</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(47,951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(170,126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122,175</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sans-serif" w:hAnsi="sans-serif"/>
          <w:i/>
          <w:color w:val="000000"/>
          <w:sz w:val="20"/>
        </w:rPr>
        <w:t xml:space="preserve">Revenue. </w:t>
      </w:r>
      <w:r>
        <w:rPr>
          <w:rFonts w:ascii="sans-serif" w:hAnsi="sans-serif"/>
          <w:color w:val="000000"/>
          <w:sz w:val="20"/>
        </w:rPr>
        <w:t>Product revenues were $132.6 million and $68.0 million for the six months ended June 30, 2026 and 2025, respectively, related to sales of VOQUEZNA, VOQUEZNA TRIPLE PAK, and VOQUEZNA DUAL PAK which were launched during the fourth quarter of 2023. The increase of $64.6 million was due to continued execution of our commercial strategy.</w:t>
      </w:r>
    </w:p>
    <w:p>
      <w:pPr>
        <w:pStyle w:val="TextBody"/>
        <w:bidi w:val="0"/>
        <w:spacing w:before="200" w:after="283"/>
        <w:jc w:val="left"/>
        <w:rPr>
          <w:rFonts w:ascii="Times New Roman" w:hAnsi="Times New Roman"/>
          <w:sz w:val="20"/>
        </w:rPr>
      </w:pPr>
      <w:r>
        <w:rPr>
          <w:rFonts w:ascii="sans-serif" w:hAnsi="sans-serif"/>
          <w:i/>
          <w:color w:val="000000"/>
          <w:sz w:val="20"/>
        </w:rPr>
        <w:t xml:space="preserve">Cost of Revenue. </w:t>
      </w:r>
      <w:r>
        <w:rPr>
          <w:rFonts w:ascii="sans-serif" w:hAnsi="sans-serif"/>
          <w:color w:val="000000"/>
          <w:sz w:val="20"/>
        </w:rPr>
        <w:t>Cost of revenue was $27.1 million and $8.8 million for the six months ended June 30, 2026 and 2025, respectively. The increase of $18.3 million was due to the increase in revenues and the corresponding increase in Takeda royalties incurred, as well as increased fulfillment costs.</w:t>
      </w:r>
    </w:p>
    <w:p>
      <w:pPr>
        <w:pStyle w:val="TextBody"/>
        <w:bidi w:val="0"/>
        <w:spacing w:before="200" w:after="283"/>
        <w:jc w:val="left"/>
        <w:rPr>
          <w:rFonts w:ascii="Times New Roman" w:hAnsi="Times New Roman"/>
          <w:sz w:val="20"/>
        </w:rPr>
      </w:pPr>
      <w:r>
        <w:rPr>
          <w:rFonts w:ascii="sans-serif" w:hAnsi="sans-serif"/>
          <w:i/>
          <w:color w:val="000000"/>
          <w:sz w:val="20"/>
        </w:rPr>
        <w:t>Research and Development Expenses.</w:t>
      </w:r>
      <w:r>
        <w:rPr>
          <w:rFonts w:ascii="Times New Roman" w:hAnsi="Times New Roman"/>
          <w:color w:val="000000"/>
          <w:sz w:val="20"/>
        </w:rPr>
        <w:t xml:space="preserve"> </w:t>
      </w:r>
      <w:r>
        <w:rPr>
          <w:rFonts w:ascii="sans-serif" w:hAnsi="sans-serif"/>
          <w:color w:val="000000"/>
          <w:sz w:val="20"/>
        </w:rPr>
        <w:t>Research and development expenses were $15.6 million and $18.3 million for the six months ended June 30, 2026 and 2025, respectively. The decrease of $2.7 million consists of $3.4 million related to lower personnel-related expenses and $1.7 million of lower CMC costs offset by an increase of $2.4 million of clinical development and regulatory costs.</w:t>
      </w:r>
    </w:p>
    <w:p>
      <w:pPr>
        <w:pStyle w:val="TextBody"/>
        <w:bidi w:val="0"/>
        <w:spacing w:before="200" w:after="283"/>
        <w:jc w:val="left"/>
        <w:rPr>
          <w:rFonts w:ascii="Times New Roman" w:hAnsi="Times New Roman"/>
          <w:sz w:val="20"/>
        </w:rPr>
      </w:pPr>
      <w:r>
        <w:rPr>
          <w:rFonts w:ascii="sans-serif" w:hAnsi="sans-serif"/>
          <w:i/>
          <w:color w:val="000000"/>
          <w:sz w:val="20"/>
        </w:rPr>
        <w:t>Selling, General and Administrative Expenses.</w:t>
      </w:r>
      <w:r>
        <w:rPr>
          <w:rFonts w:ascii="Times New Roman" w:hAnsi="Times New Roman"/>
          <w:color w:val="000000"/>
          <w:sz w:val="20"/>
        </w:rPr>
        <w:t xml:space="preserve"> </w:t>
      </w:r>
      <w:r>
        <w:rPr>
          <w:rFonts w:ascii="sans-serif" w:hAnsi="sans-serif"/>
          <w:color w:val="000000"/>
          <w:sz w:val="20"/>
        </w:rPr>
        <w:t>Selling, general and administrative expenses were $109.3 million and $179.8 million for the six months ended June 30, 2026 and 2025, respectively. The decrease of $70.4 million was primarily related to a $60.0 million reduction in advertising and promotional expenses, $9.3 million of lower personnel-related expenses, and $1.1 million of lower consulting and professional fees.</w:t>
      </w:r>
    </w:p>
    <w:p>
      <w:pPr>
        <w:pStyle w:val="TextBody"/>
        <w:bidi w:val="0"/>
        <w:spacing w:before="200" w:after="283"/>
        <w:jc w:val="left"/>
        <w:rPr>
          <w:rFonts w:ascii="Times New Roman" w:hAnsi="Times New Roman"/>
          <w:sz w:val="20"/>
        </w:rPr>
      </w:pPr>
      <w:r>
        <w:rPr>
          <w:rFonts w:ascii="sans-serif" w:hAnsi="sans-serif"/>
          <w:i/>
          <w:color w:val="000000"/>
          <w:sz w:val="20"/>
        </w:rPr>
        <w:t>Other (Expense) Income.</w:t>
      </w:r>
      <w:r>
        <w:rPr>
          <w:rFonts w:ascii="Times New Roman" w:hAnsi="Times New Roman"/>
          <w:color w:val="000000"/>
          <w:sz w:val="20"/>
        </w:rPr>
        <w:t xml:space="preserve"> </w:t>
      </w:r>
      <w:r>
        <w:rPr>
          <w:rFonts w:ascii="sans-serif" w:hAnsi="sans-serif"/>
          <w:color w:val="000000"/>
          <w:sz w:val="20"/>
        </w:rPr>
        <w:t>Other expense of $28.5 million for the six months ended June 30, 2026 consisted of $30.9 million of interest expense under the Loan Agreement and Revenue Interest Financing Agreement, $0.8 million partial loss on extinguishment of debt recognized under the Loan Agreement, partially offset by $3.2 million of interest income related to cash held in money market funds. Other expense of $31.3 million for the six months ended June 30, 2025 consisted of $35.6 million of interest expense under the Loan Agreement and Revenue Interest Financing Agreement, partially offset by $4.4 million of interest income related to cash held in money market funds.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Liquidity and Capital Resources</w:t>
      </w:r>
    </w:p>
    <w:p>
      <w:pPr>
        <w:pStyle w:val="TextBody"/>
        <w:bidi w:val="0"/>
        <w:spacing w:before="200" w:after="283"/>
        <w:jc w:val="left"/>
        <w:rPr>
          <w:rFonts w:ascii="sans-serif" w:hAnsi="sans-serif"/>
          <w:color w:val="000000"/>
          <w:sz w:val="20"/>
        </w:rPr>
      </w:pPr>
      <w:r>
        <w:rPr>
          <w:rFonts w:ascii="sans-serif" w:hAnsi="sans-serif"/>
          <w:color w:val="000000"/>
          <w:sz w:val="20"/>
        </w:rPr>
        <w:t>We have incurred net losses and negative cash flows from operations since our inception and while we expect to continue to incur a net loss in the near term, we expect these net losses to be lower than what we have previously incurred. As of June 30, 2026, we had cash and cash equivalents of $182.5 million.</w:t>
      </w:r>
    </w:p>
    <w:p>
      <w:pPr>
        <w:pStyle w:val="TextBody"/>
        <w:bidi w:val="0"/>
        <w:spacing w:before="200" w:after="283"/>
        <w:jc w:val="left"/>
        <w:rPr>
          <w:rFonts w:ascii="sans-serif" w:hAnsi="sans-serif"/>
          <w:b/>
          <w:i/>
          <w:color w:val="000000"/>
          <w:sz w:val="20"/>
        </w:rPr>
      </w:pPr>
      <w:r>
        <w:rPr>
          <w:rFonts w:ascii="sans-serif" w:hAnsi="sans-serif"/>
          <w:b/>
          <w:i/>
          <w:color w:val="000000"/>
          <w:sz w:val="20"/>
        </w:rPr>
        <w:t>Loan Agreement with Hercules</w:t>
      </w:r>
    </w:p>
    <w:p>
      <w:pPr>
        <w:pStyle w:val="TextBody"/>
        <w:bidi w:val="0"/>
        <w:spacing w:before="200" w:after="283"/>
        <w:jc w:val="left"/>
        <w:rPr>
          <w:rFonts w:ascii="sans-serif" w:hAnsi="sans-serif"/>
          <w:color w:val="000000"/>
          <w:sz w:val="20"/>
        </w:rPr>
      </w:pPr>
      <w:r>
        <w:rPr>
          <w:rFonts w:ascii="sans-serif" w:hAnsi="sans-serif"/>
          <w:color w:val="000000"/>
          <w:sz w:val="20"/>
        </w:rPr>
        <w:t>On September 17, 2021, or the Closing Date, we entered into the Loan Agreement with Hercules, in its capacity as administrative agent and collateral agent and as a lender, or, in such capacity, the Agent or Hercules, and the other financial institutions that from time to time become parties to the Loan Agreement as lenders. The Loan Agreement initially provided for term loans in an aggregate principal amount of up to $200 million under multiple tranches. We entered into several amendments to the Loan Agreement since the initial advance and the current loan terms provided for in the latest amendment are described below.</w:t>
      </w:r>
    </w:p>
    <w:p>
      <w:pPr>
        <w:pStyle w:val="TextBody"/>
        <w:bidi w:val="0"/>
        <w:spacing w:before="200" w:after="283"/>
        <w:jc w:val="left"/>
        <w:rPr>
          <w:rFonts w:ascii="sans-serif" w:hAnsi="sans-serif"/>
          <w:color w:val="000000"/>
          <w:sz w:val="20"/>
        </w:rPr>
      </w:pPr>
      <w:r>
        <w:rPr>
          <w:rFonts w:ascii="sans-serif" w:hAnsi="sans-serif"/>
          <w:color w:val="000000"/>
          <w:sz w:val="20"/>
        </w:rPr>
        <w:t>On February 25, 2026, or the Fifth Amendment Closing Date, we entered into the Fifth Amendment to the Loan and Security Agreement, or the Fifth Loan Amendment, which, among other things, (i) provided for a new term loan advance of $175 million, or the Term Loan Advance, the proceeds of which, along with cash on our balance sheet, were used to repay in full the existing secured obligations outstanding under the Loan Agreement, including principal, capitalized payment-in-kind interest, cash interest, existing final fee payments, and any applicable prepayment fees, (ii) provided for an additional loan tranche of up to $25 million which shall be available to us in the lenders’ discretion, (iii) extended the maturity date from December 1, 2027 to February 1, 2029, or the Maturity Date, subject to further extension to December 1, 2030 upon the achievement of a specified revenue milestone and subject to a certain pro forma liquidity test, (iv) extended the interest only period from October 2026 to December 2027, thereafter, monthly payment of interest and principal repayments at 2.5% of aggregate original principal balance of the Term Loan Advance through the Maturity Date, with any remaining payments to be repaid in full on the Maturity Date, (v) cash interest rate set at floating rate based on the greater of (a) US WSJ Prime + 3.10% or (b) 9.85%, (vi) eliminated the payment-in-kind interest rate of 2.15% per annum, (vii) amended the prepayment charge, which is a percentage of the principal amount advanced under the Term Loans under the Fifth Loan Amendment, or each a Term Loan Advance and together, the Term Loan Advances, as follows: (a) if the Term Loan Advances are prepaid after the Fifth Amendment Closing Date but prior to the twelfth month anniversary of the Fifth Amendment Closing Date, 2.50%; (b) if the Term Loan Advances are prepaid on or after the twelfth month anniversary of the Fifth Amendment Closing Date but prior to the twenty-fourth month anniversary of the Fifth Amendment Closing Date, 2.00%; (c) if the Term Loan Advances are prepaid on or after the twenty-fourth month anniversary of the Fifth Amendment Closing Date but prior to the thirty-sixth month anniversary of the Fifth Amendment Closing Date, 1.50%; (d) thereafter, 1.00%; provided that (x) any such prepayment charge shall be reduced by 50.0% if such prepayment is a result of a change in control and (y) upon any refinancing by Hercules such prepayment charge shall be waived in full; and (viii) provided for a new final payment fee which is as a percentage of the Term Loan Advance, calculated as follows: (a) if the Term Loan Advances are repaid prior to September 2027, 1.25%; (b) if the Term Loan Advances are repaid after September 1, 2027 but on or prior to February 1, 2029, 2.00%; (c) if the Term Loan Advances are repaid after February 1, 2029 but on or prior to January 1, 2030, 3.00%, and (d) if the Term Loan Advances are repaid after January 1, 2030, 3.50%. As of June 30, 2026, we recorded $3.5 million within other long-term liabilities for the new final payment fee based on the Term Loan Advance being repaid by the Maturity Date.</w:t>
      </w:r>
    </w:p>
    <w:p>
      <w:pPr>
        <w:pStyle w:val="TextBody"/>
        <w:bidi w:val="0"/>
        <w:spacing w:before="200" w:after="160"/>
        <w:jc w:val="left"/>
        <w:rPr>
          <w:rFonts w:ascii="sans-serif" w:hAnsi="sans-serif"/>
          <w:color w:val="000000"/>
          <w:sz w:val="20"/>
        </w:rPr>
      </w:pPr>
      <w:r>
        <w:rPr>
          <w:rFonts w:ascii="sans-serif" w:hAnsi="sans-serif"/>
          <w:color w:val="000000"/>
          <w:sz w:val="20"/>
        </w:rPr>
        <w:t>We accounted for the Fifth Loan Amendment in accordance with ASC 470-50, Modification and Extinguishments, or ASC 470-50, to determine if the transaction was treated as a modification or an extinguishment of debt. We reviewed the debt terms and determined the change would be accounted for prospectively as a partial debt extinguishment in accordance with ASC 470-50. As a result, we expensed a portion of the remaining deferred debt issuance costs and fees of $0.8 million associated with the debt prior to the Fifth Loan Amendment, as a loss on partial debt extinguishment within other expense, net in the condensed statements of operations and comprehensive loss during the first quarter of fiscal 2026. Prior to the Fifth Loan Amendment, there were approximately $6.9 million of deferred debt issuance costs remaining to be amortized. The partial extinguishment and modification resulted in a net reduction in deferred issuance fees of $0.5 million with a remaining balance of $6.4 million in debt issuance costs capitalized to be amortized over the three year life of the new debt.</w:t>
      </w:r>
    </w:p>
    <w:p>
      <w:pPr>
        <w:pStyle w:val="TextBody"/>
        <w:bidi w:val="0"/>
        <w:spacing w:before="40" w:after="283"/>
        <w:jc w:val="left"/>
        <w:rPr>
          <w:rFonts w:ascii="Times New Roman" w:hAnsi="Times New Roman"/>
          <w:sz w:val="20"/>
        </w:rPr>
      </w:pPr>
      <w:r>
        <w:rPr>
          <w:rFonts w:ascii="sans-serif" w:hAnsi="sans-serif"/>
          <w:color w:val="000000"/>
          <w:sz w:val="20"/>
        </w:rPr>
        <w:t>As collateral for the obligations, we granted to Hercules a senior security interest in all of our right, title, and interest in, to and under substantially all of our property, inclusive of intellectual property.</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The Loan Agreement contains customary closing fees, prepayment fees and provisions, events of default, and representations, warranties and covenants, including financial covenants. The financial covenants under the Fifth Loan Amendment include (i) a minimum cash covenant and (ii) a performance covenant as follows: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sans-serif" w:hAnsi="sans-serif"/>
          <w:color w:val="000000"/>
          <w:sz w:val="20"/>
        </w:rPr>
      </w:pPr>
      <w:r>
        <w:rPr>
          <w:rFonts w:ascii="sans-serif" w:hAnsi="sans-serif"/>
          <w:color w:val="000000"/>
          <w:sz w:val="20"/>
        </w:rPr>
        <w:t>(i)</w:t>
      </w:r>
    </w:p>
    <w:p>
      <w:pPr>
        <w:pStyle w:val="TextBody"/>
        <w:bidi w:val="0"/>
        <w:spacing w:before="120" w:after="283"/>
        <w:jc w:val="left"/>
        <w:rPr>
          <w:rFonts w:ascii="sans-serif" w:hAnsi="sans-serif"/>
          <w:color w:val="000000"/>
          <w:sz w:val="20"/>
        </w:rPr>
      </w:pPr>
      <w:r>
        <w:rPr>
          <w:rFonts w:ascii="sans-serif" w:hAnsi="sans-serif"/>
          <w:color w:val="000000"/>
          <w:sz w:val="20"/>
        </w:rPr>
        <w:t xml:space="preserve">Minimum cash covenant - We must maintain a minimum cash balance of 20% of the outstanding principal balance at all times, which will decrease to 15% of the outstanding principal amount upon us reporting and maintaining $75 million of trailing three months net product revenue. </w:t>
      </w:r>
    </w:p>
    <w:p>
      <w:pPr>
        <w:pStyle w:val="TextBody"/>
        <w:bidi w:val="0"/>
        <w:spacing w:before="120" w:after="283"/>
        <w:jc w:val="left"/>
        <w:rPr>
          <w:rFonts w:ascii="sans-serif" w:hAnsi="sans-serif"/>
          <w:color w:val="000000"/>
          <w:sz w:val="20"/>
        </w:rPr>
      </w:pPr>
      <w:r>
        <w:rPr>
          <w:rFonts w:ascii="sans-serif" w:hAnsi="sans-serif"/>
          <w:color w:val="000000"/>
          <w:sz w:val="20"/>
        </w:rPr>
        <w:t>(ii)</w:t>
      </w:r>
    </w:p>
    <w:p>
      <w:pPr>
        <w:pStyle w:val="TextBody"/>
        <w:bidi w:val="0"/>
        <w:spacing w:before="120" w:after="283"/>
        <w:jc w:val="left"/>
        <w:rPr>
          <w:rFonts w:ascii="sans-serif" w:hAnsi="sans-serif"/>
          <w:color w:val="000000"/>
          <w:sz w:val="20"/>
        </w:rPr>
      </w:pPr>
      <w:r>
        <w:rPr>
          <w:rFonts w:ascii="sans-serif" w:hAnsi="sans-serif"/>
          <w:color w:val="000000"/>
          <w:sz w:val="20"/>
        </w:rPr>
        <w:t>Performance covenant - In addition, we must satisfy any one of the following:</w:t>
      </w:r>
    </w:p>
    <w:p>
      <w:pPr>
        <w:pStyle w:val="TextBody"/>
        <w:bidi w:val="0"/>
        <w:spacing w:before="120" w:after="283"/>
        <w:jc w:val="left"/>
        <w:rPr>
          <w:rFonts w:ascii="sans-serif" w:hAnsi="sans-serif"/>
          <w:color w:val="000000"/>
          <w:sz w:val="20"/>
        </w:rPr>
      </w:pPr>
      <w:r>
        <w:rPr>
          <w:rFonts w:ascii="sans-serif" w:hAnsi="sans-serif"/>
          <w:color w:val="000000"/>
          <w:sz w:val="20"/>
        </w:rPr>
        <w:t>a.</w:t>
      </w:r>
    </w:p>
    <w:p>
      <w:pPr>
        <w:pStyle w:val="TextBody"/>
        <w:bidi w:val="0"/>
        <w:spacing w:before="120" w:after="283"/>
        <w:jc w:val="left"/>
        <w:rPr>
          <w:rFonts w:ascii="sans-serif" w:hAnsi="sans-serif"/>
          <w:color w:val="000000"/>
          <w:sz w:val="20"/>
        </w:rPr>
      </w:pPr>
      <w:r>
        <w:rPr>
          <w:rFonts w:ascii="sans-serif" w:hAnsi="sans-serif"/>
          <w:color w:val="000000"/>
          <w:sz w:val="20"/>
        </w:rPr>
        <w:t>Market capitalization exceeding $900 million;</w:t>
      </w:r>
    </w:p>
    <w:p>
      <w:pPr>
        <w:pStyle w:val="TextBody"/>
        <w:bidi w:val="0"/>
        <w:spacing w:before="120" w:after="283"/>
        <w:jc w:val="left"/>
        <w:rPr>
          <w:rFonts w:ascii="sans-serif" w:hAnsi="sans-serif"/>
          <w:color w:val="000000"/>
          <w:sz w:val="20"/>
        </w:rPr>
      </w:pPr>
      <w:r>
        <w:rPr>
          <w:rFonts w:ascii="sans-serif" w:hAnsi="sans-serif"/>
          <w:color w:val="000000"/>
          <w:sz w:val="20"/>
        </w:rPr>
        <w:t>b.</w:t>
      </w:r>
    </w:p>
    <w:p>
      <w:pPr>
        <w:pStyle w:val="TextBody"/>
        <w:bidi w:val="0"/>
        <w:spacing w:before="120" w:after="283"/>
        <w:jc w:val="left"/>
        <w:rPr>
          <w:rFonts w:ascii="sans-serif" w:hAnsi="sans-serif"/>
          <w:color w:val="000000"/>
          <w:sz w:val="20"/>
        </w:rPr>
      </w:pPr>
      <w:r>
        <w:rPr>
          <w:rFonts w:ascii="sans-serif" w:hAnsi="sans-serif"/>
          <w:color w:val="000000"/>
          <w:sz w:val="20"/>
        </w:rPr>
        <w:t>Minimum cash balance of 50% of the outstanding principal amount of the term loans, which will decrease to 40% upon achieving $65 million of trailing three months net product revenue, and to 30% upon achieving $85 million of trailing three months net product revenue; or</w:t>
      </w:r>
    </w:p>
    <w:p>
      <w:pPr>
        <w:pStyle w:val="TextBody"/>
        <w:bidi w:val="0"/>
        <w:spacing w:before="120" w:after="283"/>
        <w:jc w:val="left"/>
        <w:rPr>
          <w:rFonts w:ascii="sans-serif" w:hAnsi="sans-serif"/>
          <w:color w:val="000000"/>
          <w:sz w:val="20"/>
        </w:rPr>
      </w:pPr>
      <w:r>
        <w:rPr>
          <w:rFonts w:ascii="sans-serif" w:hAnsi="sans-serif"/>
          <w:color w:val="000000"/>
          <w:sz w:val="20"/>
        </w:rPr>
        <w:t>c.</w:t>
      </w:r>
    </w:p>
    <w:p>
      <w:pPr>
        <w:pStyle w:val="TextBody"/>
        <w:bidi w:val="0"/>
        <w:spacing w:before="120" w:after="283"/>
        <w:jc w:val="left"/>
        <w:rPr>
          <w:rFonts w:ascii="sans-serif" w:hAnsi="sans-serif"/>
          <w:color w:val="000000"/>
          <w:sz w:val="20"/>
        </w:rPr>
      </w:pPr>
      <w:r>
        <w:rPr>
          <w:rFonts w:ascii="sans-serif" w:hAnsi="sans-serif"/>
          <w:color w:val="000000"/>
          <w:sz w:val="20"/>
        </w:rPr>
        <w:t>Trailing three months net product revenue equal to 75% of projected revenue in 2026 and 70% of projected revenue in 2027 and beyond, tested on a quarterly basis.</w:t>
      </w:r>
    </w:p>
    <w:p>
      <w:pPr>
        <w:pStyle w:val="TextBody"/>
        <w:bidi w:val="0"/>
        <w:spacing w:before="200" w:after="283"/>
        <w:jc w:val="left"/>
        <w:rPr>
          <w:rFonts w:ascii="sans-serif" w:hAnsi="sans-serif"/>
          <w:color w:val="000000"/>
          <w:sz w:val="20"/>
        </w:rPr>
      </w:pPr>
      <w:r>
        <w:rPr>
          <w:rFonts w:ascii="sans-serif" w:hAnsi="sans-serif"/>
          <w:color w:val="000000"/>
          <w:sz w:val="20"/>
        </w:rPr>
        <w:t>Upon the occurrence of an event of default, subject to any specified cure periods, all amounts owed by us may be declared immediately due and payable by Hercules, as collateral agent.</w:t>
      </w:r>
    </w:p>
    <w:p>
      <w:pPr>
        <w:pStyle w:val="TextBody"/>
        <w:bidi w:val="0"/>
        <w:spacing w:before="200" w:after="283"/>
        <w:jc w:val="left"/>
        <w:rPr>
          <w:rFonts w:ascii="Times New Roman" w:hAnsi="Times New Roman"/>
          <w:sz w:val="20"/>
        </w:rPr>
      </w:pPr>
      <w:r>
        <w:rPr>
          <w:rFonts w:ascii="sans-serif" w:hAnsi="sans-serif"/>
          <w:color w:val="000000"/>
          <w:sz w:val="20"/>
        </w:rPr>
        <w:t>As of June 30, 2026, we were in compliance with all applicable covenants under the Loan Agreement.</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In connection with the entry into the initial Loan Agreement, we issued to Hercules a warrant, or the Warrant, to purchase a number of shares of our common stock equal to 2.5% of the aggregate amount of the Term Loan advances. On the Closing Date, we issued a Warrant for 74,782 shares of common stock. The Warrant will be exercisable until September 17, 2028 (seven years from the date of issuance) at a per-share exercise price equal to $33.43, which was the closing price of our common stock on September 16, 2021. The Warrant issued with the initial tranche was not modified as part of the Fifth Loan Amendment. The exercise price and terms of the outstanding Warrant remain unchanged.</w:t>
      </w:r>
    </w:p>
    <w:p>
      <w:pPr>
        <w:pStyle w:val="TextBody"/>
        <w:bidi w:val="0"/>
        <w:spacing w:before="200" w:after="283"/>
        <w:jc w:val="left"/>
        <w:rPr>
          <w:rFonts w:ascii="Times New Roman" w:hAnsi="Times New Roman"/>
          <w:sz w:val="20"/>
        </w:rPr>
      </w:pPr>
      <w:r>
        <w:rPr>
          <w:rFonts w:ascii="sans-serif" w:hAnsi="sans-serif"/>
          <w:color w:val="000000"/>
          <w:sz w:val="20"/>
        </w:rPr>
        <w:t>The $3.5 million of final payment fees and $1.8 million facility fee incurred as part of the Fifth Loan Amendment, along with the $6.4 million of unamortized debt issuance costs as a result of the debt modification, have been recorded as debt discount and are being amortized to interest expense using the effective interest method over the remaining term of the Loan Agreement.</w:t>
      </w:r>
      <w:r>
        <w:rPr>
          <w:rFonts w:ascii="Times New Roman" w:hAnsi="Times New Roman"/>
          <w:color w:val="000000"/>
          <w:sz w:val="20"/>
        </w:rPr>
        <w:t xml:space="preserve"> </w:t>
      </w:r>
    </w:p>
    <w:p>
      <w:pPr>
        <w:pStyle w:val="TextBody"/>
        <w:bidi w:val="0"/>
        <w:spacing w:before="200" w:after="283"/>
        <w:jc w:val="left"/>
        <w:rPr>
          <w:rFonts w:ascii="sans-serif" w:hAnsi="sans-serif"/>
          <w:b/>
          <w:i/>
          <w:color w:val="000000"/>
          <w:sz w:val="20"/>
        </w:rPr>
      </w:pPr>
      <w:r>
        <w:rPr>
          <w:rFonts w:ascii="sans-serif" w:hAnsi="sans-serif"/>
          <w:b/>
          <w:i/>
          <w:color w:val="000000"/>
          <w:sz w:val="20"/>
        </w:rPr>
        <w:t>Revenue Interest Financing Agreement</w:t>
      </w:r>
    </w:p>
    <w:p>
      <w:pPr>
        <w:pStyle w:val="TextBody"/>
        <w:bidi w:val="0"/>
        <w:spacing w:before="200" w:after="283"/>
        <w:jc w:val="left"/>
        <w:rPr>
          <w:rFonts w:ascii="Times New Roman" w:hAnsi="Times New Roman"/>
          <w:sz w:val="20"/>
        </w:rPr>
      </w:pPr>
      <w:r>
        <w:rPr>
          <w:rFonts w:ascii="sans-serif" w:hAnsi="sans-serif"/>
          <w:color w:val="000000"/>
          <w:sz w:val="20"/>
        </w:rPr>
        <w:t>On May 3, 2022, we entered into a Revenue Interest Financing Agreement, or the Revenue Interest Financing Agreement, with entities managed or advised by NovaQuest Capital Management, or NQ, Sagard Holdings Manager LP, or Sagard, and Hercules, together with NQ and Sagard, or the Initial Investors, pursuant to which we had the right to receive up to $260 million in funding from the Initial Investors. Under the terms of the Revenue Interest Financing Agreement, we received $100 million at the initial closing and received an additional $160 million upon FDA approval of vonoprazan for treatment of Erosive GERD in the fourth quarter of 2023. Additionally, on October 31, 2022, we entered into a Joinder and Waiver Agreement with the Initial Investors and CO Finance LVS XXXVII LLC, or the Additional Investor, and Hercules in its capacity as administrative agent and collateral agent for itself and the lenders under that certain Loan Agreement, or the Joinder Agreement, in respect of the Revenue Interest Financing Agreement. Under the terms of the Joinder Agreement, we received $15 million in additional funding upon FDA approval of vonoprazan for Erosive GERD, or Approval Additional Funding, in the fourth quarter of 2023 and provided for $25 million in additional funding for achievement of a sales milestone, or Milestone Additional Funding, and, together with the Approval Additional Funding, or the Additional Investor Funding. The Initial Investors waived their right of first offer for any Additional Investor Funding. On December 23, 2024, CO Finance LVS XXXVII LLC agreed to assign and transfer to OC III LVS LX LP all of its rights, title and interest as an Additional Investor and in connection therewith, OC III LVS LX LP executed a Joinder Agreement. The total amount funded by the Initial Investors and any subsequent investors is referred to herein as the Investment Amount. As of June 30, 2026, no additional funding is available under the Revenue Interest Financing Agreement.</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Under the Revenue Interest Financing Agreement, the Initial Investors and the Additional Investor, are entitled to receive a 10% royalty on net sales of products containing vonoprazan. The royalty rate is subject to a step-down on net sales exceeding certain annual thresholds and upon FDA approval for vonoprazan for an indication relating to the treatment of heartburn associated with Non-Erosive GERD, which occurred on July 17, 2024. The investors’ right to receive royalties on net sales will terminate when the investors have aggregate payments equal to 200% of the Investment Amount. In addition, at any time after April 30, 2024, we have the right to make a cap payment equal to 200% of the Investment Amount less any royalties already paid, at which time the agreement will terminate.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sans-serif" w:hAnsi="sans-serif"/>
          <w:color w:val="000000"/>
          <w:sz w:val="20"/>
        </w:rPr>
      </w:pPr>
      <w:r>
        <w:rPr>
          <w:rFonts w:ascii="sans-serif" w:hAnsi="sans-serif"/>
          <w:color w:val="000000"/>
          <w:sz w:val="20"/>
        </w:rPr>
        <w:t>If the investors have not received aggregate payments of at least 100% of the Investment Amount by December 31, 2028, and at least 200% of the Investment Amount by December 31, 2037, each a Minimum Amount, then we will be obligated to make a cash payment to the investors in an amount sufficient to gross the investors up to the applicable Minimum Amount. As of June 30, 2026, the aggregate payments made to investors under the Revenue Interest Financing Agreement equaled $28.9 million.</w:t>
      </w:r>
    </w:p>
    <w:p>
      <w:pPr>
        <w:pStyle w:val="TextBody"/>
        <w:bidi w:val="0"/>
        <w:spacing w:before="200" w:after="283"/>
        <w:jc w:val="left"/>
        <w:rPr>
          <w:rFonts w:ascii="Times New Roman" w:hAnsi="Times New Roman"/>
          <w:sz w:val="20"/>
        </w:rPr>
      </w:pPr>
      <w:r>
        <w:rPr>
          <w:rFonts w:ascii="sans-serif" w:hAnsi="sans-serif"/>
          <w:color w:val="000000"/>
          <w:sz w:val="20"/>
        </w:rPr>
        <w:t>Upon the occurrence of an event of default taking place between April 1, 2025 and April 1, 2028, or after April 1, 2028, we are obligated to pay 1.65 times Investment Amount and 2.0 times Investment Amount, respectively, less any amounts we previously paid pursuant to the agreement.</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Additionally, under the terms of Revenue Interest Financing Agreement, we are subject to a minimum cash covenant of at least (a) beginning on the date that the Hercules Loan Agreement is terminated and each day thereafter until September 30, 2026, $30 million, and (b) beginning on October 1, 2026 and on each day thereafter until September 30, 2029, a certain percentage of the minimum cash reference amount defined as the difference between the Investment Amount and the amount of all royalty payments received by the Investors as of each such date as follows: (i) 50% from October 1, 2026 to September 30, 2027 (ii) 75% from October 1, 2027 to September 30, 2028, and (iii) 100% from October 1, 2028 to September 30, 2029. As of June 30, 2026, we are in compliance with all applicable covenants under the Revenue Interest Financing Agreement.</w:t>
      </w:r>
    </w:p>
    <w:p>
      <w:pPr>
        <w:pStyle w:val="TextBody"/>
        <w:bidi w:val="0"/>
        <w:spacing w:before="200" w:after="120"/>
        <w:jc w:val="left"/>
        <w:rPr>
          <w:rFonts w:ascii="sans-serif" w:hAnsi="sans-serif"/>
          <w:b/>
          <w:i/>
          <w:color w:val="000000"/>
          <w:sz w:val="20"/>
        </w:rPr>
      </w:pPr>
      <w:r>
        <w:rPr>
          <w:rFonts w:ascii="sans-serif" w:hAnsi="sans-serif"/>
          <w:b/>
          <w:i/>
          <w:color w:val="000000"/>
          <w:sz w:val="20"/>
        </w:rPr>
        <w:t>At-the-Market-Offerings</w:t>
      </w:r>
    </w:p>
    <w:p>
      <w:pPr>
        <w:pStyle w:val="TextBody"/>
        <w:bidi w:val="0"/>
        <w:spacing w:before="80" w:after="283"/>
        <w:jc w:val="left"/>
        <w:rPr>
          <w:rFonts w:ascii="Times New Roman" w:hAnsi="Times New Roman"/>
          <w:sz w:val="20"/>
        </w:rPr>
      </w:pPr>
      <w:r>
        <w:rPr>
          <w:rFonts w:ascii="sans-serif" w:hAnsi="sans-serif"/>
          <w:color w:val="000000"/>
          <w:sz w:val="20"/>
        </w:rPr>
        <w:t>In November 2020, we entered into an Open Market Sale Agreement</w:t>
      </w:r>
      <w:r>
        <w:rPr>
          <w:rFonts w:ascii="sans-serif" w:hAnsi="sans-serif"/>
          <w:color w:val="000000"/>
          <w:sz w:val="13"/>
        </w:rPr>
        <w:t>SM</w:t>
      </w:r>
      <w:r>
        <w:rPr>
          <w:rFonts w:ascii="sans-serif" w:hAnsi="sans-serif"/>
          <w:color w:val="000000"/>
          <w:sz w:val="20"/>
        </w:rPr>
        <w:t>, or the Sales Agreement, with Jefferies LLC, or the Sales Agent, under which we may, from time to time, sell shares of our common stock having an aggregate offering price of up to an amount registered under an effective registration statement through the Sales Agent.</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In November 2023, we filed a shelf registration statement on Form S-3 which was declared effective by the SEC on November 17, 2023, which included an at-the-market prospectus pursuant to which we may, from time to time, sell up to an aggregate of $150 million of our common stock through the Sales Agent, or the 2023 ATM Offering. We are not obligated to, and we cannot provide any assurances that we will, make any sales of the shares under the Sales Agreement. The Sales Agreement may be terminated by the Sales Agent or us at any time. No shares were sold during the three and six months ended June 30, 2026 and 2025. As of June 30, 2026, all of the available $150 million under the 2023 ATM Offering remains available.</w:t>
      </w:r>
    </w:p>
    <w:p>
      <w:pPr>
        <w:pStyle w:val="TextBody"/>
        <w:bidi w:val="0"/>
        <w:spacing w:before="200" w:after="283"/>
        <w:jc w:val="left"/>
        <w:rPr>
          <w:rFonts w:ascii="sans-serif" w:hAnsi="sans-serif"/>
          <w:b/>
          <w:i/>
          <w:color w:val="000000"/>
          <w:sz w:val="20"/>
        </w:rPr>
      </w:pPr>
      <w:r>
        <w:rPr>
          <w:rFonts w:ascii="sans-serif" w:hAnsi="sans-serif"/>
          <w:b/>
          <w:i/>
          <w:color w:val="000000"/>
          <w:sz w:val="20"/>
        </w:rPr>
        <w:t>Underwritten Public Offerings</w:t>
      </w:r>
    </w:p>
    <w:p>
      <w:pPr>
        <w:pStyle w:val="TextBody"/>
        <w:bidi w:val="0"/>
        <w:spacing w:before="200" w:after="283"/>
        <w:jc w:val="left"/>
        <w:rPr>
          <w:rFonts w:ascii="Times New Roman" w:hAnsi="Times New Roman"/>
          <w:sz w:val="20"/>
        </w:rPr>
      </w:pPr>
      <w:r>
        <w:rPr>
          <w:rFonts w:ascii="sans-serif" w:hAnsi="sans-serif"/>
          <w:color w:val="000000"/>
          <w:sz w:val="20"/>
        </w:rPr>
        <w:t>On January 9, 2026, we sold 6,875,000 shares of common stock at a price of $16.00 per share and pre-funded warrants to purchase 1,250,078 shares of common stock at a price of $15.999 per pre-funded warrant for total gross proceeds of $130.0 million, before deducting underwriting discounts, commissions and offering costs. The net purchase price after deducting the underwriting discounts and commissions and other offering expenses, was $15.01 per share or net proceeds of $122.0 million.</w:t>
      </w:r>
      <w:r>
        <w:rPr>
          <w:rFonts w:ascii="Times New Roman" w:hAnsi="Times New Roman"/>
          <w:color w:val="000000"/>
          <w:sz w:val="20"/>
        </w:rPr>
        <w:t xml:space="preserve"> </w:t>
      </w:r>
    </w:p>
    <w:p>
      <w:pPr>
        <w:pStyle w:val="TextBody"/>
        <w:bidi w:val="0"/>
        <w:spacing w:before="200" w:after="283"/>
        <w:jc w:val="left"/>
        <w:rPr>
          <w:rFonts w:ascii="sans-serif" w:hAnsi="sans-serif"/>
          <w:b/>
          <w:i/>
          <w:color w:val="000000"/>
          <w:sz w:val="20"/>
        </w:rPr>
      </w:pPr>
      <w:r>
        <w:rPr>
          <w:rFonts w:ascii="sans-serif" w:hAnsi="sans-serif"/>
          <w:b/>
          <w:i/>
          <w:color w:val="000000"/>
          <w:sz w:val="20"/>
        </w:rPr>
        <w:t>Funding Requirements</w:t>
      </w:r>
    </w:p>
    <w:p>
      <w:pPr>
        <w:pStyle w:val="TextBody"/>
        <w:bidi w:val="0"/>
        <w:spacing w:before="200" w:after="283"/>
        <w:jc w:val="left"/>
        <w:rPr>
          <w:rFonts w:ascii="sans-serif" w:hAnsi="sans-serif"/>
          <w:color w:val="000000"/>
          <w:sz w:val="20"/>
        </w:rPr>
      </w:pPr>
      <w:r>
        <w:rPr>
          <w:rFonts w:ascii="sans-serif" w:hAnsi="sans-serif"/>
          <w:color w:val="000000"/>
          <w:sz w:val="20"/>
        </w:rPr>
        <w:t>Based on our current operating plan, we believe that our existing cash and cash equivalents together with anticipated product revenues, are sufficient to fund operations for at least the next twelve months. However, our forecast of the period of time through which our financial resources may be adequate to support our operations is a forward-looking statement that involves risks and uncertainties and actual results could vary materially. We have based this estimate on assumptions that may prove to be inaccurate, and, if operating results, commercial performance or expenses differ materially from those contemplated by our current operating plan, we could deplete our capital resources sooner than we expect. Additionally, the process of testing product candidates in clinical trials is costly, and the timing of progress and expenses in ongoing and future trials is uncertain.</w:t>
      </w:r>
    </w:p>
    <w:p>
      <w:pPr>
        <w:pStyle w:val="TextBody"/>
        <w:bidi w:val="0"/>
        <w:spacing w:before="200" w:after="283"/>
        <w:jc w:val="left"/>
        <w:rPr>
          <w:rFonts w:ascii="Times New Roman" w:hAnsi="Times New Roman"/>
          <w:sz w:val="20"/>
        </w:rPr>
      </w:pPr>
      <w:r>
        <w:rPr>
          <w:rFonts w:ascii="sans-serif" w:hAnsi="sans-serif"/>
          <w:color w:val="000000"/>
          <w:sz w:val="20"/>
        </w:rPr>
        <w:t>Our future capital requirements will depend on many factors, including:</w:t>
      </w:r>
      <w:r>
        <w:rPr>
          <w:rFonts w:ascii="Times New Roman" w:hAnsi="Times New Roman"/>
          <w:color w:val="000000"/>
          <w:sz w:val="20"/>
        </w:rPr>
        <w:t xml:space="preserve">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our ability to achieve and maintain market acceptance, market share, coverage, reimbursement and revenues from sales of VOQUEZNA in its approved GERD indications, and patients’ willingness to pay out-of-pocket in the absence of coverage and/or adequate reimbursement from third-party payers;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the costs of sales and marketing activities in support of the continued commercialization of VOQUEZNA, VOQUEZNA DUAL PAK and VOQUEZNA TRIPLE PAK, or any future product candidates we may choose to pursue, if successfully developed and approved;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the costs, timing and availability of manufacturing for vonoprazan as well as the costs of manufacturing for any potential product candidates we may pursue in the future;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the initiation, type, number, scope, results, costs and timing of our clinical trials of vonoprazan, and preclinical studies or clinical trials of other potential product candidates we may choose to pursue in the future, including feedback received from regulatory authorities;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the costs, timing and outcome of regulatory review of future vonoprazan applications or such applications for any future product candidates;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the costs of obtaining, maintaining and enforcing our patents and other intellectual property rights, and the success of our enforcement efforts;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the timing of market introduction, profile and impact of competitive products;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the costs associated with hiring additional personnel and consultants as our business grows and enhancing our operational systems;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the timing and amount of the milestone or other payments we must make to Takeda and any future licensors;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the timing and impact of our obligations under our Loan and Security Agreement with Hercules Capital, Inc., and our Revenue Interest Financing Agreement; and</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the costs associated with building a portfolio of product candidates through the acquisition or in-license of additional product candidates or technologies, including the terms and timing of establishing and maintaining future collaborations, licenses and other similar arrangement and the costs associated with development of any products or technologies that we may in-license or acquire.</w:t>
      </w:r>
    </w:p>
    <w:p>
      <w:pPr>
        <w:pStyle w:val="TextBody"/>
        <w:bidi w:val="0"/>
        <w:spacing w:before="200" w:after="283"/>
        <w:jc w:val="left"/>
        <w:rPr>
          <w:rFonts w:ascii="Times New Roman" w:hAnsi="Times New Roman"/>
          <w:sz w:val="20"/>
        </w:rPr>
      </w:pPr>
      <w:r>
        <w:rPr>
          <w:rFonts w:ascii="sans-serif" w:hAnsi="sans-serif"/>
          <w:color w:val="000000"/>
          <w:sz w:val="20"/>
        </w:rPr>
        <w:t>If our operating results, commercial performance or expenses differ materially from those contemplated by our current operating plan, our capital resources, together with anticipated product revenues, may not be sufficient to fund operations and our cash needs for as long as we currently expect. In such event, we may need to also finance our cash needs through equity offerings, debt financings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products or product candidates or grant licenses on terms that may not be favorable to us and/or may reduce the value of our common stock. If we are unable to raise additional funds through equity or debt financings when and if needed, we may be required to delay, limit, reduce or terminate our product development or future commercialization efforts or grant rights to develop and market our products or product candidates that we would otherwise prefer to retain.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Including our existing cash and cash equivalents, we believe that we have sufficient working capital on hand to fund operations such that there is no substantial doubt as to our ability to continue as a going concern at the date the unaudited interim condensed financial statements were issued. There can be no assurance that we will be successful in acquiring additional funding, that our projections of future revenues or working capital needs will prove accurate, or that any additional funding would be sufficient to continue operations in future years.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sans-serif" w:hAnsi="sans-serif"/>
          <w:b/>
          <w:i/>
          <w:color w:val="000000"/>
          <w:sz w:val="20"/>
        </w:rPr>
      </w:pPr>
      <w:r>
        <w:rPr>
          <w:rFonts w:ascii="sans-serif" w:hAnsi="sans-serif"/>
          <w:b/>
          <w:i/>
          <w:color w:val="000000"/>
          <w:sz w:val="20"/>
        </w:rPr>
        <w:t>Cash Flows</w:t>
      </w:r>
    </w:p>
    <w:p>
      <w:pPr>
        <w:pStyle w:val="TextBody"/>
        <w:bidi w:val="0"/>
        <w:spacing w:before="200" w:after="200"/>
        <w:jc w:val="left"/>
        <w:rPr>
          <w:rFonts w:ascii="sans-serif" w:hAnsi="sans-serif"/>
          <w:color w:val="000000"/>
          <w:sz w:val="20"/>
        </w:rPr>
      </w:pPr>
      <w:r>
        <w:rPr>
          <w:rFonts w:ascii="sans-serif" w:hAnsi="sans-serif"/>
          <w:color w:val="000000"/>
          <w:sz w:val="20"/>
        </w:rPr>
        <w:t>The following table sets forth a summary of the net cash flow activity for each of the periods indicated (in thousands):</w:t>
      </w:r>
    </w:p>
    <w:tbl>
      <w:tblPr>
        <w:tblW w:w="7753" w:type="dxa"/>
        <w:jc w:val="left"/>
        <w:tblInd w:w="0" w:type="dxa"/>
        <w:tblLayout w:type="fixed"/>
        <w:tblCellMar>
          <w:top w:w="28" w:type="dxa"/>
          <w:left w:w="28" w:type="dxa"/>
          <w:bottom w:w="28" w:type="dxa"/>
          <w:right w:w="28" w:type="dxa"/>
        </w:tblCellMar>
      </w:tblPr>
      <w:tblGrid>
        <w:gridCol w:w="3196"/>
        <w:gridCol w:w="146"/>
        <w:gridCol w:w="226"/>
        <w:gridCol w:w="841"/>
        <w:gridCol w:w="181"/>
        <w:gridCol w:w="146"/>
        <w:gridCol w:w="226"/>
        <w:gridCol w:w="961"/>
        <w:gridCol w:w="181"/>
        <w:gridCol w:w="146"/>
        <w:gridCol w:w="226"/>
        <w:gridCol w:w="886"/>
        <w:gridCol w:w="3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(147,659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130,082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70,191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70,111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increase (decrease)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52,509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(147,694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200,203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sans-serif" w:hAnsi="sans-serif"/>
          <w:b/>
          <w:i/>
          <w:color w:val="000000"/>
          <w:sz w:val="20"/>
        </w:rPr>
      </w:pPr>
      <w:r>
        <w:rPr>
          <w:rFonts w:ascii="sans-serif" w:hAnsi="sans-serif"/>
          <w:b/>
          <w:i/>
          <w:color w:val="000000"/>
          <w:sz w:val="20"/>
        </w:rPr>
        <w:t>Operating Activities</w:t>
      </w:r>
    </w:p>
    <w:p>
      <w:pPr>
        <w:pStyle w:val="TextBody"/>
        <w:bidi w:val="0"/>
        <w:spacing w:before="200" w:after="283"/>
        <w:jc w:val="left"/>
        <w:rPr>
          <w:rFonts w:ascii="Times New Roman" w:hAnsi="Times New Roman"/>
          <w:sz w:val="20"/>
        </w:rPr>
      </w:pPr>
      <w:r>
        <w:rPr>
          <w:rFonts w:ascii="sans-serif" w:hAnsi="sans-serif"/>
          <w:color w:val="000000"/>
          <w:sz w:val="20"/>
        </w:rPr>
        <w:t>Net cash used in operating activities was approximately $17.6 million and $147.7 million for the six months ended June 30, 2026 and 2025, respectively. The net cash used in operating activities for the six months ended June 30, 2026 was due to approximately $21.8 million spent on ongoing research and development and selling, general and administrative activities and a $4.2 million net change in operating assets and liabilities. The net change in operating assets and liabilities is related to a $19.9 million increase in accounts payable and accrued expenses (including interest, operating lease assets and liabilities), a $7.1 million increase in prepaid assets and other current assets, and a $22.8 million decrease in accounts receivable, inventory and other long-term assets. The net cash used in operating activities for the six months ended June 30, 2025 was due to approximately $132.8 million spent on ongoing research and development and selling, general and administrative activities and a $14.9 million net change in operating assets and liabilities. The net change in operating assets and liabilities is related to a $5.5 million decrease in accounts payable and accrued expenses (including interest, operating lease assets and liabilities), a $6.2 million decrease in prepaid assets and other current assets, and a $26.6 million increase in accounts receivable and inventory.</w:t>
      </w:r>
      <w:r>
        <w:rPr>
          <w:rFonts w:ascii="Times New Roman" w:hAnsi="Times New Roman"/>
          <w:color w:val="000000"/>
          <w:sz w:val="20"/>
        </w:rPr>
        <w:t xml:space="preserve"> </w:t>
      </w:r>
    </w:p>
    <w:p>
      <w:pPr>
        <w:pStyle w:val="TextBody"/>
        <w:bidi w:val="0"/>
        <w:spacing w:before="200" w:after="283"/>
        <w:jc w:val="left"/>
        <w:rPr>
          <w:rFonts w:ascii="sans-serif" w:hAnsi="sans-serif"/>
          <w:b/>
          <w:i/>
          <w:color w:val="000000"/>
          <w:sz w:val="20"/>
        </w:rPr>
      </w:pPr>
      <w:r>
        <w:rPr>
          <w:rFonts w:ascii="sans-serif" w:hAnsi="sans-serif"/>
          <w:b/>
          <w:i/>
          <w:color w:val="000000"/>
          <w:sz w:val="20"/>
        </w:rPr>
        <w:t xml:space="preserve">Investing Activities </w:t>
      </w:r>
    </w:p>
    <w:p>
      <w:pPr>
        <w:pStyle w:val="TextBody"/>
        <w:bidi w:val="0"/>
        <w:spacing w:before="200" w:after="283"/>
        <w:jc w:val="left"/>
        <w:rPr>
          <w:rFonts w:ascii="Times New Roman" w:hAnsi="Times New Roman"/>
          <w:sz w:val="20"/>
        </w:rPr>
      </w:pPr>
      <w:r>
        <w:rPr>
          <w:rFonts w:ascii="sans-serif" w:hAnsi="sans-serif"/>
          <w:color w:val="000000"/>
          <w:sz w:val="20"/>
        </w:rPr>
        <w:t>Net cash used in investing activities for the six months ended June 30, 2026 and 2025, was related to payments for acquiring property and equipment.</w:t>
      </w:r>
      <w:r>
        <w:rPr>
          <w:rFonts w:ascii="Times New Roman" w:hAnsi="Times New Roman"/>
          <w:color w:val="000000"/>
          <w:sz w:val="20"/>
        </w:rPr>
        <w:t xml:space="preserve"> </w:t>
      </w:r>
    </w:p>
    <w:p>
      <w:pPr>
        <w:pStyle w:val="TextBody"/>
        <w:bidi w:val="0"/>
        <w:spacing w:before="200" w:after="283"/>
        <w:jc w:val="left"/>
        <w:rPr>
          <w:rFonts w:ascii="sans-serif" w:hAnsi="sans-serif"/>
          <w:b/>
          <w:i/>
          <w:color w:val="000000"/>
          <w:sz w:val="20"/>
        </w:rPr>
      </w:pPr>
      <w:r>
        <w:rPr>
          <w:rFonts w:ascii="sans-serif" w:hAnsi="sans-serif"/>
          <w:b/>
          <w:i/>
          <w:color w:val="000000"/>
          <w:sz w:val="20"/>
        </w:rPr>
        <w:t xml:space="preserve">Financing Activities </w:t>
      </w:r>
    </w:p>
    <w:p>
      <w:pPr>
        <w:pStyle w:val="TextBody"/>
        <w:bidi w:val="0"/>
        <w:spacing w:before="200" w:after="283"/>
        <w:jc w:val="left"/>
        <w:rPr>
          <w:rFonts w:ascii="sans-serif" w:hAnsi="sans-serif"/>
          <w:color w:val="000000"/>
          <w:sz w:val="20"/>
        </w:rPr>
      </w:pPr>
      <w:r>
        <w:rPr>
          <w:rFonts w:ascii="sans-serif" w:hAnsi="sans-serif"/>
          <w:color w:val="000000"/>
          <w:sz w:val="20"/>
        </w:rPr>
        <w:t>Net cash provided by financing activities for the six months ended June 30, 2026 related to $173.2 million of net proceeds of the issuance of long-term debt, $122.0 million of net proceeds from issuance of common stock and pre-funded warrants in connection with the underwritten public offering completed in January 2026, $4.1 million of proceeds from the issuance of common stock from exercise of stock options offset by $229.0 million repayment of long-term debt on our Hercules Loan Agreement and $0.1 million of payments for employee tax obligations related to vesting of PSUs and RSUs. Net cash provided by financing activities for the six months ended June 30, 2025 related to proceeds from issuance of common stock from exercise of stock options.</w:t>
      </w:r>
    </w:p>
    <w:p>
      <w:pPr>
        <w:pStyle w:val="TextBody"/>
        <w:bidi w:val="0"/>
        <w:spacing w:before="200" w:after="283"/>
        <w:jc w:val="left"/>
        <w:rPr>
          <w:rFonts w:ascii="sans-serif" w:hAnsi="sans-serif"/>
          <w:b/>
          <w:color w:val="000000"/>
          <w:sz w:val="20"/>
        </w:rPr>
      </w:pPr>
      <w:r>
        <w:rPr>
          <w:rFonts w:ascii="sans-serif" w:hAnsi="sans-serif"/>
          <w:b/>
          <w:color w:val="000000"/>
          <w:sz w:val="20"/>
        </w:rPr>
        <w:t>Contractual Obligations and Commitments</w:t>
      </w:r>
    </w:p>
    <w:p>
      <w:pPr>
        <w:pStyle w:val="TextBody"/>
        <w:bidi w:val="0"/>
        <w:spacing w:before="200" w:after="283"/>
        <w:jc w:val="left"/>
        <w:rPr>
          <w:rFonts w:ascii="Times New Roman" w:hAnsi="Times New Roman"/>
          <w:sz w:val="20"/>
        </w:rPr>
      </w:pPr>
      <w:r>
        <w:rPr>
          <w:rFonts w:ascii="sans-serif" w:hAnsi="sans-serif"/>
          <w:color w:val="000000"/>
          <w:sz w:val="20"/>
        </w:rPr>
        <w:t>There were no material changes outside the ordinary course of our business during the six months ended June 30, 2026 to the information regarding our contractual obligations that was disclosed in Management’s Discussion and Analysis of Financial Condition and Results of Operations contained in our 2025 Form 10-K.</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Critical Accounting Policies and Significant Judgments and Estimates</w:t>
      </w:r>
    </w:p>
    <w:p>
      <w:pPr>
        <w:pStyle w:val="TextBody"/>
        <w:bidi w:val="0"/>
        <w:spacing w:before="200" w:after="283"/>
        <w:jc w:val="left"/>
        <w:rPr>
          <w:rFonts w:ascii="sans-serif" w:hAnsi="sans-serif"/>
          <w:color w:val="000000"/>
          <w:sz w:val="20"/>
        </w:rPr>
      </w:pPr>
      <w:r>
        <w:rPr>
          <w:rFonts w:ascii="sans-serif" w:hAnsi="sans-serif"/>
          <w:color w:val="000000"/>
          <w:sz w:val="20"/>
        </w:rPr>
        <w:t>Our management’s discussion and analysis of our financial condition and results of operations is based on our financial statements, which have been prepared in accordance with generally accepted accounting principles in the United States, or GAAP. The preparation of our financial statements requires us to make estimates and assumptions that affect the reported amounts of assets, liabilities, revenues and expenses and the disclosure of contingent assets and liabilities in our financial statements and accompanying notes.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sans-serif" w:hAnsi="sans-serif"/>
          <w:color w:val="000000"/>
          <w:sz w:val="20"/>
        </w:rPr>
      </w:pPr>
      <w:r>
        <w:rPr>
          <w:rFonts w:ascii="sans-serif" w:hAnsi="sans-serif"/>
          <w:color w:val="000000"/>
          <w:sz w:val="20"/>
        </w:rPr>
        <w:t>For a description of our critical accounting policies, please see the section entitled “Management’s Discussion and Analysis of Financial Condition and Results of Operations — Critical Accounting Policies and Significant Judgments and Estimates” contained in our 2025 Form 10-K. There have not been any material changes to the critical accounting policies discussed therein during the six months ended June 30, 2026.</w:t>
      </w:r>
    </w:p>
    <w:p>
      <w:pPr>
        <w:pStyle w:val="TextBody"/>
        <w:bidi w:val="0"/>
        <w:spacing w:before="200" w:after="283"/>
        <w:jc w:val="left"/>
        <w:rPr>
          <w:rFonts w:ascii="sans-serif" w:hAnsi="sans-serif"/>
          <w:b/>
          <w:color w:val="000000"/>
          <w:sz w:val="20"/>
        </w:rPr>
      </w:pPr>
      <w:r>
        <w:rPr>
          <w:rFonts w:ascii="sans-serif" w:hAnsi="sans-serif"/>
          <w:b/>
          <w:color w:val="000000"/>
          <w:sz w:val="20"/>
        </w:rPr>
        <w:t>Other Company Information</w:t>
      </w:r>
    </w:p>
    <w:p>
      <w:pPr>
        <w:pStyle w:val="TextBody"/>
        <w:bidi w:val="0"/>
        <w:spacing w:before="200" w:after="283"/>
        <w:jc w:val="left"/>
        <w:rPr>
          <w:rFonts w:ascii="sans-serif" w:hAnsi="sans-serif"/>
          <w:b/>
          <w:i/>
          <w:color w:val="000000"/>
          <w:sz w:val="20"/>
        </w:rPr>
      </w:pPr>
      <w:r>
        <w:rPr>
          <w:rFonts w:ascii="sans-serif" w:hAnsi="sans-serif"/>
          <w:b/>
          <w:i/>
          <w:color w:val="000000"/>
          <w:sz w:val="20"/>
        </w:rPr>
        <w:t>Smaller Reporting Company Status</w:t>
      </w:r>
    </w:p>
    <w:p>
      <w:pPr>
        <w:pStyle w:val="TextBody"/>
        <w:bidi w:val="0"/>
        <w:spacing w:before="200" w:after="283"/>
        <w:jc w:val="left"/>
        <w:rPr>
          <w:rFonts w:ascii="sans-serif" w:hAnsi="sans-serif"/>
          <w:color w:val="000000"/>
          <w:sz w:val="20"/>
        </w:rPr>
      </w:pPr>
      <w:r>
        <w:rPr>
          <w:rFonts w:ascii="sans-serif" w:hAnsi="sans-serif"/>
          <w:color w:val="000000"/>
          <w:sz w:val="20"/>
        </w:rPr>
        <w:t>We are a smaller reporting company as defined in Rule 12b-2 of the Exchange Act. We may take advantage of certain of the scaled disclosures available to smaller reporting companies and will be able to take advantage of these scaled disclosures for so long as (i) our voting and non-voting common stock held by non-affiliates is less than $250 million measured on the last business day of our second fiscal quarter or (ii) our annual revenue is less than $100 million during the most recently completed fiscal year and our voting and non-voting common stock held by non-affiliates is less than $700 million measured on the last business day of our second fiscal quarter. If we exceed these thresholds, we would not be able to avail ourselves of the scaled disclosure accommodations beginning with the first fiscal year that commences after our determination that we no longer qualify as a smaller reporting company.</w:t>
      </w:r>
    </w:p>
    <w:p>
      <w:pPr>
        <w:pStyle w:val="TextBody"/>
        <w:bidi w:val="0"/>
        <w:spacing w:before="200" w:after="283"/>
        <w:jc w:val="left"/>
        <w:rPr>
          <w:rFonts w:ascii="sans-serif" w:hAnsi="sans-serif"/>
          <w:b/>
          <w:i/>
          <w:color w:val="000000"/>
          <w:sz w:val="20"/>
        </w:rPr>
      </w:pPr>
      <w:r>
        <w:rPr>
          <w:rFonts w:ascii="sans-serif" w:hAnsi="sans-serif"/>
          <w:b/>
          <w:i/>
          <w:color w:val="000000"/>
          <w:sz w:val="20"/>
        </w:rPr>
        <w:t>Recent Accounting Pronouncements</w:t>
      </w:r>
    </w:p>
    <w:p>
      <w:pPr>
        <w:pStyle w:val="TextBody"/>
        <w:bidi w:val="0"/>
        <w:spacing w:before="200" w:after="283"/>
        <w:jc w:val="left"/>
        <w:rPr>
          <w:rFonts w:ascii="sans-serif" w:hAnsi="sans-serif"/>
          <w:color w:val="000000"/>
          <w:sz w:val="20"/>
        </w:rPr>
      </w:pPr>
      <w:r>
        <w:rPr>
          <w:rFonts w:ascii="sans-serif" w:hAnsi="sans-serif"/>
          <w:color w:val="000000"/>
          <w:sz w:val="20"/>
        </w:rPr>
        <w:t>The information required by this item is included in Note 1, Organization, Basis of Presentation and Summary of Significant Accounting Policies included in Part 1, Item 1 of this quarterly report.</w:t>
      </w:r>
    </w:p>
    <w:p>
      <w:pPr>
        <w:pStyle w:val="TextBody"/>
        <w:bidi w:val="0"/>
        <w:spacing w:before="200" w:after="283"/>
        <w:jc w:val="left"/>
        <w:rPr>
          <w:rFonts w:ascii="sans-serif" w:hAnsi="sans-serif"/>
          <w:b/>
          <w:i/>
          <w:color w:val="000000"/>
          <w:sz w:val="20"/>
        </w:rPr>
      </w:pPr>
      <w:r>
        <w:rPr>
          <w:rFonts w:ascii="sans-serif" w:hAnsi="sans-serif"/>
          <w:b/>
          <w:i/>
          <w:color w:val="000000"/>
          <w:sz w:val="20"/>
        </w:rPr>
        <w:t>Off-Balance Sheet Arrangements</w:t>
      </w:r>
    </w:p>
    <w:p>
      <w:pPr>
        <w:pStyle w:val="TextBody"/>
        <w:bidi w:val="0"/>
        <w:spacing w:before="200" w:after="283"/>
        <w:jc w:val="left"/>
        <w:rPr>
          <w:rFonts w:ascii="sans-serif" w:hAnsi="sans-serif"/>
          <w:color w:val="000000"/>
          <w:sz w:val="20"/>
        </w:rPr>
      </w:pPr>
      <w:r>
        <w:rPr>
          <w:rFonts w:ascii="sans-serif" w:hAnsi="sans-serif"/>
          <w:color w:val="000000"/>
          <w:sz w:val="20"/>
        </w:rPr>
        <w:t>During the periods presented we did not have, nor do we currently have, any off-balance sheet arrangements as defined under SEC rules.</w:t>
      </w:r>
    </w:p>
    <w:p>
      <w:pPr>
        <w:pStyle w:val="TextBody"/>
        <w:bidi w:val="0"/>
        <w:spacing w:before="200" w:after="283"/>
        <w:jc w:val="left"/>
        <w:rPr>
          <w:rFonts w:ascii="sans-serif" w:hAnsi="sans-serif"/>
          <w:b/>
          <w:color w:val="000000"/>
          <w:sz w:val="20"/>
        </w:rPr>
      </w:pPr>
      <w:bookmarkStart w:id="12" w:name="item_3_quantitative_qualitative_disclosu"/>
      <w:bookmarkEnd w:id="12"/>
      <w:r>
        <w:rPr>
          <w:rFonts w:ascii="sans-serif" w:hAnsi="sans-serif"/>
          <w:b/>
          <w:color w:val="000000"/>
          <w:sz w:val="20"/>
        </w:rPr>
        <w:t>Item 3. Quantitative and Qualitative Disclosures About Market Risk</w:t>
      </w:r>
    </w:p>
    <w:p>
      <w:pPr>
        <w:pStyle w:val="TextBody"/>
        <w:bidi w:val="0"/>
        <w:spacing w:before="200" w:after="283"/>
        <w:jc w:val="left"/>
        <w:rPr>
          <w:rFonts w:ascii="sans-serif" w:hAnsi="sans-serif"/>
          <w:color w:val="000000"/>
          <w:sz w:val="20"/>
        </w:rPr>
      </w:pPr>
      <w:r>
        <w:rPr>
          <w:rFonts w:ascii="sans-serif" w:hAnsi="sans-serif"/>
          <w:color w:val="000000"/>
          <w:sz w:val="20"/>
        </w:rPr>
        <w:t>As of June 30, 2026,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of our 2025 Form 10-K.</w:t>
      </w:r>
    </w:p>
    <w:p>
      <w:pPr>
        <w:pStyle w:val="TextBody"/>
        <w:bidi w:val="0"/>
        <w:spacing w:before="200" w:after="283"/>
        <w:jc w:val="left"/>
        <w:rPr>
          <w:rFonts w:ascii="Times New Roman" w:hAnsi="Times New Roman"/>
          <w:sz w:val="20"/>
        </w:rPr>
      </w:pPr>
      <w:bookmarkStart w:id="13" w:name="item_4_controls_procedures"/>
      <w:bookmarkEnd w:id="13"/>
      <w:r>
        <w:rPr>
          <w:rFonts w:ascii="sans-serif" w:hAnsi="sans-serif"/>
          <w:b/>
          <w:color w:val="000000"/>
          <w:sz w:val="20"/>
        </w:rPr>
        <w:t>Item 4. Controls</w:t>
      </w:r>
      <w:r>
        <w:rPr>
          <w:rFonts w:ascii="Times New Roman" w:hAnsi="Times New Roman"/>
          <w:color w:val="000000"/>
          <w:sz w:val="20"/>
        </w:rPr>
        <w:t xml:space="preserve"> </w:t>
      </w:r>
      <w:r>
        <w:rPr>
          <w:rFonts w:ascii="sans-serif" w:hAnsi="sans-serif"/>
          <w:b/>
          <w:color w:val="000000"/>
          <w:sz w:val="20"/>
        </w:rPr>
        <w:t>and Procedures</w:t>
      </w:r>
    </w:p>
    <w:p>
      <w:pPr>
        <w:pStyle w:val="TextBody"/>
        <w:bidi w:val="0"/>
        <w:spacing w:before="200" w:after="283"/>
        <w:jc w:val="left"/>
        <w:rPr>
          <w:rFonts w:ascii="sans-serif" w:hAnsi="sans-serif"/>
          <w:b/>
          <w:color w:val="000000"/>
          <w:sz w:val="20"/>
        </w:rPr>
      </w:pPr>
      <w:r>
        <w:rPr>
          <w:rFonts w:ascii="sans-serif" w:hAnsi="sans-serif"/>
          <w:b/>
          <w:color w:val="000000"/>
          <w:sz w:val="20"/>
        </w:rPr>
        <w:t>Conclusion Regarding the Effectiveness of Disclosure Controls and Procedures</w:t>
      </w:r>
    </w:p>
    <w:p>
      <w:pPr>
        <w:pStyle w:val="TextBody"/>
        <w:bidi w:val="0"/>
        <w:spacing w:before="200" w:after="283"/>
        <w:jc w:val="left"/>
        <w:rPr>
          <w:rFonts w:ascii="sans-serif" w:hAnsi="sans-serif"/>
          <w:color w:val="000000"/>
          <w:sz w:val="20"/>
        </w:rPr>
      </w:pPr>
      <w:r>
        <w:rPr>
          <w:rFonts w:ascii="sans-serif" w:hAnsi="sans-serif"/>
          <w:color w:val="000000"/>
          <w:sz w:val="20"/>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200" w:after="283"/>
        <w:jc w:val="left"/>
        <w:rPr>
          <w:rFonts w:ascii="sans-serif" w:hAnsi="sans-serif"/>
          <w:color w:val="000000"/>
          <w:sz w:val="20"/>
        </w:rPr>
      </w:pPr>
      <w:r>
        <w:rPr>
          <w:rFonts w:ascii="sans-serif" w:hAnsi="sans-serif"/>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Based on such evaluation, our principal executive officer and principal financial officer have concluded that as of such date, our disclosure controls and procedures were effective at the reasonable assurance level.</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Changes in Internal Control Over Financial Reporting</w:t>
      </w:r>
    </w:p>
    <w:p>
      <w:pPr>
        <w:pStyle w:val="TextBody"/>
        <w:bidi w:val="0"/>
        <w:spacing w:before="200" w:after="283"/>
        <w:jc w:val="left"/>
        <w:rPr>
          <w:rFonts w:ascii="sans-serif" w:hAnsi="sans-serif"/>
          <w:color w:val="000000"/>
          <w:sz w:val="20"/>
        </w:rPr>
      </w:pPr>
      <w:r>
        <w:rPr>
          <w:rFonts w:ascii="sans-serif" w:hAnsi="sans-serif"/>
          <w:color w:val="000000"/>
          <w:sz w:val="20"/>
        </w:rPr>
        <w:t>There have been no changes in our internal control over financial reporting during our second fiscal quarter ended June 30, 2026 that have materially affected, or are reasonably likely to materially affect, our internal control over financial reporting.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part_ii_or_information"/>
      <w:bookmarkEnd w:id="14"/>
      <w:r>
        <w:rPr>
          <w:rFonts w:ascii="sans-serif" w:hAnsi="sans-serif"/>
          <w:b/>
          <w:color w:val="000000"/>
          <w:sz w:val="20"/>
        </w:rPr>
        <w:t>PART II. OTHER</w:t>
      </w:r>
      <w:r>
        <w:rPr>
          <w:rFonts w:ascii="Times New Roman" w:hAnsi="Times New Roman"/>
          <w:color w:val="000000"/>
          <w:sz w:val="20"/>
        </w:rPr>
        <w:t xml:space="preserve"> </w:t>
      </w:r>
      <w:r>
        <w:rPr>
          <w:rFonts w:ascii="sans-serif" w:hAnsi="sans-serif"/>
          <w:b/>
          <w:color w:val="000000"/>
          <w:sz w:val="20"/>
        </w:rPr>
        <w:t>INFORMATION</w:t>
      </w:r>
    </w:p>
    <w:p>
      <w:pPr>
        <w:pStyle w:val="TextBody"/>
        <w:bidi w:val="0"/>
        <w:spacing w:before="200" w:after="283"/>
        <w:jc w:val="left"/>
        <w:rPr>
          <w:rFonts w:ascii="Times New Roman" w:hAnsi="Times New Roman"/>
          <w:sz w:val="20"/>
        </w:rPr>
      </w:pPr>
      <w:bookmarkStart w:id="15" w:name="item_1_legal_proceedings"/>
      <w:bookmarkEnd w:id="15"/>
      <w:r>
        <w:rPr>
          <w:rFonts w:ascii="sans-serif" w:hAnsi="sans-serif"/>
          <w:b/>
          <w:color w:val="000000"/>
          <w:sz w:val="20"/>
        </w:rPr>
        <w:t>Item 1. Legal</w:t>
      </w:r>
      <w:r>
        <w:rPr>
          <w:rFonts w:ascii="Times New Roman" w:hAnsi="Times New Roman"/>
          <w:color w:val="000000"/>
          <w:sz w:val="20"/>
        </w:rPr>
        <w:t xml:space="preserve"> </w:t>
      </w:r>
      <w:r>
        <w:rPr>
          <w:rFonts w:ascii="sans-serif" w:hAnsi="sans-serif"/>
          <w:b/>
          <w:color w:val="000000"/>
          <w:sz w:val="20"/>
        </w:rPr>
        <w:t>Proceedings</w:t>
      </w:r>
    </w:p>
    <w:p>
      <w:pPr>
        <w:pStyle w:val="TextBody"/>
        <w:bidi w:val="0"/>
        <w:spacing w:before="200" w:after="200"/>
        <w:jc w:val="left"/>
        <w:rPr>
          <w:rFonts w:ascii="Times New Roman" w:hAnsi="Times New Roman"/>
          <w:sz w:val="20"/>
        </w:rPr>
      </w:pPr>
      <w:r>
        <w:rPr>
          <w:rFonts w:ascii="sans-serif" w:hAnsi="sans-serif"/>
          <w:color w:val="000000"/>
          <w:sz w:val="20"/>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r>
        <w:rPr>
          <w:rFonts w:ascii="Times New Roman" w:hAnsi="Times New Roman"/>
          <w:color w:val="000000"/>
          <w:sz w:val="20"/>
        </w:rPr>
        <w:t xml:space="preserve"> </w:t>
      </w:r>
    </w:p>
    <w:p>
      <w:pPr>
        <w:pStyle w:val="TextBody"/>
        <w:bidi w:val="0"/>
        <w:jc w:val="left"/>
        <w:rPr>
          <w:rFonts w:ascii="Times New Roman" w:hAnsi="Times New Roman"/>
          <w:sz w:val="20"/>
        </w:rPr>
      </w:pPr>
      <w:bookmarkStart w:id="16" w:name="item_1a_risk_factors"/>
      <w:bookmarkEnd w:id="16"/>
      <w:r>
        <w:rPr>
          <w:rFonts w:ascii="sans-serif" w:hAnsi="sans-serif"/>
          <w:b/>
          <w:color w:val="000000"/>
          <w:sz w:val="20"/>
        </w:rPr>
        <w:t>Item 1A. Risk Factors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sans-serif" w:hAnsi="sans-serif"/>
          <w:color w:val="000000"/>
          <w:sz w:val="22"/>
        </w:rPr>
        <w:t>T</w:t>
      </w:r>
      <w:r>
        <w:rPr>
          <w:rFonts w:ascii="sans-serif" w:hAnsi="sans-serif"/>
          <w:color w:val="000000"/>
          <w:sz w:val="20"/>
        </w:rPr>
        <w:t>here have been no material changes to the risk factors disclosed in Part I, Item 1A, “Risk Factors” of our 2025 Form 10-K.</w:t>
      </w:r>
    </w:p>
    <w:p>
      <w:pPr>
        <w:pStyle w:val="TextBody"/>
        <w:bidi w:val="0"/>
        <w:jc w:val="left"/>
        <w:rPr>
          <w:rFonts w:ascii="sans-serif" w:hAnsi="sans-serif"/>
          <w:b/>
          <w:color w:val="000000"/>
          <w:sz w:val="20"/>
        </w:rPr>
      </w:pPr>
      <w:bookmarkStart w:id="17" w:name="item_2_unregistered_sales_equity_secur_1"/>
      <w:bookmarkEnd w:id="17"/>
      <w:r>
        <w:rPr>
          <w:rFonts w:ascii="sans-serif" w:hAnsi="sans-serif"/>
          <w:b/>
          <w:color w:val="000000"/>
          <w:sz w:val="20"/>
        </w:rPr>
        <w:t>Item 2. Unregistered Sales of Equity Securities and Use of Proceeds</w:t>
      </w:r>
    </w:p>
    <w:p>
      <w:pPr>
        <w:pStyle w:val="TextBody"/>
        <w:bidi w:val="0"/>
        <w:spacing w:before="200" w:after="283"/>
        <w:jc w:val="left"/>
        <w:rPr>
          <w:rFonts w:ascii="sans-serif" w:hAnsi="sans-serif"/>
          <w:b/>
          <w:color w:val="000000"/>
          <w:sz w:val="20"/>
        </w:rPr>
      </w:pPr>
      <w:r>
        <w:rPr>
          <w:rFonts w:ascii="sans-serif" w:hAnsi="sans-serif"/>
          <w:b/>
          <w:color w:val="000000"/>
          <w:sz w:val="20"/>
        </w:rPr>
        <w:t>Unregistered Sales of Equity Securities</w:t>
      </w:r>
    </w:p>
    <w:p>
      <w:pPr>
        <w:pStyle w:val="TextBody"/>
        <w:bidi w:val="0"/>
        <w:spacing w:before="200" w:after="283"/>
        <w:jc w:val="left"/>
        <w:rPr>
          <w:rFonts w:ascii="sans-serif" w:hAnsi="sans-serif"/>
          <w:color w:val="000000"/>
          <w:sz w:val="20"/>
        </w:rPr>
      </w:pPr>
      <w:r>
        <w:rPr>
          <w:rFonts w:ascii="sans-serif" w:hAnsi="sans-serif"/>
          <w:color w:val="000000"/>
          <w:sz w:val="20"/>
        </w:rPr>
        <w:t>None.</w:t>
      </w:r>
    </w:p>
    <w:p>
      <w:pPr>
        <w:pStyle w:val="TextBody"/>
        <w:bidi w:val="0"/>
        <w:spacing w:before="200" w:after="283"/>
        <w:jc w:val="left"/>
        <w:rPr>
          <w:rFonts w:ascii="Times New Roman" w:hAnsi="Times New Roman"/>
          <w:sz w:val="20"/>
        </w:rPr>
      </w:pPr>
      <w:r>
        <w:rPr>
          <w:rFonts w:ascii="sans-serif" w:hAnsi="sans-serif"/>
          <w:b/>
          <w:color w:val="000000"/>
          <w:sz w:val="20"/>
        </w:rPr>
        <w:t>Issuer Repurchases of Equity Securities</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None.</w:t>
      </w:r>
    </w:p>
    <w:p>
      <w:pPr>
        <w:pStyle w:val="TextBody"/>
        <w:bidi w:val="0"/>
        <w:spacing w:before="200" w:after="283"/>
        <w:jc w:val="left"/>
        <w:rPr>
          <w:rFonts w:ascii="sans-serif" w:hAnsi="sans-serif"/>
          <w:b/>
          <w:color w:val="000000"/>
          <w:sz w:val="20"/>
        </w:rPr>
      </w:pPr>
      <w:bookmarkStart w:id="18" w:name="item_3_defaults_upon_senior_securities_1"/>
      <w:bookmarkEnd w:id="18"/>
      <w:r>
        <w:rPr>
          <w:rFonts w:ascii="sans-serif" w:hAnsi="sans-serif"/>
          <w:b/>
          <w:color w:val="000000"/>
          <w:sz w:val="20"/>
        </w:rPr>
        <w:t>Item 3. Defaults Upon Senior Securities</w:t>
      </w:r>
    </w:p>
    <w:p>
      <w:pPr>
        <w:pStyle w:val="TextBody"/>
        <w:bidi w:val="0"/>
        <w:spacing w:before="200" w:after="283"/>
        <w:jc w:val="left"/>
        <w:rPr>
          <w:rFonts w:ascii="sans-serif" w:hAnsi="sans-serif"/>
          <w:color w:val="000000"/>
          <w:sz w:val="20"/>
        </w:rPr>
      </w:pPr>
      <w:r>
        <w:rPr>
          <w:rFonts w:ascii="sans-serif" w:hAnsi="sans-serif"/>
          <w:color w:val="000000"/>
          <w:sz w:val="20"/>
        </w:rPr>
        <w:t>Not Applicable.</w:t>
      </w:r>
    </w:p>
    <w:p>
      <w:pPr>
        <w:pStyle w:val="TextBody"/>
        <w:bidi w:val="0"/>
        <w:spacing w:before="200" w:after="283"/>
        <w:jc w:val="left"/>
        <w:rPr>
          <w:rFonts w:ascii="sans-serif" w:hAnsi="sans-serif"/>
          <w:b/>
          <w:color w:val="000000"/>
          <w:sz w:val="20"/>
        </w:rPr>
      </w:pPr>
      <w:bookmarkStart w:id="19" w:name="item_4_mine_safety_disclosures_1"/>
      <w:bookmarkEnd w:id="19"/>
      <w:r>
        <w:rPr>
          <w:rFonts w:ascii="sans-serif" w:hAnsi="sans-serif"/>
          <w:b/>
          <w:color w:val="000000"/>
          <w:sz w:val="20"/>
        </w:rPr>
        <w:t>Item 4. Mine Safety Disclosures</w:t>
      </w:r>
    </w:p>
    <w:p>
      <w:pPr>
        <w:pStyle w:val="TextBody"/>
        <w:bidi w:val="0"/>
        <w:spacing w:before="200" w:after="283"/>
        <w:jc w:val="left"/>
        <w:rPr>
          <w:rFonts w:ascii="sans-serif" w:hAnsi="sans-serif"/>
          <w:color w:val="000000"/>
          <w:sz w:val="20"/>
        </w:rPr>
      </w:pPr>
      <w:r>
        <w:rPr>
          <w:rFonts w:ascii="sans-serif" w:hAnsi="sans-serif"/>
          <w:color w:val="000000"/>
          <w:sz w:val="20"/>
        </w:rPr>
        <w:t>Not Applicable.</w:t>
      </w:r>
    </w:p>
    <w:p>
      <w:pPr>
        <w:pStyle w:val="TextBody"/>
        <w:bidi w:val="0"/>
        <w:spacing w:before="200" w:after="283"/>
        <w:jc w:val="left"/>
        <w:rPr>
          <w:rFonts w:ascii="Times New Roman" w:hAnsi="Times New Roman"/>
          <w:sz w:val="20"/>
        </w:rPr>
      </w:pPr>
      <w:bookmarkStart w:id="20" w:name="item_5_or_information_1"/>
      <w:bookmarkEnd w:id="20"/>
      <w:r>
        <w:rPr>
          <w:rFonts w:ascii="sans-serif" w:hAnsi="sans-serif"/>
          <w:b/>
          <w:color w:val="000000"/>
          <w:sz w:val="20"/>
        </w:rPr>
        <w:t>Item 5. Other</w:t>
      </w:r>
      <w:r>
        <w:rPr>
          <w:rFonts w:ascii="Times New Roman" w:hAnsi="Times New Roman"/>
          <w:color w:val="000000"/>
          <w:sz w:val="20"/>
        </w:rPr>
        <w:t xml:space="preserve"> </w:t>
      </w:r>
      <w:r>
        <w:rPr>
          <w:rFonts w:ascii="sans-serif" w:hAnsi="sans-serif"/>
          <w:b/>
          <w:color w:val="000000"/>
          <w:sz w:val="20"/>
        </w:rPr>
        <w:t>Information</w:t>
      </w:r>
    </w:p>
    <w:p>
      <w:pPr>
        <w:pStyle w:val="TextBody"/>
        <w:bidi w:val="0"/>
        <w:spacing w:before="200" w:after="283"/>
        <w:jc w:val="left"/>
        <w:rPr>
          <w:rFonts w:ascii="Times New Roman" w:hAnsi="Times New Roman"/>
          <w:sz w:val="20"/>
        </w:rPr>
      </w:pPr>
      <w:r>
        <w:rPr>
          <w:rFonts w:ascii="sans-serif" w:hAnsi="sans-serif"/>
          <w:b/>
          <w:color w:val="000000"/>
          <w:sz w:val="20"/>
        </w:rPr>
        <w:t>Director and Officer Trading Arrangements: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b/>
          <w:i/>
          <w:color w:val="000000"/>
          <w:sz w:val="20"/>
        </w:rPr>
        <w:t>Rule 10b5-1 Trading Plans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sans-serif" w:hAnsi="sans-serif"/>
          <w:color w:val="000000"/>
          <w:sz w:val="20"/>
        </w:rPr>
        <w:t>During the three months ended June 30, 2026, none of our officers or directors adopted, modified</w:t>
      </w:r>
      <w:r>
        <w:rPr>
          <w:rFonts w:ascii="Times New Roman" w:hAnsi="Times New Roman"/>
          <w:color w:val="000000"/>
          <w:sz w:val="20"/>
        </w:rPr>
        <w:t xml:space="preserve"> </w:t>
      </w:r>
      <w:r>
        <w:rPr>
          <w:rFonts w:ascii="sans-serif" w:hAnsi="sans-serif"/>
          <w:color w:val="000000"/>
          <w:sz w:val="20"/>
        </w:rPr>
        <w:t>or terminated</w:t>
      </w:r>
      <w:r>
        <w:rPr>
          <w:rFonts w:ascii="Times New Roman" w:hAnsi="Times New Roman"/>
          <w:color w:val="000000"/>
          <w:sz w:val="20"/>
        </w:rPr>
        <w:t xml:space="preserve"> </w:t>
      </w:r>
      <w:r>
        <w:rPr>
          <w:rFonts w:ascii="sans-serif" w:hAnsi="sans-serif"/>
          <w:color w:val="000000"/>
          <w:sz w:val="20"/>
        </w:rPr>
        <w:t>any Rule 10b5-1 trading arrangements or non-Rule 10b5-1 trading arrangements.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color w:val="000000"/>
          <w:sz w:val="20"/>
        </w:rPr>
      </w:pPr>
      <w:bookmarkStart w:id="21" w:name="item_6_exhibits_1"/>
      <w:bookmarkEnd w:id="21"/>
      <w:r>
        <w:rPr>
          <w:rFonts w:ascii="sans-serif" w:hAnsi="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946"/>
        <w:gridCol w:w="146"/>
        <w:gridCol w:w="5215"/>
        <w:gridCol w:w="146"/>
        <w:gridCol w:w="631"/>
        <w:gridCol w:w="146"/>
        <w:gridCol w:w="667"/>
        <w:gridCol w:w="146"/>
        <w:gridCol w:w="932"/>
        <w:gridCol w:w="146"/>
        <w:gridCol w:w="1084"/>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2"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bottom w:val="single" w:sz="4" w:space="0" w:color="000000"/>
            </w:tcBorders>
            <w:tcMar>
              <w:top w:w="0" w:type="dxa"/>
              <w:left w:w="0" w:type="dxa"/>
              <w:right w:w="0" w:type="dxa"/>
            </w:tcMar>
            <w:vAlign w:val="center"/>
          </w:tcPr>
          <w:p>
            <w:pPr>
              <w:pStyle w:val="TableContents"/>
              <w:bidi w:val="0"/>
              <w:jc w:val="center"/>
              <w:rPr>
                <w:rFonts w:ascii="sans-serif" w:hAnsi="sans-serif"/>
                <w:b/>
                <w:color w:val="000000"/>
                <w:sz w:val="18"/>
              </w:rPr>
            </w:pPr>
            <w:r>
              <w:rPr>
                <w:rFonts w:ascii="sans-serif" w:hAnsi="sans-serif"/>
                <w:b/>
                <w:color w:val="000000"/>
                <w:sz w:val="18"/>
              </w:rPr>
              <w:t>Exhibit</w:t>
            </w:r>
          </w:p>
          <w:p>
            <w:pPr>
              <w:pStyle w:val="TableContents"/>
              <w:bidi w:val="0"/>
              <w:spacing w:before="0" w:after="283"/>
              <w:jc w:val="center"/>
              <w:rPr>
                <w:rFonts w:ascii="sans-serif" w:hAnsi="sans-serif"/>
                <w:b/>
                <w:color w:val="000000"/>
                <w:sz w:val="18"/>
              </w:rPr>
            </w:pPr>
            <w:r>
              <w:rPr>
                <w:rFonts w:ascii="sans-serif" w:hAnsi="sans-serif"/>
                <w:b/>
                <w:color w:val="000000"/>
                <w:sz w:val="18"/>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1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tcMar>
              <w:top w:w="0" w:type="dxa"/>
              <w:left w:w="0" w:type="dxa"/>
              <w:right w:w="0" w:type="dxa"/>
            </w:tcMar>
            <w:vAlign w:val="center"/>
          </w:tcPr>
          <w:p>
            <w:pPr>
              <w:pStyle w:val="TableContents"/>
              <w:bidi w:val="0"/>
              <w:jc w:val="center"/>
              <w:rPr>
                <w:rFonts w:ascii="sans-serif" w:hAnsi="sans-serif"/>
                <w:b/>
                <w:color w:val="000000"/>
                <w:sz w:val="18"/>
              </w:rPr>
            </w:pPr>
            <w:r>
              <w:rPr>
                <w:rFonts w:ascii="sans-serif" w:hAnsi="sans-serif"/>
                <w:b/>
                <w:color w:val="000000"/>
                <w:sz w:val="18"/>
              </w:rPr>
              <w:t>Filed</w:t>
            </w:r>
          </w:p>
          <w:p>
            <w:pPr>
              <w:pStyle w:val="TableContents"/>
              <w:bidi w:val="0"/>
              <w:spacing w:before="0" w:after="283"/>
              <w:jc w:val="center"/>
              <w:rPr>
                <w:rFonts w:ascii="sans-serif" w:hAnsi="sans-serif"/>
                <w:b/>
                <w:color w:val="000000"/>
                <w:sz w:val="18"/>
              </w:rPr>
            </w:pPr>
            <w:r>
              <w:rPr>
                <w:rFonts w:ascii="sans-serif" w:hAnsi="sans-serif"/>
                <w:b/>
                <w:color w:val="000000"/>
                <w:sz w:val="18"/>
              </w:rPr>
              <w:t>Herewith</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sans-serif" w:hAnsi="sans-serif"/>
                  <w:color w:val="0000FF"/>
                  <w:sz w:val="18"/>
                  <w:u w:val="single"/>
                </w:rPr>
                <w:t>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10/29/19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sans-serif" w:hAnsi="sans-serif"/>
                  <w:color w:val="0000FF"/>
                  <w:sz w:val="18"/>
                  <w:u w:val="single"/>
                </w:rPr>
                <w:t>Certificate of Amendment to Amended and Restated Certificate of Incorporation, as filed with the Secretary of the State of Delaware on May 26,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5/30/23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sans-serif" w:hAnsi="sans-serif"/>
                  <w:color w:val="0000FF"/>
                  <w:sz w:val="18"/>
                  <w:u w:val="single"/>
                </w:rPr>
                <w:t>Amended and Restated Bylaws, effective as of December 13,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12/15/23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sans-serif" w:hAnsi="sans-serif"/>
                  <w:color w:val="0000FF"/>
                  <w:sz w:val="18"/>
                  <w:u w:val="single"/>
                </w:rPr>
                <w:t>Form of Common Stock Certificate</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10/15/19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sans-serif" w:hAnsi="sans-serif"/>
                  <w:color w:val="0000FF"/>
                  <w:sz w:val="18"/>
                  <w:u w:val="single"/>
                </w:rPr>
                <w:t>Warrant to purchase stock issued to Silicon Valley Bank, dated May 14, 2019</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9/30/19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sans-serif" w:hAnsi="sans-serif"/>
                  <w:color w:val="0000FF"/>
                  <w:sz w:val="18"/>
                  <w:u w:val="single"/>
                </w:rPr>
                <w:t>Warrant to purchase stock issued to WestRiver Innovation Lending Fund VIII, L.P., dated May 14, 2019</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9/30/19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sans-serif" w:hAnsi="sans-serif"/>
                  <w:color w:val="0000FF"/>
                  <w:sz w:val="18"/>
                  <w:u w:val="single"/>
                </w:rPr>
                <w:t>Warrant to purchase stock issued to Hercules Capital, dated September 17, 2021</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11/8/21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sans-serif" w:hAnsi="sans-serif"/>
                  <w:color w:val="0000FF"/>
                  <w:sz w:val="18"/>
                  <w:u w:val="single"/>
                </w:rPr>
                <w:t>First Amendment to Warrant to purchase stock issued to Hercules Capital, dated May 9, 2023</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5/10/23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sans-serif" w:hAnsi="sans-serif"/>
                  <w:color w:val="0000FF"/>
                  <w:sz w:val="18"/>
                  <w:u w:val="single"/>
                </w:rPr>
                <w:t>Form of Warrant to purchase stock issuable pursuant to the Loan and Security Agreement, as amended, by and between the Registrant and Hercules Capital,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5/10/23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sans-serif" w:hAnsi="sans-serif"/>
                  <w:color w:val="0000FF"/>
                  <w:sz w:val="18"/>
                  <w:u w:val="single"/>
                </w:rPr>
                <w:t>Form of Pre-Funded Warrant to purchase common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8/19/24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sans-serif" w:hAnsi="sans-serif"/>
                  <w:color w:val="0000FF"/>
                  <w:sz w:val="18"/>
                  <w:u w:val="single"/>
                </w:rPr>
                <w:t>Form of Pre-Funded Warrant to purchase common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1/8/26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tcBorders/>
            <w:tcMar>
              <w:top w:w="0" w:type="dxa"/>
              <w:left w:w="0" w:type="dxa"/>
              <w:bottom w:w="0" w:type="dxa"/>
              <w:right w:w="0" w:type="dxa"/>
            </w:tcMar>
            <w:vAlign w:val="center"/>
          </w:tcPr>
          <w:p>
            <w:pPr>
              <w:pStyle w:val="TableContents"/>
              <w:bidi w:val="0"/>
              <w:spacing w:before="0" w:after="283"/>
              <w:jc w:val="left"/>
              <w:rPr/>
            </w:pPr>
            <w:hyperlink w:anchor="phat-ex31_1.htm">
              <w:r>
                <w:rPr>
                  <w:rStyle w:val="InternetLink"/>
                  <w:rFonts w:ascii="sans-serif" w:hAnsi="sans-serif"/>
                  <w:color w:val="0000FF"/>
                  <w:sz w:val="18"/>
                  <w:u w:val="single"/>
                </w:rPr>
                <w:t>Certification of Chief Executive Officer of Phathom Pharmaceuticals, Inc., as required by Rule 13a-14(a) or Rule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X</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tcBorders/>
            <w:tcMar>
              <w:top w:w="0" w:type="dxa"/>
              <w:left w:w="0" w:type="dxa"/>
              <w:bottom w:w="0" w:type="dxa"/>
              <w:right w:w="0" w:type="dxa"/>
            </w:tcMar>
            <w:vAlign w:val="center"/>
          </w:tcPr>
          <w:p>
            <w:pPr>
              <w:pStyle w:val="TableContents"/>
              <w:bidi w:val="0"/>
              <w:spacing w:before="0" w:after="283"/>
              <w:jc w:val="left"/>
              <w:rPr/>
            </w:pPr>
            <w:hyperlink w:anchor="phat-ex31_2.htm">
              <w:r>
                <w:rPr>
                  <w:rStyle w:val="InternetLink"/>
                  <w:rFonts w:ascii="sans-serif" w:hAnsi="sans-serif"/>
                  <w:color w:val="0000FF"/>
                  <w:sz w:val="18"/>
                  <w:u w:val="single"/>
                </w:rPr>
                <w:t>Certification of Chief Financial Officer of Phathom Pharmaceuticals, Inc., as required by Rule 13a-14(a) or Rule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X</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tcBorders/>
            <w:tcMar>
              <w:top w:w="0" w:type="dxa"/>
              <w:left w:w="0" w:type="dxa"/>
              <w:bottom w:w="0" w:type="dxa"/>
              <w:right w:w="0" w:type="dxa"/>
            </w:tcMar>
            <w:vAlign w:val="center"/>
          </w:tcPr>
          <w:p>
            <w:pPr>
              <w:pStyle w:val="TableContents"/>
              <w:bidi w:val="0"/>
              <w:spacing w:before="0" w:after="283"/>
              <w:jc w:val="left"/>
              <w:rPr/>
            </w:pPr>
            <w:hyperlink w:anchor="phat-ex32_1.htm">
              <w:r>
                <w:rPr>
                  <w:rStyle w:val="InternetLink"/>
                  <w:rFonts w:ascii="sans-serif" w:hAnsi="sans-serif"/>
                  <w:color w:val="0000FF"/>
                  <w:sz w:val="18"/>
                  <w:u w:val="single"/>
                </w:rPr>
                <w:t>Certification of Chief Executive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X</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tcBorders/>
            <w:tcMar>
              <w:top w:w="0" w:type="dxa"/>
              <w:left w:w="0" w:type="dxa"/>
              <w:bottom w:w="0" w:type="dxa"/>
              <w:right w:w="0" w:type="dxa"/>
            </w:tcMar>
            <w:vAlign w:val="center"/>
          </w:tcPr>
          <w:p>
            <w:pPr>
              <w:pStyle w:val="TableContents"/>
              <w:bidi w:val="0"/>
              <w:spacing w:before="0" w:after="283"/>
              <w:jc w:val="left"/>
              <w:rPr/>
            </w:pPr>
            <w:hyperlink w:anchor="phat-ex32_2.htm">
              <w:r>
                <w:rPr>
                  <w:rStyle w:val="InternetLink"/>
                  <w:rFonts w:ascii="sans-serif" w:hAnsi="sans-serif"/>
                  <w:color w:val="0000FF"/>
                  <w:sz w:val="18"/>
                  <w:u w:val="single"/>
                </w:rPr>
                <w:t>Certification of Chief Financial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X</w:t>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X</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X</w:t>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50" w:after="283"/>
        <w:jc w:val="left"/>
        <w:rPr>
          <w:rFonts w:ascii="Times New Roman" w:hAnsi="Times New Roman"/>
          <w:sz w:val="20"/>
        </w:rPr>
      </w:pPr>
      <w:r>
        <w:rPr>
          <w:rFonts w:ascii="sans-serif" w:hAnsi="sans-serif"/>
          <w:color w:val="000000"/>
          <w:sz w:val="16"/>
        </w:rPr>
        <w:t>* This certification is deemed not filed for purpose of section 18 of the Exchange Act or otherwise subject to the liability of that section, nor shall it be deemed incorporated by reference into any filing under the Securities Act or the Exchange Act.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22" w:name="signatures_1"/>
      <w:bookmarkEnd w:id="22"/>
      <w:r>
        <w:rPr>
          <w:rFonts w:ascii="sans-serif" w:hAnsi="sans-serif"/>
          <w:b/>
          <w:color w:val="000000"/>
          <w:sz w:val="20"/>
        </w:rPr>
        <w:t>SIGNATURES</w:t>
      </w:r>
    </w:p>
    <w:p>
      <w:pPr>
        <w:pStyle w:val="TextBody"/>
        <w:bidi w:val="0"/>
        <w:spacing w:before="200" w:after="283"/>
        <w:jc w:val="left"/>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25" w:type="dxa"/>
        <w:jc w:val="left"/>
        <w:tblInd w:w="0" w:type="dxa"/>
        <w:tblLayout w:type="fixed"/>
        <w:tblCellMar>
          <w:top w:w="28" w:type="dxa"/>
          <w:left w:w="28" w:type="dxa"/>
          <w:bottom w:w="28" w:type="dxa"/>
          <w:right w:w="28" w:type="dxa"/>
        </w:tblCellMar>
      </w:tblPr>
      <w:tblGrid>
        <w:gridCol w:w="646"/>
        <w:gridCol w:w="1366"/>
        <w:gridCol w:w="421"/>
        <w:gridCol w:w="146"/>
        <w:gridCol w:w="3646"/>
      </w:tblGrid>
      <w:tr>
        <w:trPr/>
        <w:tc>
          <w:tcPr>
            <w:tcW w:w="6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3" w:type="dxa"/>
            <w:gridSpan w:val="3"/>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PHATHOM PHARMACEUTICALS,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w:t>
            </w:r>
          </w:p>
        </w:tc>
        <w:tc>
          <w:tcPr>
            <w:tcW w:w="13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July 30, 2026</w:t>
            </w:r>
          </w:p>
        </w:tc>
        <w:tc>
          <w:tcPr>
            <w:tcW w:w="4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 Steven Basta</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Steven Basta</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Chief Executive Officer and Director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(Principal Executive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w:t>
            </w:r>
          </w:p>
        </w:tc>
        <w:tc>
          <w:tcPr>
            <w:tcW w:w="13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July 30, 2026</w:t>
            </w:r>
          </w:p>
        </w:tc>
        <w:tc>
          <w:tcPr>
            <w:tcW w:w="4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 Sanjeev Narula</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Sanjeev Narula</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Chief Financial and Business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bookmarkStart w:id="23" w:name="phat-ex31_1.htm"/>
      <w:bookmarkStart w:id="24" w:name="ksphat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CHIEF EXECUTIVE OFFICER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I, Steven Basta, certify that: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I have reviewed this Quarterly Report on Form 10-Q of Phathom Pharmaceuticals, Inc.</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2.</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3.</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4.</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w:t>
      </w:r>
    </w:p>
    <w:p>
      <w:pPr>
        <w:pStyle w:val="TextBody"/>
        <w:bidi w:val="0"/>
        <w:spacing w:before="240" w:after="283"/>
        <w:jc w:val="left"/>
        <w:rPr/>
      </w:pPr>
      <w:r>
        <w:rPr>
          <w:rFonts w:ascii="Times New Roman" w:hAnsi="Times New Roman"/>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10000"/>
          <w:sz w:val="19"/>
        </w:rPr>
        <w: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c)</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5.</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76" w:type="dxa"/>
        <w:jc w:val="left"/>
        <w:tblInd w:w="0" w:type="dxa"/>
        <w:tblLayout w:type="fixed"/>
        <w:tblCellMar>
          <w:top w:w="28" w:type="dxa"/>
          <w:left w:w="28" w:type="dxa"/>
          <w:bottom w:w="28" w:type="dxa"/>
          <w:right w:w="28" w:type="dxa"/>
        </w:tblCellMar>
      </w:tblPr>
      <w:tblGrid>
        <w:gridCol w:w="1865"/>
        <w:gridCol w:w="3211"/>
      </w:tblGrid>
      <w:tr>
        <w:trPr/>
        <w:tc>
          <w:tcPr>
            <w:tcW w:w="1865"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ind w:left="0" w:right="0" w:firstLine="154"/>
              <w:jc w:val="left"/>
              <w:rPr>
                <w:sz w:val="4"/>
                <w:szCs w:val="4"/>
              </w:rPr>
            </w:pPr>
            <w:r>
              <w:rPr>
                <w:sz w:val="4"/>
                <w:szCs w:val="4"/>
              </w:rPr>
            </w:r>
          </w:p>
        </w:tc>
      </w:tr>
      <w:tr>
        <w:trPr/>
        <w:tc>
          <w:tcPr>
            <w:tcW w:w="1865" w:type="dxa"/>
            <w:tcBorders/>
            <w:tcMar>
              <w:top w:w="0" w:type="dxa"/>
              <w:left w:w="0" w:type="dxa"/>
              <w:bottom w:w="0" w:type="dxa"/>
              <w:right w:w="0" w:type="dxa"/>
            </w:tcMar>
            <w:vAlign w:val="center"/>
          </w:tcPr>
          <w:p>
            <w:pPr>
              <w:pStyle w:val="TableContents"/>
              <w:bidi w:val="0"/>
              <w:spacing w:before="0" w:after="283"/>
              <w:ind w:left="0" w:right="0" w:firstLine="154"/>
              <w:jc w:val="left"/>
              <w:rPr>
                <w:rFonts w:ascii="Times New Roman" w:hAnsi="Times New Roman"/>
                <w:color w:val="000000"/>
                <w:sz w:val="19"/>
              </w:rPr>
            </w:pPr>
            <w:r>
              <w:rPr>
                <w:rFonts w:ascii="Times New Roman" w:hAnsi="Times New Roman"/>
                <w:color w:val="000000"/>
                <w:sz w:val="19"/>
              </w:rPr>
              <w:t>Date: July 30, 2026</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 Steven Basta</w:t>
            </w:r>
          </w:p>
        </w:tc>
      </w:tr>
      <w:tr>
        <w:trPr/>
        <w:tc>
          <w:tcPr>
            <w:tcW w:w="18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Steven Basta</w:t>
            </w:r>
          </w:p>
        </w:tc>
      </w:tr>
      <w:tr>
        <w:trPr/>
        <w:tc>
          <w:tcPr>
            <w:tcW w:w="18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9"/>
              </w:rPr>
            </w:pPr>
            <w:r>
              <w:rPr>
                <w:rFonts w:ascii="Times New Roman" w:hAnsi="Times New Roman"/>
                <w:color w:val="000000"/>
                <w:sz w:val="19"/>
              </w:rPr>
              <w:t>Chief Executive Officer and President</w:t>
            </w:r>
          </w:p>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phat-ex31_2.htm"/>
      <w:bookmarkStart w:id="26" w:name="ksphat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CHIEF FINANCIAL OFFICER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I, Sanjeev Narula, certify that: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I have reviewed this Quarterly Report on Form 10-Q of Phathom Pharmaceuticals, Inc.</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2.</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3.</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4.</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w:t>
      </w:r>
    </w:p>
    <w:p>
      <w:pPr>
        <w:pStyle w:val="TextBody"/>
        <w:bidi w:val="0"/>
        <w:spacing w:before="240" w:after="283"/>
        <w:jc w:val="left"/>
        <w:rPr/>
      </w:pPr>
      <w:r>
        <w:rPr>
          <w:rFonts w:ascii="Times New Roman" w:hAnsi="Times New Roman"/>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10000"/>
          <w:sz w:val="19"/>
        </w:rPr>
        <w: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c)</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5.</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86" w:type="dxa"/>
        <w:jc w:val="left"/>
        <w:tblInd w:w="0" w:type="dxa"/>
        <w:tblLayout w:type="fixed"/>
        <w:tblCellMar>
          <w:top w:w="28" w:type="dxa"/>
          <w:left w:w="28" w:type="dxa"/>
          <w:bottom w:w="28" w:type="dxa"/>
          <w:right w:w="28" w:type="dxa"/>
        </w:tblCellMar>
      </w:tblPr>
      <w:tblGrid>
        <w:gridCol w:w="1865"/>
        <w:gridCol w:w="3121"/>
      </w:tblGrid>
      <w:tr>
        <w:trPr/>
        <w:tc>
          <w:tcPr>
            <w:tcW w:w="1865"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ind w:left="0" w:right="0" w:firstLine="154"/>
              <w:jc w:val="left"/>
              <w:rPr>
                <w:sz w:val="4"/>
                <w:szCs w:val="4"/>
              </w:rPr>
            </w:pPr>
            <w:r>
              <w:rPr>
                <w:sz w:val="4"/>
                <w:szCs w:val="4"/>
              </w:rPr>
            </w:r>
          </w:p>
        </w:tc>
      </w:tr>
      <w:tr>
        <w:trPr/>
        <w:tc>
          <w:tcPr>
            <w:tcW w:w="1865" w:type="dxa"/>
            <w:tcBorders/>
            <w:tcMar>
              <w:top w:w="0" w:type="dxa"/>
              <w:left w:w="0" w:type="dxa"/>
              <w:bottom w:w="0" w:type="dxa"/>
              <w:right w:w="0" w:type="dxa"/>
            </w:tcMar>
            <w:vAlign w:val="center"/>
          </w:tcPr>
          <w:p>
            <w:pPr>
              <w:pStyle w:val="TableContents"/>
              <w:bidi w:val="0"/>
              <w:spacing w:before="0" w:after="283"/>
              <w:ind w:left="0" w:right="0" w:firstLine="154"/>
              <w:jc w:val="left"/>
              <w:rPr>
                <w:rFonts w:ascii="Times New Roman" w:hAnsi="Times New Roman"/>
                <w:color w:val="000000"/>
                <w:sz w:val="19"/>
              </w:rPr>
            </w:pPr>
            <w:r>
              <w:rPr>
                <w:rFonts w:ascii="Times New Roman" w:hAnsi="Times New Roman"/>
                <w:color w:val="000000"/>
                <w:sz w:val="19"/>
              </w:rPr>
              <w:t>Date: July 30, 2026</w:t>
            </w:r>
          </w:p>
        </w:tc>
        <w:tc>
          <w:tcPr>
            <w:tcW w:w="312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 Sanjeev Narula</w:t>
            </w:r>
          </w:p>
        </w:tc>
      </w:tr>
      <w:tr>
        <w:trPr/>
        <w:tc>
          <w:tcPr>
            <w:tcW w:w="18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Sanjeev Narula</w:t>
            </w:r>
          </w:p>
        </w:tc>
      </w:tr>
      <w:tr>
        <w:trPr/>
        <w:tc>
          <w:tcPr>
            <w:tcW w:w="18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9"/>
              </w:rPr>
            </w:pPr>
            <w:r>
              <w:rPr>
                <w:rFonts w:ascii="Times New Roman" w:hAnsi="Times New Roman"/>
                <w:color w:val="000000"/>
                <w:sz w:val="19"/>
              </w:rPr>
              <w:t>Chief Financial and Business Officer</w:t>
            </w:r>
          </w:p>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64"/>
        <w:jc w:val="right"/>
        <w:rPr>
          <w:rFonts w:ascii="Times New Roman" w:hAnsi="Times New Roman"/>
          <w:sz w:val="20"/>
        </w:rPr>
      </w:pPr>
      <w:bookmarkStart w:id="27" w:name="phat-ex32_1.htm"/>
      <w:bookmarkStart w:id="28" w:name="ksphatex32_1"/>
      <w:bookmarkEnd w:id="27"/>
      <w:bookmarkEnd w:id="28"/>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0" w:after="264"/>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In connection with the Quarterly Report on Form 10-Q of Phathom Pharmaceuticals, Inc. (the “Company”) for the quarter ended June 30, 2026 as filed with the Securities and Exchange Commission on the date hereof (the “Report”), I, Steven Basta, as Chief Executive Officer of the Company, certify, pursuant to 18 U.S.C. Section 1350, as adopted pursuant to Section 906 of the Sarbanes-Oxley Act of 2002, to my knowledge, that:</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as amended;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068" w:type="dxa"/>
        <w:jc w:val="left"/>
        <w:tblInd w:w="0" w:type="dxa"/>
        <w:tblLayout w:type="fixed"/>
        <w:tblCellMar>
          <w:top w:w="28" w:type="dxa"/>
          <w:left w:w="28" w:type="dxa"/>
          <w:bottom w:w="28" w:type="dxa"/>
          <w:right w:w="28" w:type="dxa"/>
        </w:tblCellMar>
      </w:tblPr>
      <w:tblGrid>
        <w:gridCol w:w="1711"/>
        <w:gridCol w:w="146"/>
        <w:gridCol w:w="321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Steven Basta</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Basta</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President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HorizontalLine"/>
        <w:pBdr>
          <w:bottom w:val="double" w:sz="2" w:space="0" w:color="808080"/>
        </w:pBdr>
        <w:bidi w:val="0"/>
        <w:spacing w:before="0" w:after="283"/>
        <w:jc w:val="left"/>
        <w:rPr/>
      </w:pPr>
      <w:r>
        <w:rPr/>
      </w:r>
    </w:p>
    <w:p>
      <w:pPr>
        <w:pStyle w:val="TextBody"/>
        <w:bidi w:val="0"/>
        <w:spacing w:before="0" w:after="264"/>
        <w:jc w:val="right"/>
        <w:rPr>
          <w:rFonts w:ascii="Times New Roman" w:hAnsi="Times New Roman"/>
          <w:sz w:val="20"/>
        </w:rPr>
      </w:pPr>
      <w:bookmarkStart w:id="29" w:name="phat-ex32_2.htm"/>
      <w:bookmarkStart w:id="30" w:name="ksphatex32_2"/>
      <w:bookmarkEnd w:id="29"/>
      <w:bookmarkEnd w:id="30"/>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0" w:after="264"/>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In connection with the Quarterly Report on Form 10-Q of Phathom Pharmaceuticals, Inc. (the “Company”) for the quarter ended June 30, 2026 as filed with the Securities and Exchange Commission on the date hereof (the “Report”), I, Sanjeev Narula, as Chief Financial &amp; Business Officer of the Company, certify, pursuant to 18 U.S.C. Section 1350, as adopted pursuant to Section 906 of the Sarbanes-Oxley Act of 2002, to my knowledge, that:</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as amended;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978" w:type="dxa"/>
        <w:jc w:val="left"/>
        <w:tblInd w:w="0" w:type="dxa"/>
        <w:tblLayout w:type="fixed"/>
        <w:tblCellMar>
          <w:top w:w="28" w:type="dxa"/>
          <w:left w:w="28" w:type="dxa"/>
          <w:bottom w:w="28" w:type="dxa"/>
          <w:right w:w="28" w:type="dxa"/>
        </w:tblCellMar>
      </w:tblPr>
      <w:tblGrid>
        <w:gridCol w:w="1711"/>
        <w:gridCol w:w="146"/>
        <w:gridCol w:w="312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Sanjeev Narula</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Sanjeev Narula</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and Business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3183/000119312519277761/d795888dex31.htm" TargetMode="External"/><Relationship Id="rId3" Type="http://schemas.openxmlformats.org/officeDocument/2006/relationships/hyperlink" Target="https://www.sec.gov/Archives/edgar/data/1783183/000119312523156713/d487635dex31.htm" TargetMode="External"/><Relationship Id="rId4" Type="http://schemas.openxmlformats.org/officeDocument/2006/relationships/hyperlink" Target="https://www.sec.gov/ix?doc=/Archives/edgar/data/0001783183/000119312523296630/d602391d8k.htm" TargetMode="External"/><Relationship Id="rId5" Type="http://schemas.openxmlformats.org/officeDocument/2006/relationships/hyperlink" Target="https://www.sec.gov/Archives/edgar/data/1783183/000119312519267053/d63338dex41.htm" TargetMode="External"/><Relationship Id="rId6" Type="http://schemas.openxmlformats.org/officeDocument/2006/relationships/hyperlink" Target="https://www.sec.gov/Archives/edgar/data/1783183/000119312519258922/d63338dex43.htm" TargetMode="External"/><Relationship Id="rId7" Type="http://schemas.openxmlformats.org/officeDocument/2006/relationships/hyperlink" Target="https://www.sec.gov/Archives/edgar/data/1783183/000119312519258922/d63338dex44.htm" TargetMode="External"/><Relationship Id="rId8" Type="http://schemas.openxmlformats.org/officeDocument/2006/relationships/hyperlink" Target="https://www.sec.gov/Archives/edgar/data/1783183/000156459021055073/phat-ex102_212.htm" TargetMode="External"/><Relationship Id="rId9" Type="http://schemas.openxmlformats.org/officeDocument/2006/relationships/hyperlink" Target="https://www.sec.gov/Archives/edgar/data/1783183/000095017023020109/phat-ex4_5.htm" TargetMode="External"/><Relationship Id="rId10" Type="http://schemas.openxmlformats.org/officeDocument/2006/relationships/hyperlink" Target="https://www.sec.gov/Archives/edgar/data/1783183/000095017023020109/phat-ex4_6.htm" TargetMode="External"/><Relationship Id="rId11" Type="http://schemas.openxmlformats.org/officeDocument/2006/relationships/hyperlink" Target="https://www.sec.gov/Archives/edgar/data/1783183/000119312524202879/d816262dex41.htm" TargetMode="External"/><Relationship Id="rId12" Type="http://schemas.openxmlformats.org/officeDocument/2006/relationships/hyperlink" Target="https://www.sec.gov/Archives/edgar/data/1783183/000119312526007660/d680858dex4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21458</Words>
  <Characters>117104</Characters>
  <CharactersWithSpaces>139382</CharactersWithSpaces>
  <Paragraphs>4435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