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86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3656330</wp:posOffset>
            </wp:positionH>
            <wp:positionV relativeFrom="paragraph">
              <wp:posOffset>-4445</wp:posOffset>
            </wp:positionV>
            <wp:extent cx="4565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PHATHOM PHARMACEUTICALS,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jc w:val="center"/>
              <w:ind w:left="181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60" w:type="dxa"/>
            <w:vAlign w:val="bottom"/>
          </w:tcPr>
          <w:p>
            <w:pPr>
              <w:jc w:val="right"/>
              <w:ind w:right="2330"/>
              <w:spacing w:after="0"/>
              <w:rPr>
                <w:sz w:val="20"/>
                <w:szCs w:val="20"/>
                <w:color w:val="auto"/>
              </w:rPr>
            </w:pPr>
            <w:r>
              <w:rPr>
                <w:rFonts w:ascii="Times New Roman" w:cs="Times New Roman" w:eastAsia="Times New Roman" w:hAnsi="Times New Roman"/>
                <w:sz w:val="14"/>
                <w:szCs w:val="14"/>
                <w:b w:val="1"/>
                <w:bCs w:val="1"/>
                <w:color w:val="auto"/>
              </w:rPr>
              <w:t>82-4151574</w:t>
            </w:r>
          </w:p>
        </w:tc>
        <w:tc>
          <w:tcPr>
            <w:tcW w:w="0" w:type="dxa"/>
            <w:vAlign w:val="bottom"/>
          </w:tcPr>
          <w:p>
            <w:pPr>
              <w:spacing w:after="0"/>
              <w:rPr>
                <w:sz w:val="1"/>
                <w:szCs w:val="1"/>
                <w:color w:val="auto"/>
              </w:rPr>
            </w:pPr>
          </w:p>
        </w:tc>
      </w:tr>
      <w:tr>
        <w:trPr>
          <w:trHeight w:val="148"/>
        </w:trPr>
        <w:tc>
          <w:tcPr>
            <w:tcW w:w="3660" w:type="dxa"/>
            <w:vAlign w:val="bottom"/>
          </w:tcPr>
          <w:p>
            <w:pPr>
              <w:jc w:val="center"/>
              <w:ind w:left="179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60" w:type="dxa"/>
            <w:vAlign w:val="bottom"/>
          </w:tcPr>
          <w:p>
            <w:pPr>
              <w:jc w:val="center"/>
              <w:ind w:right="2170"/>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660" w:type="dxa"/>
            <w:vAlign w:val="bottom"/>
          </w:tcPr>
          <w:p>
            <w:pPr>
              <w:jc w:val="center"/>
              <w:ind w:left="179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20" w:type="dxa"/>
            <w:vAlign w:val="bottom"/>
            <w:gridSpan w:val="2"/>
          </w:tcPr>
          <w:p>
            <w:pPr>
              <w:jc w:val="center"/>
              <w:ind w:right="1610"/>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192"/>
        </w:trPr>
        <w:tc>
          <w:tcPr>
            <w:tcW w:w="3660" w:type="dxa"/>
            <w:vAlign w:val="bottom"/>
          </w:tcPr>
          <w:p>
            <w:pPr>
              <w:jc w:val="center"/>
              <w:ind w:left="1810"/>
              <w:spacing w:after="0"/>
              <w:rPr>
                <w:sz w:val="20"/>
                <w:szCs w:val="20"/>
                <w:color w:val="auto"/>
              </w:rPr>
            </w:pPr>
            <w:r>
              <w:rPr>
                <w:rFonts w:ascii="Times New Roman" w:cs="Times New Roman" w:eastAsia="Times New Roman" w:hAnsi="Times New Roman"/>
                <w:sz w:val="14"/>
                <w:szCs w:val="14"/>
                <w:b w:val="1"/>
                <w:bCs w:val="1"/>
                <w:color w:val="auto"/>
              </w:rPr>
              <w:t>100 Campus Drive, Suite 102</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660" w:type="dxa"/>
            <w:vAlign w:val="bottom"/>
          </w:tcPr>
          <w:p>
            <w:pPr>
              <w:jc w:val="center"/>
              <w:ind w:left="1790"/>
              <w:spacing w:after="0"/>
              <w:rPr>
                <w:sz w:val="20"/>
                <w:szCs w:val="20"/>
                <w:color w:val="auto"/>
              </w:rPr>
            </w:pPr>
            <w:r>
              <w:rPr>
                <w:rFonts w:ascii="Times New Roman" w:cs="Times New Roman" w:eastAsia="Times New Roman" w:hAnsi="Times New Roman"/>
                <w:sz w:val="14"/>
                <w:szCs w:val="14"/>
                <w:b w:val="1"/>
                <w:bCs w:val="1"/>
                <w:color w:val="auto"/>
              </w:rPr>
              <w:t>Florham Park, New Jersey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60" w:type="dxa"/>
            <w:vAlign w:val="bottom"/>
          </w:tcPr>
          <w:p>
            <w:pPr>
              <w:jc w:val="right"/>
              <w:ind w:right="2490"/>
              <w:spacing w:after="0"/>
              <w:rPr>
                <w:sz w:val="20"/>
                <w:szCs w:val="20"/>
                <w:color w:val="auto"/>
              </w:rPr>
            </w:pPr>
            <w:r>
              <w:rPr>
                <w:rFonts w:ascii="Times New Roman" w:cs="Times New Roman" w:eastAsia="Times New Roman" w:hAnsi="Times New Roman"/>
                <w:sz w:val="14"/>
                <w:szCs w:val="14"/>
                <w:b w:val="1"/>
                <w:bCs w:val="1"/>
                <w:color w:val="auto"/>
              </w:rPr>
              <w:t>07932</w:t>
            </w:r>
          </w:p>
        </w:tc>
        <w:tc>
          <w:tcPr>
            <w:tcW w:w="0" w:type="dxa"/>
            <w:vAlign w:val="bottom"/>
          </w:tcPr>
          <w:p>
            <w:pPr>
              <w:spacing w:after="0"/>
              <w:rPr>
                <w:sz w:val="1"/>
                <w:szCs w:val="1"/>
                <w:color w:val="auto"/>
              </w:rPr>
            </w:pPr>
          </w:p>
        </w:tc>
      </w:tr>
      <w:tr>
        <w:trPr>
          <w:trHeight w:val="178"/>
        </w:trPr>
        <w:tc>
          <w:tcPr>
            <w:tcW w:w="7420" w:type="dxa"/>
            <w:vAlign w:val="bottom"/>
            <w:gridSpan w:val="8"/>
          </w:tcPr>
          <w:p>
            <w:pPr>
              <w:jc w:val="center"/>
              <w:ind w:right="19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60" w:type="dxa"/>
            <w:vAlign w:val="bottom"/>
          </w:tcPr>
          <w:p>
            <w:pPr>
              <w:spacing w:after="0"/>
              <w:rPr>
                <w:sz w:val="15"/>
                <w:szCs w:val="15"/>
                <w:color w:val="auto"/>
              </w:rPr>
            </w:pPr>
          </w:p>
        </w:tc>
        <w:tc>
          <w:tcPr>
            <w:tcW w:w="3260" w:type="dxa"/>
            <w:vAlign w:val="bottom"/>
          </w:tcPr>
          <w:p>
            <w:pPr>
              <w:jc w:val="center"/>
              <w:ind w:right="217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07"/>
        </w:trPr>
        <w:tc>
          <w:tcPr>
            <w:tcW w:w="7980" w:type="dxa"/>
            <w:vAlign w:val="bottom"/>
            <w:gridSpan w:val="9"/>
          </w:tcPr>
          <w:p>
            <w:pPr>
              <w:jc w:val="center"/>
              <w:ind w:left="319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(877) 742-8466</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6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60" w:type="dxa"/>
            <w:vAlign w:val="bottom"/>
          </w:tcPr>
          <w:p>
            <w:pPr>
              <w:jc w:val="center"/>
              <w:ind w:left="67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20" w:type="dxa"/>
            <w:vAlign w:val="bottom"/>
            <w:gridSpan w:val="2"/>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58"/>
        </w:trPr>
        <w:tc>
          <w:tcPr>
            <w:tcW w:w="3660" w:type="dxa"/>
            <w:vAlign w:val="bottom"/>
            <w:tcBorders>
              <w:top w:val="single" w:sz="8" w:color="auto"/>
            </w:tcBorders>
          </w:tcPr>
          <w:p>
            <w:pPr>
              <w:jc w:val="center"/>
              <w:ind w:left="670"/>
              <w:spacing w:after="0"/>
              <w:rPr>
                <w:sz w:val="20"/>
                <w:szCs w:val="20"/>
                <w:color w:val="auto"/>
              </w:rPr>
            </w:pPr>
            <w:r>
              <w:rPr>
                <w:rFonts w:ascii="Times New Roman" w:cs="Times New Roman" w:eastAsia="Times New Roman" w:hAnsi="Times New Roman"/>
                <w:sz w:val="13"/>
                <w:szCs w:val="13"/>
                <w:b w:val="1"/>
                <w:bCs w:val="1"/>
                <w:color w:val="auto"/>
              </w:rPr>
              <w:t>Common Stock, par value $0.0001 per share</w:t>
            </w: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PHAT</w:t>
            </w: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tcPr>
          <w:p>
            <w:pPr>
              <w:jc w:val="center"/>
              <w:ind w:right="1030"/>
              <w:spacing w:after="0"/>
              <w:rPr>
                <w:sz w:val="20"/>
                <w:szCs w:val="20"/>
                <w:color w:val="auto"/>
              </w:rPr>
            </w:pPr>
            <w:r>
              <w:rPr>
                <w:rFonts w:ascii="Times New Roman" w:cs="Times New Roman" w:eastAsia="Times New Roman" w:hAnsi="Times New Roman"/>
                <w:sz w:val="13"/>
                <w:szCs w:val="13"/>
                <w:b w:val="1"/>
                <w:bCs w:val="1"/>
                <w:color w:val="auto"/>
              </w:rPr>
              <w:t>The Nasdaq Global Select Market</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4320" w:type="dxa"/>
            <w:vAlign w:val="bottom"/>
            <w:gridSpan w:val="8"/>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00" w:type="dxa"/>
            <w:vAlign w:val="bottom"/>
            <w:gridSpan w:val="3"/>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680" w:type="dxa"/>
            <w:vAlign w:val="bottom"/>
            <w:gridSpan w:val="3"/>
          </w:tcPr>
          <w:p>
            <w:pPr>
              <w:spacing w:after="0"/>
              <w:rPr>
                <w:sz w:val="2"/>
                <w:szCs w:val="2"/>
                <w:color w:val="auto"/>
              </w:rPr>
            </w:pPr>
          </w:p>
        </w:tc>
        <w:tc>
          <w:tcPr>
            <w:tcW w:w="56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6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9"/>
        </w:trPr>
        <w:tc>
          <w:tcPr>
            <w:tcW w:w="742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vMerge w:val="continue"/>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12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509"/>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82"/>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8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94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8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9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6"/>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58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ind w:right="40" w:firstLine="509"/>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 Oxley Act (15 U.S.C. 7262 (b))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82"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000000"/>
        </w:rPr>
        <w:t>☐</w:t>
      </w:r>
    </w:p>
    <w:p>
      <w:pPr>
        <w:spacing w:after="0" w:line="1" w:lineRule="exact"/>
        <w:rPr>
          <w:sz w:val="24"/>
          <w:szCs w:val="24"/>
          <w:color w:val="auto"/>
        </w:rPr>
      </w:pPr>
    </w:p>
    <w:p>
      <w:pPr>
        <w:ind w:right="340" w:firstLine="509"/>
        <w:spacing w:after="0" w:line="182"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 w:lineRule="exact"/>
        <w:rPr>
          <w:sz w:val="24"/>
          <w:szCs w:val="24"/>
          <w:color w:val="auto"/>
        </w:rPr>
      </w:pPr>
    </w:p>
    <w:p>
      <w:pPr>
        <w:ind w:left="520"/>
        <w:spacing w:after="0" w:line="161" w:lineRule="exact"/>
        <w:tabs>
          <w:tab w:leader="none" w:pos="70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ind w:right="60" w:firstLine="509"/>
        <w:spacing w:after="0" w:line="245" w:lineRule="auto"/>
        <w:rPr>
          <w:sz w:val="20"/>
          <w:szCs w:val="20"/>
          <w:color w:val="auto"/>
        </w:rPr>
      </w:pPr>
      <w:r>
        <w:rPr>
          <w:rFonts w:ascii="Times New Roman" w:cs="Times New Roman" w:eastAsia="Times New Roman" w:hAnsi="Times New Roman"/>
          <w:sz w:val="14"/>
          <w:szCs w:val="14"/>
          <w:color w:val="auto"/>
        </w:rPr>
        <w:t>As of June 30, 2025, the aggregate market value of the registrant’s common stock held by non-affiliates of the registrant was approximately $555.5 million, based on the closing price of the registrant’s common stock on the Nasdaq Global Select Market of $9.59 per share.</w:t>
      </w:r>
    </w:p>
    <w:p>
      <w:pPr>
        <w:ind w:left="520"/>
        <w:spacing w:after="0"/>
        <w:rPr>
          <w:sz w:val="20"/>
          <w:szCs w:val="20"/>
          <w:color w:val="auto"/>
        </w:rPr>
      </w:pPr>
      <w:r>
        <w:rPr>
          <w:rFonts w:ascii="Times New Roman" w:cs="Times New Roman" w:eastAsia="Times New Roman" w:hAnsi="Times New Roman"/>
          <w:sz w:val="14"/>
          <w:szCs w:val="14"/>
          <w:color w:val="auto"/>
        </w:rPr>
        <w:t>As of February 23, 2026, the registrant had 78,798,712 shares of common stock ($0.0001 par value) outstanding.</w:t>
      </w:r>
    </w:p>
    <w:p>
      <w:pPr>
        <w:spacing w:after="0" w:line="1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right="620" w:firstLine="509"/>
        <w:spacing w:after="0" w:line="261" w:lineRule="auto"/>
        <w:rPr>
          <w:sz w:val="20"/>
          <w:szCs w:val="20"/>
          <w:color w:val="auto"/>
        </w:rPr>
      </w:pPr>
      <w:r>
        <w:rPr>
          <w:rFonts w:ascii="Times New Roman" w:cs="Times New Roman" w:eastAsia="Times New Roman" w:hAnsi="Times New Roman"/>
          <w:sz w:val="14"/>
          <w:szCs w:val="14"/>
          <w:color w:val="auto"/>
        </w:rPr>
        <w:t>Certain sections of the registrant’s definitive proxy statement for the 2026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60" w:type="dxa"/>
            <w:vAlign w:val="bottom"/>
            <w:gridSpan w:val="15"/>
          </w:tcPr>
          <w:p>
            <w:pPr>
              <w:jc w:val="center"/>
              <w:ind w:right="2340"/>
              <w:spacing w:after="0"/>
              <w:rPr>
                <w:sz w:val="20"/>
                <w:szCs w:val="20"/>
                <w:color w:val="auto"/>
              </w:rPr>
            </w:pPr>
            <w:r>
              <w:rPr>
                <w:rFonts w:ascii="Arial" w:cs="Arial" w:eastAsia="Arial" w:hAnsi="Arial"/>
                <w:sz w:val="18"/>
                <w:szCs w:val="18"/>
                <w:b w:val="1"/>
                <w:bCs w:val="1"/>
                <w:color w:val="auto"/>
                <w:w w:val="99"/>
              </w:rPr>
              <w:t>PHATHOM PHARMACEUTICALS, INC.</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11"/>
          </w:tcPr>
          <w:p>
            <w:pPr>
              <w:jc w:val="center"/>
              <w:ind w:right="2940"/>
              <w:spacing w:after="0"/>
              <w:rPr>
                <w:sz w:val="20"/>
                <w:szCs w:val="20"/>
                <w:color w:val="auto"/>
              </w:rPr>
            </w:pPr>
            <w:r>
              <w:rPr>
                <w:rFonts w:ascii="Arial" w:cs="Arial" w:eastAsia="Arial" w:hAnsi="Arial"/>
                <w:sz w:val="18"/>
                <w:szCs w:val="18"/>
                <w:b w:val="1"/>
                <w:bCs w:val="1"/>
                <w:color w:val="auto"/>
                <w:w w:val="99"/>
              </w:rPr>
              <w:t>TABLE OF CONTENTS</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11"/>
          </w:tcPr>
          <w:p>
            <w:pPr>
              <w:jc w:val="center"/>
              <w:ind w:right="2920"/>
              <w:spacing w:after="0"/>
              <w:rPr>
                <w:sz w:val="20"/>
                <w:szCs w:val="20"/>
                <w:color w:val="auto"/>
              </w:rPr>
            </w:pPr>
            <w:r>
              <w:rPr>
                <w:rFonts w:ascii="Arial" w:cs="Arial" w:eastAsia="Arial" w:hAnsi="Arial"/>
                <w:sz w:val="18"/>
                <w:szCs w:val="18"/>
                <w:b w:val="1"/>
                <w:bCs w:val="1"/>
                <w:color w:val="auto"/>
                <w:w w:val="98"/>
              </w:rPr>
              <w:t>FORM 10-K</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60" w:type="dxa"/>
            <w:vAlign w:val="bottom"/>
            <w:gridSpan w:val="15"/>
          </w:tcPr>
          <w:p>
            <w:pPr>
              <w:jc w:val="center"/>
              <w:ind w:right="2340"/>
              <w:spacing w:after="0"/>
              <w:rPr>
                <w:sz w:val="20"/>
                <w:szCs w:val="20"/>
                <w:color w:val="auto"/>
              </w:rPr>
            </w:pPr>
            <w:r>
              <w:rPr>
                <w:rFonts w:ascii="Arial" w:cs="Arial" w:eastAsia="Arial" w:hAnsi="Arial"/>
                <w:sz w:val="18"/>
                <w:szCs w:val="18"/>
                <w:b w:val="1"/>
                <w:bCs w:val="1"/>
                <w:color w:val="auto"/>
                <w:w w:val="99"/>
              </w:rPr>
              <w:t>For the Year Ended December 31, 2025</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11"/>
          </w:tcPr>
          <w:p>
            <w:pPr>
              <w:jc w:val="center"/>
              <w:ind w:right="2880"/>
              <w:spacing w:after="0"/>
              <w:rPr>
                <w:sz w:val="20"/>
                <w:szCs w:val="20"/>
                <w:color w:val="auto"/>
              </w:rPr>
            </w:pPr>
            <w:r>
              <w:rPr>
                <w:rFonts w:ascii="Arial" w:cs="Arial" w:eastAsia="Arial" w:hAnsi="Arial"/>
                <w:sz w:val="18"/>
                <w:szCs w:val="18"/>
                <w:b w:val="1"/>
                <w:bCs w:val="1"/>
                <w:color w:val="auto"/>
              </w:rPr>
              <w:t>INDEX</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040" w:type="dxa"/>
            <w:vAlign w:val="bottom"/>
          </w:tcPr>
          <w:p>
            <w:pPr>
              <w:spacing w:after="0"/>
              <w:rPr>
                <w:sz w:val="24"/>
                <w:szCs w:val="24"/>
                <w:color w:val="auto"/>
              </w:rPr>
            </w:pPr>
          </w:p>
        </w:tc>
        <w:tc>
          <w:tcPr>
            <w:tcW w:w="1220" w:type="dxa"/>
            <w:vAlign w:val="bottom"/>
            <w:gridSpan w:val="5"/>
          </w:tcPr>
          <w:p>
            <w:pPr>
              <w:spacing w:after="0"/>
              <w:rPr>
                <w:sz w:val="20"/>
                <w:szCs w:val="20"/>
                <w:color w:val="auto"/>
              </w:rPr>
            </w:pPr>
            <w:r>
              <w:rPr>
                <w:rFonts w:ascii="Arial" w:cs="Arial" w:eastAsia="Arial" w:hAnsi="Arial"/>
                <w:sz w:val="18"/>
                <w:szCs w:val="18"/>
                <w:b w:val="1"/>
                <w:bCs w:val="1"/>
                <w:color w:val="0000FF"/>
              </w:rPr>
              <w:t>PART I</w:t>
            </w:r>
          </w:p>
        </w:tc>
        <w:tc>
          <w:tcPr>
            <w:tcW w:w="7340" w:type="dxa"/>
            <w:vAlign w:val="bottom"/>
            <w:gridSpan w:val="26"/>
            <w:vMerge w:val="restart"/>
          </w:tcPr>
          <w:p>
            <w:pPr>
              <w:spacing w:after="0"/>
              <w:rPr>
                <w:sz w:val="20"/>
                <w:szCs w:val="20"/>
                <w:color w:val="auto"/>
              </w:rPr>
            </w:pPr>
            <w:r>
              <w:rPr>
                <w:rFonts w:ascii="Arial" w:cs="Arial" w:eastAsia="Arial" w:hAnsi="Arial"/>
                <w:sz w:val="18"/>
                <w:szCs w:val="18"/>
                <w:color w:val="0000FF"/>
              </w:rPr>
              <w:t>Business</w:t>
            </w:r>
          </w:p>
        </w:tc>
        <w:tc>
          <w:tcPr>
            <w:tcW w:w="1640" w:type="dxa"/>
            <w:vAlign w:val="bottom"/>
            <w:vMerge w:val="restart"/>
          </w:tcPr>
          <w:p>
            <w:pPr>
              <w:jc w:val="right"/>
              <w:ind w:right="9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340" w:type="dxa"/>
            <w:vAlign w:val="bottom"/>
            <w:gridSpan w:val="26"/>
            <w:vMerge w:val="continue"/>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8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340" w:type="dxa"/>
            <w:vAlign w:val="bottom"/>
            <w:gridSpan w:val="26"/>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1A.</w:t>
            </w:r>
          </w:p>
        </w:tc>
        <w:tc>
          <w:tcPr>
            <w:tcW w:w="20" w:type="dxa"/>
            <w:vAlign w:val="bottom"/>
            <w:vMerge w:val="restart"/>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7320" w:type="dxa"/>
            <w:vAlign w:val="bottom"/>
            <w:gridSpan w:val="25"/>
          </w:tcPr>
          <w:p>
            <w:pPr>
              <w:spacing w:after="0" w:line="182" w:lineRule="exact"/>
              <w:rPr>
                <w:sz w:val="20"/>
                <w:szCs w:val="20"/>
                <w:color w:val="auto"/>
              </w:rPr>
            </w:pPr>
            <w:r>
              <w:rPr>
                <w:rFonts w:ascii="Arial" w:cs="Arial" w:eastAsia="Arial" w:hAnsi="Arial"/>
                <w:sz w:val="18"/>
                <w:szCs w:val="18"/>
                <w:color w:val="0000FF"/>
              </w:rPr>
              <w:t>Risk Factors</w:t>
            </w: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1B.</w:t>
            </w: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320" w:type="dxa"/>
            <w:vAlign w:val="bottom"/>
            <w:gridSpan w:val="21"/>
            <w:vMerge w:val="restart"/>
          </w:tcPr>
          <w:p>
            <w:pPr>
              <w:spacing w:after="0" w:line="202" w:lineRule="exact"/>
              <w:rPr>
                <w:sz w:val="20"/>
                <w:szCs w:val="20"/>
                <w:color w:val="auto"/>
              </w:rPr>
            </w:pPr>
            <w:r>
              <w:rPr>
                <w:rFonts w:ascii="Arial" w:cs="Arial" w:eastAsia="Arial" w:hAnsi="Arial"/>
                <w:sz w:val="18"/>
                <w:szCs w:val="18"/>
                <w:color w:val="0000FF"/>
              </w:rPr>
              <w:t>Staff Comments</w:t>
            </w: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1020" w:type="dxa"/>
            <w:vAlign w:val="bottom"/>
            <w:gridSpan w:val="5"/>
          </w:tcPr>
          <w:p>
            <w:pPr>
              <w:spacing w:after="0" w:line="182" w:lineRule="exact"/>
              <w:rPr>
                <w:sz w:val="20"/>
                <w:szCs w:val="20"/>
                <w:color w:val="auto"/>
              </w:rPr>
            </w:pPr>
            <w:r>
              <w:rPr>
                <w:rFonts w:ascii="Arial" w:cs="Arial" w:eastAsia="Arial" w:hAnsi="Arial"/>
                <w:sz w:val="18"/>
                <w:szCs w:val="18"/>
                <w:color w:val="0000FF"/>
              </w:rPr>
              <w:t>Unresolved</w:t>
            </w:r>
          </w:p>
        </w:tc>
        <w:tc>
          <w:tcPr>
            <w:tcW w:w="6320" w:type="dxa"/>
            <w:vAlign w:val="bottom"/>
            <w:gridSpan w:val="21"/>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1C.</w:t>
            </w: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2260" w:type="dxa"/>
            <w:vAlign w:val="bottom"/>
            <w:gridSpan w:val="15"/>
          </w:tcPr>
          <w:p>
            <w:pPr>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1100" w:type="dxa"/>
            <w:vAlign w:val="bottom"/>
            <w:gridSpan w:val="6"/>
          </w:tcPr>
          <w:p>
            <w:pPr>
              <w:spacing w:after="0" w:line="182" w:lineRule="exact"/>
              <w:rPr>
                <w:sz w:val="20"/>
                <w:szCs w:val="20"/>
                <w:color w:val="auto"/>
              </w:rPr>
            </w:pPr>
            <w:r>
              <w:rPr>
                <w:rFonts w:ascii="Arial" w:cs="Arial" w:eastAsia="Arial" w:hAnsi="Arial"/>
                <w:sz w:val="18"/>
                <w:szCs w:val="18"/>
                <w:color w:val="0000FF"/>
              </w:rPr>
              <w:t>Properties</w:t>
            </w:r>
          </w:p>
        </w:tc>
        <w:tc>
          <w:tcPr>
            <w:tcW w:w="3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7340" w:type="dxa"/>
            <w:vAlign w:val="bottom"/>
            <w:gridSpan w:val="26"/>
          </w:tcPr>
          <w:p>
            <w:pPr>
              <w:spacing w:after="0" w:line="182" w:lineRule="exact"/>
              <w:rPr>
                <w:sz w:val="20"/>
                <w:szCs w:val="20"/>
                <w:color w:val="auto"/>
              </w:rPr>
            </w:pPr>
            <w:r>
              <w:rPr>
                <w:rFonts w:ascii="Arial" w:cs="Arial" w:eastAsia="Arial" w:hAnsi="Arial"/>
                <w:sz w:val="18"/>
                <w:szCs w:val="18"/>
                <w:color w:val="0000FF"/>
              </w:rPr>
              <w:t>Legal Proceedings</w:t>
            </w: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7340" w:type="dxa"/>
            <w:vAlign w:val="bottom"/>
            <w:gridSpan w:val="26"/>
          </w:tcPr>
          <w:p>
            <w:pPr>
              <w:spacing w:after="0" w:line="182" w:lineRule="exact"/>
              <w:rPr>
                <w:sz w:val="20"/>
                <w:szCs w:val="20"/>
                <w:color w:val="auto"/>
              </w:rPr>
            </w:pPr>
            <w:r>
              <w:rPr>
                <w:rFonts w:ascii="Arial" w:cs="Arial" w:eastAsia="Arial" w:hAnsi="Arial"/>
                <w:sz w:val="18"/>
                <w:szCs w:val="18"/>
                <w:color w:val="0000FF"/>
              </w:rPr>
              <w:t>Mine Safety Disclosures</w:t>
            </w: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rPr>
                <w:sz w:val="20"/>
                <w:szCs w:val="20"/>
                <w:color w:val="auto"/>
              </w:rPr>
            </w:pPr>
            <w:r>
              <w:rPr>
                <w:rFonts w:ascii="Arial" w:cs="Arial" w:eastAsia="Arial" w:hAnsi="Arial"/>
                <w:sz w:val="18"/>
                <w:szCs w:val="18"/>
                <w:b w:val="1"/>
                <w:bCs w:val="1"/>
                <w:color w:val="0000FF"/>
              </w:rPr>
              <w:t>PART II</w:t>
            </w: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1220" w:type="dxa"/>
            <w:vAlign w:val="bottom"/>
            <w:gridSpan w:val="5"/>
            <w:vMerge w:val="continue"/>
          </w:tcPr>
          <w:p>
            <w:pPr>
              <w:spacing w:after="0"/>
              <w:rPr>
                <w:sz w:val="24"/>
                <w:szCs w:val="24"/>
                <w:color w:val="auto"/>
              </w:rPr>
            </w:pPr>
          </w:p>
        </w:tc>
        <w:tc>
          <w:tcPr>
            <w:tcW w:w="7340" w:type="dxa"/>
            <w:vAlign w:val="bottom"/>
            <w:gridSpan w:val="26"/>
            <w:vMerge w:val="restart"/>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340" w:type="dxa"/>
            <w:vAlign w:val="bottom"/>
            <w:gridSpan w:val="26"/>
            <w:vMerge w:val="continu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62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340" w:type="dxa"/>
            <w:vAlign w:val="bottom"/>
            <w:gridSpan w:val="26"/>
            <w:vMerge w:val="continue"/>
          </w:tcPr>
          <w:p>
            <w:pPr>
              <w:spacing w:after="0"/>
              <w:rPr>
                <w:sz w:val="15"/>
                <w:szCs w:val="15"/>
                <w:color w:val="auto"/>
              </w:rPr>
            </w:pPr>
          </w:p>
        </w:tc>
        <w:tc>
          <w:tcPr>
            <w:tcW w:w="1640" w:type="dxa"/>
            <w:vAlign w:val="bottom"/>
            <w:vMerge w:val="restart"/>
          </w:tcPr>
          <w:p>
            <w:pPr>
              <w:jc w:val="right"/>
              <w:ind w:right="93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32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of Equity Securities</w:t>
            </w: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1540" w:type="dxa"/>
            <w:vAlign w:val="bottom"/>
            <w:gridSpan w:val="9"/>
          </w:tcPr>
          <w:p>
            <w:pPr>
              <w:spacing w:after="0" w:line="182" w:lineRule="exact"/>
              <w:rPr>
                <w:sz w:val="20"/>
                <w:szCs w:val="20"/>
                <w:color w:val="auto"/>
              </w:rPr>
            </w:pPr>
            <w:r>
              <w:rPr>
                <w:rFonts w:ascii="Arial" w:cs="Arial" w:eastAsia="Arial" w:hAnsi="Arial"/>
                <w:sz w:val="18"/>
                <w:szCs w:val="18"/>
                <w:color w:val="0000FF"/>
              </w:rPr>
              <w:t>[Reserved]</w:t>
            </w:r>
          </w:p>
        </w:tc>
        <w:tc>
          <w:tcPr>
            <w:tcW w:w="8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7.</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7340" w:type="dxa"/>
            <w:vAlign w:val="bottom"/>
            <w:gridSpan w:val="26"/>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7A.</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7080" w:type="dxa"/>
            <w:vAlign w:val="bottom"/>
            <w:gridSpan w:val="24"/>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8.</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20" w:type="dxa"/>
            <w:vAlign w:val="bottom"/>
            <w:gridSpan w:val="2"/>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4720" w:type="dxa"/>
            <w:vAlign w:val="bottom"/>
            <w:gridSpan w:val="20"/>
          </w:tcPr>
          <w:p>
            <w:pPr>
              <w:spacing w:after="0" w:line="182" w:lineRule="exact"/>
              <w:rPr>
                <w:sz w:val="20"/>
                <w:szCs w:val="20"/>
                <w:color w:val="auto"/>
              </w:rPr>
            </w:pPr>
            <w:r>
              <w:rPr>
                <w:rFonts w:ascii="Arial" w:cs="Arial" w:eastAsia="Arial" w:hAnsi="Arial"/>
                <w:sz w:val="18"/>
                <w:szCs w:val="18"/>
                <w:color w:val="0000FF"/>
              </w:rPr>
              <w:t>Financial Statements and Supplementary Data</w:t>
            </w: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9.</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600" w:type="dxa"/>
            <w:vAlign w:val="bottom"/>
            <w:gridSpan w:val="8"/>
            <w:vMerge w:val="restart"/>
          </w:tcPr>
          <w:p>
            <w:pPr>
              <w:ind w:left="240"/>
              <w:spacing w:after="0" w:line="202" w:lineRule="exact"/>
              <w:rPr>
                <w:sz w:val="20"/>
                <w:szCs w:val="20"/>
                <w:color w:val="auto"/>
              </w:rPr>
            </w:pPr>
            <w:r>
              <w:rPr>
                <w:rFonts w:ascii="Arial" w:cs="Arial" w:eastAsia="Arial" w:hAnsi="Arial"/>
                <w:sz w:val="18"/>
                <w:szCs w:val="18"/>
                <w:color w:val="0000FF"/>
              </w:rPr>
              <w:t>on Accounting and Financial Disclosure</w:t>
            </w: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3740" w:type="dxa"/>
            <w:vAlign w:val="bottom"/>
            <w:gridSpan w:val="18"/>
          </w:tcPr>
          <w:p>
            <w:pPr>
              <w:spacing w:after="0" w:line="182" w:lineRule="exact"/>
              <w:rPr>
                <w:sz w:val="20"/>
                <w:szCs w:val="20"/>
                <w:color w:val="auto"/>
              </w:rPr>
            </w:pPr>
            <w:r>
              <w:rPr>
                <w:rFonts w:ascii="Arial" w:cs="Arial" w:eastAsia="Arial" w:hAnsi="Arial"/>
                <w:sz w:val="18"/>
                <w:szCs w:val="18"/>
                <w:color w:val="0000FF"/>
                <w:w w:val="94"/>
              </w:rPr>
              <w:t>Changes in and Disagreements with Accountants</w:t>
            </w:r>
          </w:p>
        </w:tc>
        <w:tc>
          <w:tcPr>
            <w:tcW w:w="3600" w:type="dxa"/>
            <w:vAlign w:val="bottom"/>
            <w:gridSpan w:val="8"/>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9A.</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7140" w:type="dxa"/>
            <w:vAlign w:val="bottom"/>
            <w:gridSpan w:val="25"/>
          </w:tcPr>
          <w:p>
            <w:pPr>
              <w:spacing w:after="0" w:line="182" w:lineRule="exact"/>
              <w:rPr>
                <w:sz w:val="20"/>
                <w:szCs w:val="20"/>
                <w:color w:val="auto"/>
              </w:rPr>
            </w:pPr>
            <w:r>
              <w:rPr>
                <w:rFonts w:ascii="Arial" w:cs="Arial" w:eastAsia="Arial" w:hAnsi="Arial"/>
                <w:sz w:val="18"/>
                <w:szCs w:val="18"/>
                <w:color w:val="0000FF"/>
              </w:rPr>
              <w:t>Controls and Procedures</w:t>
            </w:r>
          </w:p>
        </w:tc>
        <w:tc>
          <w:tcPr>
            <w:tcW w:w="20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9B.</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80" w:type="dxa"/>
            <w:vAlign w:val="bottom"/>
            <w:gridSpan w:val="2"/>
            <w:vMerge w:val="restart"/>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20" w:type="dxa"/>
            <w:vAlign w:val="bottom"/>
            <w:gridSpan w:val="3"/>
            <w:vMerge w:val="restart"/>
          </w:tcPr>
          <w:p>
            <w:pPr>
              <w:spacing w:after="0" w:line="20" w:lineRule="exact"/>
              <w:rPr>
                <w:sz w:val="1"/>
                <w:szCs w:val="1"/>
                <w:color w:val="auto"/>
              </w:rPr>
            </w:pP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2000" w:type="dxa"/>
            <w:vAlign w:val="bottom"/>
            <w:gridSpan w:val="13"/>
          </w:tcPr>
          <w:p>
            <w:pPr>
              <w:spacing w:after="0" w:line="182" w:lineRule="exact"/>
              <w:rPr>
                <w:sz w:val="20"/>
                <w:szCs w:val="20"/>
                <w:color w:val="auto"/>
              </w:rPr>
            </w:pPr>
            <w:r>
              <w:rPr>
                <w:rFonts w:ascii="Arial" w:cs="Arial" w:eastAsia="Arial" w:hAnsi="Arial"/>
                <w:sz w:val="18"/>
                <w:szCs w:val="18"/>
                <w:color w:val="0000FF"/>
              </w:rPr>
              <w:t>Other Information</w:t>
            </w:r>
          </w:p>
        </w:tc>
        <w:tc>
          <w:tcPr>
            <w:tcW w:w="2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9C.</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231F20"/>
              </w:rPr>
              <w:t>94</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7340" w:type="dxa"/>
            <w:vAlign w:val="bottom"/>
            <w:gridSpan w:val="26"/>
          </w:tcPr>
          <w:p>
            <w:pPr>
              <w:spacing w:after="0" w:line="18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rPr>
                <w:sz w:val="20"/>
                <w:szCs w:val="20"/>
                <w:color w:val="auto"/>
              </w:rPr>
            </w:pPr>
            <w:r>
              <w:rPr>
                <w:rFonts w:ascii="Arial" w:cs="Arial" w:eastAsia="Arial" w:hAnsi="Arial"/>
                <w:sz w:val="18"/>
                <w:szCs w:val="18"/>
                <w:b w:val="1"/>
                <w:bCs w:val="1"/>
                <w:color w:val="0000FF"/>
              </w:rPr>
              <w:t>PART III</w:t>
            </w: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1220" w:type="dxa"/>
            <w:vAlign w:val="bottom"/>
            <w:gridSpan w:val="5"/>
            <w:vMerge w:val="continue"/>
          </w:tcPr>
          <w:p>
            <w:pPr>
              <w:spacing w:after="0"/>
              <w:rPr>
                <w:sz w:val="24"/>
                <w:szCs w:val="24"/>
                <w:color w:val="auto"/>
              </w:rPr>
            </w:pPr>
          </w:p>
        </w:tc>
        <w:tc>
          <w:tcPr>
            <w:tcW w:w="7340" w:type="dxa"/>
            <w:vAlign w:val="bottom"/>
            <w:gridSpan w:val="26"/>
            <w:vMerge w:val="restart"/>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1640" w:type="dxa"/>
            <w:vAlign w:val="bottom"/>
            <w:vMerge w:val="restart"/>
          </w:tcPr>
          <w:p>
            <w:pPr>
              <w:jc w:val="right"/>
              <w:ind w:right="93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340" w:type="dxa"/>
            <w:vAlign w:val="bottom"/>
            <w:gridSpan w:val="26"/>
            <w:vMerge w:val="continue"/>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680" w:type="dxa"/>
            <w:vAlign w:val="bottom"/>
            <w:gridSpan w:val="3"/>
          </w:tcPr>
          <w:p>
            <w:pPr>
              <w:spacing w:after="0" w:line="182" w:lineRule="exact"/>
              <w:rPr>
                <w:sz w:val="20"/>
                <w:szCs w:val="20"/>
                <w:color w:val="auto"/>
              </w:rPr>
            </w:pPr>
            <w:r>
              <w:rPr>
                <w:rFonts w:ascii="Arial" w:cs="Arial" w:eastAsia="Arial" w:hAnsi="Arial"/>
                <w:sz w:val="18"/>
                <w:szCs w:val="18"/>
                <w:color w:val="auto"/>
              </w:rPr>
              <w:t>Item 10.</w:t>
            </w:r>
          </w:p>
        </w:tc>
        <w:tc>
          <w:tcPr>
            <w:tcW w:w="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340" w:type="dxa"/>
            <w:vAlign w:val="bottom"/>
            <w:gridSpan w:val="26"/>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tcPr>
          <w:p>
            <w:pPr>
              <w:spacing w:after="0" w:line="182" w:lineRule="exact"/>
              <w:rPr>
                <w:sz w:val="20"/>
                <w:szCs w:val="20"/>
                <w:color w:val="auto"/>
              </w:rPr>
            </w:pPr>
            <w:r>
              <w:rPr>
                <w:rFonts w:ascii="Arial" w:cs="Arial" w:eastAsia="Arial" w:hAnsi="Arial"/>
                <w:sz w:val="18"/>
                <w:szCs w:val="18"/>
                <w:color w:val="auto"/>
              </w:rPr>
              <w:t>Item 11.</w:t>
            </w:r>
          </w:p>
        </w:tc>
        <w:tc>
          <w:tcPr>
            <w:tcW w:w="20" w:type="dxa"/>
            <w:vAlign w:val="bottom"/>
            <w:tcBorders>
              <w:bottom w:val="single" w:sz="8" w:color="0000EE"/>
            </w:tcBorders>
          </w:tcPr>
          <w:p>
            <w:pPr>
              <w:spacing w:after="0"/>
              <w:rPr>
                <w:sz w:val="15"/>
                <w:szCs w:val="15"/>
                <w:color w:val="auto"/>
              </w:rPr>
            </w:pPr>
          </w:p>
        </w:tc>
        <w:tc>
          <w:tcPr>
            <w:tcW w:w="1980" w:type="dxa"/>
            <w:vAlign w:val="bottom"/>
            <w:tcBorders>
              <w:top w:val="single" w:sz="8" w:color="0000FF"/>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5"/>
                <w:szCs w:val="15"/>
                <w:color w:val="auto"/>
              </w:rPr>
            </w:pPr>
          </w:p>
        </w:tc>
        <w:tc>
          <w:tcPr>
            <w:tcW w:w="2480" w:type="dxa"/>
            <w:vAlign w:val="bottom"/>
            <w:tcBorders>
              <w:top w:val="single" w:sz="8" w:color="0000FF"/>
            </w:tcBorders>
            <w:gridSpan w:val="5"/>
          </w:tcPr>
          <w:p>
            <w:pPr>
              <w:spacing w:after="0"/>
              <w:rPr>
                <w:sz w:val="15"/>
                <w:szCs w:val="15"/>
                <w:color w:val="auto"/>
              </w:rPr>
            </w:pPr>
          </w:p>
        </w:tc>
        <w:tc>
          <w:tcPr>
            <w:tcW w:w="1580" w:type="dxa"/>
            <w:vAlign w:val="bottom"/>
            <w:gridSpan w:val="3"/>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3"/>
          </w:tcPr>
          <w:p>
            <w:pPr>
              <w:spacing w:after="0"/>
              <w:rPr>
                <w:sz w:val="15"/>
                <w:szCs w:val="15"/>
                <w:color w:val="auto"/>
              </w:rPr>
            </w:pPr>
          </w:p>
        </w:tc>
        <w:tc>
          <w:tcPr>
            <w:tcW w:w="1640" w:type="dxa"/>
            <w:vAlign w:val="bottom"/>
          </w:tcPr>
          <w:p>
            <w:pPr>
              <w:jc w:val="right"/>
              <w:ind w:right="930"/>
              <w:spacing w:after="0" w:line="18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tcPr>
          <w:p>
            <w:pPr>
              <w:spacing w:after="0" w:line="182" w:lineRule="exact"/>
              <w:rPr>
                <w:sz w:val="20"/>
                <w:szCs w:val="20"/>
                <w:color w:val="auto"/>
              </w:rPr>
            </w:pPr>
            <w:r>
              <w:rPr>
                <w:rFonts w:ascii="Arial" w:cs="Arial" w:eastAsia="Arial" w:hAnsi="Arial"/>
                <w:sz w:val="18"/>
                <w:szCs w:val="18"/>
                <w:color w:val="auto"/>
              </w:rPr>
              <w:t>Item 12.</w:t>
            </w:r>
          </w:p>
        </w:tc>
        <w:tc>
          <w:tcPr>
            <w:tcW w:w="7340" w:type="dxa"/>
            <w:vAlign w:val="bottom"/>
            <w:gridSpan w:val="26"/>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w:t>
            </w:r>
          </w:p>
        </w:tc>
        <w:tc>
          <w:tcPr>
            <w:tcW w:w="1640" w:type="dxa"/>
            <w:vAlign w:val="bottom"/>
            <w:vMerge w:val="restart"/>
          </w:tcPr>
          <w:p>
            <w:pPr>
              <w:jc w:val="right"/>
              <w:ind w:right="93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Stockholder Matters</w:t>
            </w:r>
          </w:p>
        </w:tc>
        <w:tc>
          <w:tcPr>
            <w:tcW w:w="920" w:type="dxa"/>
            <w:vAlign w:val="bottom"/>
            <w:gridSpan w:val="3"/>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13.</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EE"/>
            </w:tcBorders>
            <w:gridSpan w:val="6"/>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660" w:type="dxa"/>
            <w:vAlign w:val="bottom"/>
            <w:gridSpan w:val="15"/>
            <w:vMerge w:val="restart"/>
          </w:tcPr>
          <w:p>
            <w:pPr>
              <w:ind w:left="80"/>
              <w:spacing w:after="0" w:line="202" w:lineRule="exact"/>
              <w:rPr>
                <w:sz w:val="20"/>
                <w:szCs w:val="20"/>
                <w:color w:val="auto"/>
              </w:rPr>
            </w:pPr>
            <w:r>
              <w:rPr>
                <w:rFonts w:ascii="Arial" w:cs="Arial" w:eastAsia="Arial" w:hAnsi="Arial"/>
                <w:sz w:val="18"/>
                <w:szCs w:val="18"/>
                <w:color w:val="0000FF"/>
              </w:rPr>
              <w:t>and Related Transactions, and Director Independence</w:t>
            </w: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1620" w:type="dxa"/>
            <w:vAlign w:val="bottom"/>
            <w:gridSpan w:val="10"/>
          </w:tcPr>
          <w:p>
            <w:pPr>
              <w:spacing w:after="0" w:line="182" w:lineRule="exact"/>
              <w:rPr>
                <w:sz w:val="20"/>
                <w:szCs w:val="20"/>
                <w:color w:val="auto"/>
              </w:rPr>
            </w:pPr>
            <w:r>
              <w:rPr>
                <w:rFonts w:ascii="Arial" w:cs="Arial" w:eastAsia="Arial" w:hAnsi="Arial"/>
                <w:sz w:val="18"/>
                <w:szCs w:val="18"/>
                <w:color w:val="0000FF"/>
                <w:w w:val="92"/>
              </w:rPr>
              <w:t>Certain Relationships</w:t>
            </w:r>
          </w:p>
        </w:tc>
        <w:tc>
          <w:tcPr>
            <w:tcW w:w="60" w:type="dxa"/>
            <w:vAlign w:val="bottom"/>
            <w:vMerge w:val="continue"/>
          </w:tcPr>
          <w:p>
            <w:pPr>
              <w:spacing w:after="0"/>
              <w:rPr>
                <w:sz w:val="15"/>
                <w:szCs w:val="15"/>
                <w:color w:val="auto"/>
              </w:rPr>
            </w:pPr>
          </w:p>
        </w:tc>
        <w:tc>
          <w:tcPr>
            <w:tcW w:w="5660" w:type="dxa"/>
            <w:vAlign w:val="bottom"/>
            <w:gridSpan w:val="15"/>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14.</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7"/>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260" w:type="dxa"/>
            <w:vAlign w:val="bottom"/>
            <w:gridSpan w:val="4"/>
            <w:vMerge w:val="restart"/>
          </w:tcPr>
          <w:p>
            <w:pPr>
              <w:spacing w:after="0" w:line="20" w:lineRule="exact"/>
              <w:rPr>
                <w:sz w:val="1"/>
                <w:szCs w:val="1"/>
                <w:color w:val="auto"/>
              </w:rPr>
            </w:pPr>
          </w:p>
        </w:tc>
        <w:tc>
          <w:tcPr>
            <w:tcW w:w="164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6080" w:type="dxa"/>
            <w:vAlign w:val="bottom"/>
            <w:gridSpan w:val="22"/>
          </w:tcPr>
          <w:p>
            <w:pPr>
              <w:spacing w:after="0" w:line="182" w:lineRule="exact"/>
              <w:rPr>
                <w:sz w:val="20"/>
                <w:szCs w:val="20"/>
                <w:color w:val="auto"/>
              </w:rPr>
            </w:pPr>
            <w:r>
              <w:rPr>
                <w:rFonts w:ascii="Arial" w:cs="Arial" w:eastAsia="Arial" w:hAnsi="Arial"/>
                <w:sz w:val="18"/>
                <w:szCs w:val="18"/>
                <w:color w:val="0000FF"/>
              </w:rPr>
              <w:t>Principal Accountant Fees and Services</w:t>
            </w:r>
          </w:p>
        </w:tc>
        <w:tc>
          <w:tcPr>
            <w:tcW w:w="1260" w:type="dxa"/>
            <w:vAlign w:val="bottom"/>
            <w:gridSpan w:val="4"/>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vMerge w:val="restart"/>
          </w:tcPr>
          <w:p>
            <w:pPr>
              <w:spacing w:after="0"/>
              <w:rPr>
                <w:sz w:val="20"/>
                <w:szCs w:val="20"/>
                <w:color w:val="auto"/>
              </w:rPr>
            </w:pPr>
            <w:r>
              <w:rPr>
                <w:rFonts w:ascii="Arial" w:cs="Arial" w:eastAsia="Arial" w:hAnsi="Arial"/>
                <w:sz w:val="18"/>
                <w:szCs w:val="18"/>
                <w:b w:val="1"/>
                <w:bCs w:val="1"/>
                <w:color w:val="0000FF"/>
              </w:rPr>
              <w:t>PART IV</w:t>
            </w: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1220" w:type="dxa"/>
            <w:vAlign w:val="bottom"/>
            <w:gridSpan w:val="5"/>
            <w:vMerge w:val="continue"/>
          </w:tcPr>
          <w:p>
            <w:pPr>
              <w:spacing w:after="0"/>
              <w:rPr>
                <w:sz w:val="24"/>
                <w:szCs w:val="24"/>
                <w:color w:val="auto"/>
              </w:rPr>
            </w:pPr>
          </w:p>
        </w:tc>
        <w:tc>
          <w:tcPr>
            <w:tcW w:w="7340" w:type="dxa"/>
            <w:vAlign w:val="bottom"/>
            <w:gridSpan w:val="26"/>
            <w:vMerge w:val="restart"/>
          </w:tcPr>
          <w:p>
            <w:pPr>
              <w:spacing w:after="0"/>
              <w:rPr>
                <w:sz w:val="20"/>
                <w:szCs w:val="20"/>
                <w:color w:val="auto"/>
              </w:rPr>
            </w:pPr>
            <w:r>
              <w:rPr>
                <w:rFonts w:ascii="Arial" w:cs="Arial" w:eastAsia="Arial" w:hAnsi="Arial"/>
                <w:sz w:val="18"/>
                <w:szCs w:val="18"/>
                <w:color w:val="0000FF"/>
              </w:rPr>
              <w:t>Exhibits and Financial Statement Schedules</w:t>
            </w:r>
          </w:p>
        </w:tc>
        <w:tc>
          <w:tcPr>
            <w:tcW w:w="1640" w:type="dxa"/>
            <w:vAlign w:val="bottom"/>
            <w:vMerge w:val="restart"/>
          </w:tcPr>
          <w:p>
            <w:pPr>
              <w:jc w:val="right"/>
              <w:ind w:right="93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340" w:type="dxa"/>
            <w:vAlign w:val="bottom"/>
            <w:gridSpan w:val="26"/>
            <w:vMerge w:val="continue"/>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700" w:type="dxa"/>
            <w:vAlign w:val="bottom"/>
            <w:gridSpan w:val="4"/>
          </w:tcPr>
          <w:p>
            <w:pPr>
              <w:spacing w:after="0" w:line="182" w:lineRule="exact"/>
              <w:rPr>
                <w:sz w:val="20"/>
                <w:szCs w:val="20"/>
                <w:color w:val="auto"/>
              </w:rPr>
            </w:pPr>
            <w:r>
              <w:rPr>
                <w:rFonts w:ascii="Arial" w:cs="Arial" w:eastAsia="Arial" w:hAnsi="Arial"/>
                <w:sz w:val="18"/>
                <w:szCs w:val="18"/>
                <w:color w:val="auto"/>
              </w:rPr>
              <w:t>Item 15.</w:t>
            </w:r>
          </w:p>
        </w:tc>
        <w:tc>
          <w:tcPr>
            <w:tcW w:w="520" w:type="dxa"/>
            <w:vAlign w:val="bottom"/>
            <w:vMerge w:val="continue"/>
          </w:tcPr>
          <w:p>
            <w:pPr>
              <w:spacing w:after="0"/>
              <w:rPr>
                <w:sz w:val="15"/>
                <w:szCs w:val="15"/>
                <w:color w:val="auto"/>
              </w:rPr>
            </w:pPr>
          </w:p>
        </w:tc>
        <w:tc>
          <w:tcPr>
            <w:tcW w:w="7340" w:type="dxa"/>
            <w:vAlign w:val="bottom"/>
            <w:gridSpan w:val="26"/>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20" w:type="dxa"/>
            <w:vAlign w:val="bottom"/>
            <w:gridSpan w:val="5"/>
          </w:tcPr>
          <w:p>
            <w:pPr>
              <w:spacing w:after="0" w:line="182" w:lineRule="exact"/>
              <w:rPr>
                <w:sz w:val="20"/>
                <w:szCs w:val="20"/>
                <w:color w:val="auto"/>
              </w:rPr>
            </w:pPr>
            <w:r>
              <w:rPr>
                <w:rFonts w:ascii="Arial" w:cs="Arial" w:eastAsia="Arial" w:hAnsi="Arial"/>
                <w:sz w:val="18"/>
                <w:szCs w:val="18"/>
                <w:color w:val="auto"/>
              </w:rPr>
              <w:t>Item 16.</w:t>
            </w:r>
          </w:p>
        </w:tc>
        <w:tc>
          <w:tcPr>
            <w:tcW w:w="20" w:type="dxa"/>
            <w:vAlign w:val="bottom"/>
            <w:tcBorders>
              <w:bottom w:val="single" w:sz="8" w:color="0000EE"/>
            </w:tcBorders>
          </w:tcPr>
          <w:p>
            <w:pPr>
              <w:spacing w:after="0"/>
              <w:rPr>
                <w:sz w:val="15"/>
                <w:szCs w:val="15"/>
                <w:color w:val="auto"/>
              </w:rPr>
            </w:pPr>
          </w:p>
        </w:tc>
        <w:tc>
          <w:tcPr>
            <w:tcW w:w="1660" w:type="dxa"/>
            <w:vAlign w:val="bottom"/>
            <w:tcBorders>
              <w:top w:val="single" w:sz="8" w:color="0000FF"/>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8"/>
              </w:rPr>
              <w:t>Form 10-K Summary</w:t>
            </w:r>
          </w:p>
        </w:tc>
        <w:tc>
          <w:tcPr>
            <w:tcW w:w="1840" w:type="dxa"/>
            <w:vAlign w:val="bottom"/>
            <w:tcBorders>
              <w:top w:val="single" w:sz="8" w:color="0000FF"/>
            </w:tcBorders>
            <w:gridSpan w:val="6"/>
          </w:tcPr>
          <w:p>
            <w:pPr>
              <w:spacing w:after="0"/>
              <w:rPr>
                <w:sz w:val="15"/>
                <w:szCs w:val="15"/>
                <w:color w:val="auto"/>
              </w:rPr>
            </w:pPr>
          </w:p>
        </w:tc>
        <w:tc>
          <w:tcPr>
            <w:tcW w:w="3820" w:type="dxa"/>
            <w:vAlign w:val="bottom"/>
            <w:gridSpan w:val="9"/>
          </w:tcPr>
          <w:p>
            <w:pPr>
              <w:spacing w:after="0"/>
              <w:rPr>
                <w:sz w:val="15"/>
                <w:szCs w:val="15"/>
                <w:color w:val="auto"/>
              </w:rPr>
            </w:pPr>
          </w:p>
        </w:tc>
        <w:tc>
          <w:tcPr>
            <w:tcW w:w="1640" w:type="dxa"/>
            <w:vAlign w:val="bottom"/>
          </w:tcPr>
          <w:p>
            <w:pPr>
              <w:jc w:val="right"/>
              <w:ind w:right="930"/>
              <w:spacing w:after="0" w:line="18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gridSpan w:val="11"/>
          </w:tcPr>
          <w:p>
            <w:pPr>
              <w:spacing w:after="0" w:line="182" w:lineRule="exact"/>
              <w:rPr>
                <w:sz w:val="20"/>
                <w:szCs w:val="20"/>
                <w:color w:val="auto"/>
              </w:rPr>
            </w:pPr>
            <w:r>
              <w:rPr>
                <w:rFonts w:ascii="Arial" w:cs="Arial" w:eastAsia="Arial" w:hAnsi="Arial"/>
                <w:sz w:val="18"/>
                <w:szCs w:val="18"/>
                <w:color w:val="0000FF"/>
              </w:rPr>
              <w:t>Signatures</w:t>
            </w:r>
          </w:p>
        </w:tc>
        <w:tc>
          <w:tcPr>
            <w:tcW w:w="5660" w:type="dxa"/>
            <w:vAlign w:val="bottom"/>
            <w:gridSpan w:val="15"/>
          </w:tcPr>
          <w:p>
            <w:pPr>
              <w:spacing w:after="0"/>
              <w:rPr>
                <w:sz w:val="15"/>
                <w:szCs w:val="15"/>
                <w:color w:val="auto"/>
              </w:rPr>
            </w:pPr>
          </w:p>
        </w:tc>
        <w:tc>
          <w:tcPr>
            <w:tcW w:w="1640" w:type="dxa"/>
            <w:vAlign w:val="bottom"/>
          </w:tcPr>
          <w:p>
            <w:pPr>
              <w:jc w:val="right"/>
              <w:ind w:right="930"/>
              <w:spacing w:after="0" w:line="18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655"/>
        </w:trPr>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top w:val="single" w:sz="8" w:color="0000FF"/>
            </w:tcBorders>
            <w:gridSpan w:val="3"/>
          </w:tcPr>
          <w:p>
            <w:pPr>
              <w:spacing w:after="0"/>
              <w:rPr>
                <w:sz w:val="24"/>
                <w:szCs w:val="24"/>
                <w:color w:val="auto"/>
              </w:rPr>
            </w:pPr>
          </w:p>
        </w:tc>
        <w:tc>
          <w:tcPr>
            <w:tcW w:w="2640" w:type="dxa"/>
            <w:vAlign w:val="bottom"/>
            <w:gridSpan w:val="13"/>
          </w:tcPr>
          <w:p>
            <w:pPr>
              <w:jc w:val="center"/>
              <w:ind w:left="223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This annual report on Form 10-K contains forward-looking statements within the meaning of Section 21E of the Securities Exchange Act of 1934, as amended, or the Exchange Act. All statements other than statements of historical facts contained in this annual report, including statements regarding our future results of operations and financial position, business strategy, research and development plans and costs,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on Form</w:t>
      </w:r>
    </w:p>
    <w:p>
      <w:pPr>
        <w:spacing w:after="0" w:line="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10-K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40"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financial condition, operating results, business strategy, and short term and long term business operations and objectives. These forward-looking statements speak only as of the date of this annual report and are subject to a number of risks, uncertainties and assumptions, including those described in Part I, Item 1A, “Risk Factors.”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36"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This annual report includes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47"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maintain a website at www.phathompharma.com, to which we regularly post copies of our press releases as well as additional information about us. Our filings with the Securities and Exchange Commission, or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are a commercial-stage biopharmaceutical company focused on commercializing and developing novel treatments for gastrointestinal, or GI, diseases. Our approved products, VOQUEZNA®, VOQUEZNA® DUAL PAK® and VOQUEZNA® TRIPLE PAK®, contain vonoprazan, an oral small molecule potassium-competitive acid blocker, or PCAB. PCABs are a novel class of molecules that block acid secretion in the stomach. VOQUEZNA is the only PCAB currently approved for marketing and sale in the United States.</w:t>
      </w:r>
    </w:p>
    <w:p>
      <w:pPr>
        <w:spacing w:after="0" w:line="14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 xml:space="preserve">We began U.S. commercialization of VOQUEZNA for the treatment of erosive gastroesophageal reflux disease, or Erosive GERD, and Helicobacter pylori, or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and VOQUEZNA DUAL PAK and VOQUEZNA TRIPLE PAK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November 2023. The U.S. Food and Drug Administration, or FDA, approved VOQUEZNA for the relief of heartburn associated with Non-Erosive GERD, the largest category of GERD, in July 2024.</w:t>
      </w:r>
    </w:p>
    <w:p>
      <w:pPr>
        <w:spacing w:after="0" w:line="133"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Vonoprazan was originally developed by Takeda Pharmaceutical Company Limited, or Takeda, and is marketed in multiple countries outside the United States. We licensed U.S., European and Canadian rights to vonoprazan from Takeda in 2019. We are independently commercializing VOQUEZNA, VOQUEZNA DUAL PAK and VOQUEZNA TRIPLE PAK in the United States.</w:t>
      </w:r>
    </w:p>
    <w:p>
      <w:pPr>
        <w:spacing w:after="0" w:line="128"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During the year ended December 31, 2025, we generated increased revenues from sales of our VOQUEZNA products compared to the prior year, reflecting continued execution of our U.S. commercial strategy. The majority of our 2025 revenue was derived from sales of VOQUEZNA. During this period, we also experienced growth in prescription volume and prescriber adoption, with most prescriptions written for GERD indications. As of February 13, 2026, over 1.1 million prescriptions for VOQUEZNA, VOQUEZNA DUAL PAK and VOQUEZNA TRIPLE PAK have been filled since launch. We continue to have broad commercial coverage for VOQUEZNA, with access for over 120 million, or over 80%, of U.S. commercial lives. Our commercial efforts are supported by a targeted sales force and continued focus on prescriber engagement and payer access.</w:t>
      </w:r>
    </w:p>
    <w:p>
      <w:pPr>
        <w:spacing w:after="0" w:line="15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May 2021, the FDA granted qualified infectious disease product, or QIDP, designation to VOQUEZNA DUAL PAK and VOQUEZNA TRIPLE PAK, resulting in an extension of the five-year new chemical entity, or NCE, exclusivity by an additional five years. In December 2024, we submitted a citizen petition requesting that the FDA update the Orange Book listing for VOQUEZNA to reflect the same ten-year period of NCE exclusivity applicable to VOQUEZNA DUAL PAK and VOQUEZNA TRIPLE PAK. In June 2025, the FDA granted the petition and updated the Orange Book listing for VOQUEZNA to reflect the ten-year period of NCE exclusivity for vonoprazan. As a result, all three VOQUEZNA products now have NCE exclusivity extending through May 3, 2032.</w:t>
      </w:r>
    </w:p>
    <w:p>
      <w:pPr>
        <w:spacing w:after="0" w:line="138"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 xml:space="preserve">In the fourth quarter of 2025, we initiated a Phase 2 clinical trial evaluating vonoprazan in the treatment of adults with eosinophilic esophagitis, or EoE. While our current focus is on continued U.S. commercialization of VOQUEZNA products for GERD and </w:t>
      </w:r>
      <w:r>
        <w:rPr>
          <w:rFonts w:ascii="Arial" w:cs="Arial" w:eastAsia="Arial" w:hAnsi="Arial"/>
          <w:sz w:val="18"/>
          <w:szCs w:val="18"/>
          <w:i w:val="1"/>
          <w:iCs w:val="1"/>
          <w:color w:val="auto"/>
        </w:rPr>
        <w:t>H. pylori</w:t>
      </w:r>
      <w:r>
        <w:rPr>
          <w:rFonts w:ascii="Arial" w:cs="Arial" w:eastAsia="Arial" w:hAnsi="Arial"/>
          <w:sz w:val="18"/>
          <w:szCs w:val="18"/>
          <w:color w:val="auto"/>
        </w:rPr>
        <w:t>, we are also evaluating other potential life-cycle management opportunities for vonoprazan. We may also explore the potential for vonoprazan in Europe and Canada, as well as opportunities to in-license or acquire additional clinical or commercial-stage product candidates for GI diseases.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Commercialization</w:t>
      </w:r>
    </w:p>
    <w:p>
      <w:pPr>
        <w:spacing w:after="0" w:line="18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 xml:space="preserve">All of our revenue is derived from the sale of three products in the United States: VOQUEZNA (vonoprazan) tablets which are approved for the healing and maintenance of healing of all grades of Erosive GERD and relief of heartburn associated with Erosive GERD in adults, and for the relief of heartburn associated with Non-Erosive GERD in adults, as well as, in combination with amoxicillin with or without clarithromycin,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and VOQUEZNA DUAL PAK, comprised of vonoprazan co-packaged with amoxicillin, and VOQUEZNA TRIPLE PAK, comprised of vonoprazan co-packaged with amoxicillin and clarithromycin, which are both approved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We began U.S. commercialization of VOQUEZNA for the treatment of Erosive GERD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and of VOQUEZNA DUAL PAK and VOQUEZNA TRIPLE PAK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the fourth quarter of 2023. In July 2024, the FDA also approved VOQUEZNA for the relief of heartburn associated with Non-Erosive GERD.</w:t>
      </w:r>
    </w:p>
    <w:p>
      <w:pPr>
        <w:spacing w:after="0" w:line="140" w:lineRule="exact"/>
        <w:rPr>
          <w:sz w:val="20"/>
          <w:szCs w:val="20"/>
          <w:color w:val="auto"/>
        </w:rPr>
      </w:pPr>
    </w:p>
    <w:p>
      <w:pPr>
        <w:ind w:right="1320" w:firstLine="509"/>
        <w:spacing w:after="0" w:line="271" w:lineRule="auto"/>
        <w:rPr>
          <w:sz w:val="20"/>
          <w:szCs w:val="20"/>
          <w:color w:val="auto"/>
        </w:rPr>
      </w:pPr>
      <w:r>
        <w:rPr>
          <w:rFonts w:ascii="Arial" w:cs="Arial" w:eastAsia="Arial" w:hAnsi="Arial"/>
          <w:sz w:val="18"/>
          <w:szCs w:val="18"/>
          <w:color w:val="auto"/>
        </w:rPr>
        <w:t>The sections below describe the diseases our approved products target, the clinical data supporting their use, and our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Strategy</w:t>
      </w:r>
    </w:p>
    <w:p>
      <w:pPr>
        <w:spacing w:after="0" w:line="171"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Our strategy is focused on building a sustainable, commercial-stage GI company centered on the commercialization of VOQUEZNA and, in the future, the disciplined expansion of our product portfolio.</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key strategic priorities include:</w:t>
      </w:r>
    </w:p>
    <w:p>
      <w:pPr>
        <w:spacing w:after="0" w:line="185" w:lineRule="exact"/>
        <w:rPr>
          <w:sz w:val="20"/>
          <w:szCs w:val="20"/>
          <w:color w:val="auto"/>
        </w:rPr>
      </w:pPr>
    </w:p>
    <w:p>
      <w:pPr>
        <w:ind w:left="900" w:right="360" w:hanging="383"/>
        <w:spacing w:after="0" w:line="274" w:lineRule="auto"/>
        <w:tabs>
          <w:tab w:leader="none" w:pos="90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Maximizing the U.S. commercial opportunity for VOQUEZNA in its approved indications in the treatment of GERD through a targeted sales force initially focused on gastroenterologists and other high-prescribing healthcare providers, and in the future, potentially expanding marketing and sales efforts to target more broadly those primary care physicians who treat GERD;</w:t>
      </w:r>
    </w:p>
    <w:p>
      <w:pPr>
        <w:spacing w:after="0" w:line="112" w:lineRule="exact"/>
        <w:rPr>
          <w:rFonts w:ascii="Times New Roman" w:cs="Times New Roman" w:eastAsia="Times New Roman" w:hAnsi="Times New Roman"/>
          <w:sz w:val="17"/>
          <w:szCs w:val="17"/>
          <w:color w:val="auto"/>
        </w:rPr>
      </w:pPr>
    </w:p>
    <w:p>
      <w:pPr>
        <w:ind w:left="900" w:right="920" w:hanging="383"/>
        <w:spacing w:after="0" w:line="270" w:lineRule="auto"/>
        <w:tabs>
          <w:tab w:leader="none" w:pos="9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Selectively pursuing life-cycle management opportunities for vonoprazan, including potential additional indications and formulations;</w:t>
      </w:r>
    </w:p>
    <w:p>
      <w:pPr>
        <w:spacing w:after="0" w:line="113" w:lineRule="exact"/>
        <w:rPr>
          <w:rFonts w:ascii="Times New Roman" w:cs="Times New Roman" w:eastAsia="Times New Roman" w:hAnsi="Times New Roman"/>
          <w:sz w:val="18"/>
          <w:szCs w:val="18"/>
          <w:color w:val="auto"/>
        </w:rPr>
      </w:pPr>
    </w:p>
    <w:p>
      <w:pPr>
        <w:ind w:left="900" w:right="640" w:hanging="383"/>
        <w:spacing w:after="0" w:line="300" w:lineRule="auto"/>
        <w:tabs>
          <w:tab w:leader="none" w:pos="90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Exploring the potential for vonoprazan in Europe, Canada, U.S. over-the counter, or OTC, use, and other potential market expansions, including evaluating the feasibility and practicality of potential collaboration or licensing arrangements;</w:t>
      </w:r>
    </w:p>
    <w:p>
      <w:pPr>
        <w:spacing w:after="0" w:line="104" w:lineRule="exact"/>
        <w:rPr>
          <w:rFonts w:ascii="Times New Roman" w:cs="Times New Roman" w:eastAsia="Times New Roman" w:hAnsi="Times New Roman"/>
          <w:sz w:val="17"/>
          <w:szCs w:val="17"/>
          <w:color w:val="auto"/>
        </w:rPr>
      </w:pPr>
    </w:p>
    <w:p>
      <w:pPr>
        <w:ind w:left="900" w:right="420" w:hanging="383"/>
        <w:spacing w:after="0" w:line="270" w:lineRule="auto"/>
        <w:tabs>
          <w:tab w:leader="none" w:pos="9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 disciplined and selective approach to business development, including evaluating opportunities to in-license or acquire additional clinical- or commercial-stage product candidates for GI diseases; and</w:t>
      </w:r>
    </w:p>
    <w:p>
      <w:pPr>
        <w:spacing w:after="0" w:line="113" w:lineRule="exact"/>
        <w:rPr>
          <w:rFonts w:ascii="Times New Roman" w:cs="Times New Roman" w:eastAsia="Times New Roman" w:hAnsi="Times New Roman"/>
          <w:sz w:val="18"/>
          <w:szCs w:val="18"/>
          <w:color w:val="auto"/>
        </w:rPr>
      </w:pPr>
    </w:p>
    <w:p>
      <w:pPr>
        <w:ind w:left="900" w:right="200" w:hanging="383"/>
        <w:spacing w:after="0" w:line="270" w:lineRule="auto"/>
        <w:tabs>
          <w:tab w:leader="none" w:pos="9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with financial discipline, prioritizing efficient capital allocation and effective management of manufacturing and supply arrangements.</w:t>
      </w:r>
    </w:p>
    <w:p>
      <w:pPr>
        <w:spacing w:after="0" w:line="114"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We continually assess our strategic priorities in light of evolving market conditions, regulatory developments, clinical feasibility, commercial potential, competitive dynamics and our available resources. Our ability to execute on this strategy is subject to significant risks and uncertainties, including those described elsewhere in this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Disease Background</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Gastroesophageal Reflux Disease (GERD)</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Gastroesophageal reflux disease, or GERD, is a chronic digestive disorder characterized by the reflux of gastric contents into the esophagus, which can result in symptoms such as heartburn, regurgitation and chest discomfort, as well as potential esophageal injury. GERD is one of the most common GI conditions in the U.S, affecting an estimated 65 million adults in the U.S. Exposure of the esophagus to gastric acid is a primary contributor to GERD symptoms and, in patients with erosive disease, damage to the esophageal lining. Accordingly, pharmacologic therapies designed to suppress gastric acid secretion are a cornerstone of treatment for both Erosive and Non-Erosive GERD and are commonly used for long-term symptom management.</w:t>
      </w:r>
    </w:p>
    <w:p>
      <w:pPr>
        <w:spacing w:after="0" w:line="152"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GERD is generally classified into two categories: Erosive GERD, also referred to as erosive esophagitis, and Non-Erosive GERD. Erosive GERD is characterized by visible injury to the esophageal lining and is believed to affect an estimated 20 million adults in the U.S. If left untreated, Erosive GERD may progress to complications such as peptic stricture, Barrett’s esophagus or, in some cases, esophageal cancer. Non-Erosive GERD, which is believed to affect an estimated 45 million adults in the U.S, is characterized by persistent symptoms and abnormal gastric acid exposure in the absence of visible esophageal injury. Non-Erosive GERD represents the largest segment of diagnosed GERD patients and accounts for a substantial proportion of individuals seeking medical treatment for chronic heartburn.</w:t>
      </w:r>
    </w:p>
    <w:p>
      <w:pPr>
        <w:spacing w:after="0" w:line="138"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GERD is typically a chronic condition. Patients with GERD often initially manage symptoms with over-the-counter antacids or acid-reducing agents for intermittent or mild symptoms. Patients with more frequent, persistent or severe symptoms, or with evidence of esophageal injury, are typically treated with prescription acid-suppressive therapies to try to manage symptoms and reduce the risk of disease progression. We estimate that approximately 22 million adults are prescribed treatments for GERD in the U.S. each year, of which 7 million are treated for Erosive GERD and 15 million are treated for Non-Erosive GERD. Proton pump inhibitors, or PPIs, have historically been the standard of care for GERD among prescribed treatments and are widely prescribed for both erosive and non-erosive disease. We estimate there are approximately 110 million PPI prescriptions written and filled annually across all indications. The PPI class includes drugs such as Prilosec (omeprazole), Nexium (esomeprazole), and Prevacid (lansoprazole). Prior to the introduction of generic and OTC alternatives, annual PPI class sales reached approximately $12.5 billion in the United States, with peak sales for individual brands of approximately $3.7 billion for Prilosec, $3.5 billion for Nexium, and $3.4</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5" w:name="page6"/>
    <w:bookmarkEnd w:id="5"/>
    <w:p>
      <w:pPr>
        <w:ind w:right="80"/>
        <w:spacing w:after="0" w:line="242" w:lineRule="auto"/>
        <w:rPr>
          <w:sz w:val="20"/>
          <w:szCs w:val="20"/>
          <w:color w:val="auto"/>
        </w:rPr>
      </w:pPr>
      <w:r>
        <w:rPr>
          <w:rFonts w:ascii="Arial" w:cs="Arial" w:eastAsia="Arial" w:hAnsi="Arial"/>
          <w:sz w:val="18"/>
          <w:szCs w:val="18"/>
          <w:color w:val="auto"/>
        </w:rPr>
        <w:t>billion for Prevacid. PPIs reduce gastric acid secretion by irreversibly inhibiting active proton pumps in gastric parietal cells and are typically dosed prior to meals, as their activity depends on acid-mediated activation and the presence of meal-stimulated proton pumps. An estimated 40% of patients with GERD experience inadequate symptom relief from PPI therapy, including persistent symptoms, delayed symptom relief or incomplete healing. In addition, variability in patient response and strict dosing requirements may limit the effectiveness of PPIs for certain patients. Patients with GERD who continue to experience heartburn symptoms are often referred to gastroenterologists for evaluation and then return to their primary care physicians for ongoing management.</w:t>
      </w:r>
    </w:p>
    <w:p>
      <w:pPr>
        <w:spacing w:after="0" w:line="138"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We believe GERD represents an attractive commercial opportunity due to its high prevalence, chronic nature and the ongoing need for effective treatment options for patients with suboptimal outcomes on existing PPI therapies.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H Pylori</w:t>
      </w:r>
    </w:p>
    <w:p>
      <w:pPr>
        <w:spacing w:after="0" w:line="18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i w:val="1"/>
          <w:iCs w:val="1"/>
          <w:color w:val="auto"/>
        </w:rPr>
        <w:t xml:space="preserve">H. pylori </w:t>
      </w:r>
      <w:r>
        <w:rPr>
          <w:rFonts w:ascii="Arial" w:cs="Arial" w:eastAsia="Arial" w:hAnsi="Arial"/>
          <w:sz w:val="18"/>
          <w:szCs w:val="18"/>
          <w:color w:val="auto"/>
        </w:rPr>
        <w:t>is a bacterial infection of the stomach that is a leading cause of peptic ulcer disease and is associated with an increased risk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gastric cancer. Infection is typically acquired in childhood and can persist for decades if left untreated. Many infected individuals are asymptomatic; however, chronic infection can result in clinically significant gastrointestinal disease. The primary goal of treatment for </w:t>
      </w:r>
      <w:r>
        <w:rPr>
          <w:rFonts w:ascii="Arial" w:cs="Arial" w:eastAsia="Arial" w:hAnsi="Arial"/>
          <w:sz w:val="18"/>
          <w:szCs w:val="18"/>
          <w:i w:val="1"/>
          <w:iCs w:val="1"/>
          <w:color w:val="auto"/>
        </w:rPr>
        <w: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pylori </w:t>
      </w:r>
      <w:r>
        <w:rPr>
          <w:rFonts w:ascii="Arial" w:cs="Arial" w:eastAsia="Arial" w:hAnsi="Arial"/>
          <w:sz w:val="18"/>
          <w:szCs w:val="18"/>
          <w:color w:val="auto"/>
        </w:rPr>
        <w:t>infection is eradication of the bacterium. Eradication typically requires combination therapy consisting of acid suppression and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antibiotics administered over a defined treatment course. Acid suppression plays an important role in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by enhancing antibiotic stability and activity within the gastric environment. PPIs, in combination with antibiotics, have historically been the standard of care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w:t>
      </w:r>
    </w:p>
    <w:p>
      <w:pPr>
        <w:spacing w:after="0" w:line="140"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 xml:space="preserve">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can be complicated by a number of factors, including increasing rates of antibiotic resistance, regimen complexity, and challenges with patient adherence. As a result, eradication rates can vary, and some patients may require retreatment. These factors contribute to the continued need for effective and well-tolerated treatment regimens for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w:t>
      </w:r>
    </w:p>
    <w:p>
      <w:pPr>
        <w:spacing w:after="0" w:line="128" w:lineRule="exact"/>
        <w:rPr>
          <w:sz w:val="20"/>
          <w:szCs w:val="20"/>
          <w:color w:val="auto"/>
        </w:rPr>
      </w:pPr>
    </w:p>
    <w:p>
      <w:pPr>
        <w:jc w:val="center"/>
        <w:ind w:right="8440"/>
        <w:spacing w:after="0"/>
        <w:rPr>
          <w:sz w:val="20"/>
          <w:szCs w:val="20"/>
          <w:color w:val="auto"/>
        </w:rPr>
      </w:pPr>
      <w:r>
        <w:rPr>
          <w:rFonts w:ascii="Arial" w:cs="Arial" w:eastAsia="Arial" w:hAnsi="Arial"/>
          <w:sz w:val="18"/>
          <w:szCs w:val="18"/>
          <w:b w:val="1"/>
          <w:bCs w:val="1"/>
          <w:color w:val="auto"/>
        </w:rPr>
        <w:t>Clinical Overview of Vonoprazan</w:t>
      </w:r>
    </w:p>
    <w:p>
      <w:pPr>
        <w:spacing w:after="0" w:line="187" w:lineRule="exact"/>
        <w:rPr>
          <w:sz w:val="20"/>
          <w:szCs w:val="20"/>
          <w:color w:val="auto"/>
        </w:rPr>
      </w:pPr>
    </w:p>
    <w:p>
      <w:pPr>
        <w:jc w:val="center"/>
        <w:ind w:right="8400"/>
        <w:spacing w:after="0"/>
        <w:rPr>
          <w:sz w:val="20"/>
          <w:szCs w:val="20"/>
          <w:color w:val="auto"/>
        </w:rPr>
      </w:pPr>
      <w:r>
        <w:rPr>
          <w:rFonts w:ascii="Arial" w:cs="Arial" w:eastAsia="Arial" w:hAnsi="Arial"/>
          <w:sz w:val="18"/>
          <w:szCs w:val="18"/>
          <w:b w:val="1"/>
          <w:bCs w:val="1"/>
          <w:i w:val="1"/>
          <w:iCs w:val="1"/>
          <w:u w:val="single" w:color="auto"/>
          <w:color w:val="auto"/>
        </w:rPr>
        <w:t>Mechanism of Action</w:t>
      </w:r>
    </w:p>
    <w:p>
      <w:pPr>
        <w:spacing w:after="0" w:line="175" w:lineRule="exact"/>
        <w:rPr>
          <w:sz w:val="20"/>
          <w:szCs w:val="20"/>
          <w:color w:val="auto"/>
        </w:rPr>
      </w:pPr>
    </w:p>
    <w:p>
      <w:pPr>
        <w:ind w:right="140" w:firstLine="509"/>
        <w:spacing w:after="0" w:line="228" w:lineRule="auto"/>
        <w:rPr>
          <w:sz w:val="20"/>
          <w:szCs w:val="20"/>
          <w:color w:val="auto"/>
        </w:rPr>
      </w:pPr>
      <w:r>
        <w:rPr>
          <w:rFonts w:ascii="Arial" w:cs="Arial" w:eastAsia="Arial" w:hAnsi="Arial"/>
          <w:sz w:val="18"/>
          <w:szCs w:val="18"/>
          <w:color w:val="auto"/>
        </w:rPr>
        <w:t>Vonoprazan is an oral, small-molecule PCAB that suppresses gastric acid secretion by inhibiting the gastric H</w:t>
      </w:r>
      <w:r>
        <w:rPr>
          <w:rFonts w:ascii="Arial" w:cs="Arial" w:eastAsia="Arial" w:hAnsi="Arial"/>
          <w:sz w:val="24"/>
          <w:szCs w:val="24"/>
          <w:color w:val="auto"/>
          <w:vertAlign w:val="superscript"/>
        </w:rPr>
        <w:t>+</w:t>
      </w:r>
      <w:r>
        <w:rPr>
          <w:rFonts w:ascii="Arial" w:cs="Arial" w:eastAsia="Arial" w:hAnsi="Arial"/>
          <w:sz w:val="18"/>
          <w:szCs w:val="18"/>
          <w:color w:val="auto"/>
        </w:rPr>
        <w:t>/K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-ATPase enzyme system at the secretory surface of the gastric parietal cell. This enzyme, commonly referred to as the gastric proton pump, is responsible for the final step of stomach acid production. By blocking the final step of acid production in a potassium-competitive manner, vonoprazan suppresses both basal and stimulated gastric acid secretion.</w:t>
      </w:r>
    </w:p>
    <w:p>
      <w:pPr>
        <w:spacing w:after="0" w:line="141" w:lineRule="exact"/>
        <w:rPr>
          <w:sz w:val="20"/>
          <w:szCs w:val="20"/>
          <w:color w:val="auto"/>
        </w:rPr>
      </w:pPr>
    </w:p>
    <w:p>
      <w:pPr>
        <w:ind w:right="380" w:firstLine="509"/>
        <w:spacing w:after="0" w:line="242" w:lineRule="auto"/>
        <w:rPr>
          <w:sz w:val="20"/>
          <w:szCs w:val="20"/>
          <w:color w:val="auto"/>
        </w:rPr>
      </w:pPr>
      <w:r>
        <w:rPr>
          <w:rFonts w:ascii="Arial" w:cs="Arial" w:eastAsia="Arial" w:hAnsi="Arial"/>
          <w:sz w:val="18"/>
          <w:szCs w:val="18"/>
          <w:color w:val="auto"/>
        </w:rPr>
        <w:t>Unlike PPIs, which require activation in an acidic environment, vonoprazan does not require acid-mediated activation. Vonoprazan binds to the proton pump in a noncovalent and reversible manner and may selectively concentrate in parietal cells in both resting and stimulated states. In practical terms, vonoprazan blocks the final step of stomach acid production directly, which allows it to reduce acid secretion without requiring activation in an acidic environment. In a pharmacokinetic/ pharmacodynamic study conducted in healthy volunteers, vonoprazan demonstrated rapid onset (increased PH in two-three hours), potent suppression (Day 1 mean pH of 4.6), and durable 24-hour acid control of gastric acid secretion compared to a PPI, as measured by intragastric pH.</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Clinical Data Supporting VOQUEZNA for GERD</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b w:val="1"/>
          <w:bCs w:val="1"/>
          <w:color w:val="auto"/>
        </w:rPr>
        <w:t xml:space="preserve">Erosive GERD. </w:t>
      </w:r>
      <w:r>
        <w:rPr>
          <w:rFonts w:ascii="Arial" w:cs="Arial" w:eastAsia="Arial" w:hAnsi="Arial"/>
          <w:sz w:val="18"/>
          <w:szCs w:val="18"/>
          <w:color w:val="auto"/>
        </w:rPr>
        <w:t>FDA approval of VOQUEZNA for the healing and maintenance of healing of all grades of erosive esophagitis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relief of heartburn associated with Erosive GERD was based on results from PHALCON-EE, a randomized, controlled Phase 3 clinical trial conducted in the United States and Europe. PHALCON-EE evaluated vonoprazan compared to lansoprazole for both the healing and maintenance of healing of erosive esophagitis in adult patients with Erosive GERD. In PHALCON-EE, vonoprazan met the primary healing endpoint of the trial by demonstrating non-inferiority to lansoprazole in the number of patients who showed complete healing of erosive esophagitis after eight weeks of treatment. In addition, in a pre-specified secondary endpoint, vonoprazan demonstrated superior healing rates after two weeks of treatment in patients with moderate-to-severe Erosive GERD compared to lansoprazole, based on a pre-specified secondary analysis. Following the healing phase, healed patients entered a maintenance phase in which vonoprazan 10 mg and 20 mg were compared to lansoprazole in the maintenance of healing. In the maintenance phase of the trial, both doses of vonoprazan (10 mg and 20 mg) met the primary endpoint of non-inferiority compared to lansoprazole in the number of all patients who maintained healing of Erosive GERD through week 24. Further, both vonoprazan doses also met a pre-specified secondary endpoint demonstrating superiority of maintenance of healing versus lansoprazole. Both vonoprazan doses also met the pre-specified secondary endpoint of demonstrating superiority of the percentage of patients with</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 w:name="page7"/>
    <w:bookmarkEnd w:id="6"/>
    <w:p>
      <w:pPr>
        <w:ind w:right="40"/>
        <w:spacing w:after="0"/>
        <w:rPr>
          <w:sz w:val="20"/>
          <w:szCs w:val="20"/>
          <w:color w:val="auto"/>
        </w:rPr>
      </w:pPr>
      <w:r>
        <w:rPr>
          <w:rFonts w:ascii="Arial" w:cs="Arial" w:eastAsia="Arial" w:hAnsi="Arial"/>
          <w:sz w:val="18"/>
          <w:szCs w:val="18"/>
          <w:color w:val="auto"/>
        </w:rPr>
        <w:t>moderate-to-severe disease who maintained healing of Erosive GERD through week 24. In PHALCON-EE, vonoprazan 20 mg met the secondary endpoint of showing non -inferiority to lansoprazole 30 mg in the mean percentage of 24-hour heartburn free days over the healing period, and both vonoprazan doses met the secondary endpoint of showing non-inferiority to lansoprazole 15 mg in the mean percentage of 24-hour heartburn free days over the maintenance period. Finally, vonoprazan 20 mg was also compared to lansoprazole 30 mg in a superiority test for onset of sustained resolution of heartburn by day three of the healing phase but did not achieve statistical significance. Based on the totality of clinical data, in November 2023, the FDA approved VOQUEZNA for healing and maintenance of healing of erosive esophagitis and for the relief of heartburn associated with Erosive GERD in adults.</w:t>
      </w:r>
    </w:p>
    <w:p>
      <w:pPr>
        <w:spacing w:after="0" w:line="14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b w:val="1"/>
          <w:bCs w:val="1"/>
          <w:color w:val="auto"/>
        </w:rPr>
        <w:t xml:space="preserve">Non-Erosive GERD. </w:t>
      </w:r>
      <w:r>
        <w:rPr>
          <w:rFonts w:ascii="Arial" w:cs="Arial" w:eastAsia="Arial" w:hAnsi="Arial"/>
          <w:sz w:val="18"/>
          <w:szCs w:val="18"/>
          <w:color w:val="auto"/>
        </w:rPr>
        <w:t>FDA approval of VOQUEZNA 10 mg tablets for the relief of heartburn associated with Non-Erosive GERD was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results from PHALCON-NERD-301, a randomized, double-blind, placebo-controlled Phase 3 clinical trial conducted in adult patients with symptomatic GERD without visible esophageal erosions on endoscopy. The trial enrolled adult patients who experienced frequent heartburn symptoms and evaluated the efficacy of vonoprazan compared to placebo over the treatment period. In the study, both doses of vonoprazan (10 mg and 20 mg) met the primary endpoint evaluating the mean percentage of 24-hour heartburn-free days through week four by demonstrating statistical significance versus placebo. The primary endpoint assessed relief of heartburn symptoms using patient-reported outcome measures. Secondary endpoints evaluated additional measures of symptom control and consistency of response over time. Patients who completed the double-blind treatment period were eligible to enter an extension period, during which continued treatment with vonoprazan was evaluated to assess the durability of symptom relief and longer-term safety. Based on the totality of clinical data, in July 2024 the FDA approved VOQUEZNA 10 mg tablets for the relief of heartburn associated with non -Erosive GERD in adults. Non-Erosive GERD represents the largest segment of patients with diagnosed GERD and includes individuals who experience persistent symptoms in the absence of visible esophageal injury. The approval of VOQUEZNA for the relief of heartburn in Non-Erosive GERD expanded the approved indications for VOQUEZNA to address a broader population of patients with chronic GERD-related symptoms.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Clinical Data Supporting VOQUEZNA products for Helicobacter pylori Infection</w:t>
      </w:r>
    </w:p>
    <w:p>
      <w:pPr>
        <w:spacing w:after="0" w:line="18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 xml:space="preserve">FDA approval of VOQUEZNA DUAL PAK and VOQUEZNA TRIPLE PAK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adults was based on results from PHALCON-HP, our Phase 3 clinical trial in the United States and Europe studying two vonoprazan-based treatment regimens for the eradication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PHALCON-HP evaluated vonoprazan triple therapy and vonoprazan dual therapy compared to lansoprazole in combination with amoxicillin and clarithromycin, or lansoprazole triple therapy. The objective of the PHALCON-HP trial was to compare eradication rates in all treated subjects as well as in two pre-identified subgroups of patients: those patients with clarithromycin resistant strains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and those patients who did not have clarithromycin or amoxicillin resistant strains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For regulatory purposes, the primary endpoint of this study was a non-inferiority comparison in the non-resistant subgroup for each of vonoprazan triple therapy and vonoprazan dual therapy compared to lansoprazole triple therapy. In PHALCON-HP, both vonoprazan-based regimens successfully met their primary endpoints. Vonoprazan triple therapy and vonoprazan dual therapy also met all secondary endpoints in the study, demonstrating superior eradication rates versus lansoprazole triple therapy in all patients and in the subgroup of patients with clarithromycin resistant strains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Based on the totality of clinical data, in May 2022, the FDA approved VOQUEZNA DUAL PAK, which combines vonoprazan with amoxicillin, and VOQUEZNA TRIPLE PAK, which combines vonoprazan with amoxicillin and clarithromycin,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adults. The co-packaged formulations are designed to simplify prescribing and administration of combination therapy.</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Safety Experience</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most common side effects of VOQUEZNA for treatment of Non-Erosive Esophagitis or relief of heartburn related to gastroesophageal reflux disease include: stomach inflammation, diarrhea, stomach bloating, stomach pain, nausea, indigestion, constipation, high blood pressure, and urinary tract infection. The most common side effects associated with VOQUEZNA DUAL PAK and VOQUEZNA TRIPLE PAK include: diarrhea, temporary changes in sense of taste, vaginal yeast infection, stomach pain, headache, high blood pressure and cold-like symptoms. Across our clinical development programs, vonoprazan was generally well tolerated. In the PHALCON-EE Phase 3 trial in Erosive GERD, the most commonly reported adverse events were gastrointestinal in nature and occurred at generally similar frequencies across vonoprazan and lansoprazole treatment groups. Rates of discontinuation due to adverse events were low during both the healing and maintenance phases. The frequency of serious adverse events was similar between treatment groups during the healing phase and remained low during the maintenance phase. The PHALCON-EE trial was conducted during the COVID-19 global pandemic. Coronavirus infection was reported in a subset of patients across treatment groups, including during the maintenance phase. Two deaths due to coronavirus infection occurred in patients treated with vonoprazan 20 mg during the PHALCON-EE study; none of the coronavirus infection events were considered related to study drug by the investigators. In Phase 3 clinical trials evaluating vonoprazan for Non-Erosive GERD, including placebo-controlled and extension phases, vonoprazan was generally well tolerated, with overall adverse event rates comparable to placebo during the double-blind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7" w:name="page8"/>
    <w:bookmarkEnd w:id="7"/>
    <w:p>
      <w:pPr>
        <w:ind w:right="20"/>
        <w:spacing w:after="0" w:line="244" w:lineRule="auto"/>
        <w:rPr>
          <w:sz w:val="20"/>
          <w:szCs w:val="20"/>
          <w:color w:val="auto"/>
        </w:rPr>
      </w:pPr>
      <w:r>
        <w:rPr>
          <w:rFonts w:ascii="Arial" w:cs="Arial" w:eastAsia="Arial" w:hAnsi="Arial"/>
          <w:sz w:val="18"/>
          <w:szCs w:val="18"/>
          <w:color w:val="auto"/>
        </w:rPr>
        <w:t xml:space="preserve">treatment periods. Adverse events observed during extension periods were consistent with those reported in prior vonoprazan studies. Serious adverse events were infrequent across studies, and the overall safety experience was consistent with the established clinical profile of vonoprazan. In the PHALCON-HP Phase 3 trial evaluating vonoprazan-based dual and triple therapy regimens for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the overall incidence and types of adverse events observed with vonoprazan-based regimens were generally comparable to those observed with lansoprazole-based triple therapy. Discontinuation rates due to adverse events in the study were low across treatment arms.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Exclusivity</w:t>
      </w:r>
    </w:p>
    <w:p>
      <w:pPr>
        <w:spacing w:after="0" w:line="169"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In May 2021, the FDA granted QIDP designation to VOQUEZNA DUAL PAK and VOQUEZNA TRIPLE PAK, resulting in an extension of the five-year NCE exclusivity by an additional five years. In December 2024, we submitted a citizen petition requesting that the FDA update the Orange Book listing for VOQUEZNA to reflect the same ten-year period of NCE exclusivity applicable to VOQUEZNA DUAL PAK and VOQUEZNA TRIPLE PAK. In June 2025, the FDA granted the petition and updated the Orange Book listing for VOQUEZNA to reflect the ten-year period of NCE exclusivity for vonaprazan. As a result, all three VOQUEZNA products now have NCE exclusivity extending through May 3, 2032.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During the year ended December 31, 2025, we generated increased revenues from sales of our VOQUEZNA products compared to the prior year, reflecting continued execution of our U.S. commercial strategy following launch. The majority of our 2025 revenue was derived from sales of VOQUEZNA. During this period, we also experienced growth in prescription volume and prescriber adoption, with most prescriptions written for GERD indications. As of February 13, 2026, over 1.1 million prescriptions for VOQUEZNA tablets, VOQUEZNA DUAL PAK, and VOQUEZNA TRIPLE PAK have been filled since launch. We continue to have broad commercial payer coverage for VOQUEZNA, with access for over 120 million covered lives, representing over 80% of U.S. commercial lives. Our commercial efforts are supported by a targeted sales force and continued focus on prescriber engagement and payer access.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 Commercial Organization and Sales Strategy</w:t>
      </w:r>
    </w:p>
    <w:p>
      <w:pPr>
        <w:spacing w:after="0" w:line="18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have established marketing, sales, and distribution capabilities to support the commercialization of our approved products in the United States. We are independently commercializing VOQUEZNA tablets, VOQUEZNA DUAL PAK and VOQUEZNA TRIPLE PAK, through a targeted national sales force primarily focused on gastroenterologists and other high-prescribing healthcare providers, including select primary care physicians. We currently employ a sales force that we expect, at full strength, to consist of approximately 300 sales representatives, although the size of our sales force may vary from time. We also work with third-party pharmacy support service providers to facilitate patient access to our VOQUEZNA products. Through these arrangements, eligible patients may access programs that help identify lower out-of-pocket costs, support prior authorization submissions, and offer home delivery from licensed pharmacies. Our commercial and development activities are supported by an experienced management team with expertise in gastroenterology, product commercialization, and pharmaceutical operations.</w:t>
      </w:r>
    </w:p>
    <w:p>
      <w:pPr>
        <w:spacing w:after="0" w:line="143"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 xml:space="preserve">Our commercial strategy is focused on driving awareness and adoption among healthcare providers who routinely treat patients with GERD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We prioritize engagement with high-volume prescribers of acid-suppressive therapies and focus our promotional efforts on communicating the clinical profile and approved indications of our products.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Market Access and Distribution</w:t>
      </w:r>
    </w:p>
    <w:p>
      <w:pPr>
        <w:spacing w:after="0" w:line="183"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We actively engage with payers to maintain and expand formulary access for VOQUEZNA products. As of December 31, 2025, we had achieved broad commercial coverage for VOQUEZNA across national and regional health plans. Utilization management for access to VOQUEZNA in the treatment of GERD typically requires a generic PPI step edit via a prior authorization. We continue to evaluate opportunities to improve patient access through formulary positioning and patient support programs.</w:t>
      </w:r>
    </w:p>
    <w:p>
      <w:pPr>
        <w:spacing w:after="0" w:line="13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 the United States, we sell our products primarily to pharmaceutical wholesale distributors and select pharmacies, which in turn distribute our products to their customers. These may include retail pharmacies, institutions, clinics and patients. This distribution model allows us to efficiently reach healthcare providers and patients nationwide. We also work with third-party pharmacy support service providers to facilitate patient access to our VOQUEZNA products. Through these arrangements, eligible patients may access programs that help identify lower out-of-pocket costs, support prior authorization submissions, and offer home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8" w:name="page9"/>
    <w:bookmarkEnd w:id="8"/>
    <w:p>
      <w:pPr>
        <w:ind w:right="40"/>
        <w:spacing w:after="0" w:line="271" w:lineRule="auto"/>
        <w:rPr>
          <w:sz w:val="20"/>
          <w:szCs w:val="20"/>
          <w:color w:val="auto"/>
        </w:rPr>
      </w:pPr>
      <w:r>
        <w:rPr>
          <w:rFonts w:ascii="Arial" w:cs="Arial" w:eastAsia="Arial" w:hAnsi="Arial"/>
          <w:sz w:val="18"/>
          <w:szCs w:val="18"/>
          <w:color w:val="auto"/>
        </w:rPr>
        <w:t>delivery from licensed pharmacies. These relationships are intended to improve patient access and adherence to therapy for prescribers and patients.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Marketing and Promotional Activities</w:t>
      </w:r>
    </w:p>
    <w:p>
      <w:pPr>
        <w:spacing w:after="0" w:line="169"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Our marketing strategy includes a combination of healthcare provider–focused and patient-facing initiatives. We utilize a range of promotional channels, including in-person sales interactions, digital engagement, and educational programs directed at healthcare providers.</w:t>
      </w:r>
    </w:p>
    <w:p>
      <w:pPr>
        <w:spacing w:after="0" w:line="127"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also engage in select direct-to-consumer marketing activities, including digital and streaming media platforms and other consumer-facing channels, designed to increase disease awareness and encourage appropriate patient-provider discussions.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Geographic Scope</w:t>
      </w:r>
    </w:p>
    <w:p>
      <w:pPr>
        <w:spacing w:after="0" w:line="169"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We currently commercialize our products exclusively in the United States and do not have approved products marketed outside the United States. We continue to evaluate opportunities for vonoprazan in Europe and Canada.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Vonoprazan Development Opportunities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Eosinophilic Esophagitis (EoE)</w:t>
      </w:r>
    </w:p>
    <w:p>
      <w:pPr>
        <w:spacing w:after="0" w:line="16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 xml:space="preserve">While our current focus is on the continued U.S. commercialization of VOQUEZNA products for GERD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we are also pursuing or evaluating potential lifecycle expansion opportunities for vonoprazan. In the fourth quarter of 2025, we initiated a Phase 2 clinical trial evaluating vonoprazan in the treatment of adults with EoE. The PHALCON-EOE-201 study is a randomized, double-blind, placebo-controlled Phase 2 trial in adults with EoE, designed to evaluate the efficacy and safety of vonoprazan 20 mg once daily. Approximately 80 subjects will be randomized 1:1 to vonoprazan or placebo for a 12-week treatment period, with the primary endpoint assessed at Week 12 and followed by a safety follow-up and an optional open-label extension. We anticipate topline data from this trial in 2027. EoE is an autoimmune disease with significant unmet need and can result in trouble swallowing, chest pain, vomiting and impaction of food in the esophagus, a medical emergency. There are only two FDA-approved treatments for EoE. Although not approved for this indication, PPIs are often prescribed as a first-line therapy for the treatment of EoE. In an investigator-sponsored clinical trial in Japan, vonoprazan demonstrated similar efficacy results when compared to PPIs in the treatment of patients with EoE. Given the data from this trial and the limited choices of therapies for EoE, we believe EoE is an important indication for clinical evaluation.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Other Potential Opportunities</w:t>
      </w:r>
    </w:p>
    <w:p>
      <w:pPr>
        <w:spacing w:after="0" w:line="16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may explore potential research opportunities for vonoprazan in other indications or specific patient populations related to acid secretion such as Barrett’s esophagus where PPIs are the current standard of care as well as other potential formulations and packaging of vonoprazan such as an orally disintegrating tablet, or ODT, formulation. We believe that vonoprazan has a profile that would support its development in the future as an OTC product, including the potential for as-needed symptom relief and a well-tolerated safety profile. We plan to explore the economics and potential development pathway for an OTC product in this market to determine possible future strategies. We also continue to evaluate opportunities to in-license or acquire additional clinical- or commercial-stage product candidates for gastrointestinal diseases.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5"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The biopharmaceutical industry is characterized by rapidly advancing technologies, intense competition and strong emphasis on proprietary products. We face potential competition from many sources, including major pharmaceutical, specialty pharmaceutical and biotechnology companies, academic institutions and government agencies and public and private research institutions. In the United States, VOQUEZNA, VOQUEZNA TRIPLE PAK and VOQUEZNA DUAL PAK all compete, and if approved in Europe and/or Canada will compete, with existing therapies and new therapies that may become available in the future.</w:t>
      </w:r>
    </w:p>
    <w:p>
      <w:pPr>
        <w:spacing w:after="0" w:line="136"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Some of our competitors, either alone or with their strategic partners, have substantially greater financial, technical and human resources and significantly greater experience in the discovery and development of product candidates, obtaining FDA and other regulatory approvals of treatments and commercializing those treatments. These same competitors may invent technologies or products that compete with vonoprazan. Mergers and acquisitions in the biotechnology and pharmaceutical industries may result in even more resources being concentrated among a smaller number of our competitors. These competitors also compete with us in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9" w:name="page10"/>
    <w:bookmarkEnd w:id="9"/>
    <w:p>
      <w:pPr>
        <w:ind w:right="180"/>
        <w:spacing w:after="0" w:line="253" w:lineRule="auto"/>
        <w:rPr>
          <w:sz w:val="20"/>
          <w:szCs w:val="20"/>
          <w:color w:val="auto"/>
        </w:rPr>
      </w:pPr>
      <w:r>
        <w:rPr>
          <w:rFonts w:ascii="Arial" w:cs="Arial" w:eastAsia="Arial" w:hAnsi="Arial"/>
          <w:sz w:val="18"/>
          <w:szCs w:val="18"/>
          <w:color w:val="auto"/>
        </w:rPr>
        <w:t>recruiting and retaining qualified scientific and management personnel and establishing clinical trial sites and subject recruitment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2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Outside the United States, our competitors may obtain regulatory approval for, or initiate commercial launch of, their products more rapidly than we may obtain approval for or launch products containing vonoprazan, if we seek approval in those territories, which could result in our competitors establishing a strong market position before we are able to enter the market. In addition, VOQUEZNA, VOQUEZNA TRIPLE PAK and VOQUEZNA DUAL PAK, are priced at a premium over competitive generic products in the U.S., and our ability to compete may be affected in many cases by insurers or other third-party payers seeking to encourage the use of generic products.</w:t>
      </w:r>
    </w:p>
    <w:p>
      <w:pPr>
        <w:spacing w:after="0" w:line="144"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For the treatment of Erosive GERD and Non-Erosive GERD, VOQUEZNA primarily competes with generic PPIs marketed by multiple pharmaceutical companies in both the prescription and OTC markets. Generic PPIs are widely available, inexpensive and well established in clinical practice. In addition, we are aware of other PPIs in development in the United States and in our licensed territories outside the United States that, if successfully developed and approved, may compete with vonoprazan.</w:t>
      </w:r>
    </w:p>
    <w:p>
      <w:pPr>
        <w:spacing w:after="0" w:line="14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are also aware of several PCABs in development in the United States and in our licensed territories outside the United States, that, if approved or introduced, may compete with vonoprazan. For example, Sebela Pharmaceuticals, Inc. has publicly announced the submission of an NDA in the United States seeking approval of tegoprazan for the treatment of Erosive GERD and Non-Erosive GERD based on Phase 3 clinical trials. Outside the United States, tegoprazan is marketed in several countries, including South Korea, where it was originally developed. Daewoong Pharmaceutical Co., Ltd also markets a PCAB, fexuprazan, in certain countries outside the United States, and has indicated that it is seeking a partner to advance development of the compound in the United States. In addition, in 2025, Cinclus Pharma Holding AB initiated a Phase 3 clinical trial in Europe of another PCAB, linaprazan glurate, in patients with severe Erosive GERD and has publicly indicated its intention to initiate a second Phase 3 clinical trial in the United States to support a potential future NDA submission. Additional PCABs have been approved or are in development outside the United States and could compete with vonoprazan if introduced in our licensed territories.</w:t>
      </w:r>
    </w:p>
    <w:p>
      <w:pPr>
        <w:spacing w:after="0" w:line="139" w:lineRule="exact"/>
        <w:rPr>
          <w:sz w:val="20"/>
          <w:szCs w:val="20"/>
          <w:color w:val="auto"/>
        </w:rPr>
      </w:pPr>
    </w:p>
    <w:p>
      <w:pPr>
        <w:jc w:val="both"/>
        <w:ind w:right="280" w:firstLine="509"/>
        <w:spacing w:after="0" w:line="253" w:lineRule="auto"/>
        <w:rPr>
          <w:sz w:val="20"/>
          <w:szCs w:val="20"/>
          <w:color w:val="auto"/>
        </w:rPr>
      </w:pPr>
      <w:r>
        <w:rPr>
          <w:rFonts w:ascii="Arial" w:cs="Arial" w:eastAsia="Arial" w:hAnsi="Arial"/>
          <w:sz w:val="18"/>
          <w:szCs w:val="18"/>
          <w:color w:val="auto"/>
        </w:rPr>
        <w:t xml:space="preserve">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VOQUEZNA TRIPLE PAK and VOQUEZNA DUAL PAK compete primarily with generic PPI-based triple and quadruple therapies, as well as with branded therapies such as Talicia, a co-formulated capsule containing omeprazole, amoxicillin and rifabutin, marketed by RedHill Biopharma Ltd.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5"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Intellectual property, including patents, trade secrets, trademarks and copyrights, is important to our business. Our commercial success depends in significant part on our ability to obtain, maintain and enforce proprietary intellectual property protection for vonoprazan, as well as for any future product candidates, formulations, manufacturing processes and related know-how. Our commercial success also depends on our ability to operate without infringing the proprietary rights of third parties and to prevent others from infringing our proprietary rights.</w:t>
      </w:r>
    </w:p>
    <w:p>
      <w:pPr>
        <w:spacing w:after="0" w:line="136"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Our intellectual property strategy is focused on protecting the compound vonoprazan and related technologies through a combination of licensed patent rights, regulatory exclusivities, trade secrets and trademarks.</w:t>
      </w:r>
    </w:p>
    <w:p>
      <w:pPr>
        <w:spacing w:after="0" w:line="11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patent portfolio covering vonoprazan consists predominantly of patents and patent applications that are exclusively licensed to us from Takeda pursuant to the license agreement we entered into on May 7, 2019, or the Takeda License. Under the Takeda License, we have exclusive rights in the United States, Europe and Canada to patents and patent applications covering the composition of matter, formulation, use and manufacture of vonoprazan, subject to the terms and conditions of the agreement. This patent portfolio comprises eleven distinct patent families protecting technology relating to vonoprazan and its synthetic intermediates, methods of synthesizing vonoprazan and related compounds, pharmaceutical formulations, and methods of treating diseases using vonoprazan and related compounds. As of December 31, 2025, our portfolio included approximately 26 issued U.S. patents and one pending U.S. patent application, 16 issued European patents validated in individual European countries and two pending European patent applications, and seven issued Canadian patents and two pending Canadian patent applications. The issued patents and pending applications in our portfolio have nominal expiration dates ranging from 2024 to 2038, without accounting for any patent term adjustments or extensions that may be available. We have received a patent term extension, or PTE,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0" w:name="page11"/>
    <w:bookmarkEnd w:id="10"/>
    <w:p>
      <w:pPr>
        <w:ind w:right="20"/>
        <w:spacing w:after="0" w:line="238" w:lineRule="auto"/>
        <w:rPr>
          <w:sz w:val="20"/>
          <w:szCs w:val="20"/>
          <w:color w:val="auto"/>
        </w:rPr>
      </w:pPr>
      <w:r>
        <w:rPr>
          <w:rFonts w:ascii="Arial" w:cs="Arial" w:eastAsia="Arial" w:hAnsi="Arial"/>
          <w:sz w:val="18"/>
          <w:szCs w:val="18"/>
          <w:color w:val="auto"/>
        </w:rPr>
        <w:t>of 607 days for the U.S. composition-of-matter patent covering the vonoprazan molecule based on the FDA approval of the New Drug Application, or NDA, for VOQUEZNA DUAL PAK. Patent term extensions under the Hatch-Waxman Act are granted on a product-specific basis and are limited to claims covering the approved product, a method of using such product, or a method of manufacturing such product. As a result, there can be no assurance that the scope of this PTE will be enforceable with respect to other approved products containing vonoprazan, including VOQUEZNA or VOQUEZNA TRIPLE PAK, or any future product candidates containing the vonoprazan molecule. Absent any such patent term extension, the issued U.S. patent covering the composition of matter of vonoprazan is expected to expire in August 2028, and the issued U.S. patent covering certain formulations of our vonoprazan products is expected to expire in August 2030. However, in May 2022, following FDA approval of VOQUEZNA TRIPLE PAK and VOQUEZNA DUAL PAK, products containing the active moiety vonoprazan received five years of NCE exclusivity, which was extended by an additional five years under the Generating Antibiotic Incentives Now Act, or GAIN Act, resulting in a total of ten years of regulatory exclusivity through May 3, 2032. In June 2025, following our Citizen Petition, the FDA updated the Orange Book to reflect that VOQUEZNA tablets, approved in November 2023 and containing the same active moiety, benefit from the same extended ten-year NCE exclusivity period through May 3, 2032.</w:t>
      </w:r>
    </w:p>
    <w:p>
      <w:pPr>
        <w:spacing w:after="0" w:line="14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Patent terms generally expire 20 years from the earliest effective filing date, subject to statutory adjustments or extensions. While we may seek additional patent term extensions where available, there can be no assurance that any such extensions will be granted or that their scope will provide meaningful additional protection. Similar extension mechanisms are available in certain foreign jurisdictions.</w:t>
      </w:r>
    </w:p>
    <w:p>
      <w:pPr>
        <w:spacing w:after="0" w:line="128" w:lineRule="exact"/>
        <w:rPr>
          <w:sz w:val="20"/>
          <w:szCs w:val="20"/>
          <w:color w:val="auto"/>
        </w:rPr>
      </w:pPr>
    </w:p>
    <w:p>
      <w:pPr>
        <w:ind w:right="360" w:firstLine="509"/>
        <w:spacing w:after="0" w:line="244" w:lineRule="auto"/>
        <w:rPr>
          <w:sz w:val="20"/>
          <w:szCs w:val="20"/>
          <w:color w:val="auto"/>
        </w:rPr>
      </w:pPr>
      <w:r>
        <w:rPr>
          <w:rFonts w:ascii="Arial" w:cs="Arial" w:eastAsia="Arial" w:hAnsi="Arial"/>
          <w:sz w:val="18"/>
          <w:szCs w:val="18"/>
          <w:color w:val="auto"/>
        </w:rPr>
        <w:t>The patent positions of pharmaceutical companies are inherently uncertain and subject to challenge. Our licensed patents or other future patents may be challenged, narrowed, invalidated or circumvented, and third parties may assert blocking patents against us. In addition, because pharmaceutical development and regulatory review require significant time, certain patents may expire or have limited remaining term by the time a product is commercialized. If our patent or regulatory exclusivity protection is reduced or expires, our competitive position could be adversely affected.</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Trade Secrets and Trademarks</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addition to patents, we rely on trade secrets, proprietary know-how and confidentiality agreements to protect aspects of our technology and business that are not patentable or that we elect not to patent. We require our employees, consultants and other collaborators to enter into confidentiality and, where applicable, invention assignment agreements. These agreements are intended to protect our proprietary information and assign to us rights in inventions developed during the course of such relationships. However, there can be no assurance that these agreements will provide adequate protection in all circumstances or prevent unauthorized disclosure or use of our trade secrets.</w:t>
      </w:r>
    </w:p>
    <w:p>
      <w:pPr>
        <w:spacing w:after="0" w:line="138"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Further, we have filed for and have received trademark registrations for our company name “Phathom Pharmaceuticals” in the United States, European Union, and other foreign jurisdictions, and are pursuing trademark protection in certain other foreign jurisdictions.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License Agreement with Takeda Pharmaceutical Company Limited</w:t>
      </w:r>
    </w:p>
    <w:p>
      <w:pPr>
        <w:spacing w:after="0" w:line="169"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On May 7, 2019, we and Takeda entered into the Takeda License, pursuant to which, Takeda granted us an exclusive, sublicensable (with Takeda’s reasonable consent) license under certain patents and know how relating to vonoprazan and owned or controlled by Takeda during the term of the Takeda License to commercialize vonoprazan products using specified formulations for all human therapeutic uses in the United States, Europe and Canada, and a non-exclusive license under such patents and know how to develop and manufacture such vonoprazan products anywhere in the world (subject to Takeda’s consent as to each country) for the purposes of commercializing the vonoprazan products in the United States, Europe and Canada. We granted Takeda a non-exclusive, royalty-free, sublicensable license under our rights in any patents and know-how that are necessary or useful to enable Takeda to develop and manufacture vonoprazan products anywhere in the world for the purposes of commercialization outside United States, Europe and Canada. We also granted Takeda an exclusive, royalty-free license under our rights in certain patents and know-how owned or controlled by us and necessary for the exploitation of vonoprazan products, in each case for Takeda to commercialize any vonoprazan product outside of the United States, Canada, and Europe and for purposes other than human therapeutic use.</w:t>
      </w:r>
    </w:p>
    <w:p>
      <w:pPr>
        <w:spacing w:after="0" w:line="145"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the vonoprazan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1" w:name="page12"/>
    <w:bookmarkEnd w:id="11"/>
    <w:p>
      <w:pPr>
        <w:ind w:right="360"/>
        <w:spacing w:after="0" w:line="271" w:lineRule="auto"/>
        <w:rPr>
          <w:sz w:val="20"/>
          <w:szCs w:val="20"/>
          <w:color w:val="auto"/>
        </w:rPr>
      </w:pPr>
      <w:r>
        <w:rPr>
          <w:rFonts w:ascii="Arial" w:cs="Arial" w:eastAsia="Arial" w:hAnsi="Arial"/>
          <w:sz w:val="18"/>
          <w:szCs w:val="18"/>
          <w:color w:val="auto"/>
        </w:rPr>
        <w:t>products. We are required to use commercially reasonable efforts to develop and commercialize the vonoprazan products in our licensed territory.</w:t>
      </w:r>
    </w:p>
    <w:p>
      <w:pPr>
        <w:spacing w:after="0" w:line="113"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 We have the first right to enforce the licensed patent rights with respect to certain infringing products in the United States, Europe and Canada.</w:t>
      </w:r>
    </w:p>
    <w:p>
      <w:pPr>
        <w:spacing w:after="0" w:line="133"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We paid Takeda upfront consideration consisting of a cash payment of $25 million, 1,084,000 shares of common stock and a warrant to purchase 7,588,000 shares of common stock, or the Takeda Warrant. We agreed to make milestone payments to Takeda upon achieving certain tiered aggregate annual net sales of licensed products in the United States, Europe and Canada up to a total maximum milestone amount of $250 million. We also agreed to make tiered royalty payments averaging in the low double digits royalty rate on aggregate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41"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The Takeda License will continue until the expiration of the obligation to pay royalties in all countries and on all products. We may terminate the Takeda License in its entirety without cause upon six months’ prior written notice. We and Takeda may terminate the Takeda License in the case of the other party’s insolvency, or upon prior written notice within a specified time period for the other party’s material uncured breach. Takeda may terminate the Takeda License in its entirety if we challenge the licensed patents, or if we assist any third party in challenging such patents.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1" w:lineRule="exact"/>
        <w:rPr>
          <w:sz w:val="20"/>
          <w:szCs w:val="20"/>
          <w:color w:val="auto"/>
        </w:rPr>
      </w:pPr>
    </w:p>
    <w:p>
      <w:pPr>
        <w:ind w:right="460" w:firstLine="509"/>
        <w:spacing w:after="0" w:line="244"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vonoprazan. Vonoprazan is a small molecule that can be manufactured using commercially available technologies. We rely on third-party contract manufacturers to manufacture commercial and clinical quantities of our products, and expect to do so for any future product candidates. Although we rely on contract manufacturers, we have personnel with manufacturing experience to oversee our relationships with our suppliers, Evonik, Catalent and Sandoz.</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Evonik Commercial Supply Agreement</w:t>
      </w:r>
    </w:p>
    <w:p>
      <w:pPr>
        <w:spacing w:after="0" w:line="169"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In August 2022, we entered into a Commercial Supply Agreement, or the API Supply Agreement, with Evonik Operations GmbH, or Evonik, pursuant to which Evonik has agreed to supply us with commercial quantities of vonoprazan drug substance, or API.</w:t>
      </w:r>
    </w:p>
    <w:p>
      <w:pPr>
        <w:spacing w:after="0" w:line="113"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Pursuant to the API Supply Agreement, Evonik has agreed to supply us with, and we have agreed to purchase certain quantities of API at an agreed upon price which varies based on the volume of product ordered. The price may also be adjusted based on actual changes in costs incurred by Evonik. Subject to pre-existing purchase obligations to Takeda, we have agreed to purchase a percentage of our annual requirements of API from Evonik, for which the percentage of our annual API requirements is subject to adjustment based upon the price of API under the API Supply Agreement.</w:t>
      </w:r>
    </w:p>
    <w:p>
      <w:pPr>
        <w:spacing w:after="0" w:line="149"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Unless terminated earlier, the API Supply Agreement has an initial period that expires in August 2027. This initial term was extended by two years from 2027 to 2029 upon Evonik's successful qualification of a second manufacturing facility to produce API in December of 2024. The API Supply Agreement may be terminated effective at the end of the initial period on at least 24-months written notice by either party. In the absence of such notice, the API Supply Agreement will extend automatically for additional 2-year periods which may be terminated upon 18 months’ notice. The API Supply Agreement may also be terminated at any time upon written notice by either party if the other party has failed to remedy a material breach of the terms of the Supply Agreement within a specified period following receipt of written notice of such breach.</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Catalent Commercial Supply Agreement</w:t>
      </w:r>
    </w:p>
    <w:p>
      <w:pPr>
        <w:spacing w:after="0" w:line="16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 July 2021, we entered into a Commercial Supply Agreement, or the Tablet Supply Agreement, with Catalent Pharma Solutions, LLC, or Catalent, pursuant to which Catalent has agreed to supply us with commercial quantities of vonoprazan fumarate tablets.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2" w:name="page13"/>
    <w:bookmarkEnd w:id="12"/>
    <w:p>
      <w:pPr>
        <w:ind w:right="80" w:firstLine="509"/>
        <w:spacing w:after="0" w:line="247" w:lineRule="auto"/>
        <w:rPr>
          <w:sz w:val="20"/>
          <w:szCs w:val="20"/>
          <w:color w:val="auto"/>
        </w:rPr>
      </w:pPr>
      <w:r>
        <w:rPr>
          <w:rFonts w:ascii="Arial" w:cs="Arial" w:eastAsia="Arial" w:hAnsi="Arial"/>
          <w:sz w:val="18"/>
          <w:szCs w:val="18"/>
          <w:color w:val="auto"/>
        </w:rPr>
        <w:t>Pursuant to the Tablet Supply Agreement, as amended, Catalent has agreed to supply us with, and we have agreed to purchase from Catalent, finished vonoprazan tablets at an agreed upon price per unit. The price per unit may be adjusted annually based on increases in costs incurred by Catalent. The Tablet Supply Agreement requires us to purchase a specified percentage of our requirements of finished vonoprazan tablets from Catalent, which percentage is subject to adjustment following January 1, 2027.</w:t>
      </w:r>
    </w:p>
    <w:p>
      <w:pPr>
        <w:spacing w:after="0" w:line="13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Unless terminated earlier, the term of the Tablet Supply Agreement extends for a period of five years from the Commencement Date. The Tablet Supply Agreement will extend automatically for additional two year periods unless terminated by either party upon at least 24 months prior written notice. The Tablet Supply Agreement may also be terminated at any time upon written notice by either party if the other party has failed to remedy a material breach of the terms of the Tablet Supply Agreement within a specified period following receipt of written notice of such breach.</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Sandoz Supply and Packaging Agreement</w:t>
      </w:r>
    </w:p>
    <w:p>
      <w:pPr>
        <w:spacing w:after="0" w:line="183" w:lineRule="exact"/>
        <w:rPr>
          <w:sz w:val="20"/>
          <w:szCs w:val="20"/>
          <w:color w:val="auto"/>
        </w:rPr>
      </w:pPr>
    </w:p>
    <w:p>
      <w:pPr>
        <w:ind w:right="420" w:firstLine="509"/>
        <w:spacing w:after="0" w:line="253" w:lineRule="auto"/>
        <w:rPr>
          <w:sz w:val="20"/>
          <w:szCs w:val="20"/>
          <w:color w:val="auto"/>
        </w:rPr>
      </w:pPr>
      <w:r>
        <w:rPr>
          <w:rFonts w:ascii="Arial" w:cs="Arial" w:eastAsia="Arial" w:hAnsi="Arial"/>
          <w:sz w:val="18"/>
          <w:szCs w:val="18"/>
          <w:color w:val="auto"/>
        </w:rPr>
        <w:t>In December 2020, we entered into a Supply and Packaging Services Agreement with Sandoz GmbH, or the Sandoz Supply Agreement, pursuant to which Sandoz has agreed to supply commercial quantities of amoxicillin capsules and clarithromycin tablets, to package these antibiotics with vonoprazan drug product in finished convenience packs, and to supply us with these convenience packs.</w:t>
      </w:r>
    </w:p>
    <w:p>
      <w:pPr>
        <w:spacing w:after="0" w:line="12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Pursuant to the Sandoz Supply Agreement, we agreed to purchase certain quantities of convenience packs from Sandoz at an agreed upon price per pack. The price per pack is fixed for the first two (2) years following launch of the convenience pack in the United State and may be adjusted thereafter based on Sandoz’s cost increases, subject to an annual cap. The Sandoz Supply Agreement sets forth an annual minimum number of convenience packs that we must purchase each year following launch of the convenience pack product, and if we do not meet the minimum order in a given year, we are required to pay Sandoz the amount corresponding to the shortfall. Sandoz has no obligation to supply convenience packs above a maximum number of packs above a certain percentage of our forecasts. We have agreed to purchase convenience packs, amoxicillin capsules, and clarithromycin tablets, in each case intended for sale in the United States, exclusively from Sandoz during the five-year period following launch.</w:t>
      </w:r>
    </w:p>
    <w:p>
      <w:pPr>
        <w:spacing w:after="0" w:line="140"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The Sandoz Supply Agreement will continue for five years from launch of the convenience pack in the U.S. and may be terminated effective at the end of the initial five-year term upon written notice by either party prior to the end of the third year following launch. In the absence of such notice, the Sandoz Supply Agreement will extend automatically for an additional three-year period, and thereafter as mutually agreed upon by the parties. The Sandoz Supply Agreement may also be terminated at any time upon written notice by either party for uncured material breach following written notice of such breach.</w:t>
      </w:r>
    </w:p>
    <w:p>
      <w:pPr>
        <w:spacing w:after="0" w:line="14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had previously been informed by Sandoz that there could be a disruption in the supply of clarithromycin tablets, a component of the VOQUEZNA TRIPLE PAK, which could lead to a disruption in supply of VOQUEZNA TRIPLE PAKs. Given more recent communications, however, we do not currently anticipate any near-term disruptions. We plan to continue to actively monitor the situation to determine if a supply disruption may arise in the future. The VOQUEZNA TRIPLE PAK represented approximately 1% of our total revenue for 2025. While we have not experienced any commercial disruption to date, any disruption for such supply would result in our inability to continue to commercialize the VOQUEZNA TRIPLE PAK. The VOQUEZNA bottles and the VOQUEZNA DUAL PAKs are not impacted, as they do not include clarithromycin.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NDA process before it may be legally marketed in the United States.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 Drug Development Process</w:t>
      </w:r>
    </w:p>
    <w:p>
      <w:pPr>
        <w:spacing w:after="0" w:line="169"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In the United States, the FDA regulates drugs under the Federal Food, Drug, and Cosmetic Act, or the FDCA, and its implementing regulations. The process of obtaining regulatory approvals and the subsequent compliance with appropriate federal, state, local and foreign statutes and regulations require the expenditure of substantial time and financial resources.</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3" w:name="page14"/>
    <w:bookmarkEnd w:id="13"/>
    <w:p>
      <w:pPr>
        <w:ind w:left="900" w:right="460" w:hanging="383"/>
        <w:spacing w:after="0" w:line="270" w:lineRule="auto"/>
        <w:tabs>
          <w:tab w:leader="none" w:pos="9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certain preclinical laboratory tests, animal studies and formulation studies in accordance with Good Laboratory Practice, or GLP, regulations and other applicable regulations;</w:t>
      </w:r>
    </w:p>
    <w:p>
      <w:pPr>
        <w:spacing w:after="0" w:line="113" w:lineRule="exact"/>
        <w:rPr>
          <w:rFonts w:ascii="Times New Roman" w:cs="Times New Roman" w:eastAsia="Times New Roman" w:hAnsi="Times New Roman"/>
          <w:sz w:val="18"/>
          <w:szCs w:val="18"/>
          <w:color w:val="auto"/>
        </w:rPr>
      </w:pPr>
    </w:p>
    <w:p>
      <w:pPr>
        <w:ind w:left="900" w:right="420" w:hanging="383"/>
        <w:spacing w:after="0" w:line="270" w:lineRule="auto"/>
        <w:tabs>
          <w:tab w:leader="none" w:pos="9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97" w:lineRule="exact"/>
        <w:rPr>
          <w:rFonts w:ascii="Times New Roman" w:cs="Times New Roman" w:eastAsia="Times New Roman" w:hAnsi="Times New Roman"/>
          <w:sz w:val="18"/>
          <w:szCs w:val="18"/>
          <w:color w:val="auto"/>
        </w:rPr>
      </w:pPr>
    </w:p>
    <w:p>
      <w:pPr>
        <w:ind w:left="900" w:right="120" w:hanging="383"/>
        <w:spacing w:after="0" w:line="270" w:lineRule="auto"/>
        <w:tabs>
          <w:tab w:leader="none" w:pos="9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Good Clinical Practice, or GCP, regulations to establish the safety and efficacy of the proposed drug for its intended use;</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NDA;</w:t>
      </w:r>
    </w:p>
    <w:p>
      <w:pPr>
        <w:spacing w:after="0" w:line="18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197" w:lineRule="exact"/>
        <w:rPr>
          <w:rFonts w:ascii="Times New Roman" w:cs="Times New Roman" w:eastAsia="Times New Roman" w:hAnsi="Times New Roman"/>
          <w:sz w:val="18"/>
          <w:szCs w:val="18"/>
          <w:color w:val="auto"/>
        </w:rPr>
      </w:pPr>
    </w:p>
    <w:p>
      <w:pPr>
        <w:ind w:left="900" w:right="160" w:hanging="383"/>
        <w:spacing w:after="0" w:line="252" w:lineRule="auto"/>
        <w:tabs>
          <w:tab w:leader="none" w:pos="9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or cGMP, requirements to assure that the facilities, methods and controls are adequate to preserve the drug’s identity, strength, quality and purity;</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potential FDA inspection of selected clinical investigation sites to assess compliance with GCPs; and</w:t>
      </w:r>
    </w:p>
    <w:p>
      <w:pPr>
        <w:spacing w:after="0" w:line="183" w:lineRule="exact"/>
        <w:rPr>
          <w:rFonts w:ascii="Times New Roman" w:cs="Times New Roman" w:eastAsia="Times New Roman" w:hAnsi="Times New Roman"/>
          <w:sz w:val="18"/>
          <w:szCs w:val="18"/>
          <w:color w:val="auto"/>
        </w:rPr>
      </w:pPr>
    </w:p>
    <w:p>
      <w:pPr>
        <w:ind w:left="900" w:right="80" w:hanging="383"/>
        <w:spacing w:after="0" w:line="270" w:lineRule="auto"/>
        <w:tabs>
          <w:tab w:leader="none" w:pos="9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2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Once a pharmaceutical candidate is identified for development, it enters the preclinical testing stage. Preclinical tests include laboratory evaluations of product chemistry, toxicity and formulation, as well as animal studies. The conduct of preclinical studies is subject to federal regulations and requirements, including GLP regulations for certain studies. Prior to beginning the first clinical trial with a product candidate in the United States, a sponsor must submit an IND to the FDA. The sponsor must submit the results of the preclinical tests, together with manufacturing information and analytical data, to the FDA as part of the IND, which is a request for allowance from the FDA to administer an investigational drug product to humans. The IND automatically becomes effective 30 days after receipt by the FDA, unless the FDA, within the 30-day time period, places the clinical trial on a full or partial clinical hold. In such a case, the IND sponsor and the FDA must resolve any outstanding concerns before the clinical trial can begin, or with respect to a partial hold, begin as intended.</w:t>
      </w:r>
    </w:p>
    <w:p>
      <w:pPr>
        <w:spacing w:after="0" w:line="14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one or more qualified investigators in accordance with GCP regulations. Clinical trials are conducted under protocols detailing, among other things, the objectives of the trial, dosing procedures, subject selection and exclusion criteria and the safety and effectiveness criteria to be evaluated. Each protocol must be submitted to the FDA as part of the IND as well as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drug, findings from animal or in vitro testing suggesting a significant risk to humans exposed to the drug, and any clinically important increased rate of a serious suspected adverse reaction compared to that listed in the protocol or investigator brochure.</w:t>
      </w:r>
    </w:p>
    <w:p>
      <w:pPr>
        <w:spacing w:after="0" w:line="143"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Furthermore, an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certain ongoing or completed clinical trial to clinicaltrials.gov.</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71" w:lineRule="exact"/>
        <w:rPr>
          <w:sz w:val="20"/>
          <w:szCs w:val="20"/>
          <w:color w:val="auto"/>
        </w:rPr>
      </w:pPr>
    </w:p>
    <w:p>
      <w:pPr>
        <w:ind w:left="900" w:right="220" w:hanging="383"/>
        <w:spacing w:after="0" w:line="252"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 The product candidate is initially introduced into healthy human volunteers or patients with the target disease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These studies test for safety, dosage tolerance, absorption, metabolism, distribution and excretion and, if possible, to gain an early indication of its effectiveness.</w:t>
      </w:r>
    </w:p>
    <w:p>
      <w:pPr>
        <w:spacing w:after="0" w:line="130" w:lineRule="exact"/>
        <w:rPr>
          <w:rFonts w:ascii="Times New Roman" w:cs="Times New Roman" w:eastAsia="Times New Roman" w:hAnsi="Times New Roman"/>
          <w:sz w:val="18"/>
          <w:szCs w:val="18"/>
          <w:color w:val="auto"/>
        </w:rPr>
      </w:pPr>
    </w:p>
    <w:p>
      <w:pPr>
        <w:ind w:left="900" w:right="240" w:hanging="383"/>
        <w:spacing w:after="0" w:line="300" w:lineRule="auto"/>
        <w:tabs>
          <w:tab w:leader="none" w:pos="90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Phase 2</w:t>
      </w:r>
      <w:r>
        <w:rPr>
          <w:rFonts w:ascii="Arial" w:cs="Arial" w:eastAsia="Arial" w:hAnsi="Arial"/>
          <w:sz w:val="17"/>
          <w:szCs w:val="17"/>
          <w:color w:val="auto"/>
        </w:rPr>
        <w:t>: The product candidate is administered to a limited patient population with a specified disease or condition to evaluate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preliminary efficacy, optimal dosages and dosing schedule and to identify possible adverse side effects and safety risks.</w:t>
      </w:r>
    </w:p>
    <w:p>
      <w:pPr>
        <w:spacing w:after="0" w:line="104" w:lineRule="exact"/>
        <w:rPr>
          <w:rFonts w:ascii="Times New Roman" w:cs="Times New Roman" w:eastAsia="Times New Roman" w:hAnsi="Times New Roman"/>
          <w:sz w:val="17"/>
          <w:szCs w:val="17"/>
          <w:color w:val="auto"/>
        </w:rPr>
      </w:pPr>
    </w:p>
    <w:p>
      <w:pPr>
        <w:ind w:left="900" w:right="280" w:hanging="383"/>
        <w:spacing w:after="0" w:line="246"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statistically significant evidence of the product’s effectiveness for its intended use(s) and to further test for safety, generally at multiple geographically dispersed clinical trial sites. These clinical trials are intended to establish the overall risk-benefit ratio of the product candidate and provide, if appropriate, an adequate basis for product labeling.</w:t>
      </w:r>
    </w:p>
    <w:p>
      <w:pPr>
        <w:spacing w:after="0" w:line="136"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28"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NDA Review and Approval Process</w:t>
      </w:r>
    </w:p>
    <w:p>
      <w:pPr>
        <w:spacing w:after="0" w:line="16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3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Once filed, the FDA reviews an NDA to determine, among other things, whether a product is safe and effective for its intended use and whether its manufacturing is cGMP-compliant to assure and preserve the product’s identity, strength, quality and purity. Under current PDUFA guidelines,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w:t>
      </w:r>
    </w:p>
    <w:p>
      <w:pPr>
        <w:spacing w:after="0" w:line="15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33" w:lineRule="exact"/>
        <w:rPr>
          <w:sz w:val="20"/>
          <w:szCs w:val="20"/>
          <w:color w:val="auto"/>
        </w:rPr>
      </w:pPr>
    </w:p>
    <w:p>
      <w:pPr>
        <w:ind w:right="780" w:firstLine="509"/>
        <w:spacing w:after="0" w:line="271" w:lineRule="auto"/>
        <w:rPr>
          <w:sz w:val="20"/>
          <w:szCs w:val="20"/>
          <w:color w:val="auto"/>
        </w:rPr>
      </w:pPr>
      <w:r>
        <w:rPr>
          <w:rFonts w:ascii="Arial" w:cs="Arial" w:eastAsia="Arial" w:hAnsi="Arial"/>
          <w:sz w:val="18"/>
          <w:szCs w:val="18"/>
          <w:color w:val="auto"/>
        </w:rPr>
        <w:t>Before approving an NDA, the FDA will inspect the facility or facilities where the product is manufactured. Additionally, before approving an NDA, the FDA may inspect one or more clinical trial sites to assure compliance with GCP requirements.</w:t>
      </w:r>
    </w:p>
    <w:p>
      <w:pPr>
        <w:spacing w:after="0" w:line="11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trials or other significant and time-consuming requirements related to clinical trials, nonclinical studies or manufacturing to support the application. If a Complete Response Letter is issued, the sponsor must resubmit the NDA, addressing all of the deficiencies identified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5" w:name="page16"/>
    <w:bookmarkEnd w:id="15"/>
    <w:p>
      <w:pPr>
        <w:ind w:right="80"/>
        <w:spacing w:after="0" w:line="271" w:lineRule="auto"/>
        <w:rPr>
          <w:sz w:val="20"/>
          <w:szCs w:val="20"/>
          <w:color w:val="auto"/>
        </w:rPr>
      </w:pPr>
      <w:r>
        <w:rPr>
          <w:rFonts w:ascii="Arial" w:cs="Arial" w:eastAsia="Arial" w:hAnsi="Arial"/>
          <w:sz w:val="18"/>
          <w:szCs w:val="18"/>
          <w:color w:val="auto"/>
        </w:rPr>
        <w:t>in the letter, or withdraw the application. Even if such data and information are submitted, the FDA may decide that the NDA does not satisfy the criteria for approval.</w:t>
      </w:r>
    </w:p>
    <w:p>
      <w:pPr>
        <w:spacing w:after="0" w:line="113"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additional clinical studies to further assess a drug’s safety and effectiveness after NDA approval, and may require testing and surveillance programs to monitor the safety of approved products which have been commercialized. The FDA may also place other conditions on approval including the requirement for a risk evaluation and mitigation strategy, or REMS, to assure the safe use of the drug.</w:t>
      </w:r>
    </w:p>
    <w:p>
      <w:pPr>
        <w:spacing w:after="0" w:line="12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Furthermore,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The FDA must send a non-compliance letter to any sponsor that fails to submit the required assessment, fails to keep a deferral current or fails to submit a request for approval of a pediatric formulation.</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Post-Approval Requirements</w:t>
      </w:r>
    </w:p>
    <w:p>
      <w:pPr>
        <w:spacing w:after="0" w:line="16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Once an approval is granted, the FDA may withdraw the approval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After approval, some types of changes to the approved product, such 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regulations and other laws and regulations. In addition, the FDA may impose a number of post-approval requirements as a condition of approval of an NDA. For example, the FDA may require post-marketing testing, and surveillance to further assess and monitor the product’s safety and effectiveness after commercialization.</w:t>
      </w:r>
    </w:p>
    <w:p>
      <w:pPr>
        <w:spacing w:after="0" w:line="14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Any drug products manufactured or distributed pursuant to FDA approvals are subject to pervasive and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and imposes requirements and restrictions on drug manufacturers,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labeling.</w:t>
      </w:r>
    </w:p>
    <w:p>
      <w:pPr>
        <w:spacing w:after="0" w:line="15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post-approval, may subject an applicant or manufacturer to administrative or judicial civil or criminal sanctions and adverse publicity. FDA sanctions could include refusal to approve pending applications, withdrawal of an approval, clinical holds on post-approval clinical trials,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i w:val="1"/>
          <w:iCs w:val="1"/>
          <w:u w:val="single" w:color="auto"/>
          <w:color w:val="auto"/>
        </w:rPr>
        <w:t>Non-Patent Data and Market Exclusivity</w:t>
      </w:r>
    </w:p>
    <w:p>
      <w:pPr>
        <w:spacing w:after="0" w:line="169"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Data and 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NCE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an NDA submitted under Section 505(b)(2),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4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FDCA alternatively provides three years of non-patent market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53"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Pediatric exclusivity is another type of market exclusivity available in the United States. Pediatric exclusivity provides for an additional six months of marketing exclusivity attached to another period of non-patent regulatory exclusivity or patent term if a sponsor conducts clinical trials in children in response to a written request from the FDA. The issuance of a written request does not require the sponsor to undertake the described clinical trials.</w:t>
      </w:r>
    </w:p>
    <w:p>
      <w:pPr>
        <w:spacing w:after="0" w:line="13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Additionally, under the GAIN Act, the FDA may designate a product as a QIDP. In order to receive this designation, a drug must qualify as an antibacterial or antifungal drug for human use intended to treat serious or life-threatening infections, including those caused by either</w:t>
      </w:r>
    </w:p>
    <w:p>
      <w:pPr>
        <w:spacing w:after="0" w:line="1" w:lineRule="exact"/>
        <w:rPr>
          <w:sz w:val="20"/>
          <w:szCs w:val="20"/>
          <w:color w:val="auto"/>
        </w:rPr>
      </w:pPr>
    </w:p>
    <w:p>
      <w:pPr>
        <w:ind w:right="20" w:firstLine="8"/>
        <w:spacing w:after="0" w:line="238"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antibacterial or antifungal resistant pathogen, including novel or emerging infectious pathogens, or (2) a so-called “qualifying pathogen” found on a list of potentially dangerous, drug-resistant organisms established and maintained by the FDA under the law. The FDA interprets QIDP designation to apply to a specific drug product, including a specific dosage form of the product. A sponsor must request such designation before submitting a marketing application, and the FDA will respond to a request for QIDP designation within 60 days of the date the FDA receives the request. The GAIN Act permits the FDA to revoke a QIDP designation if the request for such designation contained an untrue statement of material fact.</w:t>
      </w:r>
    </w:p>
    <w:p>
      <w:pPr>
        <w:spacing w:after="0" w:line="141"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The benefits of QIDP designation include potential eligibility for priority review and Fast Track designation, and an extension by an additional five years of any non-patent exclusivity period awarded, such as a five-year NCE exclusivity period awarded for a new chemical entity. This extension is in addition to any pediatric exclusivity extension that may be awarded, and the extension will be awarded only to a drug first approved on or after the date of enactment. The GAIN Act provisions prohibit the grant of an exclusivity extension where the application is a supplement to an application for which an extension is in effect or has expired, is a subsequent application for a specified change to an approved product, or is an application for a product that does not meet a definition of QIDP based on the uses for which it is ultimately approved.</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 Healthcare Fraud and Abuse Laws and Compliance Requirements</w:t>
      </w:r>
    </w:p>
    <w:p>
      <w:pPr>
        <w:spacing w:after="0" w:line="169"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In addition to FDA regulation of pharmaceutical products, U.S. federal and state healthcare laws and regulations restrict business practices in the pharmaceutical industry. These laws may impact, among other things, our current and future business operations, including our clinical research activities, and constrain the business or financial arrangements and relationships with healthcare providers and other parties. These laws include anti -kickback and false claims laws, civil monetary penalties laws, and transparency laws regarding drug pricing and payments or other items of value provided to physicians and other healthcare providers.</w:t>
      </w:r>
    </w:p>
    <w:p>
      <w:pPr>
        <w:spacing w:after="0" w:line="136"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1" w:right="359" w:bottom="1440" w:gutter="0" w:footer="0" w:header="0"/>
        </w:sectPr>
      </w:pPr>
    </w:p>
    <w:bookmarkStart w:id="17" w:name="page18"/>
    <w:bookmarkEnd w:id="17"/>
    <w:p>
      <w:pPr>
        <w:ind w:right="60"/>
        <w:spacing w:after="0" w:line="271" w:lineRule="auto"/>
        <w:rPr>
          <w:sz w:val="20"/>
          <w:szCs w:val="20"/>
          <w:color w:val="auto"/>
        </w:rPr>
      </w:pPr>
      <w:r>
        <w:rPr>
          <w:rFonts w:ascii="Arial" w:cs="Arial" w:eastAsia="Arial" w:hAnsi="Arial"/>
          <w:sz w:val="18"/>
          <w:szCs w:val="18"/>
          <w:color w:val="auto"/>
        </w:rPr>
        <w:t>under Medicare, Medicaid or other federal healthcare programs. A person or entity does not need to have actual knowledge of this statute or specific intent to violate it in order to have committed a violation.</w:t>
      </w:r>
    </w:p>
    <w:p>
      <w:pPr>
        <w:spacing w:after="0" w:line="11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The federal civil and criminal false claims laws, including the civil False Claims Act, and civil monetary penalties laws prohibit, among other things, any individual or entity from knowingly presenting, or causing to be presented, a false claim for payment to the federal government, knowingly making, using or causing to be made or used a false record or statement material to a false or fraudulent claim to the federal government, or from knowingly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138"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things, knowingly and willfully executing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5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federal civil monetary penalties laws,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69" w:lineRule="exact"/>
        <w:rPr>
          <w:sz w:val="20"/>
          <w:szCs w:val="20"/>
          <w:color w:val="auto"/>
        </w:rPr>
      </w:pPr>
    </w:p>
    <w:p>
      <w:pPr>
        <w:ind w:right="320" w:firstLine="509"/>
        <w:spacing w:after="0"/>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(defined to include doctors, dentists, optometrists, podiatrists and chiropractors), certain other non-physician practitioners (physician assistants, nurse practitioners, clinical nurse specialists, certified registered nurse anesthetists, anesthesiology assistants and certified nurse midwives), and teaching hospitals, and applicable manufacturers and applicable group purchasing organizations to report annually to CMS ownership and investment interests held by physicians and their immediate family members.</w:t>
      </w:r>
    </w:p>
    <w:p>
      <w:pPr>
        <w:spacing w:after="0" w:line="14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payers,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and state and local laws that require the registration of pharmaceutical sales representatives.</w:t>
      </w:r>
    </w:p>
    <w:p>
      <w:pPr>
        <w:spacing w:after="0" w:line="14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and the curtailment or restructuring of our operations.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 Coverage and Reimbursement</w:t>
      </w:r>
    </w:p>
    <w:p>
      <w:pPr>
        <w:spacing w:after="0" w:line="16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payers, which include government health programs such as Medicare, Medicaid, TRICARE and the Veterans Administration, as well as managed care organizations and private health insurers. Coverage and reimbursement for VOQUEZNA, VOQUEZNA TRIPLE PAK and VOQUEZNA DUAL PAK and any future product candidates can be subject to challenge, reduction or denial by third-party payers.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18" w:name="page19"/>
    <w:bookmarkEnd w:id="18"/>
    <w:p>
      <w:pPr>
        <w:ind w:right="120" w:firstLine="509"/>
        <w:spacing w:after="0" w:line="256" w:lineRule="auto"/>
        <w:rPr>
          <w:sz w:val="20"/>
          <w:szCs w:val="20"/>
          <w:color w:val="auto"/>
        </w:rPr>
      </w:pPr>
      <w:r>
        <w:rPr>
          <w:rFonts w:ascii="Arial" w:cs="Arial" w:eastAsia="Arial" w:hAnsi="Arial"/>
          <w:sz w:val="17"/>
          <w:szCs w:val="17"/>
          <w:color w:val="auto"/>
        </w:rPr>
        <w:t>The process for determining whether a third-party payer will provide coverage for a product is typically separate from the process for setting the reimbursement rate that the payer will pay for the product. In the United States, there is no uniform policy among payers for coverage or reimbursement. Decisions regarding whether to cover a product, the extent of coverage and amount of reimbursement to be provided are made on a plan-by-plan basis. Third-party payers often rely upon Medicare coverage policy and payment limitations in setting their own coverage and reimbursement policies, but also have their own methods and approval processes. Therefore, coverage and reimbursement for products can differ significantly from payer to payer. As a result, the coverage determination process is often a time-consuming and costly process that can require manufacturers to provide scientific and clinical support for the use of a product to each payer separately, with no assurance that coverage and adequate reimbursement will be applied consistently or obtained in the first instance.</w:t>
      </w:r>
    </w:p>
    <w:p>
      <w:pPr>
        <w:spacing w:after="0" w:line="127"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Third-party payers are increasingly challenging the price and examining the medical necessity and cost-effectiveness of medical products and services, in addition to their safety and efficacy. Adoption of price controls and cost-containment measures, and adoption of more restrictive policies in jurisdictions with existing controls and measures, could further limit sales of any product that receives approval. Third-party payers may not consider vonoprazan or any future product candidates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payer not to cover a product could reduce physician usage and patient demand for the product.</w:t>
      </w:r>
    </w:p>
    <w:p>
      <w:pPr>
        <w:spacing w:after="0" w:line="140"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Medicaid is a joint federal and state program administered by the states for low-income and disabled beneficiaries. Medicare is a federal program that is administered by the federal government covering individuals age 65 and over as well as those with certain disabilities. Under the Medicaid Drug Rebate Program, or MDRP, as a condition of having federal funds being made available to the states for covered outpatient drugs under Medicaid, and, if applicable, Medicare Part B, pharmaceutical manufacturers must enter into an agreement with the Secretary of Health and Human Services to pay a rebate to state Medicaid programs for each unit of covered outpatient drug dispensed to a Medicaid beneficiary and paid for by the state Medicaid program. Medicaid drug rebates are based on pricing data that pharmaceutical manufacturers report on a monthly and quarterly basis to CMS, which is the federal agency that administers the MDRP and Medicare programs. For the MDRP, these data include the average manufacturer price, or AMP, for each drug and, in the case of innovator products, the Best Price, or BP, which represents the lowest price available from the manufacturer to any entity in the United States in any pricing structure, calculated to include all applicable sales and associated rebates, discounts and other price concessions. If a manufacturer becomes aware that its MDRP government price reporting submission for a prior quarter was incorrect or has changed as a result of recalculation of the pricing data, the manufacturer must resubmit the corrected data for up to three years after those data originally were due. If a manufacturer fails to provide information timely or is found to have knowingly submitted false information to the government, the manufacturer may be subject to civil monetary penalties and other sanctions, including termination from the MDRP.</w:t>
      </w:r>
    </w:p>
    <w:p>
      <w:pPr>
        <w:spacing w:after="0" w:line="162" w:lineRule="exact"/>
        <w:rPr>
          <w:sz w:val="20"/>
          <w:szCs w:val="20"/>
          <w:color w:val="auto"/>
        </w:rPr>
      </w:pPr>
    </w:p>
    <w:p>
      <w:pPr>
        <w:ind w:firstLine="509"/>
        <w:spacing w:after="0" w:line="205" w:lineRule="exact"/>
        <w:rPr>
          <w:sz w:val="20"/>
          <w:szCs w:val="20"/>
          <w:color w:val="auto"/>
        </w:rPr>
      </w:pPr>
      <w:r>
        <w:rPr>
          <w:rFonts w:ascii="Arial" w:cs="Arial" w:eastAsia="Arial" w:hAnsi="Arial"/>
          <w:sz w:val="18"/>
          <w:szCs w:val="18"/>
          <w:color w:val="auto"/>
        </w:rPr>
        <w:t>Federal law requires that a manufacturer that participates in the MDRP also participate in the Public Health Service’s 340B drug pricing program, or the 340B program, in order for federal funds to be available for the manufacturer’s drugs under Medicaid and, if applicable, Medicare Part B. The 340B program is administered by the Health Resources and Services Administration, or HRSA, and requires participating manufacturers to agree to charge statutorily defined covered entities no more than the 340B “ceiling price” for the manufacturer’s covered outpatient drugs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Manufacturers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w:t>
      </w:r>
      <w:r>
        <w:rPr>
          <w:rFonts w:ascii="MS PGothic" w:cs="MS PGothic" w:eastAsia="MS PGothic" w:hAnsi="MS PGothic"/>
          <w:sz w:val="18"/>
          <w:szCs w:val="18"/>
          <w:color w:val="auto"/>
        </w:rPr>
        <w:t>‑</w:t>
      </w:r>
      <w:r>
        <w:rPr>
          <w:rFonts w:ascii="Arial" w:cs="Arial" w:eastAsia="Arial" w:hAnsi="Arial"/>
          <w:sz w:val="18"/>
          <w:szCs w:val="18"/>
          <w:color w:val="auto"/>
        </w:rPr>
        <w:t>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discounted pricing on drugs used in an inpatient setting.</w:t>
      </w:r>
    </w:p>
    <w:p>
      <w:pPr>
        <w:spacing w:after="0" w:line="145"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In order to be eligible to have drug products paid for with federal funds under Medicaid and, if applicable, Medicare Part B, and purchased by certain federal agencies and grantees, a manufacturer must also participate in the U.S. Department of Veterans Affairs, or VA, Federal Supply Schedule, or FSS, pricing program. Under the VA/FSS program, a manufacturer must report the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9" w:name="page20"/>
    <w:bookmarkEnd w:id="19"/>
    <w:p>
      <w:pPr>
        <w:jc w:val="both"/>
        <w:ind w:right="200"/>
        <w:spacing w:after="0" w:line="247" w:lineRule="auto"/>
        <w:rPr>
          <w:sz w:val="20"/>
          <w:szCs w:val="20"/>
          <w:color w:val="auto"/>
        </w:rPr>
      </w:pPr>
      <w:r>
        <w:rPr>
          <w:rFonts w:ascii="Arial" w:cs="Arial" w:eastAsia="Arial" w:hAnsi="Arial"/>
          <w:sz w:val="18"/>
          <w:szCs w:val="18"/>
          <w:color w:val="auto"/>
        </w:rPr>
        <w:t>Non-Federal Average Manufacturer Price, or Non-FAMP, for its covered drugs to the VA and charge certain federal agencies no more than the Federal Ceiling Price, which is calculated based on Non-FAMP using a statutory formula. These federal agencies are the VA, the U.S. Department of Defense, the U.S. Coast Guard, and the U.S. Public Health Service (including the Indian Health Service). The manufacturer must also pay rebates on products purchased by military personnel and dependents through the TRICARE retail pharmacy program.</w:t>
      </w:r>
    </w:p>
    <w:p>
      <w:pPr>
        <w:spacing w:after="0" w:line="133" w:lineRule="exact"/>
        <w:rPr>
          <w:sz w:val="20"/>
          <w:szCs w:val="20"/>
          <w:color w:val="auto"/>
        </w:rPr>
      </w:pPr>
    </w:p>
    <w:p>
      <w:pPr>
        <w:ind w:right="60" w:firstLine="509"/>
        <w:spacing w:after="0" w:line="266" w:lineRule="auto"/>
        <w:rPr>
          <w:sz w:val="20"/>
          <w:szCs w:val="20"/>
          <w:color w:val="auto"/>
        </w:rPr>
      </w:pPr>
      <w:r>
        <w:rPr>
          <w:rFonts w:ascii="Arial" w:cs="Arial" w:eastAsia="Arial" w:hAnsi="Arial"/>
          <w:sz w:val="17"/>
          <w:szCs w:val="17"/>
          <w:color w:val="auto"/>
        </w:rPr>
        <w:t>We are enrolled or participate in the MDRP, the 340B program, the VA/FSS program, and the TRICARE retail pharmacy program, and have price reporting and payment obligations under these and other programs. Pricing and rebate calculations vary among products and programs. The calculations are complex and are often subject to interpretation by us, governmental or regulatory agencies, and the courts. We cannot ensure that any submissions we are required to make under these programs will not be found to be incomplete or incorrect.</w:t>
      </w:r>
    </w:p>
    <w:p>
      <w:pPr>
        <w:spacing w:after="0" w:line="11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under such laws include advance notice of planned price increases, reporting price increase amounts and factors considered by manufacturers in taking such increases, wholesale acquisition cost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 Healthcare Reform</w:t>
      </w:r>
    </w:p>
    <w:p>
      <w:pPr>
        <w:spacing w:after="0" w:line="169"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In the United States,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spacing w:after="0" w:line="12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Among policy makers and payers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or the Affordable Care Act, was passed, which substantially changed the way healthcare is financed by both governmental and private insurers, and significantly affected the pharmaceutical industry. The Affordable Care Act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MDRP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and Medicaid Innovation at the CMS to test innovative payment and service delivery models to lower Medicare and Medicaid spending, potentially including prescription drug spending.</w:t>
      </w:r>
    </w:p>
    <w:p>
      <w:pPr>
        <w:spacing w:after="0" w:line="153"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Since its enactment, there have been judicial and political challenges to certain aspects of the Affordable Care Act. On June 17, 2021, the U.S. Supreme Court dismissed the most recent judicial challenge to the Affordable Care Act without specifically ruling on the constitutionality of the Affordable Care Act. Thus, the Affordable Care Act will remain in effect in its current form.</w:t>
      </w:r>
    </w:p>
    <w:p>
      <w:pPr>
        <w:spacing w:after="0" w:line="12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addition, other legislative changes have been proposed and adopted since the Affordable Care Act was enacted. For example, beginning April 1, 2013, Medicare payments to providers were reduced under the sequestration required by the Budget Control Act of 2011, which will remain in effect through 2032, unless additional Congressional action is taken. Additionally, 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eliminated the statutory cap on manufacturers' Medicaid drug rebate liability, beginning January 1, 2024. Previously, the rebate was capped at 100% of a drug’s AMP.</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20" w:name="page21"/>
    <w:bookmarkEnd w:id="20"/>
    <w:p>
      <w:pPr>
        <w:ind w:right="140" w:firstLine="509"/>
        <w:spacing w:after="0" w:line="247" w:lineRule="auto"/>
        <w:rPr>
          <w:sz w:val="20"/>
          <w:szCs w:val="20"/>
          <w:color w:val="auto"/>
        </w:rPr>
      </w:pPr>
      <w:r>
        <w:rPr>
          <w:rFonts w:ascii="Arial" w:cs="Arial" w:eastAsia="Arial" w:hAnsi="Arial"/>
          <w:sz w:val="18"/>
          <w:szCs w:val="18"/>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w:t>
      </w:r>
    </w:p>
    <w:p>
      <w:pPr>
        <w:spacing w:after="0" w:line="13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 August 16, 2022, the Inflation Reduction Act of 2022, or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replaced the Part D coverage gap discount program with a new discounting program (which began in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CMS has published the negotiated prices for the initial ten drugs, which went into effect in 2026, and the subsequent 15 drugs, which will first be effective in 2027, as well as the next set of 15 drugs that will be subject to negotiation, although the program is currently subject to legal challenges. The impact of the IRA on the pharmaceutical industry cannot yet be fully determined, but is likely to be significant.</w:t>
      </w:r>
    </w:p>
    <w:p>
      <w:pPr>
        <w:spacing w:after="0" w:line="170" w:lineRule="exact"/>
        <w:rPr>
          <w:sz w:val="20"/>
          <w:szCs w:val="20"/>
          <w:color w:val="auto"/>
        </w:rPr>
      </w:pPr>
    </w:p>
    <w:p>
      <w:pPr>
        <w:jc w:val="both"/>
        <w:ind w:firstLine="469"/>
        <w:spacing w:after="0" w:line="247" w:lineRule="auto"/>
        <w:rPr>
          <w:sz w:val="20"/>
          <w:szCs w:val="20"/>
          <w:color w:val="auto"/>
        </w:rPr>
      </w:pPr>
      <w:r>
        <w:rPr>
          <w:rFonts w:ascii="Arial" w:cs="Arial" w:eastAsia="Arial" w:hAnsi="Arial"/>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VOQUEZNA, VOQUEZNA TRIPLE PAK and VOQUEZNA DUAL PAK or any other product candidate that we commercialize.</w:t>
      </w:r>
    </w:p>
    <w:p>
      <w:pPr>
        <w:spacing w:after="0" w:line="174" w:lineRule="exact"/>
        <w:rPr>
          <w:sz w:val="20"/>
          <w:szCs w:val="20"/>
          <w:color w:val="auto"/>
        </w:rPr>
      </w:pPr>
    </w:p>
    <w:p>
      <w:pPr>
        <w:jc w:val="both"/>
        <w:ind w:firstLine="469"/>
        <w:spacing w:after="0" w:line="238" w:lineRule="auto"/>
        <w:rPr>
          <w:sz w:val="20"/>
          <w:szCs w:val="20"/>
          <w:color w:val="auto"/>
        </w:rPr>
      </w:pPr>
      <w:r>
        <w:rPr>
          <w:rFonts w:ascii="Arial" w:cs="Arial" w:eastAsia="Arial" w:hAnsi="Arial"/>
          <w:sz w:val="18"/>
          <w:szCs w:val="18"/>
          <w:color w:val="auto"/>
        </w:rPr>
        <w:t>The Trump administration is pursuing a two-fold strategy to reduce drug costs in the U.S.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The Trump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could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183" w:lineRule="exact"/>
        <w:rPr>
          <w:sz w:val="20"/>
          <w:szCs w:val="20"/>
          <w:color w:val="auto"/>
        </w:rPr>
      </w:pPr>
    </w:p>
    <w:p>
      <w:pPr>
        <w:ind w:right="340" w:firstLine="509"/>
        <w:spacing w:after="0"/>
        <w:rPr>
          <w:sz w:val="20"/>
          <w:szCs w:val="20"/>
          <w:color w:val="auto"/>
        </w:rPr>
      </w:pPr>
      <w:r>
        <w:rPr>
          <w:rFonts w:ascii="Arial" w:cs="Arial" w:eastAsia="Arial" w:hAnsi="Arial"/>
          <w:sz w:val="18"/>
          <w:szCs w:val="18"/>
          <w:color w:val="auto"/>
        </w:rPr>
        <w:t>Individual states in the U.S. have also become increasingly active in implementing regulations designed to control pharmaceutical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In addition, regional healthcare authorities and individual hospitals are increasingly using bidding procedures to determine which drugs and suppliers will be included in their healthcare programs. Furthermore, there has been increased interest by third-party payers and governmental authorities in reference pricing systems and publication of discounts and list prices.</w:t>
      </w:r>
    </w:p>
    <w:p>
      <w:pPr>
        <w:spacing w:after="0" w:line="140"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The likelihood of implementation of additional reform initiatives is uncertain. Moreover, in the coming years, additional legislative and regulatory changes could be made to governmental health programs that could significantly impact pharmaceutical companies and the success of our product candidates.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Foreign Regulation</w:t>
      </w:r>
    </w:p>
    <w:p>
      <w:pPr>
        <w:spacing w:after="0" w:line="16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or EU, the approval process varies between countries and jurisdictions and can involve additional product testing and additional administrative review periods.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21" w:name="page22"/>
    <w:bookmarkEnd w:id="21"/>
    <w:p>
      <w:pPr>
        <w:jc w:val="both"/>
        <w:spacing w:after="0" w:line="253" w:lineRule="auto"/>
        <w:rPr>
          <w:sz w:val="20"/>
          <w:szCs w:val="20"/>
          <w:color w:val="auto"/>
        </w:rPr>
      </w:pPr>
      <w:r>
        <w:rPr>
          <w:rFonts w:ascii="Arial" w:cs="Arial" w:eastAsia="Arial" w:hAnsi="Arial"/>
          <w:sz w:val="18"/>
          <w:szCs w:val="18"/>
          <w:color w:val="auto"/>
        </w:rPr>
        <w:t>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30" w:lineRule="exact"/>
        <w:rPr>
          <w:sz w:val="20"/>
          <w:szCs w:val="20"/>
          <w:color w:val="auto"/>
        </w:rPr>
      </w:pPr>
    </w:p>
    <w:p>
      <w:pPr>
        <w:ind w:left="520" w:right="2580"/>
        <w:spacing w:after="0" w:line="444" w:lineRule="auto"/>
        <w:rPr>
          <w:sz w:val="20"/>
          <w:szCs w:val="20"/>
          <w:color w:val="auto"/>
        </w:rPr>
      </w:pPr>
      <w:r>
        <w:rPr>
          <w:rFonts w:ascii="Arial" w:cs="Arial" w:eastAsia="Arial" w:hAnsi="Arial"/>
          <w:sz w:val="18"/>
          <w:szCs w:val="18"/>
          <w:b w:val="1"/>
          <w:bCs w:val="1"/>
          <w:i w:val="1"/>
          <w:iCs w:val="1"/>
          <w:u w:val="single" w:color="auto"/>
          <w:color w:val="auto"/>
        </w:rPr>
        <w:t xml:space="preserve">Regulation and Procedures Governing Marketing Authorization of Medicinal Products in the EU </w:t>
      </w:r>
      <w:r>
        <w:rPr>
          <w:rFonts w:ascii="Arial" w:cs="Arial" w:eastAsia="Arial" w:hAnsi="Arial"/>
          <w:sz w:val="18"/>
          <w:szCs w:val="18"/>
          <w:i w:val="1"/>
          <w:iCs w:val="1"/>
          <w:color w:val="auto"/>
        </w:rPr>
        <w:t>Non-Clinical Studies and Clinical Trials</w:t>
      </w:r>
    </w:p>
    <w:p>
      <w:pPr>
        <w:spacing w:after="0" w:line="2"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Similarly, to the United States, the various phases of non-clinical and clinical research in the EU are subject to significant regulatory controls.</w:t>
      </w:r>
    </w:p>
    <w:p>
      <w:pPr>
        <w:spacing w:after="0" w:line="11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Non-clinical studies are performed to demonstrate the health or environmental safety of new chemical or biological substances. Non-clinical (pharmaco-toxicological) studies must be conducted in compliance with the principles of good laboratory practice, or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44"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Clinical trials of medicinal products in the EU must be conducted in accordance with EU and national regulations and the International Council for Harmonization of Technical Requirements for Pharmaceuticals for Human Use, or ICH, guidelines on good clinical practices, or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5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36"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While the EU Clinical Trials Directive required a separate clinical trial application, or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w:t>
      </w:r>
    </w:p>
    <w:p>
      <w:pPr>
        <w:spacing w:after="0" w:line="138"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47"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w:t>
      </w:r>
    </w:p>
    <w:p>
      <w:pPr>
        <w:spacing w:after="0" w:line="136"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Medicines used in clinical trials must be manufactured in accordance with Good Manufacturing Practice, or GMP. Other national and EU-wide regulatory requirements may also apply.</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Marketing Authorizations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22" w:name="page23"/>
    <w:bookmarkEnd w:id="22"/>
    <w:p>
      <w:pPr>
        <w:ind w:right="60" w:firstLine="509"/>
        <w:spacing w:after="0" w:line="253" w:lineRule="auto"/>
        <w:rPr>
          <w:sz w:val="20"/>
          <w:szCs w:val="20"/>
          <w:color w:val="auto"/>
        </w:rPr>
      </w:pPr>
      <w:r>
        <w:rPr>
          <w:rFonts w:ascii="Arial" w:cs="Arial" w:eastAsia="Arial" w:hAnsi="Arial"/>
          <w:sz w:val="18"/>
          <w:szCs w:val="18"/>
          <w:color w:val="auto"/>
        </w:rPr>
        <w:t>In the EU, medicinal product candidates can only be commercialized after obtaining a marketing authorization, or MA. To obtain regulatory approval of a product candidate in the EU, we must submit a MA Application, or MAA. The process for doing this depends, among other things, on the nature of the medicinal product.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There are two types of MAs:</w:t>
      </w:r>
    </w:p>
    <w:p>
      <w:pPr>
        <w:spacing w:after="0" w:line="171" w:lineRule="exact"/>
        <w:rPr>
          <w:sz w:val="20"/>
          <w:szCs w:val="20"/>
          <w:color w:val="auto"/>
        </w:rPr>
      </w:pPr>
    </w:p>
    <w:p>
      <w:pPr>
        <w:ind w:left="900" w:hanging="383"/>
        <w:spacing w:after="0" w:line="239" w:lineRule="auto"/>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"Centralized MAs" are issued by the European Commission through the centralized procedure, based on the opinion of the Committee for Medicinal Products for Human Use, or CHMP, of the European Medicines Agency, or EMA, and are valid throughout the EU. The centralized procedure is mandatory for certain types of products, such as (i) medicinal products derived from biotechnological processes, (ii) designated orphan medicinal products, (iii) advanced therapy medicinal products, or ATMPs, such as gene therapy, somatic cell-therapy or tissue-engineered medicines and (iv) medicinal products containing a new active substance indicated for the treatment of certain diseases, such as HIV/AIDS, cancer, neurodegenerative diseases, diabetes, auto-immune and other immune dysfunctions and viral diseases. The centralized procedure is optional for any products containing a new active substance not yet authorized in the EU, or for products that constitute a significant therapeutic, scientific or technical innovation or for which the granting of a MA would be in the interest of public health in the EU.</w:t>
      </w:r>
    </w:p>
    <w:p>
      <w:pPr>
        <w:spacing w:after="0" w:line="155" w:lineRule="exact"/>
        <w:rPr>
          <w:rFonts w:ascii="Times New Roman" w:cs="Times New Roman" w:eastAsia="Times New Roman" w:hAnsi="Times New Roman"/>
          <w:sz w:val="18"/>
          <w:szCs w:val="18"/>
          <w:color w:val="auto"/>
        </w:rPr>
      </w:pPr>
    </w:p>
    <w:p>
      <w:pPr>
        <w:ind w:left="900" w:right="6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43"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EU member states make an assessment of the risk-benefit balance of the product on the basis of scientific criteria concerning its quality, safety and efficacy.</w:t>
      </w:r>
    </w:p>
    <w:p>
      <w:pPr>
        <w:spacing w:after="0" w:line="11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MAs have an initial duration of five years. After these five years, the authorization may be renewed for an unlimited period on the basis of a reevaluation of the risk-benefit balance. Under the centralized procedure the maximum timeframe for the evaluation of an MAA by the EMA is 210 days, excluding clock stops. In exceptional cases, the CHMP might perform an accelerated review of a MA in no more than 150 days (not including clock stops).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Data and marketing exclusivity</w:t>
      </w:r>
    </w:p>
    <w:p>
      <w:pPr>
        <w:spacing w:after="0" w:line="16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EU also provides opportunities for market exclusivity. Upon receiving MA, innovative medicinal products generally receive eight years of data exclusivity and an additional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MA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Pediatric investigation plan</w:t>
      </w:r>
    </w:p>
    <w:p>
      <w:pPr>
        <w:spacing w:after="0" w:line="183"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the EU, MAAs for new medicinal products have to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23" w:name="page24"/>
    <w:bookmarkEnd w:id="23"/>
    <w:p>
      <w:pPr>
        <w:spacing w:after="0" w:line="244" w:lineRule="auto"/>
        <w:rPr>
          <w:sz w:val="20"/>
          <w:szCs w:val="20"/>
          <w:color w:val="auto"/>
        </w:rPr>
      </w:pPr>
      <w:r>
        <w:rPr>
          <w:rFonts w:ascii="Arial" w:cs="Arial" w:eastAsia="Arial" w:hAnsi="Arial"/>
          <w:sz w:val="18"/>
          <w:szCs w:val="18"/>
          <w:color w:val="auto"/>
        </w:rPr>
        <w:t>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six months’ supplementary protection certificate extension (if any is in effect at the time of approval) or, in the case of orphan pharmaceutical products, a two-year extension of the orphan market exclusivity is granted.</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Post-Approval Requirements</w:t>
      </w:r>
    </w:p>
    <w:p>
      <w:pPr>
        <w:spacing w:after="0" w:line="16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or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spacing w:after="0" w:line="152" w:lineRule="exact"/>
        <w:rPr>
          <w:sz w:val="20"/>
          <w:szCs w:val="20"/>
          <w:color w:val="auto"/>
        </w:rPr>
      </w:pPr>
    </w:p>
    <w:p>
      <w:pPr>
        <w:ind w:right="360" w:firstLine="509"/>
        <w:spacing w:after="0" w:line="247" w:lineRule="auto"/>
        <w:rPr>
          <w:sz w:val="20"/>
          <w:szCs w:val="20"/>
          <w:color w:val="auto"/>
        </w:rPr>
      </w:pPr>
      <w:r>
        <w:rPr>
          <w:rFonts w:ascii="Arial" w:cs="Arial" w:eastAsia="Arial" w:hAnsi="Arial"/>
          <w:sz w:val="18"/>
          <w:szCs w:val="18"/>
          <w:color w:val="auto"/>
        </w:rPr>
        <w:t>All new MAAs must include a risk management plan, or RMP, describing the risk management system that we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33"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38"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Failure to comply with the aforementioned EU and member state laws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47"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The aforementioned EU rules are generally applicable in the European Economic Area, or EEA, which consists of the 27 EU member states plus Norway, Liechtenstein and Iceland.</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Coverage and Reimbursement</w:t>
      </w:r>
    </w:p>
    <w:p>
      <w:pPr>
        <w:spacing w:after="0" w:line="16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Outside of the United States, the pricing of pharmaceutical products and medical devices is subject to governmental control in many countries. In the EU,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 Historically, products launched in the EU do not follow price structures of the United States and generally prices tend to be significantly lower.</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Data Privacy and Security Laws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a pharmaceutical company, we are subject to numerous federal, state and foreign data privacy, cybersecurity and data breach notification laws governing the collection, use, disclosure and protection of health-related and other personal information. These laws could apply now or in the future to our operations or the operations of our partners. In the U.S., numerous federal and state laws and regulations, including data breach notification laws, health information privacy and security laws and consumer protection laws and regulations (such as the California Consumer Privacy Act, or the CCPA) and similar state comprehensive data privacy laws in other states) govern the privacy and security of personal information, including health-related information. In addition, certain foreign laws such as the European Union General Data Protection Regulation, or the EU GDPR, and the United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24" w:name="page25"/>
    <w:bookmarkEnd w:id="24"/>
    <w:p>
      <w:pPr>
        <w:ind w:right="60"/>
        <w:spacing w:after="0" w:line="247" w:lineRule="auto"/>
        <w:rPr>
          <w:sz w:val="20"/>
          <w:szCs w:val="20"/>
          <w:color w:val="auto"/>
        </w:rPr>
      </w:pPr>
      <w:r>
        <w:rPr>
          <w:rFonts w:ascii="Arial" w:cs="Arial" w:eastAsia="Arial" w:hAnsi="Arial"/>
          <w:sz w:val="18"/>
          <w:szCs w:val="18"/>
          <w:color w:val="auto"/>
        </w:rPr>
        <w:t>Kingdom General Data Protection Regulation and Data Protection Act 2018, or collectively, the UK GDPR (the EU GDPR and UK GDPR together referred to as the GDPR)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1" w:lineRule="exact"/>
        <w:rPr>
          <w:sz w:val="20"/>
          <w:szCs w:val="20"/>
          <w:color w:val="auto"/>
        </w:rPr>
      </w:pPr>
    </w:p>
    <w:p>
      <w:pPr>
        <w:jc w:val="both"/>
        <w:ind w:right="80" w:firstLine="509"/>
        <w:spacing w:after="0" w:line="253" w:lineRule="auto"/>
        <w:rPr>
          <w:sz w:val="20"/>
          <w:szCs w:val="20"/>
          <w:color w:val="auto"/>
        </w:rPr>
      </w:pPr>
      <w:r>
        <w:rPr>
          <w:rFonts w:ascii="Arial" w:cs="Arial" w:eastAsia="Arial" w:hAnsi="Arial"/>
          <w:sz w:val="18"/>
          <w:szCs w:val="18"/>
          <w:color w:val="auto"/>
        </w:rPr>
        <w:t>As of December 31, 2025, we had 371 full-time employees, some of whom hold a Ph.D., M.D. or other advanced degree in their field. None of our employees are represented by labor unions or covered by collective bargaining agreements. We consider our relationship with our employees to be good.</w:t>
      </w:r>
    </w:p>
    <w:p>
      <w:pPr>
        <w:spacing w:after="0" w:line="142"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developing our existing and new employees, advisors and consultants. We maintain equity and cash incentive plans for, and offer a comprehensive benefit package to, every employee to attract, retain and reward personnel. The purpose of our cash and equity compensation plans is to increase stockholder value and the success of our company by motivating our employees to perform to the best of their abilities and achieve our objectives.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1"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were originally incorporated under the laws of the state of Delaware on January 9, 2018 under the name North Bridge IV, Inc. On March 13, 2019, we changed our name to Phathom Pharmaceuticals, Inc. and merged YamadaCo IIA, Inc., a Delaware corporation, or YamadaCo, with and into our company, with Phathom Pharmaceuticals, Inc. as the surviving entity, or the Merger. Our principal executive offices are located at 100 Campus Drive, Suite 102, Florham Park, New Jersey 07932, and our telephone number is (877) 742-8466.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internet address is www.phathompharma.com. Our investor relations website is located at https://investors.phathompharma.com. We make available free of charge on our investor relations website under “Financials and Filings” our annual reports on Form 10-K, quarterly reports on Form 10-Q, current reports on Form 8-K, our directors’ and officers’ Section 16 reports and any amendments to those reports as soon as reasonably practicable after filing or furnishing such materials to the SEC. They are also available for free on the SEC’s website at www.sec.gov.</w:t>
      </w:r>
    </w:p>
    <w:p>
      <w:pPr>
        <w:spacing w:after="0" w:line="136" w:lineRule="exact"/>
        <w:rPr>
          <w:sz w:val="20"/>
          <w:szCs w:val="20"/>
          <w:color w:val="auto"/>
        </w:rPr>
      </w:pPr>
    </w:p>
    <w:p>
      <w:pPr>
        <w:ind w:right="140" w:firstLine="509"/>
        <w:spacing w:after="0" w:line="266" w:lineRule="auto"/>
        <w:rPr>
          <w:sz w:val="20"/>
          <w:szCs w:val="20"/>
          <w:color w:val="auto"/>
        </w:rPr>
      </w:pPr>
      <w:r>
        <w:rPr>
          <w:rFonts w:ascii="Arial" w:cs="Arial" w:eastAsia="Arial" w:hAnsi="Arial"/>
          <w:sz w:val="17"/>
          <w:szCs w:val="17"/>
          <w:color w:val="auto"/>
        </w:rPr>
        <w:t>We use our investor relations website as a means of disclosing material non-public information and for complying with our disclosure obligations under Regulation FD. Investors should monitor such website, in addition to following our press releases, SEC filings and public conference calls and webcasts. Information relating to our corporate governance is also included on our investor relations website. The information in or accessible through the SEC and our website are not incorporated into, and are not considered part of, this filing.</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9"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17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i w:val="1"/>
          <w:iCs w:val="1"/>
          <w:color w:val="auto"/>
        </w:rPr>
        <w:t>You should carefully consider the following risk factors, together with the other information contained in this annual report on Form 10-K, including our financial statements and the related notes and “Management’s Discussion and Analysis of Financial Condition and Results of Operations,” before making a decision to purchase or sell shares of our common stock. We cannot assure you that any of the events discussed in the risk factors below will not occur. 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 In this section, we first provide a summary of the more principal risks and uncertainties we face and then provide a full set of risk factors and discuss them in greater detail.</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RISKS FACTORS</w:t>
      </w:r>
    </w:p>
    <w:p>
      <w:pPr>
        <w:spacing w:after="0" w:line="185" w:lineRule="exact"/>
        <w:rPr>
          <w:sz w:val="20"/>
          <w:szCs w:val="20"/>
          <w:color w:val="auto"/>
        </w:rPr>
      </w:pPr>
    </w:p>
    <w:p>
      <w:pPr>
        <w:ind w:left="900" w:right="640" w:hanging="383"/>
        <w:spacing w:after="0" w:line="270"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operating history, have incurred significant operating losses since our inception and may never become profitable or, if we achieve profitability, we may not be able to sustain it;</w:t>
      </w:r>
    </w:p>
    <w:p>
      <w:pPr>
        <w:spacing w:after="0" w:line="113" w:lineRule="exact"/>
        <w:rPr>
          <w:rFonts w:ascii="Times New Roman" w:cs="Times New Roman" w:eastAsia="Times New Roman" w:hAnsi="Times New Roman"/>
          <w:sz w:val="18"/>
          <w:szCs w:val="18"/>
          <w:color w:val="auto"/>
        </w:rPr>
      </w:pPr>
    </w:p>
    <w:p>
      <w:pPr>
        <w:ind w:left="900" w:right="80" w:hanging="383"/>
        <w:spacing w:after="0" w:line="252"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depend entirely on the success of our approved VOQUEZNA products, and in particular on the success of VOQUEZNA for the treatment of GERD. If we are unable to successfully commercialize VOQUEZNA at the levels we expect, our business, results of operations, and prospects will be materially harmed;</w:t>
      </w:r>
    </w:p>
    <w:p>
      <w:pPr>
        <w:spacing w:after="0" w:line="130" w:lineRule="exact"/>
        <w:rPr>
          <w:rFonts w:ascii="Times New Roman" w:cs="Times New Roman" w:eastAsia="Times New Roman" w:hAnsi="Times New Roman"/>
          <w:sz w:val="18"/>
          <w:szCs w:val="18"/>
          <w:color w:val="auto"/>
        </w:rPr>
      </w:pPr>
    </w:p>
    <w:p>
      <w:pPr>
        <w:jc w:val="both"/>
        <w:ind w:left="900" w:right="80" w:hanging="383"/>
        <w:spacing w:after="0" w:line="252"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may require additional financing to achieve our goals, finance our operations and meet our financial obligations, and a failure to obtain this necessary capital when needed on acceptable terms, or at all, could force us to delay, limit, reduce or terminate our commercialization activities, product development programs, or other operations;</w:t>
      </w:r>
    </w:p>
    <w:p>
      <w:pPr>
        <w:spacing w:after="0" w:line="143" w:lineRule="exact"/>
        <w:rPr>
          <w:rFonts w:ascii="Times New Roman" w:cs="Times New Roman" w:eastAsia="Times New Roman" w:hAnsi="Times New Roman"/>
          <w:sz w:val="18"/>
          <w:szCs w:val="18"/>
          <w:color w:val="auto"/>
        </w:rPr>
      </w:pPr>
    </w:p>
    <w:p>
      <w:pPr>
        <w:ind w:left="900" w:right="300" w:hanging="383"/>
        <w:spacing w:after="0" w:line="270"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Interest Financing Agreement could limit cash flow available for our operations and expose us to risks that could adversely affect our business, financial condition and results of operations;</w:t>
      </w:r>
    </w:p>
    <w:p>
      <w:pPr>
        <w:spacing w:after="0" w:line="113" w:lineRule="exact"/>
        <w:rPr>
          <w:rFonts w:ascii="Times New Roman" w:cs="Times New Roman" w:eastAsia="Times New Roman" w:hAnsi="Times New Roman"/>
          <w:sz w:val="18"/>
          <w:szCs w:val="18"/>
          <w:color w:val="auto"/>
        </w:rPr>
      </w:pPr>
    </w:p>
    <w:p>
      <w:pPr>
        <w:ind w:left="900" w:right="140" w:hanging="383"/>
        <w:spacing w:after="0" w:line="252"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 the future we will need to successfully acquire, develop and gain approval of one or more product candidates other than VOQUEZNA with significant market potential. If we are not successful in these efforts, our business prospects may be materially and adversely affected;</w:t>
      </w:r>
    </w:p>
    <w:p>
      <w:pPr>
        <w:spacing w:after="0" w:line="130" w:lineRule="exact"/>
        <w:rPr>
          <w:rFonts w:ascii="Times New Roman" w:cs="Times New Roman" w:eastAsia="Times New Roman" w:hAnsi="Times New Roman"/>
          <w:sz w:val="18"/>
          <w:szCs w:val="18"/>
          <w:color w:val="auto"/>
        </w:rPr>
      </w:pPr>
    </w:p>
    <w:p>
      <w:pPr>
        <w:ind w:left="900" w:hanging="383"/>
        <w:spacing w:after="0" w:line="252"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achieve favorable results in our ongoing clinical trial of vonoprazan in the treatment of EoE or in future clinical trials of vonoprazan or of any other product candidate we may develop, or receive additional regulatory approvals on a timely basis, if at all;</w:t>
      </w:r>
    </w:p>
    <w:p>
      <w:pPr>
        <w:spacing w:after="0" w:line="143" w:lineRule="exact"/>
        <w:rPr>
          <w:rFonts w:ascii="Times New Roman" w:cs="Times New Roman" w:eastAsia="Times New Roman" w:hAnsi="Times New Roman"/>
          <w:sz w:val="18"/>
          <w:szCs w:val="18"/>
          <w:color w:val="auto"/>
        </w:rPr>
      </w:pPr>
    </w:p>
    <w:p>
      <w:pPr>
        <w:ind w:left="900" w:right="80" w:hanging="383"/>
        <w:spacing w:after="0" w:line="246"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decide to develop vonoprazan for additional indications and formulations beyond the ongoing EoE trial, or even if we proceed with such development, our efforts may not be successful or, if successful, may not result in increased revenues. We may expend our limited resources to pursue a particular indication or formulation for vonoprazan and fail to capitalize on product candidates, indications or formulations that may be more profitable or for which there is a greater likelihood of success;</w:t>
      </w:r>
    </w:p>
    <w:p>
      <w:pPr>
        <w:spacing w:after="0" w:line="136" w:lineRule="exact"/>
        <w:rPr>
          <w:rFonts w:ascii="Times New Roman" w:cs="Times New Roman" w:eastAsia="Times New Roman" w:hAnsi="Times New Roman"/>
          <w:sz w:val="18"/>
          <w:szCs w:val="18"/>
          <w:color w:val="auto"/>
        </w:rPr>
      </w:pPr>
    </w:p>
    <w:p>
      <w:pPr>
        <w:ind w:left="900" w:right="20" w:hanging="383"/>
        <w:spacing w:after="0" w:line="252"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have limited experience as a company in commercializing products. We may lack the necessary expertise, personnel and resources to successfully commercialize VOQUEZNA or any future product candidates that may receive regulatory approval;</w:t>
      </w:r>
    </w:p>
    <w:p>
      <w:pPr>
        <w:spacing w:after="0" w:line="130"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engage third-party manufacturers for all of our commercial and clinical supplies. The loss of any of these suppliers, or any future single source suppliers, could harm our business;</w:t>
      </w:r>
    </w:p>
    <w:p>
      <w:pPr>
        <w:spacing w:after="0" w:line="127" w:lineRule="exact"/>
        <w:rPr>
          <w:rFonts w:ascii="Times New Roman" w:cs="Times New Roman" w:eastAsia="Times New Roman" w:hAnsi="Times New Roman"/>
          <w:sz w:val="18"/>
          <w:szCs w:val="18"/>
          <w:color w:val="auto"/>
        </w:rPr>
      </w:pPr>
    </w:p>
    <w:p>
      <w:pPr>
        <w:ind w:left="900" w:right="120" w:hanging="383"/>
        <w:spacing w:after="0" w:line="252"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conduct our clinical trials and perform other tasks for us. If these third parties do not successfully carry out their contractual duties, meet expected deadlines or comply with regulatory requirements, we may not be able to complete ongoing development activities on the timelines we expect and the delays may harm our business;</w:t>
      </w:r>
    </w:p>
    <w:p>
      <w:pPr>
        <w:spacing w:after="0" w:line="130" w:lineRule="exact"/>
        <w:rPr>
          <w:rFonts w:ascii="Times New Roman" w:cs="Times New Roman" w:eastAsia="Times New Roman" w:hAnsi="Times New Roman"/>
          <w:sz w:val="18"/>
          <w:szCs w:val="18"/>
          <w:color w:val="auto"/>
        </w:rPr>
      </w:pPr>
    </w:p>
    <w:p>
      <w:pPr>
        <w:jc w:val="both"/>
        <w:ind w:left="900" w:right="120" w:hanging="383"/>
        <w:spacing w:after="0" w:line="252"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the Takeda License to provide us rights to develop and commercialize vonoprazan in the United States, Europe, and Canada. If the license agreement is terminated, we would lose our rights to develop and commercialize vonoprazan which would materially adversely affect our business, results of operations, and prospects;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26" w:name="page27"/>
    <w:bookmarkEnd w:id="26"/>
    <w:p>
      <w:pPr>
        <w:ind w:left="900" w:right="80" w:hanging="383"/>
        <w:spacing w:after="0" w:line="246"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If the scope of any patent protection or non-patent regulatory exclusivity we obtain is not sufficiently broad, or if we lose or fail to obtain or failure to maintain any of our patent protection or non-patent regulatory exclusivity, our ability to prevent our competitors from commercializing similar or identical products would be adversely affected which could materially and adversely affect our business, results of operations, and prospects;</w:t>
      </w:r>
    </w:p>
    <w:p>
      <w:pPr>
        <w:spacing w:after="0" w:line="136" w:lineRule="exact"/>
        <w:rPr>
          <w:rFonts w:ascii="Times New Roman" w:cs="Times New Roman" w:eastAsia="Times New Roman" w:hAnsi="Times New Roman"/>
          <w:sz w:val="18"/>
          <w:szCs w:val="18"/>
          <w:color w:val="auto"/>
        </w:rPr>
      </w:pPr>
    </w:p>
    <w:p>
      <w:pPr>
        <w:ind w:left="900" w:right="20" w:hanging="383"/>
        <w:spacing w:after="0" w:line="243"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commercialization of VOQUEZNA, VOQUEZNA DUAL PAK and VOQUEZNA TRIPLE PAK will depend in part on the extent to which private health insurers and governmental authorities establish and maintain coverage, adequate reimbursement levels and favorable pricing policies. Failure to obtain or maintain coverage and adequate reimbursement for our products could limit our ability to market those products successfully and decrease our ability to generate revenue at the levels we expect which could materially and adversely affect our business, results of operations, and prospects;</w:t>
      </w:r>
    </w:p>
    <w:p>
      <w:pPr>
        <w:spacing w:after="0" w:line="139" w:lineRule="exact"/>
        <w:rPr>
          <w:rFonts w:ascii="Times New Roman" w:cs="Times New Roman" w:eastAsia="Times New Roman" w:hAnsi="Times New Roman"/>
          <w:sz w:val="18"/>
          <w:szCs w:val="18"/>
          <w:color w:val="auto"/>
        </w:rPr>
      </w:pPr>
    </w:p>
    <w:p>
      <w:pPr>
        <w:ind w:left="900" w:hanging="383"/>
        <w:spacing w:after="0" w:line="246"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comply with reporting and payment obligations for VOQUEZNA, VOQUEZNA DUAL PAK and VOQUEZNA TRIPLE PAK under the Medicaid Drug Rebate Program or other governmental pricing programs, we could be subject to additional reimbursement requirements, penalties, sanctions and fines, which could have a material adverse effect on our business, financial condition, results of operations and prospects;</w:t>
      </w:r>
    </w:p>
    <w:p>
      <w:pPr>
        <w:spacing w:after="0" w:line="149" w:lineRule="exact"/>
        <w:rPr>
          <w:rFonts w:ascii="Times New Roman" w:cs="Times New Roman" w:eastAsia="Times New Roman" w:hAnsi="Times New Roman"/>
          <w:sz w:val="18"/>
          <w:szCs w:val="18"/>
          <w:color w:val="auto"/>
        </w:rPr>
      </w:pPr>
    </w:p>
    <w:p>
      <w:pPr>
        <w:ind w:left="900" w:right="240" w:hanging="38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various foreign, federal, and state healthcare and privacy laws and regulations, and our failure to comply with these laws and regulations could harm our results of operations and financial condition;</w:t>
      </w:r>
    </w:p>
    <w:p>
      <w:pPr>
        <w:spacing w:after="0" w:line="113" w:lineRule="exact"/>
        <w:rPr>
          <w:rFonts w:ascii="Times New Roman" w:cs="Times New Roman" w:eastAsia="Times New Roman" w:hAnsi="Times New Roman"/>
          <w:sz w:val="18"/>
          <w:szCs w:val="18"/>
          <w:color w:val="auto"/>
        </w:rPr>
      </w:pPr>
    </w:p>
    <w:p>
      <w:pPr>
        <w:ind w:left="900" w:right="140" w:hanging="38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are highly dependent on the services of our key executives and personnel, and if we are not able to retain these members of our management or recruit additional management, clinical and commercial personnel, our business could suffer; and</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trading price of our securities is likely to be volatile, and purchasers of our securities could incur substantial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173"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We have a limited operating history as a commercial company, which may make it difficult to evaluate the success of our business to date and to assess our future viability.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Biopharmaceutical commercialization and product development both involve a substantial degree of risk.</w:t>
      </w:r>
    </w:p>
    <w:p>
      <w:pPr>
        <w:spacing w:after="0" w:line="18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launched VOQUEZNA, VOQUEZNA DUAL PAK and VOQUEZNA TRIPLE PAK in the fourth quarter of 2023. Prior to such launch, we had not conducted sales and marketing activities necessary for successful commercialization of a product or manufactured products on a commercial scale, or arranged for a third party to do so on our behalf. Consequently, predictions about our future success or viability may not be as accurate as they could be if we had a longer history of successfully developing and commercializing products. We expect our financial condition and operating results to continue to fluctuate from quarter to quarter and year to year due to a variety of factors, many of which are beyond our control. We may encounter unforeseen expenses, difficulties, complications and delays, and may not be successful in our commercialization or development efforts.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may never achieve or maintain profitability.</w:t>
      </w:r>
    </w:p>
    <w:p>
      <w:pPr>
        <w:spacing w:after="0" w:line="16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Since our inception, we have incurred significant operating losses. Our net loss was $221.2 million and $334.3 million for the years ended December 31, 2025 and 2024, respectively. As of December 31, 2025, we had an accumulated deficit of $1.5 billion. Given our limited history as a commercial-stage company, we face numerous risks associated with our ability to achieve operating profitability and cash flow positivity based on expected revenue and expense levels, and there is no certainty that we will achieve operating profitability or cash flow positivity on the timeline we expect or at all, or that, even if we achieve profitability, that we will be able to sustain it. The net losses we incur may fluctuate significantly from quarter to quarter and year to year. We expect to continue to incur significant expenses for the foreseeable future as we:</w:t>
      </w:r>
    </w:p>
    <w:p>
      <w:pPr>
        <w:spacing w:after="0" w:line="158" w:lineRule="exact"/>
        <w:rPr>
          <w:sz w:val="20"/>
          <w:szCs w:val="20"/>
          <w:color w:val="auto"/>
        </w:rPr>
      </w:pPr>
    </w:p>
    <w:p>
      <w:pPr>
        <w:ind w:left="900" w:right="60" w:hanging="383"/>
        <w:spacing w:after="0" w:line="270"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continue commercialization of VOQUEZNA, VOQUEZNA DUAL PAK and VOQUEZNA TRIPLE PAK, and in the future, potentially expand marketing and sales efforts to target more broadly those primary care physicians who treat GERD;</w:t>
      </w:r>
    </w:p>
    <w:p>
      <w:pPr>
        <w:spacing w:after="0" w:line="113" w:lineRule="exact"/>
        <w:rPr>
          <w:rFonts w:ascii="Times New Roman" w:cs="Times New Roman" w:eastAsia="Times New Roman" w:hAnsi="Times New Roman"/>
          <w:sz w:val="18"/>
          <w:szCs w:val="18"/>
          <w:color w:val="auto"/>
        </w:rPr>
      </w:pPr>
    </w:p>
    <w:p>
      <w:pPr>
        <w:ind w:left="900" w:right="640" w:hanging="383"/>
        <w:spacing w:after="0" w:line="270"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conduct clinical trials for new potential indications or formulations of vonoprazan or develop any future product candidates, including related support activities;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27" w:name="page28"/>
    <w:bookmarkEnd w:id="27"/>
    <w:p>
      <w:pPr>
        <w:ind w:left="900" w:right="680" w:hanging="383"/>
        <w:spacing w:after="0" w:line="270"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make required royalty payments under the Revenue Interest Financing Agreement, or RIFA, entered into in May 2022, as amended;</w:t>
      </w:r>
    </w:p>
    <w:p>
      <w:pPr>
        <w:spacing w:after="0" w:line="113" w:lineRule="exact"/>
        <w:rPr>
          <w:rFonts w:ascii="Times New Roman" w:cs="Times New Roman" w:eastAsia="Times New Roman" w:hAnsi="Times New Roman"/>
          <w:sz w:val="18"/>
          <w:szCs w:val="18"/>
          <w:color w:val="auto"/>
        </w:rPr>
      </w:pPr>
    </w:p>
    <w:p>
      <w:pPr>
        <w:ind w:left="900" w:right="100" w:hanging="383"/>
        <w:spacing w:after="0" w:line="270"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make required payments under the Loan and Security Agreement with Hercules Capital, Inc., or Loan Agreement, entered into in September 2021, as amended;</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build a portfolio of product candidates through the acquisition or in-license of additional product candidates or technologies;</w:t>
      </w:r>
    </w:p>
    <w:p>
      <w:pPr>
        <w:spacing w:after="0" w:line="197" w:lineRule="exact"/>
        <w:rPr>
          <w:rFonts w:ascii="Times New Roman" w:cs="Times New Roman" w:eastAsia="Times New Roman" w:hAnsi="Times New Roman"/>
          <w:sz w:val="18"/>
          <w:szCs w:val="18"/>
          <w:color w:val="auto"/>
        </w:rPr>
      </w:pPr>
    </w:p>
    <w:p>
      <w:pPr>
        <w:ind w:left="900" w:right="340" w:hanging="383"/>
        <w:spacing w:after="0" w:line="252"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pursue regulatory approvals for new indications or formulations of vonoprazan or future product candidates, if we conduct and successfully complete clinical trials, seek approvals, and engage in commercialization activities related to such indications, formulations or future product candidates, if approved; and</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and other expenses in connection with operating as a public company.</w:t>
      </w:r>
    </w:p>
    <w:p>
      <w:pPr>
        <w:spacing w:after="0" w:line="18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To become profitable, we must successfully commercialize VOQUEZNA in the treatment of GERD. To build for long-term success, we must acquire, develop and gain approval of one or more product candidates with significant market potential. We may not be successful in these efforts.</w:t>
      </w:r>
    </w:p>
    <w:p>
      <w:pPr>
        <w:spacing w:after="0" w:line="142" w:lineRule="exact"/>
        <w:rPr>
          <w:sz w:val="20"/>
          <w:szCs w:val="20"/>
          <w:color w:val="auto"/>
        </w:rPr>
      </w:pPr>
    </w:p>
    <w:p>
      <w:pPr>
        <w:jc w:val="both"/>
        <w:ind w:right="460" w:firstLine="509"/>
        <w:spacing w:after="0" w:line="253" w:lineRule="auto"/>
        <w:rPr>
          <w:sz w:val="20"/>
          <w:szCs w:val="20"/>
          <w:color w:val="auto"/>
        </w:rPr>
      </w:pPr>
      <w:r>
        <w:rPr>
          <w:rFonts w:ascii="Arial" w:cs="Arial" w:eastAsia="Arial" w:hAnsi="Arial"/>
          <w:sz w:val="18"/>
          <w:szCs w:val="18"/>
          <w:color w:val="auto"/>
        </w:rPr>
        <w:t>Our failure to become and remain profitable would depress the value of our company and could impair our ability to raise capital, expand our business, continue our product commercialization and development efforts, diversify our product candidate pipeline or even continue our operations. A decline in the value of our company could also cause you to lose all or part of your investment.</w:t>
      </w:r>
    </w:p>
    <w:p>
      <w:pPr>
        <w:spacing w:after="0" w:line="13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We may require substantial additional financing to achieve our goals, finance our operations or meet our financial obligations, and a failure to obtain this necessary capital when needed on acceptable terms, or at all, could materially adversely affect our business.</w:t>
      </w:r>
    </w:p>
    <w:p>
      <w:pPr>
        <w:spacing w:after="0" w:line="11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development and commercialization of biopharmaceutical products are capital-intensive. We expect to continue to incur significant expenses in connection with our ongoing activities, particularly as we commercialize VOQUEZNA, VOQUEZNA DUAL PAK and VOQUEZNA TRIPLE PAK in the United States, and advance our current, planned or future development programs. In the future, we may decide to expand our commercialization efforts, including increasing our marketing activities or the size of our field force, or to expand our development efforts, including pursuing additional indications or formulations of vonoprazan or acquiring, in-licensing and developing additional product candidates. Any such activities could significantly increase our operating expenses. We cannot reliably estimate the amounts required to generate revenues from VOQUEZNA at the levels we expect, to complete development of additional indications or formulations of vonoprazan or future product candidates, or to successfully commercialize any future products that may be approved. In addition, we are required to make milestone and royalty payments to Takeda, from whom we have in-licensed the rights to develop and commercialize vonoprazan in the United States, Europe, and Canada pursuant to the Takeda License, and we have ongoing financial obligations under our Loan Agreement and RIFA. If we pursue additional product acquisitions or in-licenses, we may also be required to make significant upfront, milestone or royalty payments. We may require additional financing to achieve our goals, finance our operations and meet our financial obligations. If we are unable to raise capital when needed or on attractive terms, we could be forced to delay, limit, reduce or terminate our commercialization activities, product development programs, or other operations.</w:t>
      </w:r>
    </w:p>
    <w:p>
      <w:pPr>
        <w:spacing w:after="0" w:line="162"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believe that our existing cash and cash equivalents are sufficient to fund operations for at least the next 12 months and along with anticipated product revenues and the $122.2 million of net proceeds from our January 2026 offering, will be sufficient to enable us to reach operating profitability, beginning in the third quarter of 2026, excluding stock-based compensation.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VOQUEZNA, develop vonoprazan for additional indications or formulations or develop or any future product candidates.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71" w:lineRule="exact"/>
        <w:rPr>
          <w:sz w:val="20"/>
          <w:szCs w:val="20"/>
          <w:color w:val="auto"/>
        </w:rPr>
      </w:pPr>
    </w:p>
    <w:p>
      <w:pPr>
        <w:ind w:left="900" w:right="180" w:hanging="383"/>
        <w:spacing w:after="0" w:line="252"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and maintain market acceptance, market share, coverage, reimbursement and revenues from sales of VOQUEZNA in its approved GERD indications, and patients’ willingness to pay out-of-pocket in the absence of coverage and/or adequate reimbursement from third-party payers;</w:t>
      </w:r>
    </w:p>
    <w:p>
      <w:pPr>
        <w:spacing w:after="0" w:line="130" w:lineRule="exact"/>
        <w:rPr>
          <w:rFonts w:ascii="Times New Roman" w:cs="Times New Roman" w:eastAsia="Times New Roman" w:hAnsi="Times New Roman"/>
          <w:sz w:val="18"/>
          <w:szCs w:val="18"/>
          <w:color w:val="auto"/>
        </w:rPr>
      </w:pPr>
    </w:p>
    <w:p>
      <w:pPr>
        <w:ind w:left="900" w:right="240" w:hanging="383"/>
        <w:spacing w:after="0" w:line="252"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sales and marketing activities in support of the continued commercial launch of VOQUEZNA, VOQUEZNA DUAL PAK and VOQUEZNA TRIPLE PAK, or any future product candidates we may choose to pursue, if successfully developed and approved;</w:t>
      </w:r>
    </w:p>
    <w:p>
      <w:pPr>
        <w:spacing w:after="0" w:line="143" w:lineRule="exact"/>
        <w:rPr>
          <w:rFonts w:ascii="Times New Roman" w:cs="Times New Roman" w:eastAsia="Times New Roman" w:hAnsi="Times New Roman"/>
          <w:sz w:val="18"/>
          <w:szCs w:val="18"/>
          <w:color w:val="auto"/>
        </w:rPr>
      </w:pPr>
    </w:p>
    <w:p>
      <w:pPr>
        <w:ind w:left="900" w:right="180" w:hanging="383"/>
        <w:spacing w:after="0" w:line="270"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availability of manufacturing for vonoprazan as well as the costs of manufacturing for any potential product candidates we may pursue in the future;</w:t>
      </w:r>
    </w:p>
    <w:p>
      <w:pPr>
        <w:spacing w:after="0" w:line="113" w:lineRule="exact"/>
        <w:rPr>
          <w:rFonts w:ascii="Times New Roman" w:cs="Times New Roman" w:eastAsia="Times New Roman" w:hAnsi="Times New Roman"/>
          <w:sz w:val="18"/>
          <w:szCs w:val="18"/>
          <w:color w:val="auto"/>
        </w:rPr>
      </w:pPr>
    </w:p>
    <w:p>
      <w:pPr>
        <w:ind w:left="900" w:right="220" w:hanging="383"/>
        <w:spacing w:after="0" w:line="252"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30" w:lineRule="exact"/>
        <w:rPr>
          <w:rFonts w:ascii="Times New Roman" w:cs="Times New Roman" w:eastAsia="Times New Roman" w:hAnsi="Times New Roman"/>
          <w:sz w:val="18"/>
          <w:szCs w:val="18"/>
          <w:color w:val="auto"/>
        </w:rPr>
      </w:pPr>
    </w:p>
    <w:p>
      <w:pPr>
        <w:ind w:left="900" w:right="220" w:hanging="383"/>
        <w:spacing w:after="0" w:line="270"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future vonoprazan applications or such applications for any future product candidates;</w:t>
      </w:r>
    </w:p>
    <w:p>
      <w:pPr>
        <w:spacing w:after="0" w:line="127" w:lineRule="exact"/>
        <w:rPr>
          <w:rFonts w:ascii="Times New Roman" w:cs="Times New Roman" w:eastAsia="Times New Roman" w:hAnsi="Times New Roman"/>
          <w:sz w:val="18"/>
          <w:szCs w:val="18"/>
          <w:color w:val="auto"/>
        </w:rPr>
      </w:pPr>
    </w:p>
    <w:p>
      <w:pPr>
        <w:ind w:left="900" w:right="700" w:hanging="383"/>
        <w:spacing w:after="0" w:line="270"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obtaining, maintaining and enforcing our patents and other intellectual property rights, and the success of our enforcement efforts;</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profile and impact of competitive products;</w:t>
      </w:r>
    </w:p>
    <w:p>
      <w:pPr>
        <w:spacing w:after="0" w:line="183" w:lineRule="exact"/>
        <w:rPr>
          <w:rFonts w:ascii="Times New Roman" w:cs="Times New Roman" w:eastAsia="Times New Roman" w:hAnsi="Times New Roman"/>
          <w:sz w:val="18"/>
          <w:szCs w:val="18"/>
          <w:color w:val="auto"/>
        </w:rPr>
      </w:pPr>
    </w:p>
    <w:p>
      <w:pPr>
        <w:ind w:left="900" w:right="540" w:hanging="383"/>
        <w:spacing w:after="0" w:line="270"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hiring additional personnel and consultants as our business grows and enhancing our operational systems;</w:t>
      </w:r>
    </w:p>
    <w:p>
      <w:pPr>
        <w:spacing w:after="0" w:line="12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83" w:lineRule="exact"/>
        <w:rPr>
          <w:rFonts w:ascii="Times New Roman" w:cs="Times New Roman" w:eastAsia="Times New Roman" w:hAnsi="Times New Roman"/>
          <w:sz w:val="18"/>
          <w:szCs w:val="18"/>
          <w:color w:val="auto"/>
        </w:rPr>
      </w:pPr>
    </w:p>
    <w:p>
      <w:pPr>
        <w:ind w:left="900" w:right="340" w:hanging="383"/>
        <w:spacing w:after="0" w:line="270"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impact of our obligations under our Loan and Security Agreement with Hercules Capital, Inc., and our Revenue Interest Financing Agreement; and</w:t>
      </w:r>
    </w:p>
    <w:p>
      <w:pPr>
        <w:spacing w:after="0" w:line="113" w:lineRule="exact"/>
        <w:rPr>
          <w:rFonts w:ascii="Times New Roman" w:cs="Times New Roman" w:eastAsia="Times New Roman" w:hAnsi="Times New Roman"/>
          <w:sz w:val="18"/>
          <w:szCs w:val="18"/>
          <w:color w:val="auto"/>
        </w:rPr>
      </w:pPr>
    </w:p>
    <w:p>
      <w:pPr>
        <w:ind w:left="900" w:right="200" w:hanging="383"/>
        <w:spacing w:after="0" w:line="246"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building a portfolio of product candidates through the acquisition or in-license of additional product candidates or technologies, including the terms and timing of establishing and maintaining future collaborations, licenses and other similar arrangement and the costs associated with development of any products or technologies that we may in-license or acquire.</w:t>
      </w:r>
    </w:p>
    <w:p>
      <w:pPr>
        <w:spacing w:after="0" w:line="15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expect that, for the foreseeable future, our revenues will be derived exclusively from sales of products containing vonoprazan in the U.S., particularly arising from the use of VOQUEZNA in its current indications in the treatment of GERD. Until we can generate a sufficient amount of product revenue and cash flow from operations to achieve profitability and to fund our future growth opportunities, we may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40"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9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expect to continue to finance our cash needs through revenue from product sales and equity offerings, other debt financings, or other capital sources, including potential collaborations, licenses and other similar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Our Loan Agreement and our Revenue Interest Financing Agreement include, and any future debt financing and preferred equity financing, if available, may involve agreements that include cash covenants and covenants limiting or restricting our ability to take specific actions such as incurring additional debt, making capital expenditures or declaring dividends. For example, our Loan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29" w:name="page30"/>
    <w:bookmarkEnd w:id="29"/>
    <w:p>
      <w:pPr>
        <w:ind w:right="20"/>
        <w:spacing w:after="0" w:line="271" w:lineRule="auto"/>
        <w:rPr>
          <w:sz w:val="20"/>
          <w:szCs w:val="20"/>
          <w:color w:val="auto"/>
        </w:rPr>
      </w:pPr>
      <w:r>
        <w:rPr>
          <w:rFonts w:ascii="Arial" w:cs="Arial" w:eastAsia="Arial" w:hAnsi="Arial"/>
          <w:sz w:val="18"/>
          <w:szCs w:val="18"/>
          <w:color w:val="auto"/>
        </w:rPr>
        <w:t>Agreement with Hercules contains minimum cash and performance financial covenants and our Revenue Interest Financing Agreement also contains minimum cash covenants.</w:t>
      </w:r>
    </w:p>
    <w:p>
      <w:pPr>
        <w:spacing w:after="0" w:line="113" w:lineRule="exact"/>
        <w:rPr>
          <w:sz w:val="20"/>
          <w:szCs w:val="20"/>
          <w:color w:val="auto"/>
        </w:rPr>
      </w:pPr>
    </w:p>
    <w:p>
      <w:pPr>
        <w:jc w:val="both"/>
        <w:ind w:right="80" w:firstLine="509"/>
        <w:spacing w:after="0" w:line="253" w:lineRule="auto"/>
        <w:rPr>
          <w:sz w:val="20"/>
          <w:szCs w:val="20"/>
          <w:color w:val="auto"/>
        </w:rPr>
      </w:pPr>
      <w:r>
        <w:rPr>
          <w:rFonts w:ascii="Arial" w:cs="Arial" w:eastAsia="Arial" w:hAnsi="Arial"/>
          <w:sz w:val="18"/>
          <w:szCs w:val="18"/>
          <w:color w:val="auto"/>
        </w:rPr>
        <w:t>If we raise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w:t>
      </w:r>
    </w:p>
    <w:p>
      <w:pPr>
        <w:spacing w:after="0" w:line="128"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b w:val="1"/>
          <w:bCs w:val="1"/>
          <w:color w:val="auto"/>
        </w:rPr>
        <w:t>Risks Related to Commercialization of VOQUEZNA, VOQUEZNA TRIPLE PAK, VOQUEZNA DUAL PAK and Any Future Product Candidates</w:t>
      </w:r>
    </w:p>
    <w:p>
      <w:pPr>
        <w:spacing w:after="0" w:line="111"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We currently rely entirely on the commercial success of our VOQUEZNA products, which depends upon the degree of market acceptance of such products by physicians, patients, healthcare payers and others in the medical community.</w:t>
      </w:r>
    </w:p>
    <w:p>
      <w:pPr>
        <w:spacing w:after="0" w:line="99"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We currently depend entirely on the success of our approved VOQUEZNA products, and we may not be able to successfully commercialize such products or achieve revenues at the level and timing we expect. The commercial success of our approved products will depend significantly on the broad adoption and use of such products by physicians and patients for the approved indications. The degree of market acceptance of our current products or any product candidates, if approved, will depend on a number of factors, including:</w:t>
      </w:r>
    </w:p>
    <w:p>
      <w:pPr>
        <w:spacing w:after="0" w:line="66"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acceptance of our products for the relevant indication by healthcare providers and their patients;</w:t>
      </w:r>
    </w:p>
    <w:p>
      <w:pPr>
        <w:spacing w:after="0" w:line="116"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cost-effectiveness of our products, as well as the cost of treatment with our products in relation to alternative treatments and therapies;</w:t>
      </w:r>
    </w:p>
    <w:p>
      <w:pPr>
        <w:spacing w:after="0" w:line="46"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sufficient third-party coverage and adequate reimbursement from private health insurers, government healthcare programs, including, Medicare and Medicaid, and other third-party payers;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patients to pay all, or a portion of, out-of-pocket costs associated with our products in the absence of sufficient third-party coverage or adequate reimbursement;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demonstration of clinical efficacy and safety compared to other more-established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profile and impact of competitive drugs;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or any of our potential future collaborators’ sales and marketing strategies;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indications for which our current product or any product candidates are approved;</w:t>
      </w:r>
    </w:p>
    <w:p>
      <w:pPr>
        <w:spacing w:after="0" w:line="116"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limitation of our targeted patient population and other limitations or warnings contained in any FDA-approved labeling or comparable approved labeling;</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any restrictions on the use of our products, and the prevalence and severity of any adverse effects;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liability claims;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publicity relating to the product.</w:t>
      </w:r>
    </w:p>
    <w:p>
      <w:pPr>
        <w:spacing w:after="0" w:line="184"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If VOQUEZNA, or any product candidate, if approved, does not achieve an adequate level of acceptance by physicians, hospitals, healthcare payers or patients, we may not generate revenue at the levels or on the timing we expect which could have a material adverse effect on our business, financial condition, results of operations and prospects. Our efforts to educate the medical community and third-party payers regarding the benefits of our products may require significant resources and may never be successful.</w:t>
      </w:r>
    </w:p>
    <w:p>
      <w:pPr>
        <w:spacing w:after="0" w:line="14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Takeda has the right to develop and commercialize vonoprazan outside of the United States, Europe, and Canada and has received marketing approval for vonoprazan in numerous countries in Asia and Latin America as well as in Russia. We have no control over Takeda’s commercialization activities with respect to vonoprazan outside of our licensed territories even though those activities could impact our ability to successfully commercialize vonoprazan. For example, Takeda can make statements or use promotional materials with respect to vonoprazan outside of our licensed territories that are inconsistent with our positioning of the product in the United States, and could sell vonoprazan in foreign countries at prices that are dramatically lower than the prices we would charge in our licensed territories. These activities and decisions, while occurring outside of our licensed territories, could harm our commercialization strategy. In addition, product recalls or safety issues with vonoprazan outside our licensed territories could</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9" w:right="399" w:bottom="1440" w:gutter="0" w:footer="0" w:header="0"/>
        </w:sectPr>
      </w:pPr>
    </w:p>
    <w:bookmarkStart w:id="30" w:name="page31"/>
    <w:bookmarkEnd w:id="30"/>
    <w:p>
      <w:pPr>
        <w:ind w:right="580"/>
        <w:spacing w:after="0" w:line="271" w:lineRule="auto"/>
        <w:rPr>
          <w:sz w:val="20"/>
          <w:szCs w:val="20"/>
          <w:color w:val="auto"/>
        </w:rPr>
      </w:pPr>
      <w:r>
        <w:rPr>
          <w:rFonts w:ascii="Arial" w:cs="Arial" w:eastAsia="Arial" w:hAnsi="Arial"/>
          <w:sz w:val="18"/>
          <w:szCs w:val="18"/>
          <w:color w:val="auto"/>
        </w:rPr>
        <w:t>result in serious damage to the brand and impair our ability to successfully market our products containing vonoprazan in our licensed territories.</w:t>
      </w:r>
    </w:p>
    <w:p>
      <w:pPr>
        <w:spacing w:after="0" w:line="11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b w:val="1"/>
          <w:bCs w:val="1"/>
          <w:i w:val="1"/>
          <w:iCs w:val="1"/>
          <w:color w:val="auto"/>
        </w:rPr>
        <w:t>We may lack the necessary expertise, personnel and resources to successfully commercialize VOQUEZNA, VOQUEZNA DUAL PAK, and VOQUEZNA TRIPLE PAK and any future product candidates that may receive regulatory approval, on our own or together with collaborators.</w:t>
      </w:r>
    </w:p>
    <w:p>
      <w:pPr>
        <w:spacing w:after="0" w:line="119" w:lineRule="exact"/>
        <w:rPr>
          <w:sz w:val="20"/>
          <w:szCs w:val="20"/>
          <w:color w:val="auto"/>
        </w:rPr>
      </w:pPr>
    </w:p>
    <w:p>
      <w:pPr>
        <w:ind w:right="60" w:firstLine="559"/>
        <w:spacing w:after="0" w:line="238" w:lineRule="auto"/>
        <w:rPr>
          <w:sz w:val="20"/>
          <w:szCs w:val="20"/>
          <w:color w:val="auto"/>
        </w:rPr>
      </w:pPr>
      <w:r>
        <w:rPr>
          <w:rFonts w:ascii="Arial" w:cs="Arial" w:eastAsia="Arial" w:hAnsi="Arial"/>
          <w:sz w:val="18"/>
          <w:szCs w:val="18"/>
          <w:color w:val="auto"/>
        </w:rPr>
        <w:t>Until 2023, our operations were primarily limited to organizing and staffing our company, business planning, raising capital, acquiring the rights to, and undertaking clinical trials of, vonoprazan. Although we started developing marketing and distribution capabilities in 2021 in advance of the then planned commercialization of VOQUEZNA, VOQUEZNA DUAL PAK and VOQUEZNA TRIPLE PAK, due to approval and launch delays, we did not hire our field force until late 2023. The success of commercialization of our approved products in the United States and any of our future product candidates that may be successfully developed and approved by the FDA will depend on such marketing, sales and distribution capabilities or any additional capabilities we may build. Factors that may affect our ability to commercialize successfully our approved products and future product candidates, if any, on our own include obtaining access to or persuading adequate numbers of physicians to prescribe our products for the approved indications. Building and maintaining a sales and marketing organization has required, and will continue to require, significant investment, and is time-consuming. Our sales and marketing organization and strategy may prove not to be effective. If we are unable to maintain effective sales and marketing capabilities for our approved products including VOQUEZNA, or to adopt a successful strategy, or to find suitable partners for such commercialization, we may have difficulties generating revenue at the levels and on the timing we expect, which could have a material adverse effect on our business, financial condition, results of operations and prospects.</w:t>
      </w:r>
    </w:p>
    <w:p>
      <w:pPr>
        <w:spacing w:after="0" w:line="15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i w:val="1"/>
          <w:iCs w:val="1"/>
          <w:color w:val="auto"/>
        </w:rPr>
        <w:t>As a commercial-stage company with FDA-approved products, we are subject to ongoing regulatory obligations and failure to comply with these requirements or changes in regulatory rules could materially adversely affect our business or result in significant additional expense.</w:t>
      </w:r>
    </w:p>
    <w:p>
      <w:pPr>
        <w:spacing w:after="0" w:line="11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connection with approval of a pharmaceutical product, regulatory authorities may impose ongoing requirements for potentially costly and time-consuming post-approval studies, post-market surveillance or clinical trials to monitor the safety and efficacy of the product. For example, with respect to VOQUEZNA our post-marketing requirements include pregnancy registries and pediatric studies. The FDA and comparable regulatory authorities may also require a risk evaluation and mitigation strategy, or REMS, or similar risk management measures as a condition of approval of any future product candidates, which could include requirements for a medication guide, physician communication plans or additional elements to ensure safe use, such as restricted distribution methods, patient registries and other risk minimization tools. In addition, the manufacture, labeling, packaging, distribution, adverse-event reporting, storage, advertising, promotion, import, export and recordkeeping for our approved products, as well as for any future product candidates that may receive regulatory approval, are subject to extensive and ongoing regulatory requirements. These requirements include periodic safety reporting, facility registration, inspections, and continued compliance with current good manufacturing practices, or cGMPs, as well as good clinical practice, or GCP requirements for any clinical trials we conduct.</w:t>
      </w:r>
    </w:p>
    <w:p>
      <w:pPr>
        <w:spacing w:after="0" w:line="14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later discovery of previously unknown problems with our products, including adverse events of unanticipated severity or frequency, or with our third-party manufacturers or manufacturing processes, or failure to comply with regulatory requirements, may result in, among other things:</w:t>
      </w:r>
    </w:p>
    <w:p>
      <w:pPr>
        <w:spacing w:after="0" w:line="61" w:lineRule="exact"/>
        <w:rPr>
          <w:sz w:val="20"/>
          <w:szCs w:val="20"/>
          <w:color w:val="auto"/>
        </w:rPr>
      </w:pPr>
    </w:p>
    <w:p>
      <w:pPr>
        <w:ind w:left="1020" w:right="66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fines, restitutions, disgorgement of profits or revenues, warning letters, untitled letters or holds on clinical trials;</w:t>
      </w:r>
    </w:p>
    <w:p>
      <w:pPr>
        <w:spacing w:after="0" w:line="116"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or comparable foreign regulatory authority to approve pending applications or supplements to approved applications filed by us or suspension or revocation of approvals;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our products;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197"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current products or any future product candidates and impair our ability to generate revenue and could require us to expend significant time and resources in response or generate negative publicity. In addition, regulatory requirements and policies are subject to change. New laws,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31" w:name="page32"/>
    <w:bookmarkEnd w:id="31"/>
    <w:p>
      <w:pPr>
        <w:ind w:right="60"/>
        <w:spacing w:after="0" w:line="247" w:lineRule="auto"/>
        <w:rPr>
          <w:sz w:val="20"/>
          <w:szCs w:val="20"/>
          <w:color w:val="auto"/>
        </w:rPr>
      </w:pPr>
      <w:r>
        <w:rPr>
          <w:rFonts w:ascii="Arial" w:cs="Arial" w:eastAsia="Arial" w:hAnsi="Arial"/>
          <w:sz w:val="18"/>
          <w:szCs w:val="18"/>
          <w:color w:val="auto"/>
        </w:rPr>
        <w:t>regulations or guidance, or changes in interpretation or enforcement of existing requirements, could increase the cost or complexity of maintaining compliance or pursuing additional indications, formulations or product candidates. If we are slow or unable to adapt to regulatory changes or maintain compliance, we could be subject to enforcement actions. Any of the consequences of these events could have a material adverse effect on our business, financial condition, results of operations and prospects.</w:t>
      </w:r>
    </w:p>
    <w:p>
      <w:pPr>
        <w:spacing w:after="0" w:line="135"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9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 xml:space="preserve">The FDA and other regulatory agencies strictly regulate the promotional claims that may be made about prescription products such as our currently approved products, and any additional product candidates containing vonoprazan and any future product candidates, if successfully developed and approved. In particular, a product may not be promoted for uses that are not approved by the FDA or such other regulatory agencies as reflected in the product’s approved labeling. For example, the FDA has approved VOQUEZNA for the treatment for healing and maintenance of healing of all grades of erosive esophagitis and relief of heartburn associated with erosive esophagitis in adults, for the relief of heartburn associated with Non-Erosive GERD in adults and, in combination with either amoxicillin, or amoxicillin and clarithromycin,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adults, and we are not currently permitted to promote this product for any other uses unless and until such uses are approved by the FDA. For any product for which we have obtained a marketing approval, however, physicians may nevertheless prescribe it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current products or any product candidates we may successfully develop in the future, we could become subject to significant liability, which would materially adversely affect our business and financial condition.</w:t>
      </w:r>
    </w:p>
    <w:p>
      <w:pPr>
        <w:spacing w:after="0" w:line="166"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b w:val="1"/>
          <w:bCs w:val="1"/>
          <w:i w:val="1"/>
          <w:iCs w:val="1"/>
          <w:color w:val="auto"/>
        </w:rPr>
        <w:t>Successful commercialization of our current products or any future product candidate, will depend in part on the extent to which private health insurers or governmental authorities provide and maintain coverage with adequate reimbursement levels and without onerous utilization management requirements. Failure to obtain or maintain favorable pricing and adequate coverage and reimbursement policies for our products could limit our ability to market those products and decrease our ability to generate revenue at the levels and on the timelines we expect.</w:t>
      </w:r>
    </w:p>
    <w:p>
      <w:pPr>
        <w:spacing w:after="0" w:line="13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availability of coverage and the adequacy of reimbursement for VOQUEZNA, VOQUEZNA DUAL PAK and VOQUEZNA TRIPLE PAK by private health insurers, governmental healthcare programs, such as Medicare and Medicaid, and other third-party payers are essential for most patients to be able to afford these medications, and will be essential with respect to any future product candidates that may be successfully developed and approved. Even when coverage is available, third-party payers may impose utilization management requirements, such as prior authorization, step therapy, quantity limits or other restrictions, which may delay or limit patient access, reduce prescribing, or increase administrative burden on healthcare providers. These access requirements may negatively affect adoption and persistence of our products in clinical practice. Our ability to achieve and maintain coverage and acceptable levels of reimbursement for our approved products by third-party payers will have an effect on our ability to successfully commercialize those products. Even if we obtain coverage for a given product by a third-party payer without onerous management utilization requirements, the resulting reimbursement payment rates may not be adequate or may require co-payments that patients find unacceptably high. Coverage and reimbursement policies for our approved products may be changed, reduced or eliminated over time, and we cannot be certain that coverage and reimbursement in the United States, the European Union, or elsewhere will be available for any product that we may develop in the future.</w:t>
      </w:r>
    </w:p>
    <w:p>
      <w:pPr>
        <w:spacing w:after="0" w:line="14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Third-party payers increasingly are challenging prices charged for pharmaceutical products and services, and many third-party payers may refuse to provide coverage and reimbursement for particular drugs when an equivalent generic drug or a less expensive therapy is available. It is possible that a third-party payer may consider our products as substitutable and only offer to reimburse patients for the less expensive product or with onerous restrictions. For example, utilization management with respect to VOQUEZNA in the treatment of GERD is largely defined by a generic PPI step edit via a prior authorization. Even if we are successful in demonstrating improved efficacy or improved convenience of administration with our future product candidates, if any, pricing of existing drugs may limit the amount we will be able to charge for our products. These payers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2" w:name="page33"/>
    <w:bookmarkEnd w:id="32"/>
    <w:p>
      <w:pPr>
        <w:ind w:right="160" w:firstLine="509"/>
        <w:spacing w:after="0" w:line="244" w:lineRule="auto"/>
        <w:rPr>
          <w:sz w:val="20"/>
          <w:szCs w:val="20"/>
          <w:color w:val="auto"/>
        </w:rPr>
      </w:pPr>
      <w:r>
        <w:rPr>
          <w:rFonts w:ascii="Arial" w:cs="Arial" w:eastAsia="Arial" w:hAnsi="Arial"/>
          <w:sz w:val="18"/>
          <w:szCs w:val="18"/>
          <w:color w:val="auto"/>
        </w:rPr>
        <w:t>There is significant uncertainty related to third-party payer coverage and reimbursement of newly approved products. In the United States, third-party payers, including private and governmental payers, such as the Medicare and Medicaid programs, play an important role in determining the extent to which new drugs will be covered. Some third-party payers may require pre-approval of coverage for new or innovative devices or drug therapies before they will reimburse healthcare providers who use such therapies. It is difficult to predict at this time what third-party payers will decide with respect to the coverage and reimbursement for our products.</w:t>
      </w:r>
    </w:p>
    <w:p>
      <w:pPr>
        <w:spacing w:after="0" w:line="136"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Obtaining and maintaining reimbursement status is time consuming, costly and uncertain. The Medicare and Medicaid programs increasingly are used as models for how private payers and other governmental payers develop their coverage and reimbursement policies for drugs. However, no uniform policy for coverage and reimbursement for products exists among third-party payers in the United States. Therefore, coverage and reimbursement for products can differ significantly from payer to payer. As a result, the coverage determination process may require us to provide scientific and clinical support for the use of our products to each payer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40"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Outside the United States, pharmaceutical products are often subject to extensive governmental price controls and other market regulations. In many countries, including those in Europe, pricing and reimbursement are subject to national health system controls or profit limitations, which may reduce the prices we are able to charge and the revenues we are able to generate. If we pursue commercialization outside the United States, reimbursement levels in those markets may be lower than in the United States and may be insufficient to generate commercially reasonable revenues or profitability.</w:t>
      </w:r>
    </w:p>
    <w:p>
      <w:pPr>
        <w:spacing w:after="0" w:line="149" w:lineRule="exact"/>
        <w:rPr>
          <w:sz w:val="20"/>
          <w:szCs w:val="20"/>
          <w:color w:val="auto"/>
        </w:rPr>
      </w:pPr>
    </w:p>
    <w:p>
      <w:pPr>
        <w:ind w:right="360" w:firstLine="509"/>
        <w:spacing w:after="0" w:line="253" w:lineRule="auto"/>
        <w:rPr>
          <w:sz w:val="20"/>
          <w:szCs w:val="20"/>
          <w:color w:val="auto"/>
        </w:rPr>
      </w:pPr>
      <w:r>
        <w:rPr>
          <w:rFonts w:ascii="Arial" w:cs="Arial" w:eastAsia="Arial" w:hAnsi="Arial"/>
          <w:sz w:val="18"/>
          <w:szCs w:val="18"/>
          <w:color w:val="auto"/>
        </w:rPr>
        <w:t>Moreover, ongoing efforts by governmental authorities and third-party payers to contain healthcare costs, including through pricing controls, utilization management, and reimbursement reductions, may further limit coverage or reimbursement for our products. These factors could materially and adversely affect our ability to commercialize our products, generate revenue, and grow our business.</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If we fail to comply with reporting and payment obligations under the Medicaid Drug Rebate Program or other governmental pricing programs, we could be subject to additional reimbursement requirements, penalties, sanctions and fines, which could have a material adverse effect on our business, results of operations and prospects.</w:t>
      </w:r>
    </w:p>
    <w:p>
      <w:pPr>
        <w:spacing w:after="0" w:line="119" w:lineRule="exact"/>
        <w:rPr>
          <w:sz w:val="20"/>
          <w:szCs w:val="20"/>
          <w:color w:val="auto"/>
        </w:rPr>
      </w:pPr>
    </w:p>
    <w:p>
      <w:pPr>
        <w:ind w:right="40" w:firstLine="559"/>
        <w:spacing w:after="0" w:line="247" w:lineRule="auto"/>
        <w:rPr>
          <w:sz w:val="20"/>
          <w:szCs w:val="20"/>
          <w:color w:val="auto"/>
        </w:rPr>
      </w:pPr>
      <w:r>
        <w:rPr>
          <w:rFonts w:ascii="Arial" w:cs="Arial" w:eastAsia="Arial" w:hAnsi="Arial"/>
          <w:sz w:val="18"/>
          <w:szCs w:val="18"/>
          <w:color w:val="auto"/>
        </w:rPr>
        <w:t>We participate in various governmental pricing and reimbursement programs, including the Medicaid Drug Rebate Program, or MDRP, that impose extensive drug price reporting and payment obligations on pharmaceutical manufacturers. Medicaid is a joint federal and state program administered by the states for low-income and disabled beneficiaries, and Medicare is a federal program administered by the federal government for individuals age 65 and older and certain disabled individuals.</w:t>
      </w:r>
    </w:p>
    <w:p>
      <w:pPr>
        <w:spacing w:after="0" w:line="147"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Under the MDRP, as a condition of having federal funds being made available to the states for covered outpatient drugs under Medicaid and, if applicable, Medicare Part B, pharmaceutical manufacturers must enter into a rebate agreement with the Secretary of Health and Human Services and pay rebates to state Medicaid programs for each unit of covered outpatient drug dispensed to a Medicaid beneficiary and paid for by the state Medicaid program. Medicaid drug rebates are based on pricing data that pharmaceutical manufacturers report on a monthly and quarterly basis to the U.S. Centers for Medicare &amp; Medicaid Services, or CMS, which is the federal agency that administers the MDRP and Medicare programs. For the MDRP, these data include the average manufacturer price, or AMP, for each drug and, in the case of innovator products, the Best Price, or BP, which represents the lowest price available from the manufacturer to any entity in the United States in any pricing structure, calculated to include all applicable sales and associated rebates, discounts and other price concessions. Manufacturers are required to submit pricing data on a monthly and quarterly basis and to correct and resubmit data for prior periods if inaccuracies are identified. If a manufacturer fails to provide information timely or is found to have knowingly submitted false information to the government, the manufacturer may be subject to civil monetary penalties and other sanctions, including termination from the MDRP.</w:t>
      </w:r>
    </w:p>
    <w:p>
      <w:pPr>
        <w:spacing w:after="0" w:line="142"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Participation in the MDRP also requires participation in the Public Health Service’s 340B drug pricing program, or the 340B program, which is administered by the Health Resources and Services Administration, or HRSA. The 340B program requires participating manufacturers to agree to sell covered outpatient drugs to covered entities at or below a statutorily defined “ceiling price” which is calculated using MDRP pricing data. Manufacturers must report 340B ceiling prices to HRSA on a quarterly basis, and HRSA publishes them to 340B covered entities. Failure to comply with 340B requirements may subject manufacturers to civil</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33" w:name="page34"/>
    <w:bookmarkEnd w:id="33"/>
    <w:p>
      <w:pPr>
        <w:spacing w:after="0" w:line="271" w:lineRule="auto"/>
        <w:rPr>
          <w:sz w:val="20"/>
          <w:szCs w:val="20"/>
          <w:color w:val="auto"/>
        </w:rPr>
      </w:pPr>
      <w:r>
        <w:rPr>
          <w:rFonts w:ascii="Arial" w:cs="Arial" w:eastAsia="Arial" w:hAnsi="Arial"/>
          <w:sz w:val="18"/>
          <w:szCs w:val="18"/>
          <w:color w:val="auto"/>
        </w:rPr>
        <w:t>monetary penalties, repayment obligations, and administrative dispute resolution proceedings. Legislative or regulatory changes could further expand the scope or obligations of the 340B program.</w:t>
      </w:r>
    </w:p>
    <w:p>
      <w:pPr>
        <w:spacing w:after="0" w:line="113"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In order to be eligible to have drug products paid for with federal funds under Medicaid and, if applicable, Medicare Part B, and purchased by certain federal agencies and grantees, a manufacturer must also participate in the U.S. Department of Veterans Affairs, or VA, Federal Supply Schedule, or FSS, pricing program. Under the VA/FSS program, a manufacturer must report the Non-Federal Average Manufacturer Price, or Non-FAMP, for its covered drugs to the VA and charge certain federal agencies no more than the Federal Ceiling Price, which is calculated based on Non-FAMP using a statutory formula. These federal agencies are the VA, the U.S. Department of Defense, the U.S. Coast Guard, and the U.S. Public Health Service (including the Indian Health Service). The manufacturer must also pay rebates on products purchased by military personnel and dependents through the TRICARE retail pharmacy program. If a manufacturer participating in the FSS program fails to provide timely information or is found to have knowingly submitted false information, the manufacturer may be subject to civil monetary penalties.</w:t>
      </w:r>
    </w:p>
    <w:p>
      <w:pPr>
        <w:spacing w:after="0" w:line="143"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Pricing and rebate calculations vary across products and programs, are complex, and are often subject to interpretation by pharmaceutical manufacturers, governmental or regulatory agencies, and the courts, which can change and evolve over time. Compliance with these requirements, including any necessary recalculations or restatements, may increase administrative burden and costs and could result in additional rebate liabilities or penalties for prior periods. We cannot assure you that our pricing submissions will not be found to be incomplete or incorrect, and any failure to comply with these requirements could materially adversely affect our business, results of operations and prospects</w:t>
      </w:r>
    </w:p>
    <w:p>
      <w:pPr>
        <w:spacing w:after="0" w:line="152"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by manufacturers in taking such increases, wholesale acquisition cost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45"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b w:val="1"/>
          <w:bCs w:val="1"/>
          <w:i w:val="1"/>
          <w:iCs w:val="1"/>
          <w:color w:val="auto"/>
        </w:rPr>
        <w:t>Competition in the markets for our approved products is expected to increase, and we may also face competition with respect to any product candidates we may develop, in each case which could materially adversely affect our business, results of operations and prospects.</w:t>
      </w:r>
    </w:p>
    <w:p>
      <w:pPr>
        <w:spacing w:after="0" w:line="11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VOQUEZNA.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GI diseases for which we may attempt to develop vonoprazan or any future product candidates. Our competitors include larger and better 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patients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56"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For the treatment of Erosive GERD and Non-Erosive GERD, VOQUEZNA primarily competes with generic PPIs marketed by multiple pharmaceutical companies in both the prescription and OTC markets. Generic PPIs are widely available, inexpensive and well established in clinical practice. In addition, we are aware of other PPIs in development in the United States and in our licensed territories outside the United States that, if successfully developed and approved, may compete with vonoprazan.</w:t>
      </w:r>
    </w:p>
    <w:p>
      <w:pPr>
        <w:spacing w:after="0" w:line="133"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are also aware of several PCABs in development in the United States and in our licensed territories outside the United States, that, if approved or introduced, may compete with vonoprazan. For example, Sebela Pharmaceuticals, Inc. has publicly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4" w:name="page35"/>
    <w:bookmarkEnd w:id="34"/>
    <w:p>
      <w:pPr>
        <w:ind w:right="40"/>
        <w:spacing w:after="0"/>
        <w:rPr>
          <w:sz w:val="20"/>
          <w:szCs w:val="20"/>
          <w:color w:val="auto"/>
        </w:rPr>
      </w:pPr>
      <w:r>
        <w:rPr>
          <w:rFonts w:ascii="Arial" w:cs="Arial" w:eastAsia="Arial" w:hAnsi="Arial"/>
          <w:sz w:val="18"/>
          <w:szCs w:val="18"/>
          <w:color w:val="auto"/>
        </w:rPr>
        <w:t>announced the submission of an NDA in the United States seeking approval of tegoprazan for the treatment of Erosive GERD and Non-Erosive GERD based on Phase 3 clinical trials. Outside the United States, tegoprazan is marketed in several countries, including South Korea, where it was originally developed. Daewoong Pharmaceutical Co., Ltd also markets a PCAB, fexuprazan, in certain countries outside the United States, and has indicated that it is seeking a partner to advance development of the compound in the United States. In addition, in 2025, Cinclus Pharma Holding AB initiated a Phase 3 clinical trial in Europe of another PCAB, linaprazan glurate, in patients with severe Erosive GERD and has publicly indicated its intention to initiate a second Phase 3 clinical trial in the United States to support a potential future NDA submission. Additional PCABs have been approved or are in development outside the United States and could compete with vonoprazan if introduced in our licensed territories.</w:t>
      </w:r>
    </w:p>
    <w:p>
      <w:pPr>
        <w:spacing w:after="0" w:line="140" w:lineRule="exact"/>
        <w:rPr>
          <w:sz w:val="20"/>
          <w:szCs w:val="20"/>
          <w:color w:val="auto"/>
        </w:rPr>
      </w:pPr>
    </w:p>
    <w:p>
      <w:pPr>
        <w:jc w:val="both"/>
        <w:ind w:right="280" w:firstLine="509"/>
        <w:spacing w:after="0" w:line="253" w:lineRule="auto"/>
        <w:rPr>
          <w:sz w:val="20"/>
          <w:szCs w:val="20"/>
          <w:color w:val="auto"/>
        </w:rPr>
      </w:pPr>
      <w:r>
        <w:rPr>
          <w:rFonts w:ascii="Arial" w:cs="Arial" w:eastAsia="Arial" w:hAnsi="Arial"/>
          <w:sz w:val="18"/>
          <w:szCs w:val="18"/>
          <w:color w:val="auto"/>
        </w:rPr>
        <w:t>For the treatment of H. pylori infection, VOQUEZNA TRIPLE PAK and VOQUEZNA DUAL PAK compete primarily with generic PPI-based triple and quadruple therapies, as well as with branded therapies such as Talicia, a co-formulated capsule containing omeprazole, amoxicillin and rifabutin, marketed by RedHill Biopharma Ltd.</w:t>
      </w:r>
    </w:p>
    <w:p>
      <w:pPr>
        <w:spacing w:after="0" w:line="128"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In July 2012, the Food and Drug Administration Safety and Innovation Act was passed, which included the GAIN Act. The GAIN Act is intended to provide incentives for the development of new, qualified infectious disease products. In December 2016, the 21st Century Cures Act was passed, providing additional support for the development of new infectious disease products. These incentives may result in more competition in the market for new antibiotics and may cause pharmaceutical and biotechnology companies with more resources than we have to shift their efforts towards the development of product candidates that could be competitive with vonoprazan or any future product candidates.</w:t>
      </w:r>
    </w:p>
    <w:p>
      <w:pPr>
        <w:spacing w:after="0" w:line="15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Many of our competitors have significantly greater financial, technical, manufacturing, marketing, sales and supply resources or experience than we do. We will face competition for our current products and any future product candidates based on many different factors, including the safety and effectiveness of our products, the ease with which our products can be administered and the extent to which patients accept relatively new routes of administration, the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our current products or any future product candidates. If we are unable to compete effectively, our opportunity to generate revenue from the sale of our products we may develop, if approved, could be adversely affected.</w:t>
      </w:r>
    </w:p>
    <w:p>
      <w:pPr>
        <w:spacing w:after="0" w:line="141"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If the market opportunities for our approved products, including VOQUEZNA, or for any future product candidates we may develop, are smaller than we expect, our business, results of operations and prospects could be adversely affected.</w:t>
      </w:r>
    </w:p>
    <w:p>
      <w:pPr>
        <w:spacing w:after="0" w:line="99"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 precise incidence and prevalence for all the conditions we aim to address with our approved products as well as any future product candidates we may successfully develop are not known with certainty. Our projections of the number of people who have these diseases we target, and the subset of people with these diseases who have the potential to benefit from treatment of our approved products or any future product candidates, are based on our beliefs and estimates and assumptions derived from a variety of sources, including scientific literature, market research and surveys, and claims analysis, and may prove to be incorrect. In addition, future clinical studies or changes in medical practice may alter estimates of disease prevalence or treatment patterns.</w:t>
      </w:r>
    </w:p>
    <w:p>
      <w:pPr>
        <w:spacing w:after="0" w:line="152"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total addressable market across indications for our approved products and any future product candidates will ultimately depend upon a number of factors, including the scope of the approved indications and labeling; the availability and acceptance of competing treatment; the safety, efficacy, convenience and cost of our approved products and any future product candidates relative competing treatments; physician prescribing practices; patient awareness, acceptance and access; and drug pricing and reimbursement. If patients are less willing or able to use our products than we expect, or if access to appropriate patients is more limited than anticipated, or if for other reasons, the market opportunity for our products turns out to be significantly lower than expected, our ability to generate revenues and grow our business could be materially adversely affected.</w:t>
      </w:r>
    </w:p>
    <w:p>
      <w:pPr>
        <w:spacing w:after="0" w:line="146" w:lineRule="exact"/>
        <w:rPr>
          <w:sz w:val="20"/>
          <w:szCs w:val="20"/>
          <w:color w:val="auto"/>
        </w:rPr>
      </w:pPr>
    </w:p>
    <w:p>
      <w:pPr>
        <w:ind w:right="240" w:firstLine="50"/>
        <w:spacing w:after="0" w:line="256" w:lineRule="auto"/>
        <w:rPr>
          <w:sz w:val="20"/>
          <w:szCs w:val="20"/>
          <w:color w:val="auto"/>
        </w:rPr>
      </w:pPr>
      <w:r>
        <w:rPr>
          <w:rFonts w:ascii="Arial" w:cs="Arial" w:eastAsia="Arial" w:hAnsi="Arial"/>
          <w:sz w:val="18"/>
          <w:szCs w:val="18"/>
          <w:b w:val="1"/>
          <w:bCs w:val="1"/>
          <w:i w:val="1"/>
          <w:iCs w:val="1"/>
          <w:color w:val="auto"/>
        </w:rPr>
        <w:t>If our efforts to develop, maintain and effectively deploy sales, marketing and distribution capabilities are unsuccessful, we may not be able to successfully commercialize our approved products or any product candidates we may develop and generate revenues at the levels and on the timing we expect.</w:t>
      </w:r>
    </w:p>
    <w:p>
      <w:pPr>
        <w:spacing w:after="0" w:line="119"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We currently market, sell and distribute VOQUEZNA, VOQUEZNA DUAL PAK and VOQUEZNA TRIPLE PAK through our own sales and marketing organization, and our ability to successfully commercialize these products depends on the effectiveness of these capabilities. Our sales force may not be sufficient in size, reach or expertise to effectively address the markets we intend to</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5" w:name="page36"/>
    <w:bookmarkEnd w:id="35"/>
    <w:p>
      <w:pPr>
        <w:ind w:right="100"/>
        <w:spacing w:after="0" w:line="239" w:lineRule="auto"/>
        <w:rPr>
          <w:sz w:val="20"/>
          <w:szCs w:val="20"/>
          <w:color w:val="auto"/>
        </w:rPr>
      </w:pPr>
      <w:r>
        <w:rPr>
          <w:rFonts w:ascii="Arial" w:cs="Arial" w:eastAsia="Arial" w:hAnsi="Arial"/>
          <w:sz w:val="18"/>
          <w:szCs w:val="18"/>
          <w:color w:val="auto"/>
        </w:rPr>
        <w:t xml:space="preserve">target. Our commercial strategy for our approved products currently relies on a targeted national sales force focused primarily on gastroenterologists and other high-prescribing healthcare providers, including select primary care physicians. This strategy is designed to concentrate our resources on prescribers most likely to treat patients with GERD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However, this targeted approach may not result in sufficient adoption or utilization of our products. In addition, we may in the future seek to expand our sales and marketing efforts to reach a broader group of primary care physicians who treat GERD. Such an expansion could require significant additional investment, increase operational complexity, and may not result in increased prescribing or revenues. If we are unable to successfully execute, or derive sufficient benefit from, any expansion of our commercial strategy, our business, results of operations and prospects could be materially adversely affected. Any deficiencies in our sales, marketing or distribution capabilities or strategies or delays in optimizing or expanding these capabilities and strategies, could adversely impact the commercialization of our products.</w:t>
      </w:r>
    </w:p>
    <w:p>
      <w:pPr>
        <w:spacing w:after="0" w:line="14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To the extent that we enter into collaboration or other arrangements in the future for the marketing, sales or distribution of our products, including in Europe and Canada, our product revenues may be lower than if we were to commercialize such products directly. Any revenues we may generate in these markets would depend, in whole or in part, on the efforts of third parties that are not fully within our control and may not be successful. If we are unable to enter into such arrangements on acceptable terms, or if third parties do not perform as expected, we may not be able to successfully commercialize our products in those markets.</w:t>
      </w:r>
    </w:p>
    <w:p>
      <w:pPr>
        <w:spacing w:after="0" w:line="136"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If we are not successful in commercializing our approved products, either through our own commercial organization or through third-party arrangements, our revenues could be materially reduced and our business, results of operations and prospects could be materially adversely affected.</w:t>
      </w:r>
    </w:p>
    <w:p>
      <w:pPr>
        <w:spacing w:after="0" w:line="144"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particularly Europe and Canada, where we would be subject to additional regulatory burdens and other risks and uncertainties.</w:t>
      </w:r>
    </w:p>
    <w:p>
      <w:pPr>
        <w:spacing w:after="0" w:line="99"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Our future growth may depend, in part, on our ability to develop and commercialize our current products and any future product candidates in foreign markets, particularly Europe and Canada. We are not permitted to market or promote vonoprazan and any future product candidates before we receive regulatory approval from applicable regulatory authorities in foreign markets, and we may never seek or receive such regulatory approvals for vonoprazan or any future product candidates. To obtain separate regulatory approval in any other countries we must comply with numerous and varying regulatory requirements regarding safety and efficacy and governing, among other things, clinical trials, commercial sales, pricing and distribution of vonoprazan and any future product candidates. If we obtain regulatory approval of our current products and any future product candidates and ultimately commercialize our products in foreign markets, we would be subject to additional risks and uncertainties, including:</w:t>
      </w:r>
    </w:p>
    <w:p>
      <w:pPr>
        <w:spacing w:after="0" w:line="72"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different regulatory requirements for approval of drugs in foreign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reduced protection for intellectual property rights;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tariffs, trade barriers and regulatory requirements;</w:t>
      </w:r>
    </w:p>
    <w:p>
      <w:pPr>
        <w:spacing w:after="0" w:line="116" w:lineRule="exact"/>
        <w:rPr>
          <w:rFonts w:ascii="Times New Roman" w:cs="Times New Roman" w:eastAsia="Times New Roman" w:hAnsi="Times New Roman"/>
          <w:sz w:val="18"/>
          <w:szCs w:val="18"/>
          <w:color w:val="auto"/>
        </w:rPr>
      </w:pPr>
    </w:p>
    <w:p>
      <w:pPr>
        <w:ind w:left="1020" w:right="40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public health emergencies or political instability in particular foreign economies and markets;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internationally;</w:t>
      </w:r>
    </w:p>
    <w:p>
      <w:pPr>
        <w:spacing w:after="0" w:line="11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foreign reimbursement, pricing and insurance regimes;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workforce uncertainty in countries where labor unrest is common;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internationally; and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the Development and Regulatory Approval of Product Candidates</w:t>
      </w:r>
    </w:p>
    <w:p>
      <w:pPr>
        <w:spacing w:after="0" w:line="173"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Our future growth depends on our ability to develop vonoprazan for additional indications or formulations and to successfully develop or acquire additional product candidates.</w:t>
      </w:r>
    </w:p>
    <w:p>
      <w:pPr>
        <w:spacing w:after="0" w:line="99"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expect that a substantial portion of our efforts and expenses over the next few years will be devoted to the commercialization of VOQUEZNA and the potential development and regulatory approval of vonoprazan for additional indications for formulations in the U.S. We cannot be certain that we will pursue, successfully develop, or obtain regulatory approval of vonoprazan for additional indications or formulations on the timeframes we expect, or at all. Our future growth also depends on our ability to successfully develop or acquire additional product candidates and obtain regulatory approval for such candidates on timelines sufficient to contribute meaningfully to the growth of our business. We may not be successful in these efforts and, even if we are successful, the commercialization of such additional indications, formulations or products may not contribute meaningfully to future growth of our business.</w:t>
      </w:r>
    </w:p>
    <w:p>
      <w:pPr>
        <w:spacing w:after="0" w:line="153" w:lineRule="exact"/>
        <w:rPr>
          <w:sz w:val="20"/>
          <w:szCs w:val="20"/>
          <w:color w:val="auto"/>
        </w:rPr>
      </w:pPr>
    </w:p>
    <w:p>
      <w:pPr>
        <w:ind w:right="20" w:firstLine="559"/>
        <w:spacing w:after="0" w:line="239" w:lineRule="auto"/>
        <w:rPr>
          <w:sz w:val="20"/>
          <w:szCs w:val="20"/>
          <w:color w:val="auto"/>
        </w:rPr>
      </w:pPr>
      <w:r>
        <w:rPr>
          <w:rFonts w:ascii="Arial" w:cs="Arial" w:eastAsia="Arial" w:hAnsi="Arial"/>
          <w:sz w:val="18"/>
          <w:szCs w:val="18"/>
          <w:color w:val="auto"/>
        </w:rPr>
        <w:t>The testing, manufacturing, safety, efficacy, labeling, approval, sale, marketing and distribution of our product candidates are, and will remain, subject to comprehensive regulation by the FDA and similar foreign regulatory authorities. Before obtaining regulatory approvals for the commercial sale of any product candidate, we must demonstrate through preclinical studies and clinical trials that the product candidate is safe and effective for use in each target indication. Drug development is a long, expensive and uncertain process, and delay or failure can occur at any stage of any of our clinical trials. As a result, we may not achieve favorable results in our ongoing clinical trial of vonoprazan in the treatment of EoE or in future clinical trials of vonoprazan or of any other product candidate we may develop, or receive additional regulatory approvals on a timely basis, if at all. Failure to obtain regulatory approval for additional indications or formulations for vonoprazan that we may pursue or future product candidates in the United States will prevent us from commercializing in such new indications or as to such additional products.</w:t>
      </w:r>
    </w:p>
    <w:p>
      <w:pPr>
        <w:spacing w:after="0" w:line="143"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success of vonoprazan for additional indications or formulations we may pursue and of any future product candidates will depend on several additional factors, including:</w:t>
      </w:r>
    </w:p>
    <w:p>
      <w:pPr>
        <w:spacing w:after="0" w:line="113" w:lineRule="exact"/>
        <w:rPr>
          <w:sz w:val="20"/>
          <w:szCs w:val="20"/>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completing clinical trials that demonstrate their efficacy and safety;</w:t>
      </w:r>
    </w:p>
    <w:p>
      <w:pPr>
        <w:spacing w:after="0" w:line="19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receiving marketing approvals from applicable regulatory authorities;</w:t>
      </w:r>
    </w:p>
    <w:p>
      <w:pPr>
        <w:spacing w:after="0" w:line="18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completing any post-marketing studies required by applicable regulatory authorities;</w:t>
      </w:r>
    </w:p>
    <w:p>
      <w:pPr>
        <w:spacing w:after="0" w:line="18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adequate manufacturing capabilities;</w:t>
      </w:r>
    </w:p>
    <w:p>
      <w:pPr>
        <w:spacing w:after="0" w:line="197" w:lineRule="exact"/>
        <w:rPr>
          <w:rFonts w:ascii="Times New Roman" w:cs="Times New Roman" w:eastAsia="Times New Roman" w:hAnsi="Times New Roman"/>
          <w:sz w:val="18"/>
          <w:szCs w:val="18"/>
          <w:color w:val="auto"/>
        </w:rPr>
      </w:pPr>
    </w:p>
    <w:p>
      <w:pPr>
        <w:ind w:left="900" w:right="560" w:hanging="383"/>
        <w:spacing w:after="0" w:line="270" w:lineRule="auto"/>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achieving market acceptance by patients, the medical community and third-party payers, including adequate coverage and reimbursement;</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successful commercial sales, marketing and distribution operations;</w:t>
      </w:r>
    </w:p>
    <w:p>
      <w:pPr>
        <w:spacing w:after="0" w:line="18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 continued acceptable safety profile following approval;</w:t>
      </w:r>
    </w:p>
    <w:p>
      <w:pPr>
        <w:spacing w:after="0" w:line="19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effectively with other therapies; and</w:t>
      </w:r>
    </w:p>
    <w:p>
      <w:pPr>
        <w:spacing w:after="0" w:line="18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robust intellectual property protection or regulatory exclusivities.</w:t>
      </w:r>
    </w:p>
    <w:p>
      <w:pPr>
        <w:spacing w:after="0" w:line="184" w:lineRule="exact"/>
        <w:rPr>
          <w:sz w:val="20"/>
          <w:szCs w:val="20"/>
          <w:color w:val="auto"/>
        </w:rPr>
      </w:pPr>
    </w:p>
    <w:p>
      <w:pPr>
        <w:ind w:right="60" w:firstLine="559"/>
        <w:spacing w:after="0" w:line="242" w:lineRule="auto"/>
        <w:rPr>
          <w:sz w:val="20"/>
          <w:szCs w:val="20"/>
          <w:color w:val="auto"/>
        </w:rPr>
      </w:pPr>
      <w:r>
        <w:rPr>
          <w:rFonts w:ascii="Arial" w:cs="Arial" w:eastAsia="Arial" w:hAnsi="Arial"/>
          <w:sz w:val="18"/>
          <w:szCs w:val="18"/>
          <w:color w:val="auto"/>
        </w:rPr>
        <w:t>Many of these factors are beyond our control, including the time needed to adequately complete clinical testing, the outcome of such trials, the regulatory review process, potential challenges to our intellectual property rights and changes in the competitive landscape. It is possible that no new indications or formulations for vonoprazan and no future product candidates will ever be successfully developed and obtain regulatory approval even if we expend substantial time and resources conducting development programs and seeking such approval. If we are unable to achieve these objectives in a timely manner or at all, our ability to grow our business could be materially adversely affected.</w:t>
      </w:r>
    </w:p>
    <w:p>
      <w:pPr>
        <w:spacing w:after="0" w:line="15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Clinical development is lengthy, expensive and uncertain, and delays or failures in our clinical trials could limit our ability to obtain additional regulatory approvals and adversely affect our business.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37" w:name="page38"/>
    <w:bookmarkEnd w:id="37"/>
    <w:p>
      <w:pPr>
        <w:ind w:right="200" w:firstLine="749"/>
        <w:spacing w:after="0" w:line="244" w:lineRule="auto"/>
        <w:rPr>
          <w:sz w:val="20"/>
          <w:szCs w:val="20"/>
          <w:color w:val="auto"/>
        </w:rPr>
      </w:pPr>
      <w:r>
        <w:rPr>
          <w:rFonts w:ascii="Arial" w:cs="Arial" w:eastAsia="Arial" w:hAnsi="Arial"/>
          <w:sz w:val="18"/>
          <w:szCs w:val="18"/>
          <w:color w:val="auto"/>
        </w:rPr>
        <w:t>Clinical drug development is expensive, time-consuming and inherently uncertain, and the results of preclinical studies and early clinical trials are not necessarily predictive of results in later-stage trials. Even if we believe that interim or early clinical results are positive, such results may not be indicative of final outcomes, and product candidates may fail to demonstrate sufficient safety or efficacy despite progressing through earlier stages of development. Many companies in the pharmaceutical and biotechnology industries have experienced significant setbacks in clinical development after achieving promising early results.</w:t>
      </w:r>
    </w:p>
    <w:p>
      <w:pPr>
        <w:spacing w:after="0" w:line="136"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Before obtaining regulatory approval to commercialize vonoprazan for additional indications or formulations or to commercialize any future product candidates, we must demonstrate through clinical trials that such products are safe and effective for use in the target indication. We may not achieve favorable results in our ongoing or future clinical trials, including our current trial of vonoprazan in eosinophilic esophagitis, or obtain regulatory approvals on a timely basis, or at all. Failure to obtain such approvals would prevent us from commercializing additional indications or formulations for vonoprazan or future product candidates.</w:t>
      </w:r>
    </w:p>
    <w:p>
      <w:pPr>
        <w:spacing w:after="0" w:line="136"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color w:val="auto"/>
        </w:rPr>
        <w:t>The conduct of clinical trials is subject to extensive regulation in the United States and other territories, and regulatory requirements and policies may change. New processes and requirements for the authorization and oversight of clinical trials may affect the planning, conduct, timing and cost of trials.</w:t>
      </w:r>
    </w:p>
    <w:p>
      <w:pPr>
        <w:spacing w:after="0" w:line="142" w:lineRule="exact"/>
        <w:rPr>
          <w:sz w:val="20"/>
          <w:szCs w:val="20"/>
          <w:color w:val="auto"/>
        </w:rPr>
      </w:pPr>
    </w:p>
    <w:p>
      <w:pPr>
        <w:ind w:right="60" w:firstLine="799"/>
        <w:spacing w:after="0" w:line="242" w:lineRule="auto"/>
        <w:rPr>
          <w:sz w:val="20"/>
          <w:szCs w:val="20"/>
          <w:color w:val="auto"/>
        </w:rPr>
      </w:pPr>
      <w:r>
        <w:rPr>
          <w:rFonts w:ascii="Arial" w:cs="Arial" w:eastAsia="Arial" w:hAnsi="Arial"/>
          <w:sz w:val="18"/>
          <w:szCs w:val="18"/>
          <w:color w:val="auto"/>
        </w:rPr>
        <w:t>The commencement, timing and completion of our clinical trials depend on many factors, including regulatory approvals to commence or continue trials, clinical trial design, manufacturing and supply of study drug, performance of third-party contractors and clinical sites, our ability to enroll and retain a sufficient number of eligible patients and the impact of interim results, if any. Patient enrollment may be delayed or limited by factors such as the size and characteristics of the patient population, eligibility criteria, proximity to trial sites, competing clinical trials, availability of approved therapies, and patient and physician perceptions of risks and benefits. If we are unable to enroll or retain sufficient patients, our trials may be delayed, suspended or terminated.</w:t>
      </w:r>
    </w:p>
    <w:p>
      <w:pPr>
        <w:spacing w:after="0" w:line="138" w:lineRule="exact"/>
        <w:rPr>
          <w:sz w:val="20"/>
          <w:szCs w:val="20"/>
          <w:color w:val="auto"/>
        </w:rPr>
      </w:pPr>
    </w:p>
    <w:p>
      <w:pPr>
        <w:ind w:right="60" w:firstLine="749"/>
        <w:spacing w:after="0" w:line="244" w:lineRule="auto"/>
        <w:rPr>
          <w:sz w:val="20"/>
          <w:szCs w:val="20"/>
          <w:color w:val="auto"/>
        </w:rPr>
      </w:pPr>
      <w:r>
        <w:rPr>
          <w:rFonts w:ascii="Arial" w:cs="Arial" w:eastAsia="Arial" w:hAnsi="Arial"/>
          <w:sz w:val="18"/>
          <w:szCs w:val="18"/>
          <w:color w:val="auto"/>
        </w:rPr>
        <w:t>Delays, suspensions or failures in our clinical trials could increase our development costs, delay or prevent regulatory approval, prevent us from commercializing such products and generating revenues, or reduce the period during which we may have exclusive rights to commercialize our products, and allow competitors to bring competing products to market sooner. We do not know whether any of our ongoing or future studies will be completed on schedule and successfully, if at all. Any delays or adverse outcomes in our clinical trials could materially adversely affect our business, results of operations and prospects.</w:t>
      </w:r>
    </w:p>
    <w:p>
      <w:pPr>
        <w:spacing w:after="0" w:line="138"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b w:val="1"/>
          <w:bCs w:val="1"/>
          <w:i w:val="1"/>
          <w:iCs w:val="1"/>
          <w:color w:val="auto"/>
        </w:rPr>
        <w:t>Use of VOQUEZNA, VOQUEZNA Dual Pak or VOQUEZNA Triple Pak, any new vonoprazan formulation we may develop, or any future product candidates could be associated with side effects, adverse events or other safety risks, which could cause us to have to withdraw the product or could materially impair market acceptance, in the case of approved products, or cause us to suspend or discontinue clinical trials, abandon development, or narrow the target indications or patient population, in the case of product candidates, or result in other significant negative consequences that could severely harm our business, prospects, operating results and financial condition.</w:t>
      </w:r>
    </w:p>
    <w:p>
      <w:pPr>
        <w:spacing w:after="0" w:line="145"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As is the case with pharmaceuticals generally, there are known side effects and adverse events associated with VOQUEZNA, VOQUEZNA Dual Pak and VOQUEZNA Triple Pak. As use of these approved products increases, or as we conduct further clinical trials in additional indications or formulations, we could see an unacceptable severity or prevalence of these known side effects or our products may be associated with other undesirable side effects, adverse events or product characteristics. Further, serious safety issues may be identified in connection with commercialization or development of vonoprazan by third parties outside the U.S. Our future product candidates may also be associated with undesirable side effects, adverse events and product characteristics.</w:t>
      </w:r>
    </w:p>
    <w:p>
      <w:pPr>
        <w:spacing w:after="0" w:line="138"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If any of our product candidates is associated with undesirable side effects, adverse events or product characteristics in preclinical studies or clinical development, including development of vonoprazan in new indications or formulations, we may elect to abandon development of such product candidate, alter or delay our study plans, or limit development to more narrow uses or subpopulations in which the undesirable side effects or other characteristics are less prevalent, less severe or more acceptable from a risk-benefit perspective. Any drug-related side effects could also affect patient recruitment or the ability of enrolled patients to complete the trial or result in potential product liability claims. Even if we continue with development of such product candidates, the undesirable side effects, adverse events or product characteristics may cause us to have to conduct additional safety studies, limit our ability to gain regulatory approval or cause a regulatory authority to require warnings on the label, such as a “black box” warning or contraindications, or to impose other significant restrictions on our approval, any of which may limit the commercial expectations for the product candidate, if approved.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8" w:name="page39"/>
    <w:bookmarkEnd w:id="38"/>
    <w:p>
      <w:pPr>
        <w:ind w:right="660" w:firstLine="509"/>
        <w:spacing w:after="0" w:line="271" w:lineRule="auto"/>
        <w:rPr>
          <w:sz w:val="20"/>
          <w:szCs w:val="20"/>
          <w:color w:val="auto"/>
        </w:rPr>
      </w:pPr>
      <w:r>
        <w:rPr>
          <w:rFonts w:ascii="Arial" w:cs="Arial" w:eastAsia="Arial" w:hAnsi="Arial"/>
          <w:sz w:val="18"/>
          <w:szCs w:val="18"/>
          <w:color w:val="auto"/>
        </w:rPr>
        <w:t>If any of our approved products is associated with undesirable side effects or adverse events or to have other negative product characteristics, a number of potentially significant negative consequences could result, including:</w:t>
      </w:r>
    </w:p>
    <w:p>
      <w:pPr>
        <w:spacing w:after="0" w:line="4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suspension or limitation by regulatory authorities of approvals of such product;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seizure of the product by regulatory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recall of the product or changes to the manner in which it is administered;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by regulatory authorities of additional warnings on the label, such as a “black box” warning or contraindications;</w:t>
      </w:r>
    </w:p>
    <w:p>
      <w:pPr>
        <w:spacing w:after="0" w:line="11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that we implement a REMS or create a medication guide outlining the risks of such side effects for distribution to patients;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expensive additional post-approval safety studies;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achieve or maintain market acceptance among patients, healthcare providers and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regulatory investigations and government enforcement actions;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 these events could significantly harm our business, financial condition, results of operations and prospects.</w:t>
      </w:r>
    </w:p>
    <w:p>
      <w:pPr>
        <w:spacing w:after="0" w:line="173"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Obtaining regulatory approval for product candidates, including additional indications or formulations of approved products, is subject to extensive regulation and is costly, time-consuming and uncertain.</w:t>
      </w:r>
    </w:p>
    <w:p>
      <w:pPr>
        <w:spacing w:after="0" w:line="11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are not permitted to market a new product candidate or an approved product for a new indication or formulation until we receive the necessary regulatory approval from the relevant regulatory authority. Gaining regulatory approval of a product candidate is subject to extensive regulation by the FDA in the United States and by comparable foreign regulatory authorities in other foreign markets.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and foreign regulatory authorities to review and approve new products can be affected by a variety of factors, including government budget and funding levels and the ability to hire and retain key personnel. In addition, approval policies or regulations may change, and the FDA and EMA and comparable regulatory authorities have substantial discretion in the drug approval process, including the ability to delay, limit or deny approval of a product candidate for many reasons. Despite the time and expense invested in clinical development of product candidates, regulatory approval is never guaranteed.</w:t>
      </w:r>
    </w:p>
    <w:p>
      <w:pPr>
        <w:spacing w:after="0" w:line="13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Prior to obtaining approval to commercialize a product candidate in the United States or internationally,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additional regulatory approvals for vonoprazan or for any future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either prior to or post- approval, or may object to elements of our clinical development program.</w:t>
      </w:r>
    </w:p>
    <w:p>
      <w:pPr>
        <w:spacing w:after="0" w:line="144"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The FDA, EMA or other comparable foreign regulatory authorities can delay, limit or deny approval of a product candidate for many reasons, including:</w:t>
      </w:r>
    </w:p>
    <w:p>
      <w:pPr>
        <w:spacing w:after="0" w:line="46"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such authorities may disagree with the design or implementation of our clinical trials;</w:t>
      </w:r>
    </w:p>
    <w:p>
      <w:pPr>
        <w:spacing w:after="0" w:line="11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EMA, or other comparable foreign regulatory agencies for approval;</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serious and unexpected drug-related side effects may arise;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9" w:name="page40"/>
    <w:bookmarkEnd w:id="39"/>
    <w:p>
      <w:pPr>
        <w:ind w:left="1020" w:right="4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46" w:lineRule="exact"/>
        <w:rPr>
          <w:rFonts w:ascii="Times New Roman" w:cs="Times New Roman" w:eastAsia="Times New Roman" w:hAnsi="Times New Roman"/>
          <w:sz w:val="18"/>
          <w:szCs w:val="18"/>
          <w:color w:val="auto"/>
        </w:rPr>
      </w:pPr>
    </w:p>
    <w:p>
      <w:pPr>
        <w:ind w:left="1020" w:right="64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46"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satisfaction of such authorities that the product candidate is safe and effective for its proposed indication and that its clinical and other benefits outweigh its safety risks;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such authorities may not agree that the data collected from clinical trials are acceptable or sufficient to support the submission of an NDA, sNDA or other submission or to obtain regulatory approval, and such authorities may impose requirements for additional preclinical studies or clinical trials;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such authorities may disagree regarding the proposed formulation, labeling and/or the specifications;</w:t>
      </w:r>
    </w:p>
    <w:p>
      <w:pPr>
        <w:spacing w:after="0" w:line="116" w:lineRule="exact"/>
        <w:rPr>
          <w:rFonts w:ascii="Times New Roman" w:cs="Times New Roman" w:eastAsia="Times New Roman" w:hAnsi="Times New Roman"/>
          <w:sz w:val="18"/>
          <w:szCs w:val="18"/>
          <w:color w:val="auto"/>
        </w:rPr>
      </w:pPr>
    </w:p>
    <w:p>
      <w:pPr>
        <w:ind w:left="1020" w:right="76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46" w:lineRule="exact"/>
        <w:rPr>
          <w:rFonts w:ascii="Times New Roman" w:cs="Times New Roman" w:eastAsia="Times New Roman" w:hAnsi="Times New Roman"/>
          <w:sz w:val="18"/>
          <w:szCs w:val="18"/>
          <w:color w:val="auto"/>
        </w:rPr>
      </w:pPr>
    </w:p>
    <w:p>
      <w:pPr>
        <w:ind w:left="1020" w:right="38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such authorities may find deficiencies in the manufacturing processes or facilities of Evonik, Catalent, Sandoz, or any future third-party manufacturers with which we contract for clinical and commercial supplies;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regulations of such authorities may significantly change in a manner rendering our clinical data insufficient for approval;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197"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pharmaceuticals may result in increased cautiousness by the FDA, EMA, and other comparable foreign regulatory authorities in reviewing new drugs, new indications or new formulations based on safety, efficacy, or other regulatory considerations and may result in significant delays in obtaining regulatory approvals.</w:t>
      </w:r>
    </w:p>
    <w:p>
      <w:pPr>
        <w:spacing w:after="0" w:line="136" w:lineRule="exact"/>
        <w:rPr>
          <w:sz w:val="20"/>
          <w:szCs w:val="20"/>
          <w:color w:val="auto"/>
        </w:rPr>
      </w:pPr>
    </w:p>
    <w:p>
      <w:pPr>
        <w:jc w:val="both"/>
        <w:ind w:right="120" w:firstLine="509"/>
        <w:spacing w:after="0" w:line="244" w:lineRule="auto"/>
        <w:rPr>
          <w:sz w:val="20"/>
          <w:szCs w:val="20"/>
          <w:color w:val="auto"/>
        </w:rPr>
      </w:pPr>
      <w:r>
        <w:rPr>
          <w:rFonts w:ascii="Arial" w:cs="Arial" w:eastAsia="Arial" w:hAnsi="Arial"/>
          <w:sz w:val="18"/>
          <w:szCs w:val="18"/>
          <w:color w:val="auto"/>
        </w:rPr>
        <w:t>With respect to our approvals in the U.S., the FDA has granted approvals, and may grant future approvals, with the requirement that we perform additional costly clinical trials, including pediatric trials. Foreign regulatory authorities may also make their approvals contingent on similar requirements. The FDA or other comparable foreign regulatory authority also may approve a product candidate for a more limited indication or patient population than we originally requested, and the FDA or other comparable foreign regulatory authority may not approve the labeling that we believe is necessary or desirable for the successful commercialization of a product.</w:t>
      </w:r>
    </w:p>
    <w:p>
      <w:pPr>
        <w:spacing w:after="0" w:line="136"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Of the large number of drugs in development, only a small percentage successfully complete the FDA, EMA or foreign regulatory approval processes and are commercialized. The lengthy approval process as well as the unpredictability of future clinical trial results and regulatory decisions may result in our failing to obtain additional regulatory approvals to market vonoprazan in additional indications, or formulations or any future product candidates we may pursue. Any delay in obtaining, or inability to obtain, additional regulatory approvals, and any limitations on such approvals would delay or prevent commercialization of that indication or product candidate and would materially adversely impact our business and prospects, which would significantly harm our business, financial condition, results of operations and prospects.</w:t>
      </w:r>
    </w:p>
    <w:p>
      <w:pPr>
        <w:spacing w:after="0" w:line="160"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i w:val="1"/>
          <w:iCs w:val="1"/>
          <w:color w:val="auto"/>
        </w:rPr>
        <w:t>We may not be successful in our efforts to expand our pipeline by pursuing and developing vonoprazan for additional indications and formulations. We may decide not to pursue additional indications or formulations, at all or we may expend our limited resources to pursue a particular indication or formulation for vonoprazan and fail to capitalize on indications or formulations or other product candidates for which there may be a greater likelihood of success or that may be more profitable.</w:t>
      </w:r>
    </w:p>
    <w:p>
      <w:pPr>
        <w:spacing w:after="0" w:line="12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Given our limited financial and managerial resources, our current focus is primarily on the commercialization of our approved products, and we may decide not to pursue or continue development of additional indications or formulations for vonoprazan. Even if we elect to pursue such opportunities, we may allocate our limited resources to particular indications or formulations that ultimately prove unsuccessful or less commercially viable than other potential opportunities. In addition, we may fail to generate the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8" w:right="359" w:bottom="1440" w:gutter="0" w:footer="0" w:header="0"/>
        </w:sectPr>
      </w:pPr>
    </w:p>
    <w:bookmarkStart w:id="40" w:name="page41"/>
    <w:bookmarkEnd w:id="40"/>
    <w:p>
      <w:pPr>
        <w:ind w:right="100"/>
        <w:spacing w:after="0" w:line="271" w:lineRule="auto"/>
        <w:rPr>
          <w:sz w:val="20"/>
          <w:szCs w:val="20"/>
          <w:color w:val="auto"/>
        </w:rPr>
      </w:pPr>
      <w:r>
        <w:rPr>
          <w:rFonts w:ascii="Arial" w:cs="Arial" w:eastAsia="Arial" w:hAnsi="Arial"/>
          <w:sz w:val="18"/>
          <w:szCs w:val="18"/>
          <w:color w:val="auto"/>
        </w:rPr>
        <w:t>clinical data needed for approval or encounter other issues such as unexpected side effects or formulation-related technical hurdles, and we may decide to pause or such development efforts.</w:t>
      </w:r>
    </w:p>
    <w:p>
      <w:pPr>
        <w:spacing w:after="0" w:line="113"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may never apply for or receive regulatory approval for vonoprazan in any additional indication or formulation. Even if we do obtain approval, we may not have accurately assessed the commercial potential or target market for such new indication or new formulation or we may enter into collaborations, licenses and other similar arrangements under which we relinquish valuable rights that, in hindsight, would have been more advantageous to retain.</w:t>
      </w:r>
    </w:p>
    <w:p>
      <w:pPr>
        <w:spacing w:after="0" w:line="133"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In addition, we may seek to expand our pipeline through in-licenses or acquisitions of development-stage assets or programs, which entails additional risk to us. Identifying, evaluating and acquiring promising product candidates requires substantial technical, financial and human resources. Efforts to do so may not result in the actual acquisition or license of a particular product candidate, potentially diverting management’s attention and our resources without corresponding benefit.</w:t>
      </w:r>
    </w:p>
    <w:p>
      <w:pPr>
        <w:spacing w:after="0" w:line="14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i w:val="1"/>
          <w:iCs w:val="1"/>
          <w:color w:val="auto"/>
        </w:rPr>
        <w:t>We enrolled patients in Europe in our Erosive GERD and H. pylori trials with VOQUEZNA, and the FDA accepted data from those sites as part of the basis for approval of VOQUEZNA, VOQUEZNA Dual Pak and VOQUEZNA Triple Pak. However, the FDA and other comparable foreign regulatory authorities may not accept data from future trials conducted outside the United States.</w:t>
      </w:r>
    </w:p>
    <w:p>
      <w:pPr>
        <w:spacing w:after="0" w:line="119"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We enrolled patients in Europe in our Erosive GERD and H. pylori trials with VOQUEZNA, and the FDA accepted data from those sites as part of the basis for approval of VOQUEZNA, VOQUEZNA Dual Pak and VOQUEZNA Triple Pak. We are not currently seeking regulatory approval for our VOQUEZNA products in Europe or any other foreign jurisdiction.</w:t>
      </w:r>
    </w:p>
    <w:p>
      <w:pPr>
        <w:spacing w:after="0" w:line="12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may conduct future clinical trials outside the United States for vonoprazan or any future product candidates. Although the FDA may accept data from clinical trials conducted outside the United States and not subject to an investigational new drug application, or IND, acceptance of such data is subject to certain conditions imposed by the FDA. For example, regardless of whether the applicable clinical trials were conducted under an IND, where data from foreign clinical trials are intended to serve as the sole basis for marketing approval in the United States, the FDA will not approve the application on the basis of foreign data alone unless those data are applicable to the United States population and United States medical practice;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Similar requirements may apply in foreign jurisdictions. For trials that are conducted only at sites outside of the United States and not subject to an IND, the FDA requires the clinical trial to have been conducted in accordance with GCP and the FDA must be able to validate the data from the clinical trial through an on-site inspection if it deems such inspection necessary. For trials conducted outside the United States and not under an IND, the FDA generally does not provide advance input on trial design or protocols, which increases the risk that the FDA may later determine that such trials were inadequate and require additional clinical studies. In addition, foreign trials are subject to local laws and regulatory requirements, and there can be no assurance that the FDA or other regulatory authorities will accept data from such trials.</w:t>
      </w:r>
    </w:p>
    <w:p>
      <w:pPr>
        <w:spacing w:after="0" w:line="162"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If regulatory authorities do not accept data from our foreign clinical trials for future regulatory submissions, we may be required to conduct additional clinical trials, which would be costly and time consuming and could delay or prevent our development efforts.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10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foreign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foreign exchange fluctuations;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cultural differences in medical practice and clinical research;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diminished protection of intellectual property in some countries.</w:t>
      </w:r>
    </w:p>
    <w:p>
      <w:pPr>
        <w:spacing w:after="0" w:line="186"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Interim, top-line and preliminary data from clinical trials that we or others announce or publish from time to time may change as more patient data become available and are subject to audit and verification procedures that could result in material changes in the final data. Even if final data from a clinical trial are positive, such results may not be replicated or confirmed in subsequent clinical trials.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1" w:name="page42"/>
    <w:bookmarkEnd w:id="41"/>
    <w:p>
      <w:pPr>
        <w:ind w:right="100" w:firstLine="509"/>
        <w:spacing w:after="0" w:line="239" w:lineRule="auto"/>
        <w:rPr>
          <w:sz w:val="20"/>
          <w:szCs w:val="20"/>
          <w:color w:val="auto"/>
        </w:rPr>
      </w:pPr>
      <w:r>
        <w:rPr>
          <w:rFonts w:ascii="Arial" w:cs="Arial" w:eastAsia="Arial" w:hAnsi="Arial"/>
          <w:sz w:val="18"/>
          <w:szCs w:val="18"/>
          <w:color w:val="auto"/>
        </w:rPr>
        <w:t>From time to time, we or others, may publicly disclose preliminary or top-line data from clinical trials that are based on a preliminary analysis of then-available data and may be subject to change following more careful review and finalization of the results. Interim data are subject to the risk that the results and related findings and conclusions may change materially as patient enrollment continues, additional data are collected, longer follow-up periods are completed, or assumptions and conclusions change following a more comprehensive review of the data. As a result, the top-line or preliminary results that we or others report may differ from future results of the same clinical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preliminary data previously published. As a result, top-line and preliminary data should be viewed with caution until the final data are available. Adverse differences between interim, preliminary or top-line data and final results could significantly harm our business prospects.</w:t>
      </w:r>
    </w:p>
    <w:p>
      <w:pPr>
        <w:spacing w:after="0" w:line="143" w:lineRule="exact"/>
        <w:rPr>
          <w:sz w:val="20"/>
          <w:szCs w:val="20"/>
          <w:color w:val="auto"/>
        </w:rPr>
      </w:pPr>
    </w:p>
    <w:p>
      <w:pPr>
        <w:ind w:firstLine="559"/>
        <w:spacing w:after="0" w:line="247" w:lineRule="auto"/>
        <w:rPr>
          <w:sz w:val="20"/>
          <w:szCs w:val="20"/>
          <w:color w:val="auto"/>
        </w:rPr>
      </w:pPr>
      <w:r>
        <w:rPr>
          <w:rFonts w:ascii="Arial" w:cs="Arial" w:eastAsia="Arial" w:hAnsi="Arial"/>
          <w:sz w:val="18"/>
          <w:szCs w:val="18"/>
          <w:color w:val="auto"/>
        </w:rPr>
        <w:t>Even if final data from a clinical trial are positive, such results may not be replicated or confirmed in subsequent clinical trials, including larger trials, trials in different patient populations, or trials designed to support additional indications or regulatory approvals. Failure to replicate clinical results could limit, delay or prevent regulatory approval, restrict labeling, reduce commercial potential, or otherwise adversely affect the value of a product or development program.</w:t>
      </w:r>
    </w:p>
    <w:p>
      <w:pPr>
        <w:spacing w:after="0" w:line="133"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Further, regulatory agencies and other third parties may not accept or agree with our assumptions, estimates, calculations, conclusions or analyses or may interpret or weigh the importance of data differently, which could affect further development, approvability, labeling, or commercialization of a particular product candidate or product. In addition, the information we publicly disclose regarding a clinical trial necessarily reflects our judgment regarding what is material or appropriate, and other parties may disagree with those judgments or later view omitted information as significant.</w:t>
      </w:r>
    </w:p>
    <w:p>
      <w:pPr>
        <w:spacing w:after="0" w:line="149" w:lineRule="exact"/>
        <w:rPr>
          <w:sz w:val="20"/>
          <w:szCs w:val="20"/>
          <w:color w:val="auto"/>
        </w:rPr>
      </w:pPr>
    </w:p>
    <w:p>
      <w:pPr>
        <w:ind w:right="20" w:firstLine="559"/>
        <w:spacing w:after="0" w:line="247" w:lineRule="auto"/>
        <w:rPr>
          <w:sz w:val="20"/>
          <w:szCs w:val="20"/>
          <w:color w:val="auto"/>
        </w:rPr>
      </w:pPr>
      <w:r>
        <w:rPr>
          <w:rFonts w:ascii="Arial" w:cs="Arial" w:eastAsia="Arial" w:hAnsi="Arial"/>
          <w:sz w:val="18"/>
          <w:szCs w:val="18"/>
          <w:color w:val="auto"/>
        </w:rPr>
        <w:t>If the preliminary, interim or top-line data we report differ from final results, or if others, including regulatory authorities, disagree with the conclusions reached, are not replicated in subsequent studies, or are interpreted differently by regulatory authorities or other third parties, our ability to obtain regulatory approval for, or successfully commercialize, our current products or any future product candidates could be materially adversely affected, which could harm our business, financial condition, results of operations and prospects.</w:t>
      </w:r>
    </w:p>
    <w:p>
      <w:pPr>
        <w:spacing w:after="0" w:line="135"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staffing limitations, government shutdowns or policy changes could delay regulatory review and approval processes and adversely affect our business.</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ability of the FDA and other government agencies to review and approve new or supplemental drug applications, modifications to approved products, or clinical development of new product candidates can be affected by a variety of factors, including government budget and funding levels, government shutdowns, statutory, regulatory and policy changes, a government agency’s ability to hire and retain key personnel, their ability to accept the payment of user fees, and other events that may otherwise impair the government agency’s ability to perform routine functions. As a result, average review times at the FDA and other government agencies have fluctuated in recent years. In addition, government funding for agencies that fund research and development activities is subject to the political process, which is inherently fluid and unpredictable. Disruptions at the FDA and other agencies, may also slow the time necessary for review or approval of new drugs, supplements or modifications to approved drugs or review of clinical trials, which could adversely affect our business. For example, in recent years, the United States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which have led to substantial personnel changes, and it remains unclear the degree to which these efforts may limit or otherwise adversely affect the FDA’s ability to conduct routine activities. If a prolonged government shutdown occurs, or if funding shortages, staffing limitations or similar factors hinder or prevent the FDA or other regulatory authorities from conducting their regular inspections, reviews, or other regulatory activities, such events could significantly impact the ability of the FDA or other such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73"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We rely on the Takeda License to provide us rights to develop and commercialize vonoprazan in the United States, Europe, and Canada. If the license agreement is terminated, we would lose our rights to develop and commercialize vonoprazan.</w:t>
      </w:r>
    </w:p>
    <w:p>
      <w:pPr>
        <w:spacing w:after="0" w:line="99"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Pursuant to the Takeda License, we have secured an exclusive license from Takeda to commercialize vonoprazan products using specified formulations for all human therapeutic uses in the United States, Europe, and Canada, and a non-exclusive license to develop and manufacture vonoprazan products anywhere in the world (subject to Takeda’s consent as to each country) for the purposes of commercializing the vonoprazan products in the United States, Europe, and Canada.</w:t>
      </w:r>
    </w:p>
    <w:p>
      <w:pPr>
        <w:spacing w:after="0" w:line="14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Takeda License will continue until the expiration of the obligation to pay royalties in all countries and on all products, unless terminated earlier. We may terminate the Takeda License in its entirety without cause upon prior written notice. We and Takeda may terminate the Takeda License in the case of the other party’s insolvency or for the other party’s material uncured breach. Takeda may terminate the Takeda License in its entirety if we challenge the licensed patents, or if we assist any third party in challenging such patents. In addition, if any of the commercial milestones or other cash payments become due under the terms of the Takeda License, we may not have sufficient funds available to meet our obligations, which would allow Takeda to terminate the Takeda License. If the license agreement is terminated, we would lose our rights to develop and commercialize products containing vonoprazan, which in turn would have a material adverse effect on our business, operating results and prospects.</w:t>
      </w:r>
    </w:p>
    <w:p>
      <w:pPr>
        <w:spacing w:after="0" w:line="142"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our clinical trials. Any failure by a third party to conduct the clinical trials according to GCPs and other requirements and in a timely manner may delay or prevent our ability to seek or obtain additional regulatory approvals for vonoprazan and regulatory approvals for any future product candidates.</w:t>
      </w:r>
    </w:p>
    <w:p>
      <w:pPr>
        <w:spacing w:after="0" w:line="119"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are dependent on third parties to conduct our preclinical studies and clinical trials.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will play a significant role in the conduct and timing of any ongoing or future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or similar regulations. Our failure to comply with these regulations may require us to repeat clinical trials, which would delay the regulatory approval process.</w:t>
      </w:r>
    </w:p>
    <w:p>
      <w:pPr>
        <w:spacing w:after="0" w:line="16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CROs, investigators or other third parties may not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comparable regulatory authority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sNDA or similar marketing application we submit by the FDA or by comparable regulatory authority. Any such delay or rejection could prevent us from obtaining approval to commercialize vonoprazan for any additional indications or formulations we may decide to study and any future product candidates we may develop.</w:t>
      </w:r>
    </w:p>
    <w:p>
      <w:pPr>
        <w:spacing w:after="0" w:line="14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can materially impact our ability to meet our desired clinical development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3" w:name="page44"/>
    <w:bookmarkEnd w:id="43"/>
    <w:p>
      <w:pPr>
        <w:ind w:right="140"/>
        <w:spacing w:after="0" w:line="253" w:lineRule="auto"/>
        <w:rPr>
          <w:sz w:val="20"/>
          <w:szCs w:val="20"/>
          <w:color w:val="auto"/>
        </w:rPr>
      </w:pPr>
      <w:r>
        <w:rPr>
          <w:rFonts w:ascii="Arial" w:cs="Arial" w:eastAsia="Arial" w:hAnsi="Arial"/>
          <w:sz w:val="18"/>
          <w:szCs w:val="18"/>
          <w:color w:val="auto"/>
        </w:rPr>
        <w:t>timelines. Though we carefully manage our relationships with our CROs, investigators and other third parties, we may encounter challenges or delays in the future and these delays or challenges may have a material adverse impact on our business, financial condition and prospects.</w:t>
      </w:r>
    </w:p>
    <w:p>
      <w:pPr>
        <w:spacing w:after="0" w:line="130"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b w:val="1"/>
          <w:bCs w:val="1"/>
          <w:i w:val="1"/>
          <w:iCs w:val="1"/>
          <w:color w:val="auto"/>
        </w:rPr>
        <w:t>We currently rely on, and expect to rely on for the foreseeable future, Evonik and Catalent for the manufacture of vonoprazan drug substance and drug product for commercial sale and any clinical development, and we expect to rely on Sandoz for commercial supplies of VOQUEZNA TRIPLE PAK and VOQUEZNA DUAL PAK and the amoxicillin and clarithromycin in those products. This reliance on third parties increases the risk that we will not have sufficient quantities of finished product which could have a material adverse impact on our business, results from operation and prospects.</w:t>
      </w:r>
    </w:p>
    <w:p>
      <w:pPr>
        <w:spacing w:after="0" w:line="13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do not own or operate manufacturing facilities and have no plans to build our own commercial or clinical scale manufacturing capabilities. We have entered into an agreement with Catalent for the supply of finished drug product, an agreement with Evonik for the supply of drug substance, and an agreement with Sandoz for commercial supply of amoxicillin, clarithromycin and finished convenience packs containing VOQUEZNA and one or both of those antibiotics. As a result, we currently rely, and expect to continue to rely, on third parties for the manufacture of vonoprazan and supply of related raw materials for commercial sale and any clinical development. If Catalent, Evonik or Sandoz fails to fulfill its obligations under its respective supply agreement, or if any of the vonoprazan drug product or drug substance supplied by Catalent or Evonik cannot be utilized due to quality or cGMP or similar concerns, adverse findings during regulatory inspections or other reasons, our commercialization of vonoprazan, and any ongoing or future development plans, could be significantly adversely affected. We have previously been informed by Sandoz of the potential for a disruption in the supply of clarithromycin tablets, a component of VOQUEZNA TRIPLE PAK. Based on more recent communications, we do not currently anticipate any near-term supply disruption; however, there can be no assurance that a disruption will not occur in the future, and we continue to actively monitor this situation. Our VOQUEZNA tablets and VOQUEZNA DUAL PAK are not affected, as they do not include clarithromycin.</w:t>
      </w:r>
    </w:p>
    <w:p>
      <w:pPr>
        <w:spacing w:after="0" w:line="156"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facilities used by Catalent and Evonik to manufacture vonoprazan, and by Sandoz to manufacture amoxicillin and clarithromycin and to package the antibiotics and vonoprazan, have been approved by the FDA for the manufacture of our current products in the United States and are subject to ongoing and periodic inspection by the FDA to ensure continued compliance with applicable cGMP and other regulatory requirements. Regulatory authorities may inspect these facilities at any time, and continued approval is not assured. We do not control the manufacturing processes of, and are completely dependent on, Catalent, Evonik and Sandoz for compliance with applicable cGMP and similar requirements. If the FDA identifies deficiencies during an inspection, issues a warning letter, or otherwise determines that a facility is not in compliance, use of that facility for our approved products could be withdrawn or approval of that facility for use in connection with any of our product candidates could be delayed, limited, suspended or withdrawn, which could disrupt the manufacture or supply of our products. In addition, if we seek regulatory approval for our products outside the United States, the facilities used to manufacture vonoprazan and related components would be subject to inspection and approval by foreign regulatory authorities, and we may be required to satisfy additional or different regulatory requirements. There can be no assurance that such facilities would be approved for ex-U.S. commercial supply on a timely basis or at all. If the FDA withdraws approval of facilities of any third-party manufacturer for the manufacture of our approved products or the FDA or a comparable foreign regulatory authority does not approve any other third party manufacturer we seek to use in the future with respect to vonoprazan or other products we may develop, we may need to find alternative manufacturing facilities which would significantly adversely impact our ability to continue to market our approved products and to continue our development programs and obtain additional regulatory approvals.</w:t>
      </w:r>
    </w:p>
    <w:p>
      <w:pPr>
        <w:spacing w:after="0" w:line="14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Our failure, or Catalent’s, Evonik’s, Sandoz’s or any other third-party manufacturer’s failure, to comply with applicable regulations could result in sanctions being imposed on us, including, suspension or withdrawal of approvals, seizures or recalls of products or product candidates, clinical holds, fines, injunctions, civil penalties, delays, operating restrictions and criminal prosecutions, any of which could significantly and adversely affect supplies of our products.</w:t>
      </w:r>
    </w:p>
    <w:p>
      <w:pPr>
        <w:spacing w:after="0" w:line="133" w:lineRule="exact"/>
        <w:rPr>
          <w:sz w:val="20"/>
          <w:szCs w:val="20"/>
          <w:color w:val="auto"/>
        </w:rPr>
      </w:pPr>
    </w:p>
    <w:p>
      <w:pPr>
        <w:jc w:val="both"/>
        <w:ind w:right="240" w:firstLine="509"/>
        <w:spacing w:after="0" w:line="253" w:lineRule="auto"/>
        <w:rPr>
          <w:sz w:val="20"/>
          <w:szCs w:val="20"/>
          <w:color w:val="auto"/>
        </w:rPr>
      </w:pPr>
      <w:r>
        <w:rPr>
          <w:rFonts w:ascii="Arial" w:cs="Arial" w:eastAsia="Arial" w:hAnsi="Arial"/>
          <w:sz w:val="18"/>
          <w:szCs w:val="18"/>
          <w:color w:val="auto"/>
        </w:rPr>
        <w:t>Our or Catalent’s, Evonik’s or Sandoz’s failure, or the failure of any future third-party manufacturer, to execute on our manufacturing requirements, to do so on commercially reasonable terms and to comply with cGMP or similar foreign requirements, could adversely affect our business in a number of ways, including:</w:t>
      </w:r>
    </w:p>
    <w:p>
      <w:pPr>
        <w:spacing w:after="0" w:line="14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meet commercial demands for our approved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recall of batches of our approved products or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initiate and continue clinical trials of vonoprazan or any future product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4" w:name="page45"/>
    <w:bookmarkEnd w:id="44"/>
    <w:p>
      <w:pPr>
        <w:ind w:left="1020" w:right="1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submitting regulatory applications, or receiving marketing approvals for new indications or formulations of vonoprazan or future product candidates that we might successfully develop;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third-party manufacturing facilities or our facilities being subjected to additional inspections by regulatory authorities;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10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breach of the manufacturing agreement by the third party;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specifications;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schedule or at all;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184"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Our current products, including VOQUEZNA, and any product candidates that we may develop, may compete with other products and product candidates for access to manufacturing capacity, and there are a limited number of third-party manufacturers that operate under cGMP and similar regulations and are capable of manufacturing our products. We do not currently have arrangements in place for redundant supply or a second source for all required raw materials used in the manufacture of our current products.</w:t>
      </w:r>
    </w:p>
    <w:p>
      <w:pPr>
        <w:spacing w:after="0" w:line="13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If Catalent, Evonik, or Sandoz or any third-party manufacturer we rely on cannot perform as agreed, materially breaches its obligations or terminates or elects not to renew its agreement with us, or otherwise becomes unable or unwilling to continue manufacturing our products or product candidates, we may be required to identify and qualify alternative manufacturing facilities. The process of transferring manufacturing operations, validating processes, qualifying new suppliers and obtaining required regulatory approvals could be time-consuming, costly and subject to significant technical and regulatory risks, and may not be successful on a timely basis or at all. In addition, Catalent, Evonik, Sandoz and any other third-party manufacturers we may use in the future may experience manufacturing or shipping disruptions due to resource constraints or as a result of natural disasters, labor disputes, geopolitical instability, or public health emergencies or ongoing hostilities in the Ukraine, Middle East or elsewhere. Any such disruption could jeopardize our ability to meet demand for our approved products or the supply of product candidates for clinical trials.</w:t>
      </w:r>
    </w:p>
    <w:p>
      <w:pPr>
        <w:spacing w:after="0" w:line="156"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In addition, our inventory of drug substance, drug product or finished goods, whether held by us or by third parties, could be lost, damaged, destroyed or rendered unusable as a result of natural disasters, power outages, equipment failures, contamination, transportation incidents or other unforeseen events, which could further disrupt our supply and adversely affect our ability to meet commercial demand and clinical trial needs.</w:t>
      </w:r>
    </w:p>
    <w:p>
      <w:pPr>
        <w:spacing w:after="0" w:line="133"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Our current and anticipated future dependence upon others for the manufacture of our approved products or any future product candidates could result in supply interruptions, increased manufacturing costs, reduced profit margins, an inability to meet patient or market demand on a timely and competitive basis and a decrease in market acceptance, any of which could materially adversely affect our business, financial condition, results of operations and prospects.</w:t>
      </w:r>
    </w:p>
    <w:p>
      <w:pPr>
        <w:spacing w:after="0" w:line="132"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Our reliance on third parties, including Sandoz, Catalent and Evonik, requires us to share our trade secrets, which increases the possibility that a competitor will discover them or that our trade secrets will be misappropriated or disclosed.</w:t>
      </w:r>
    </w:p>
    <w:p>
      <w:pPr>
        <w:spacing w:after="0" w:line="11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Because we rely, and expect to continue to rely, on Sandoz, Catalent and Evonik to manufacture our current approved products and to perform quality testing, we must, at times, share our proprietary technology and confidential information, including trade secrets, with them.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current and future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45" w:name="page46"/>
    <w:bookmarkEnd w:id="45"/>
    <w:p>
      <w:pPr>
        <w:ind w:right="300"/>
        <w:spacing w:after="0" w:line="271" w:lineRule="auto"/>
        <w:rPr>
          <w:sz w:val="20"/>
          <w:szCs w:val="20"/>
          <w:color w:val="auto"/>
        </w:rPr>
      </w:pPr>
      <w:r>
        <w:rPr>
          <w:rFonts w:ascii="Arial" w:cs="Arial" w:eastAsia="Arial" w:hAnsi="Arial"/>
          <w:sz w:val="18"/>
          <w:szCs w:val="18"/>
          <w:color w:val="auto"/>
        </w:rPr>
        <w:t>may impair our competitive position and may have a material adverse effect on our business, financial condition, results of operations and prospects.</w:t>
      </w:r>
    </w:p>
    <w:p>
      <w:pPr>
        <w:spacing w:after="0" w:line="115"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The loss of, or significant reduction in business from, one or more of our major customers could significantly reduce our revenue, earnings or other operating results.</w:t>
      </w:r>
    </w:p>
    <w:p>
      <w:pPr>
        <w:spacing w:after="0" w:line="99"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We sell our products primarily to established wholesale distributors and retailers in the pharmaceutical industry. A significant portion of our revenue is derived from a relatively small number of these customers. Three of our customers combined provided approximately 69% of our product sales during the year ended December 31, 2025, with each of these individual customers ranging from 22% to 23% of our product sales. The loss of any of these customers, or any of our other large customers, or reductions in business from them, could have a material adverse effect on our business, financial condition, results of operations, and cash flow. There can be no assurance that revenue from any customer will continue at their historical levels.</w:t>
      </w:r>
    </w:p>
    <w:p>
      <w:pPr>
        <w:spacing w:after="0" w:line="152" w:lineRule="exact"/>
        <w:rPr>
          <w:sz w:val="20"/>
          <w:szCs w:val="20"/>
          <w:color w:val="auto"/>
        </w:rPr>
      </w:pPr>
    </w:p>
    <w:p>
      <w:pPr>
        <w:ind w:right="320" w:firstLine="509"/>
        <w:spacing w:after="0" w:line="242" w:lineRule="auto"/>
        <w:rPr>
          <w:sz w:val="20"/>
          <w:szCs w:val="20"/>
          <w:color w:val="auto"/>
        </w:rPr>
      </w:pPr>
      <w:r>
        <w:rPr>
          <w:rFonts w:ascii="Arial" w:cs="Arial" w:eastAsia="Arial" w:hAnsi="Arial"/>
          <w:sz w:val="18"/>
          <w:szCs w:val="18"/>
          <w:color w:val="auto"/>
        </w:rPr>
        <w:t>In addition, we work with third-party pharmacy support service providers to facilitate patient access to our VOQUEZNA products. Through these arrangements, eligible patients may access programs designed to help identify lower out-of-pocket costs, support prior authorization submissions and offer home delivery from licensed pharmacies, including for certain cash-pay patients. If any of these third-party service providers were to discontinue or materially limit their services, experience operational disruptions, or otherwise be unable to support patient access on acceptable terms, patient utilization of our products could be adversely affected, which could in turn negatively impact demand for our products and our revenue.</w:t>
      </w:r>
    </w:p>
    <w:p>
      <w:pPr>
        <w:spacing w:after="0" w:line="138" w:lineRule="exact"/>
        <w:rPr>
          <w:sz w:val="20"/>
          <w:szCs w:val="20"/>
          <w:color w:val="auto"/>
        </w:rPr>
      </w:pPr>
    </w:p>
    <w:p>
      <w:pPr>
        <w:ind w:right="460" w:firstLine="509"/>
        <w:spacing w:after="0" w:line="253" w:lineRule="auto"/>
        <w:rPr>
          <w:sz w:val="20"/>
          <w:szCs w:val="20"/>
          <w:color w:val="auto"/>
        </w:rPr>
      </w:pPr>
      <w:r>
        <w:rPr>
          <w:rFonts w:ascii="Arial" w:cs="Arial" w:eastAsia="Arial" w:hAnsi="Arial"/>
          <w:sz w:val="18"/>
          <w:szCs w:val="18"/>
          <w:color w:val="auto"/>
        </w:rPr>
        <w:t>Further, as of December 31, 2025, three customers accounted for 78% of our accounts receivable balance, with each of these individual customers ranging from 19% to 30% of the accounts receivable balance. As a result, we are exposed to credit risk from these customers and if any of these customers were to fail to pay us in a timely manner, our cash flows could be materially harmed.</w:t>
      </w:r>
    </w:p>
    <w:p>
      <w:pPr>
        <w:spacing w:after="0" w:line="130"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continue to evaluate the potential for vonoprazan in Europe and Canada. In the future we will also need to successfully acquire, develop and gain approval of one or more product candidates other than our vonoprazan products. We may seek to enter into collaborations, joint ventures, licenses and other similar arrangements for the development or commercialization of vonoprazan in Europe or Canada or to acquire future product candidates. We may not be successful in our efforts to establish such arrangements because, among other reasons, third parties may not view our current products or future product candidates as having sufficient commercial potential, acceptable pricing or reimbursement prospects, or an appropriate risk-return profile or because potential licensors or sellers of product candidates may prefer to retain rights, partner with larger or better-capitalized companies, pursue alternative transactions, or may not agree with us on valuation, deal structure, development plans, intellectual property terms or other key transaction terms. In addition, we face significant competition in seeking appropriate strategic partners and attractive product candidates, and the negotiation process can be time consuming and complex. Further, any future arrangements may restrict us from entering into additional agreements with potential collaborators. Following a strategic transaction or license, we may not achieve an economic benefit that justifies such transaction.</w:t>
      </w:r>
    </w:p>
    <w:p>
      <w:pPr>
        <w:spacing w:after="0" w:line="145" w:lineRule="exact"/>
        <w:rPr>
          <w:sz w:val="20"/>
          <w:szCs w:val="20"/>
          <w:color w:val="auto"/>
        </w:rPr>
      </w:pPr>
    </w:p>
    <w:p>
      <w:pPr>
        <w:jc w:val="both"/>
        <w:ind w:right="80" w:firstLine="509"/>
        <w:spacing w:after="0" w:line="253" w:lineRule="auto"/>
        <w:rPr>
          <w:sz w:val="20"/>
          <w:szCs w:val="20"/>
          <w:color w:val="auto"/>
        </w:rPr>
      </w:pPr>
      <w:r>
        <w:rPr>
          <w:rFonts w:ascii="Arial" w:cs="Arial" w:eastAsia="Arial" w:hAnsi="Arial"/>
          <w:sz w:val="18"/>
          <w:szCs w:val="18"/>
          <w:color w:val="auto"/>
        </w:rPr>
        <w:t>Even if we are successful in our efforts to establish such arrangements, the terms that we agree upon may not be favorable to us, and we may not be able to maintain such arrangements if, for example, development or approval of a product candidate is delayed, the safety of a product candidate is questioned or sales of an approved product candidate are unsatisfactory.</w:t>
      </w:r>
    </w:p>
    <w:p>
      <w:pPr>
        <w:spacing w:after="0" w:line="12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addition, any potential future collaborations may be terminable by our strategic partners, and we may not be able adequately to protect our rights under these agreements. Furthermore, strategic partners may negotiate for certain rights to control decisions regarding the development and commercialization of vonoprazan in Europe or Canada or any future product candidates and may not conduct those activities in the same manner as we do. Any termination of arrangements we enter into in the future, or any delay in entering into such arrangements, could delay or impair the development and commercialization of vonoprazan in Europe and Canada or the development and commercialization of any future product candidates and reduce their competitiveness if they reach the market, which could have a material adverse effect on our business, financial condition and results of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173"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99"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performance. As a commercial-stage company with a limited product portfolio, a substantial portion of our revenue is derived from sales of our VOQUEZNA products, and our operating results are highly sensitive to factors affecting these products, and even modest changes in market acceptance, payer access, pricing, demand or supply could have a disproportionate impact on our operating results, particularly changes related to VOQUEZNA as a treatment for GERD. These fluctuations may occur due to a variety of factors, many of which are outside of our control, including, but not limited to:</w:t>
      </w:r>
    </w:p>
    <w:p>
      <w:pPr>
        <w:spacing w:after="0" w:line="165" w:lineRule="exact"/>
        <w:rPr>
          <w:sz w:val="20"/>
          <w:szCs w:val="20"/>
          <w:color w:val="auto"/>
        </w:rPr>
      </w:pPr>
    </w:p>
    <w:p>
      <w:pPr>
        <w:ind w:left="1020" w:right="50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variability in the level of demand VOQUEZNA for the treatment of GERD, including market acceptance, prescribing trends among gastroenterologists and primary care physicians, use of cash-pay or access programs, and seasonality;</w:t>
      </w:r>
    </w:p>
    <w:p>
      <w:pPr>
        <w:spacing w:after="0" w:line="46" w:lineRule="exact"/>
        <w:rPr>
          <w:rFonts w:ascii="Times New Roman" w:cs="Times New Roman" w:eastAsia="Times New Roman" w:hAnsi="Times New Roman"/>
          <w:sz w:val="18"/>
          <w:szCs w:val="18"/>
          <w:color w:val="auto"/>
        </w:rPr>
      </w:pPr>
    </w:p>
    <w:p>
      <w:pPr>
        <w:ind w:left="1020" w:right="74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cost and level of investment in our commercialization activities, including sales force deployment, marketing initiatives and payer access efforts;</w:t>
      </w:r>
    </w:p>
    <w:p>
      <w:pPr>
        <w:spacing w:after="0" w:line="4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pricing, coverage and reimbursement decisions and prior authorization requirements for our approved products, and potential changes in payer policies;</w:t>
      </w:r>
    </w:p>
    <w:p>
      <w:pPr>
        <w:spacing w:after="0" w:line="46" w:lineRule="exact"/>
        <w:rPr>
          <w:rFonts w:ascii="Times New Roman" w:cs="Times New Roman" w:eastAsia="Times New Roman" w:hAnsi="Times New Roman"/>
          <w:sz w:val="18"/>
          <w:szCs w:val="18"/>
          <w:color w:val="auto"/>
        </w:rPr>
      </w:pPr>
    </w:p>
    <w:p>
      <w:pPr>
        <w:jc w:val="both"/>
        <w:ind w:left="1020" w:right="100" w:hanging="503"/>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competitive dynamics affecting our approved products, including competition from generic therapies, new branded products, or alternative treatment approaches, and the impact of the introduction of competitive products on demand, market share, pricing, payor coverage, reimbursement and policies and other market dynamics;</w:t>
      </w:r>
    </w:p>
    <w:p>
      <w:pPr>
        <w:spacing w:after="0" w:line="62" w:lineRule="exact"/>
        <w:rPr>
          <w:rFonts w:ascii="Times New Roman" w:cs="Times New Roman" w:eastAsia="Times New Roman" w:hAnsi="Times New Roman"/>
          <w:sz w:val="18"/>
          <w:szCs w:val="18"/>
          <w:color w:val="auto"/>
        </w:rPr>
      </w:pPr>
    </w:p>
    <w:p>
      <w:pPr>
        <w:ind w:left="1020" w:right="360" w:hanging="503"/>
        <w:spacing w:after="0" w:line="300"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cost of, and level of investment in, research, development and regulatory activities for any future indications or formulations of vonoprazan or new product candidates, which may change from time to time, and the results of such efforts;</w:t>
      </w:r>
    </w:p>
    <w:p>
      <w:pPr>
        <w:spacing w:after="0" w:line="23" w:lineRule="exact"/>
        <w:rPr>
          <w:rFonts w:ascii="Times New Roman" w:cs="Times New Roman" w:eastAsia="Times New Roman" w:hAnsi="Times New Roman"/>
          <w:sz w:val="17"/>
          <w:szCs w:val="17"/>
          <w:color w:val="auto"/>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of our current products or any future product candidates, which may vary depending on the quantity of production and the terms of our agreements with Catalent, Evonik, Sandoz and any future third-party manufacturers;</w:t>
      </w:r>
    </w:p>
    <w:p>
      <w:pPr>
        <w:spacing w:after="0" w:line="46"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such as the ongoing hostilities in the Ukraine or the Middle East, and terrorism, or natural disasters such as earthquakes, typhoons, floods and fires or public health emergencies or pandemics;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amount of the milestone or other payments we will be required to pay to Takeda pursuant to the Takeda License;</w:t>
      </w:r>
    </w:p>
    <w:p>
      <w:pPr>
        <w:spacing w:after="0" w:line="116" w:lineRule="exact"/>
        <w:rPr>
          <w:rFonts w:ascii="Times New Roman" w:cs="Times New Roman" w:eastAsia="Times New Roman" w:hAnsi="Times New Roman"/>
          <w:sz w:val="18"/>
          <w:szCs w:val="18"/>
          <w:color w:val="auto"/>
        </w:rPr>
      </w:pPr>
    </w:p>
    <w:p>
      <w:pPr>
        <w:ind w:left="1020" w:right="200" w:hanging="503"/>
        <w:spacing w:after="0" w:line="246"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obligations under our Loan Agreement with Hercules Capital and under our Revenue Interest Financing Arrangement, or RIFA, including required interest, royalty or other payments, compliance with financial and other covenants, and limitations on our operating flexibility, which may affect the timing and availability of capital and our ability to manage expenses and investments;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expenditures that we may incur to acquire, develop or commercialize additional product candidates and technologies;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future accounting pronouncements or changes in our accounting policies.</w:t>
      </w:r>
    </w:p>
    <w:p>
      <w:pPr>
        <w:spacing w:after="0" w:line="19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8"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This variability and unpredictability could also result in our failing to meet our expectations or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47" w:name="page48"/>
    <w:bookmarkEnd w:id="47"/>
    <w:p>
      <w:pPr>
        <w:ind w:right="260"/>
        <w:spacing w:after="0" w:line="278" w:lineRule="auto"/>
        <w:rPr>
          <w:sz w:val="20"/>
          <w:szCs w:val="20"/>
          <w:color w:val="auto"/>
        </w:rPr>
      </w:pPr>
      <w:r>
        <w:rPr>
          <w:rFonts w:ascii="Arial" w:cs="Arial" w:eastAsia="Arial" w:hAnsi="Arial"/>
          <w:sz w:val="17"/>
          <w:szCs w:val="17"/>
          <w:b w:val="1"/>
          <w:bCs w:val="1"/>
          <w:i w:val="1"/>
          <w:iCs w:val="1"/>
          <w:color w:val="auto"/>
        </w:rPr>
        <w:t>Our indebtedness may limit our flexibility in operating our business and adversely affect our financial health and competitive position, and all of our obligations under our indebtedness are secured by substantially all of our assets, excluding our licensed intellectual property and certain other assets. If we default on these obligations, our lenders could foreclose on our assets.</w:t>
      </w:r>
    </w:p>
    <w:p>
      <w:pPr>
        <w:spacing w:after="0" w:line="10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September 2021, we entered into, and in December 2023 we increased the amounts available under and extended the maturity date of, a Loan Agreement with Hercules. We borrowed $100 million at the inception of the Loan Agreement, $40 million in December 2023, $10 million in March 2024, $25 million in June 2024, and $25 million in December 2024. In February 2026, we entered into an amendment to the Loan Agreement which provided for a new term loan tranche of $ 175 million with a new maturity date of February 1, 2029. We used the proceeds from the new loan tranche, along with cash on our balance sheet, to repay in full the existing secured obligations outstanding under the Loan Agreement among other changes. All obligations under the Loan Agreement are secured by a first priority lien on substantially all of our assets, excluding our licensed intellectual property and certain other assets. As a result, if we default on any of our obligations under the Loan Agreement, Hercules could foreclose on its security interest and liquidate some or all of the collateral, which would harm our business, financial condition and results of operations and could require us to reduce or cease operations.</w:t>
      </w:r>
    </w:p>
    <w:p>
      <w:pPr>
        <w:spacing w:after="0" w:line="14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Loan Agreement contains customary affirmative and negative covenants that limit our ability to engage in certain transactions that may be in our long-term best interest. The affirmative covenants include, among others, covenants requiring us to maintain certain levels of cash subject to a control agreement in favor of Hercules, and certain levels of trailing three-month net product revenue from the sale of VOQUEZNA and other products containing vonoprazan, deliver certain financial reports, maintain insurance coverage and satisfy certain requirements regarding our operating accounts. The negative covenants include,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w:t>
      </w:r>
    </w:p>
    <w:p>
      <w:pPr>
        <w:spacing w:after="0" w:line="15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While we believe we are currently in compliance with the covenants contained in the Loan Agreement, we may breach these covenants in the future. Our ability to comply with these covenants may be affected by events and factors beyond our control. In the event that we breach one or more covenants, the lenders may choose to declare an event of default and require that we immediately repay all amounts outstanding under the applicable agreement, terminate any commitment to extend further credit and foreclose on the collateral. The occurrence of any of these events could have a material adverse effect on our business, financial condition and results of operations.</w:t>
      </w:r>
    </w:p>
    <w:p>
      <w:pPr>
        <w:spacing w:after="0" w:line="13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order to service our current indebtedness and any additional indebtedness we may incur in the future, including meeting cash covenants, we need to generate cash from our operating activities or other financings.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meet our cash covenant obligations and fund our other liquidity needs. To the extent we are required to use cash from operations or the proceeds of any future financing to service our indebtedness or meet our cash covenant obligation instead of funding working capital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145"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Our Revenue Interest Financing Agreement could limit cash flow available for our operations and expose us to risks that could adversely affect our business, financial condition and results of operations.</w:t>
      </w:r>
    </w:p>
    <w:p>
      <w:pPr>
        <w:spacing w:after="0" w:line="11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May 2022, we entered into a Revenue Interest Financing Agreement with the Initial Investors pursuant to which we can receive up to $260 million in funding from the Initial Investors, and in October 2022, we entered into the Joinder Agreement under which we can receive up to $40 million from the Additional Investor, bringing the total funding available under the Revenue Interest Financing Agreement to up to $300 million. Under the terms of the Revenue Interest Financing Agreement and Joinder Agreement, we received $100 million at the initial closing and received an additional $175 million in November 2023 following FDA approval of vonoprazan in its Erosive GERD indication. In addition, we were eligible for $25 million in additional funding for achievement of a sales milestone. On December 23, 2024, CO Finance LVS XXXVII LLC agreed to assign and transfer to OC III LVS LX LP all of its rights, title and interest as an Additional Investor and in connection therewith, OC III LVS LX LP executed a Joinder Agreement. As of December 31, 2025, no additional funding is available under the Revenue Interest Financing Agreement.</w:t>
      </w:r>
    </w:p>
    <w:p>
      <w:pPr>
        <w:spacing w:after="0" w:line="143"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Under the Revenue Interest Financing Agreement, the Initial Investors and the Additional Investors, are entitled to receive a 10% royalty on net sales of products containing vonoprazan. The royalty rate is subject to a step-down on net sales exceeding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48" w:name="page49"/>
    <w:bookmarkEnd w:id="48"/>
    <w:p>
      <w:pPr>
        <w:spacing w:after="0" w:line="247" w:lineRule="auto"/>
        <w:rPr>
          <w:sz w:val="20"/>
          <w:szCs w:val="20"/>
          <w:color w:val="auto"/>
        </w:rPr>
      </w:pPr>
      <w:r>
        <w:rPr>
          <w:rFonts w:ascii="Arial" w:cs="Arial" w:eastAsia="Arial" w:hAnsi="Arial"/>
          <w:sz w:val="18"/>
          <w:szCs w:val="18"/>
          <w:color w:val="auto"/>
        </w:rPr>
        <w:t>certain annual thresholds and upon FDA approval for vonoprazan for an indication relating to the treatment of heartburn associated with Non-Erosive GERD, which occurred on July 17, 2024. The investors’ right to receive royalties on net sales will terminate when the investors have aggregate payments equal to 200% of the Investment Amount. In addition, we have the right to make a cap payment equal to 200% of the Investment Amount less any royalties already paid, at which time the agreement will terminate.</w:t>
      </w:r>
    </w:p>
    <w:p>
      <w:pPr>
        <w:spacing w:after="0" w:line="133"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sufficient to gross the investors up to the applicable Minimum Amount.</w:t>
      </w:r>
    </w:p>
    <w:p>
      <w:pPr>
        <w:spacing w:after="0" w:line="128"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Pursuant to the Revenue Interest Financing Agreement, we also agreed to specified affirmative and negative covenants, including covenants to use commercially reasonable efforts to promote products containing vonoprazan in the United States and covenants requiring us to maintain certain levels of cash. The Revenue Interest Financing Agreement also contains representations and warranties, other covenants, indemnification obligations, and other provisions customary for transactions of this nature. In the event of an event of default under the Revenue Interest Financing Agreement, the investors may be entitled to foreclose on the pledged collateral which includes the applicable royalty under the Revenue Interest Financing Agreement from net sales of VOQUEZNA and other products containing vonoprazan.</w:t>
      </w:r>
    </w:p>
    <w:p>
      <w:pPr>
        <w:spacing w:after="0" w:line="15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To meet our obligations under the Revenue Interest Financing Agreement, including meeting future cash covenants and Minimum Amounts, we need to generate cash from our operating activities. Our ability to generate cash from our operating activities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meet our obligations under the Revenue Interest Financing Agreement and fund our other liquidity needs. A failure to meet our obligations under the Revenue Interest Financing Agreement could have a material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are highly dependent on the management, commercial, development, clinical, and financial experience of our senior management. Although we have entered into employment agreements with our executive officers, each of them may terminate their employment with us at any time. We do not maintain “key person” insurance for any of our executives or employees. This lack of insurance means that we may not have adequate compensation for the loss of the services of these individuals. For example, effective April 1, 2025, Steven Basta was appointed as our President and Chief Executive Officer, replacing Terrie Curran. In addition, effective April 30, 2025, Azmi Nabulsi, M.D., our Chief Operating Officer, Molly Henderson, our Chief Financial Officer, Martin Gilligan, our Chief Commercial Officer, and Tom Harris, our Chief Development Sciences Officer resigned as officers and we announced that Jonathan Bentley will join us as our Senior Vice President, Head of Sales. On October 6, 2025, Sanjeev Narula joined us as Chief Financial and Business Officer. Executive leadership transitions can be inherently difficult to manage and, as a result, if we have further resignations or terminations, we may experience disruption or have difficulty in managing our operations and achieving our business objectives. Competition for qualified personnel in the biopharmaceutical field is intense, and our future success depends upon our ability to attract, retain and motivate highly skilled commercial, scientific, technical and managerial employees. We face competition for personnel from other biopharmaceutical companies and other organizations. If our recruitment and retention efforts are unsuccessful in the future, it may be difficult for us to implement business strategy, which could harm our business. In addition, we rely on consultants and advisors, including scientific and clinical advisors, to assist us in formulating and implementing our commercialization and development strategy. Our consultants and advisors may be employed by employers other than us and may have commitments under consulting or advisory contracts with other entities that may limit their availability to us. If we are unable to continue to attract, retain and motivate necessary personnel to accomplish our business objectives, we may experience constraints that will significantly impede achievement of our commercial and development objectives, our ability to raise additional capital and our ability to implement our business strategy.</w:t>
      </w:r>
    </w:p>
    <w:p>
      <w:pPr>
        <w:spacing w:after="0" w:line="15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are subject to various foreign, federal, and state healthcare laws and regulations, and our failure to comply with these laws and regulations could result in significant fines, damages and penalties and harm our results of operations and financial condition.</w:t>
      </w:r>
    </w:p>
    <w:p>
      <w:pPr>
        <w:spacing w:after="0" w:line="99"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payers, patient organizations and customers expose us to broadly applicable foreign, federal and state fraud and abuse and other healthcare laws and regulations. These laws may constrain the business or financial arrangements and relationships through</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9" w:name="page50"/>
    <w:bookmarkEnd w:id="49"/>
    <w:p>
      <w:pPr>
        <w:ind w:right="660"/>
        <w:spacing w:after="0" w:line="271" w:lineRule="auto"/>
        <w:rPr>
          <w:sz w:val="20"/>
          <w:szCs w:val="20"/>
          <w:color w:val="auto"/>
        </w:rPr>
      </w:pPr>
      <w:r>
        <w:rPr>
          <w:rFonts w:ascii="Arial" w:cs="Arial" w:eastAsia="Arial" w:hAnsi="Arial"/>
          <w:sz w:val="18"/>
          <w:szCs w:val="18"/>
          <w:color w:val="auto"/>
        </w:rPr>
        <w:t>which we conduct our operations, including how we research, market, sell and distribute any products for which we obtain marketing approval. Such laws include, but are not limited to:</w:t>
      </w:r>
    </w:p>
    <w:p>
      <w:pPr>
        <w:spacing w:after="0" w:line="46" w:lineRule="exact"/>
        <w:rPr>
          <w:sz w:val="20"/>
          <w:szCs w:val="20"/>
          <w:color w:val="auto"/>
        </w:rPr>
      </w:pPr>
    </w:p>
    <w:p>
      <w:pPr>
        <w:ind w:left="1020" w:right="6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to induce or reward, or in return for, either the referral of an individual for, or the purchase, lease, or order, or arranging for or recommending the purchase, lease, or order of any good, facility, item or service, for which payment may be made, in whole or in part, under any U.S. federal healthcare program, such as Medicare and Medicaid. A person or entity does not need to have actual knowledge of the federal Anti-Kickback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hanging="503"/>
        <w:spacing w:after="0" w:line="239"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U.S. civil and criminal federal false claims laws, including the civil False Claims Act, which can be enforced through civil whistleblower or qui tam actions,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U.S. federal government. In addition, the government may assert that a claim including items or services resulting from a violation of the federal Anti-Kickback Statute constitutes a false or fraudulent claim for purposes of the False Claims Act;</w:t>
      </w:r>
    </w:p>
    <w:p>
      <w:pPr>
        <w:spacing w:after="0" w:line="78" w:lineRule="exact"/>
        <w:rPr>
          <w:rFonts w:ascii="Times New Roman" w:cs="Times New Roman" w:eastAsia="Times New Roman" w:hAnsi="Times New Roman"/>
          <w:sz w:val="18"/>
          <w:szCs w:val="18"/>
          <w:color w:val="auto"/>
        </w:rPr>
      </w:pPr>
    </w:p>
    <w:p>
      <w:pPr>
        <w:ind w:left="1020" w:hanging="503"/>
        <w:spacing w:after="0" w:line="24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69" w:lineRule="exact"/>
        <w:rPr>
          <w:rFonts w:ascii="Times New Roman" w:cs="Times New Roman" w:eastAsia="Times New Roman" w:hAnsi="Times New Roman"/>
          <w:sz w:val="18"/>
          <w:szCs w:val="18"/>
          <w:color w:val="auto"/>
        </w:rPr>
      </w:pPr>
    </w:p>
    <w:p>
      <w:pPr>
        <w:ind w:left="1020" w:right="160" w:hanging="503"/>
        <w:spacing w:after="0" w:line="246"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68" w:lineRule="exact"/>
        <w:rPr>
          <w:rFonts w:ascii="Times New Roman" w:cs="Times New Roman" w:eastAsia="Times New Roman" w:hAnsi="Times New Roman"/>
          <w:sz w:val="18"/>
          <w:szCs w:val="18"/>
          <w:color w:val="auto"/>
        </w:rPr>
      </w:pPr>
    </w:p>
    <w:p>
      <w:pPr>
        <w:ind w:left="1020" w:right="4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Physician Payments Sunshine Act, which requires certain manufacturers of drugs, devices, biologics and medical supplies for which payment is available under Medicare, Medicaid or the Children’s Health Insurance Program (with certain exceptions) to report annually to CMS, information related to certain payments and other “transfers of value” made to physicians (defined to include doctors, dentists, optometrists, podiatrists and chiropractors) , certain non-physician practitioners (physician assistants, nurse practitioners, clinical nurse specialists, certified registered nurse anesthetists, anesthesiology assistants and certified nurse midwives) and teaching hospitals, as well as ownership and investment interests held by the physicians described above and their immediate family members; and</w:t>
      </w:r>
    </w:p>
    <w:p>
      <w:pPr>
        <w:spacing w:after="0" w:line="75" w:lineRule="exact"/>
        <w:rPr>
          <w:rFonts w:ascii="Times New Roman" w:cs="Times New Roman" w:eastAsia="Times New Roman" w:hAnsi="Times New Roman"/>
          <w:sz w:val="18"/>
          <w:szCs w:val="18"/>
          <w:color w:val="auto"/>
        </w:rPr>
      </w:pPr>
    </w:p>
    <w:p>
      <w:pPr>
        <w:ind w:left="1020" w:right="120" w:hanging="503"/>
        <w:spacing w:after="0" w:line="239"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payers,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and regulations that require drug manufacturers to file reports relating to pricing and marketing information or which require tracking gifts and other remuneration and items of value provided to physicians, other healthcare providers and entities.</w:t>
      </w:r>
    </w:p>
    <w:p>
      <w:pPr>
        <w:spacing w:after="0" w:line="146"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We may also be subject to additional regulation in the conduct of our business. For example, we may be subject to 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136"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Ensuring that our internal operations and business arrangements with third parties comply with applicable healthcare laws and regulations could involve substantial costs. It is possible that governmental authorities will conclude that our business practices</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49" w:right="419" w:bottom="1440" w:gutter="0" w:footer="0" w:header="0"/>
        </w:sectPr>
      </w:pPr>
    </w:p>
    <w:bookmarkStart w:id="50" w:name="page51"/>
    <w:bookmarkEnd w:id="50"/>
    <w:p>
      <w:pPr>
        <w:spacing w:after="0" w:line="238" w:lineRule="auto"/>
        <w:rPr>
          <w:sz w:val="20"/>
          <w:szCs w:val="20"/>
          <w:color w:val="auto"/>
        </w:rPr>
      </w:pPr>
      <w:r>
        <w:rPr>
          <w:rFonts w:ascii="Arial" w:cs="Arial" w:eastAsia="Arial" w:hAnsi="Arial"/>
          <w:sz w:val="18"/>
          <w:szCs w:val="18"/>
          <w:color w:val="auto"/>
        </w:rPr>
        <w:t>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not to be in compliance with applicable laws, they may be subject to significant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144"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b w:val="1"/>
          <w:bCs w:val="1"/>
          <w:i w:val="1"/>
          <w:iCs w:val="1"/>
          <w:color w:val="auto"/>
        </w:rPr>
        <w:t>Enacted and future legislation and healthcare reform measures may increase the difficulty, cost and uncertainty for us of commercializing vonoprazan and any future product candidates and may adversely affect pricing, reimbursement and patient access.</w:t>
      </w:r>
    </w:p>
    <w:p>
      <w:pPr>
        <w:spacing w:after="0" w:line="119"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and proposed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49"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For example, in March 2010, the Patient Protection and Affordable Care Act, the Affordable Care Act, was enacted in the United States, which substantially changed the way healthcare is financed by both governmental and private insurers, and significantly affected the pharmaceutical industry. Among other things, the Affordable Care Act includes:</w:t>
      </w:r>
    </w:p>
    <w:p>
      <w:pPr>
        <w:spacing w:after="0" w:line="61" w:lineRule="exact"/>
        <w:rPr>
          <w:sz w:val="20"/>
          <w:szCs w:val="20"/>
          <w:color w:val="auto"/>
        </w:rPr>
      </w:pPr>
    </w:p>
    <w:p>
      <w:pPr>
        <w:ind w:left="1020" w:right="16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which is apportioned among these entities according to their market share in certain government healthcare programs;</w:t>
      </w:r>
    </w:p>
    <w:p>
      <w:pPr>
        <w:spacing w:after="0" w:line="46"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AMP for branded and generic drugs, respectively;</w:t>
      </w:r>
    </w:p>
    <w:p>
      <w:pPr>
        <w:spacing w:after="0" w:line="4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46" w:lineRule="exact"/>
        <w:rPr>
          <w:rFonts w:ascii="Times New Roman" w:cs="Times New Roman" w:eastAsia="Times New Roman" w:hAnsi="Times New Roman"/>
          <w:sz w:val="18"/>
          <w:szCs w:val="18"/>
          <w:color w:val="auto"/>
        </w:rPr>
      </w:pPr>
    </w:p>
    <w:p>
      <w:pPr>
        <w:ind w:left="1020" w:right="76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an extension of a manufacturers’ Medicaid rebate liability to covered drugs dispensed to individuals who are enrolled in Medicaid managed care organizations;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the entities eligible for discounts under the 340B drug pharmaceutical pricing program;</w:t>
      </w:r>
    </w:p>
    <w:p>
      <w:pPr>
        <w:spacing w:after="0" w:line="116" w:lineRule="exact"/>
        <w:rPr>
          <w:rFonts w:ascii="Times New Roman" w:cs="Times New Roman" w:eastAsia="Times New Roman" w:hAnsi="Times New Roman"/>
          <w:sz w:val="18"/>
          <w:szCs w:val="18"/>
          <w:color w:val="auto"/>
        </w:rPr>
      </w:pPr>
    </w:p>
    <w:p>
      <w:pPr>
        <w:ind w:left="1020" w:right="8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46" w:lineRule="exact"/>
        <w:rPr>
          <w:rFonts w:ascii="Times New Roman" w:cs="Times New Roman" w:eastAsia="Times New Roman" w:hAnsi="Times New Roman"/>
          <w:sz w:val="18"/>
          <w:szCs w:val="18"/>
          <w:color w:val="auto"/>
        </w:rPr>
      </w:pPr>
    </w:p>
    <w:p>
      <w:pPr>
        <w:ind w:left="1020" w:right="50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of a Center for Medicare Innovation at CMS to test innovative payment and service delivery models to lower Medicare and Medicaid spending, potentially including prescription drug spending.</w:t>
      </w:r>
    </w:p>
    <w:p>
      <w:pPr>
        <w:spacing w:after="0" w:line="114" w:lineRule="exact"/>
        <w:rPr>
          <w:sz w:val="20"/>
          <w:szCs w:val="20"/>
          <w:color w:val="auto"/>
        </w:rPr>
      </w:pPr>
    </w:p>
    <w:p>
      <w:pPr>
        <w:ind w:right="80" w:firstLine="509"/>
        <w:spacing w:after="0" w:line="261" w:lineRule="auto"/>
        <w:rPr>
          <w:sz w:val="20"/>
          <w:szCs w:val="20"/>
          <w:color w:val="auto"/>
        </w:rPr>
      </w:pPr>
      <w:r>
        <w:rPr>
          <w:rFonts w:ascii="Arial" w:cs="Arial" w:eastAsia="Arial" w:hAnsi="Arial"/>
          <w:sz w:val="17"/>
          <w:szCs w:val="17"/>
          <w:color w:val="auto"/>
        </w:rPr>
        <w:t>While the Affordable Care Act remains in effect, more recent federal and state initiatives, including drug pricing reform, reimbursement constraints and coverage management tools, may have a more direct impact on the commercialization of branded pharmaceutical products such as vonoprazan. Since its enactment, there have been judicial and political challenges to certain aspects of the Affordable Care Act. On June 17, 2021, the U.S. Supreme Court dismissed the most recent judicial challenge to the Affordable Care Act without specifically ruling on the constitutionality of the Affordable Care Act. Thus, the Affordable Care Act remains in effect in its current form.</w:t>
      </w:r>
    </w:p>
    <w:p>
      <w:pPr>
        <w:spacing w:after="0" w:line="125"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For example, beginning April 1, 2013, Medicare payments to providers were reduced under the sequestration required by the Budget Control Act of 2011, which will remain in effect through 2032, unless additional Congressional action is taken. Additionally, 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51" w:name="page52"/>
    <w:bookmarkEnd w:id="51"/>
    <w:p>
      <w:pPr>
        <w:ind w:right="80"/>
        <w:spacing w:after="0" w:line="244" w:lineRule="auto"/>
        <w:rPr>
          <w:sz w:val="20"/>
          <w:szCs w:val="20"/>
          <w:color w:val="auto"/>
        </w:rPr>
      </w:pPr>
      <w:r>
        <w:rPr>
          <w:rFonts w:ascii="Arial" w:cs="Arial" w:eastAsia="Arial" w:hAnsi="Arial"/>
          <w:sz w:val="18"/>
          <w:szCs w:val="18"/>
          <w:color w:val="auto"/>
        </w:rPr>
        <w:t>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eliminated the statutory cap on manufacturers' Medicaid drug rebate liability, beginning January 1, 2024. Previously, the rebate was capped at 100% of a drug’s AMP.</w:t>
      </w:r>
    </w:p>
    <w:p>
      <w:pPr>
        <w:spacing w:after="0" w:line="136"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At the federal level,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33" w:lineRule="exact"/>
        <w:rPr>
          <w:sz w:val="20"/>
          <w:szCs w:val="20"/>
          <w:color w:val="auto"/>
        </w:rPr>
      </w:pPr>
    </w:p>
    <w:p>
      <w:pPr>
        <w:ind w:right="20" w:firstLine="469"/>
        <w:spacing w:after="0" w:line="238" w:lineRule="auto"/>
        <w:rPr>
          <w:sz w:val="20"/>
          <w:szCs w:val="20"/>
          <w:color w:val="auto"/>
        </w:rPr>
      </w:pPr>
      <w:r>
        <w:rPr>
          <w:rFonts w:ascii="Arial" w:cs="Arial" w:eastAsia="Arial" w:hAnsi="Arial"/>
          <w:sz w:val="18"/>
          <w:szCs w:val="18"/>
          <w:color w:val="auto"/>
        </w:rPr>
        <w:t>On August 16, 2022, the Inflation Reduction Act of 2022, or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replaced the Part D coverage gap discount program with a new discounting program (which began in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CMS has published the negotiated prices for the initial ten drugs, which went into effect in 2026, and the subsequent 15 drugs, which will first be effective in 2027, as well as the next set of 15 drugs that will be subject to negotiation, although program is currently subject to legal challenges. The impact of the IRA on the pharmaceutical industry cannot yet be fully determined, but is likely to be significant. The likelihood of implementation of these and other reform initiatives is uncertain. Even if our products are not selected for negotiation, the IRA may indirectly affect our business by influencing payer formulary decisions, coverage restrictions, utilization management practices and pricing expectations for branded drugs. In the coming years, additional legislative and regulatory changes could be made to governmental health programs that could significantly impact pharmaceutical companies and the success of our product candidates.</w:t>
      </w:r>
    </w:p>
    <w:p>
      <w:pPr>
        <w:spacing w:after="0" w:line="153" w:lineRule="exact"/>
        <w:rPr>
          <w:sz w:val="20"/>
          <w:szCs w:val="20"/>
          <w:color w:val="auto"/>
        </w:rPr>
      </w:pPr>
    </w:p>
    <w:p>
      <w:pPr>
        <w:jc w:val="both"/>
        <w:ind w:right="60" w:firstLine="469"/>
        <w:spacing w:after="0" w:line="247" w:lineRule="auto"/>
        <w:rPr>
          <w:sz w:val="20"/>
          <w:szCs w:val="20"/>
          <w:color w:val="auto"/>
        </w:rPr>
      </w:pPr>
      <w:r>
        <w:rPr>
          <w:rFonts w:ascii="Arial" w:cs="Arial" w:eastAsia="Arial" w:hAnsi="Arial"/>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VOQUEZNA, VOQUEZNA TRIPLE PAK and VOQUEZNA DUAL PAK or any other product candidate that we commercialize.</w:t>
      </w:r>
    </w:p>
    <w:p>
      <w:pPr>
        <w:spacing w:after="0" w:line="174" w:lineRule="exact"/>
        <w:rPr>
          <w:sz w:val="20"/>
          <w:szCs w:val="20"/>
          <w:color w:val="auto"/>
        </w:rPr>
      </w:pPr>
    </w:p>
    <w:p>
      <w:pPr>
        <w:ind w:right="100" w:firstLine="469"/>
        <w:spacing w:after="0" w:line="238" w:lineRule="auto"/>
        <w:rPr>
          <w:sz w:val="20"/>
          <w:szCs w:val="20"/>
          <w:color w:val="auto"/>
        </w:rPr>
      </w:pPr>
      <w:r>
        <w:rPr>
          <w:rFonts w:ascii="Arial" w:cs="Arial" w:eastAsia="Arial" w:hAnsi="Arial"/>
          <w:sz w:val="18"/>
          <w:szCs w:val="18"/>
          <w:color w:val="auto"/>
        </w:rPr>
        <w:t>The Trump administration is pursuing a two-fold strategy to reduce drug costs in the U.S.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The Trump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183"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or impose additional administrative burdens that could delay access or complicate commercialization.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 party payers and governmental authorities in reference pricing systems and publication of discounts and list prices. These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52" w:name="page53"/>
    <w:bookmarkEnd w:id="52"/>
    <w:p>
      <w:pPr>
        <w:ind w:right="320"/>
        <w:spacing w:after="0" w:line="271" w:lineRule="auto"/>
        <w:rPr>
          <w:sz w:val="20"/>
          <w:szCs w:val="20"/>
          <w:color w:val="auto"/>
        </w:rPr>
      </w:pPr>
      <w:r>
        <w:rPr>
          <w:rFonts w:ascii="Arial" w:cs="Arial" w:eastAsia="Arial" w:hAnsi="Arial"/>
          <w:sz w:val="18"/>
          <w:szCs w:val="18"/>
          <w:color w:val="auto"/>
        </w:rPr>
        <w:t>reforms could reduce the ultimate demand for vonoprazan and any future product candidates, if approved, or put pressure on our product pricing, which could negatively affect our business, results of operations, financial condition and prospects.</w:t>
      </w:r>
    </w:p>
    <w:p>
      <w:pPr>
        <w:spacing w:after="0" w:line="11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expect that these healthcare reform measures that may be adopted in the future may result in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payers. The implementation of cost containment measures or other healthcare reforms may prevent us from being able to generate revenue, attain profitability or commercialize vonoprazan and any future product candidates, if approved. Any reduction in reimbursement from Medicare or other government programs may result in a similar reduction in payments from private payers, limit patient access, reduce prescribing or require additional discounts, any of which could materially adversely affect our ability to generate revenue, achieve or maintain profitability and successfully commercialize vonoprazan and any future products.</w:t>
      </w:r>
    </w:p>
    <w:p>
      <w:pPr>
        <w:spacing w:after="0" w:line="142"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 consuming or costly.</w:t>
      </w:r>
    </w:p>
    <w:p>
      <w:pPr>
        <w:spacing w:after="0" w:line="11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and any of our third-party manufacturers or suppliers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w:t>
      </w:r>
    </w:p>
    <w:p>
      <w:pPr>
        <w:spacing w:after="0" w:line="13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Although we maintain workers’ compensation insurance for certain costs and expenses, we may incur due to injuries to our employees resulting from the use of hazardous materials or other work-related injuries, and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33" w:lineRule="exact"/>
        <w:rPr>
          <w:sz w:val="20"/>
          <w:szCs w:val="20"/>
          <w:color w:val="auto"/>
        </w:rPr>
      </w:pPr>
    </w:p>
    <w:p>
      <w:pPr>
        <w:ind w:right="220" w:firstLine="509"/>
        <w:spacing w:after="0" w:line="26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34"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U.S. legislation, sanctions, trade restrictions and other foreign regulatory requirements could adversely impact the supply of material from foreign CROs and CMOs to us or our ability to secure government commitments to purchase potential therapies.</w:t>
      </w:r>
    </w:p>
    <w:p>
      <w:pPr>
        <w:spacing w:after="0" w:line="99" w:lineRule="exact"/>
        <w:rPr>
          <w:sz w:val="20"/>
          <w:szCs w:val="20"/>
          <w:color w:val="auto"/>
        </w:rPr>
      </w:pPr>
    </w:p>
    <w:p>
      <w:pPr>
        <w:ind w:right="100" w:firstLine="509"/>
        <w:spacing w:after="0" w:line="252" w:lineRule="auto"/>
        <w:rPr>
          <w:sz w:val="20"/>
          <w:szCs w:val="20"/>
          <w:color w:val="auto"/>
        </w:rPr>
      </w:pPr>
      <w:r>
        <w:rPr>
          <w:rFonts w:ascii="Arial" w:cs="Arial" w:eastAsia="Arial" w:hAnsi="Arial"/>
          <w:sz w:val="17"/>
          <w:szCs w:val="17"/>
          <w:color w:val="auto"/>
        </w:rPr>
        <w:t>We currently and may in the future rely on foreign CROs and CMOs, such as Evonik based in Germany and Sandoz based in Austria. Such foreign CROs and CMOs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potential therapies. For example, members of the U.S. Congress have introduced bills aimed at commercial supply of pharmaceutical products and the Trump Administration has announced tariffs on certain industries, such as steel and aluminum imports, and the intent to impose additional tariffs for other industries or countries. If these bills become law, or similar laws are passed, or if sanctions applicable to our commercial supply chain are imposed, they would have the potential to severely increase our costs or we may be required to shift manufacturing to other third parties which could be costly and cause supply disruptions which could adversely impact our operations. In addition, 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carveouts for manufacture of drugs for supply under Medicaid and Medicare Part B, subject to the Secretary of Veteran Affairs’ discretion, the impact of the U.S. BIOSECURE Act on the biotechnology industry is uncertain. If the foreign CROs and CMOs we rely on become subject to trade restrictions, sanctions, increased tariffs or other regulatory requirements by the U.S. government (including designation as a “biotechnology company of concern” under the U.S. BIOSECURE Act), or if the U.S. or Chinese or other foreign governments take retaliatory actions due to recent or increased tensions between the U.S. and China or other countries,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w:t>
      </w:r>
    </w:p>
    <w:p>
      <w:pPr>
        <w:spacing w:after="0" w:line="349" w:lineRule="exact"/>
        <w:rPr>
          <w:sz w:val="20"/>
          <w:szCs w:val="20"/>
          <w:color w:val="auto"/>
        </w:rPr>
      </w:pPr>
    </w:p>
    <w:p>
      <w:pPr>
        <w:ind w:right="1480"/>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products.</w:t>
      </w:r>
    </w:p>
    <w:p>
      <w:pPr>
        <w:spacing w:after="0" w:line="9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are exposed to potential product liability risks that are inherent in the development, manufacturing, marketing, and use of pharmaceutical products. The current and future sale and use of VOQUEZNA, VOQUEZNA DUAL PAK and VOQUEZNA TRIPLE PAK, and any other approved products in the future, and the use of product candidates by us in clinical trials, may expose us to liability claims. These claims might be made by patients that use the product, healthcare providers, distributors, pharmaceutical companies, or others selling such products. Any claims against us, regardless of their merit, could be difficult and costly to defend or settle, and could compromise the market acceptance and commercialization of our products, and, if approved, our future product candidates, and could negatively impair our results of operations and prospects.</w:t>
      </w:r>
    </w:p>
    <w:p>
      <w:pPr>
        <w:spacing w:after="0" w:line="15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Although the clinical trial process and post-marketing surveillance are designed to identify and characterize potential side effects, it is possible that a drug, including an approved product, may be associated with adverse events that were not observed during clinical development or that occur at a greater frequency or severity in broader patient populations or with longer-term use. While VOQUEZNA, VOQUEZNA DUAL PAK and VOQUEZNA TRIPLE PAK have been approved and have been evaluated in clinical trials, additional adverse events or safety signals may be identified through continued clinical experience, post-marketing surveillance or real-world use. If our products or any future product candidates are associated with serious or unexpected adverse events, we could be subject to product liability claims, regulatory actions, labeling changes, additional post-marketing study requirements, restrictions on use, or other actions that could limit or delay commercialization. In addition, physicians and patients may not comply with prescribing information, contraindications or warnings, including limitations on patient populations for whom use may be appropriate, which could increase the risk of adverse events and potential liability.</w:t>
      </w:r>
    </w:p>
    <w:p>
      <w:pPr>
        <w:spacing w:after="0" w:line="139"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61"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our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costs to defend the related litigation;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diversion of management’s time and our resources;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trial participants or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negative financial impact;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our current products and any future product candidates;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stock price.</w:t>
      </w:r>
    </w:p>
    <w:p>
      <w:pPr>
        <w:spacing w:after="0" w:line="184"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54" w:name="page55"/>
    <w:bookmarkEnd w:id="54"/>
    <w:p>
      <w:pPr>
        <w:jc w:val="both"/>
        <w:ind w:right="540"/>
        <w:spacing w:after="0" w:line="253" w:lineRule="auto"/>
        <w:rPr>
          <w:sz w:val="20"/>
          <w:szCs w:val="20"/>
          <w:color w:val="auto"/>
        </w:rPr>
      </w:pPr>
      <w:r>
        <w:rPr>
          <w:rFonts w:ascii="Arial" w:cs="Arial" w:eastAsia="Arial" w:hAnsi="Arial"/>
          <w:sz w:val="18"/>
          <w:szCs w:val="18"/>
          <w:color w:val="auto"/>
        </w:rPr>
        <w:t>coverage limitations or that are not covered by our insurance, and we may not have, or be able to obtain, sufficient capital to pay such amounts in which case our business operations could be impaired. Moreover, in the future, we may not be able to maintain insurance coverage at a reasonable cost or in sufficient amounts to protect us against losses.</w:t>
      </w:r>
    </w:p>
    <w:p>
      <w:pPr>
        <w:spacing w:after="0" w:line="130"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and others are subject to ongoing adverse event reporting obligations for our approved products and any failure to comply with these requirements could result in regulatory action that would materially harm our business.</w:t>
      </w:r>
    </w:p>
    <w:p>
      <w:pPr>
        <w:spacing w:after="0" w:line="9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FDA and comparable foreign regulatory authorities require us, Takeda (with respect to products containing vonoprazan) and any of our potential future collaborators, to collect, monitor and report certain information about adverse medical events associated with our approved products. These reporting obligations are subject to detailed regulatory requirements, including strict timelines that are generally triggered by when we or such third parties become aware of an adverse event and the nature and seriousness of the event. We plan to rely, in part, on third parties, including Takeda and any future collaborators, vendors or contract research organizations, to comply with these adverse event reporting requirements. Any failure by us or such third parties to accurately or timely report adverse events, or to maintain adequate pharmacovigilance systems and processes, could result in regulatory actions by the FDA or other regulatory authorities. Such actions may include warning letters, civil monetary penalties, seizure of products, requirements to modify labeling or conduct additional post-marketing studies, restrictions on commercialization, delays in approval of product candidates or, in severe cases, criminal prosecution. Any such actions could materially harm our business, financial condition, results of operations and prospects.</w:t>
      </w:r>
    </w:p>
    <w:p>
      <w:pPr>
        <w:spacing w:after="0" w:line="15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i w:val="1"/>
          <w:iCs w:val="1"/>
          <w:color w:val="auto"/>
        </w:rPr>
        <w:t>Compliance with applicable data protection, privacy and security laws, regulations, standards and other requirements involves significant expenditure and resources, and any actual or perceived failures by us, our partners or vendors to comply could adversely affect our business, results of operations, and financial condition.</w:t>
      </w:r>
    </w:p>
    <w:p>
      <w:pPr>
        <w:spacing w:after="0" w:line="119"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federal, state and foreign laws, regulations, standards and other requirements governing the collection, use, disclosure, retention, security and other processing of personal data, such as information that we may collect in connection with our marketing and sales activities in the U.S. and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share and otherwise process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regulations or standards, our internal policies and procedures or our contracts relating to privacy, security or our processing of personal information could result in negative publicity, government investigations and enforcement actions, claims by third parties, material penalties, significant legal liability, changes in how we operate and damage to our reputation, any of which could have a material adverse effect on our operations, financial performance and business.</w:t>
      </w:r>
    </w:p>
    <w:p>
      <w:pPr>
        <w:spacing w:after="0" w:line="14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may become subject to or affected by new or additional data protection, privacy and security laws, regulations, standards and other requirements, and face increased scrutiny or attention from regulatory authorities. For instance, we may obtain health information from third parties, such as research institutions with which we collaborate, that are subject to privacy and security requirements under HIPAA. Although we do not believe that we are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Certain states have also adopted comprehensive and health-specific privacy and security laws and regulations, some of which may be more stringent than HIPAA. Such laws and regulations are subject to interpretation by various courts and other governmental authorities, thus creating potentially complex compliance issues for us and our future customers and future potential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Similar laws have passed in other states, reflecting a trend toward more stringent regulation in the United States of the collection, use, disclosure and other processing of personal information. The enactment of such laws creates the potential for a patchwork of overlapping, but different and potentially conflicting, requirements. As such compliance with applicable laws may be challenging and may involve significant</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9" w:right="399" w:bottom="1440" w:gutter="0" w:footer="0" w:header="0"/>
        </w:sectPr>
      </w:pPr>
    </w:p>
    <w:bookmarkStart w:id="55" w:name="page56"/>
    <w:bookmarkEnd w:id="55"/>
    <w:p>
      <w:pPr>
        <w:ind w:right="780"/>
        <w:spacing w:after="0" w:line="271" w:lineRule="auto"/>
        <w:rPr>
          <w:sz w:val="20"/>
          <w:szCs w:val="20"/>
          <w:color w:val="auto"/>
        </w:rPr>
      </w:pPr>
      <w:r>
        <w:rPr>
          <w:rFonts w:ascii="Arial" w:cs="Arial" w:eastAsia="Arial" w:hAnsi="Arial"/>
          <w:sz w:val="18"/>
          <w:szCs w:val="18"/>
          <w:color w:val="auto"/>
        </w:rPr>
        <w:t>expenditure and resources. Any failure or perceived failure to comply with the requirements of these laws could adversely affect our business, results of operations and financial condition.</w:t>
      </w:r>
    </w:p>
    <w:p>
      <w:pPr>
        <w:spacing w:after="0" w:line="113"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Furthermore, the FTC and many state Attorneys General continue to enforce federal and state consumer protection laws against companies for online collection, use, dissemination and security practices that appear to be unfair or deceptive. The FTC expects a company’s cybersecurity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3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Given our past sponsorship of clinical trials at sites in Europe and the possibility of future activities, we are also subject to GDPR which impose comprehensive data privacy compliance obligations in relation to processing the personal data of individuals within the EEA and UK. Companies that must comply with the GDPR face increased compliance obligations and risk, including more robust regulatory enforcement of data protection requirements and potential fines for noncompliance of up to €20 million / GBP 17.5 million or up to 4% of the annual global revenues of the noncompliant company, whichever is greater.</w:t>
      </w:r>
    </w:p>
    <w:p>
      <w:pPr>
        <w:spacing w:after="0" w:line="14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In addition, the GDPR increases scrutiny of transfers of personal data from the EEA and the UK to the United States and other jurisdictions that the European Commission or UK government respectively, does not recognize as providing an “adequate” level of data protection. Case law from the Court of Justice of the European Union has raised questions regarding the sufficiency of certain transfer mechanisms, including standard contractual clauses, in particular circumstances and requires case-by-case assessments of cross-border transfers. The European Commission has adopted an adequacy decision for the EU-U.S. Data Privacy Framework, or DPF, and the United Kingdom has adopted a corresponding extension; however, the legal landscape governing international data transfers remains complex and subject to ongoing regulatory scrutiny and potential legal challenge. As a result, we expect uncertainty regarding international personal data transfers to continue. If applicable transfer mechanisms are invalidated, restricted or otherwise limited, or if we are unable to comply with evolving regulatory requirements, we could incur additional costs, face complaints, investigations or fines, be required to change vendors or operational practices, or be required to modify how and where we process personal data, any of which could adversely affect our business, financial condition and results of operations.</w:t>
      </w:r>
    </w:p>
    <w:p>
      <w:pPr>
        <w:spacing w:after="0" w:line="14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i w:val="1"/>
          <w:iCs w:val="1"/>
          <w:color w:val="auto"/>
        </w:rPr>
        <w:t>Our internal information systems, or those of any of our CROs, contract manufacturers, service providers, other contractors or consultants or potential future collaborators, may fail or suffer cybersecurity incidents or breaches, which could result in a material disruption of our product development programs.</w:t>
      </w:r>
    </w:p>
    <w:p>
      <w:pPr>
        <w:spacing w:after="0" w:line="11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rely on computer systems, hardware, software, technology infrastructure and online sites and networks for both internal and external operations that are critical to our business. We own and manage some of these IT Systems but also rely on third parties for a range of IT Systems and related products and services, including but not limited to cloud computing services. We and certain of our third-party providers collect, maintain and process data about customers, employees, business partners and others, including personally identifiable information, as well as proprietary information belonging to our business such as trade secrets. The United States federal and various state and foreign governments have adopted or proposed requirements regarding the collection, distribution, use, security, and storage of personally identifiable information and other data relating to individuals, and federal and state consumer protection laws are being applied to enforce regulations related to the online collection, use, and dissemination of data. Despite the implementation of cybersecurity measures, our internal information systems and those of our current and any future CROs, contract manufacturers, and other service providers, contractors, consultants and collaborators are vulnerable to numerous and evolving cybersecurity risks that threaten the confidentiality, integrity and availability of our information systems and confidential information, including 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malicious code embedded in open-source software, or misconfigurations, 'bugs' or other vulnerabilities in commercial software that is integrated into our (or our suppliers’ or service providers’) IT systems, products or services, alongside damage from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expertise, technique and tools</w:t>
      </w:r>
    </w:p>
    <w:p>
      <w:pPr>
        <w:ind w:right="40"/>
        <w:spacing w:after="0" w:line="237" w:lineRule="auto"/>
        <w:rPr>
          <w:sz w:val="20"/>
          <w:szCs w:val="20"/>
          <w:color w:val="auto"/>
        </w:rPr>
      </w:pPr>
      <w:r>
        <w:rPr>
          <w:rFonts w:ascii="Arial" w:cs="Arial" w:eastAsia="Arial" w:hAnsi="Arial"/>
          <w:sz w:val="18"/>
          <w:szCs w:val="18"/>
          <w:color w:val="auto"/>
        </w:rPr>
        <w:t>– including artificial intelligence – to circumvent security controls, evade detection and remove forensic evidence. We and certain of our third-party providers regularly experience cyberattacks and other incidents, and we expect such attacks and incidents to continue in varying degrees. For example, on February 22, 2024, UnitedHealth Group, or UHG, disclosed that a suspected nation-state associated cyber security threat actor had gained access to some of the information technology systems at Change Healthcare, one of UHG’s affiliates that provides numerous services to the healthcare industry such as payment systems, claims submission, benefits verification, and prior authorization. This breach, among other things, disrupted the processing of transactions under our patient co-pay assistance card program, and the ability of certain pharmacies to fill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56" w:name="page57"/>
    <w:bookmarkEnd w:id="56"/>
    <w:p>
      <w:pPr>
        <w:ind w:right="100"/>
        <w:spacing w:after="0" w:line="247" w:lineRule="auto"/>
        <w:rPr>
          <w:sz w:val="20"/>
          <w:szCs w:val="20"/>
          <w:color w:val="auto"/>
        </w:rPr>
      </w:pPr>
      <w:r>
        <w:rPr>
          <w:rFonts w:ascii="Arial" w:cs="Arial" w:eastAsia="Arial" w:hAnsi="Arial"/>
          <w:sz w:val="18"/>
          <w:szCs w:val="18"/>
          <w:color w:val="auto"/>
        </w:rPr>
        <w:t>prescriptions, including prescriptions for VOQUEZNA for a period of time. As a result, we were forced to make alternative arrangements in order to facilitate processing of patient co-pay assistance card program transactions. While the Change Healthcare-related disruption was limited in time, a similar incident in the future with Change Healthcare or other service providers could have a material adverse effect on our business and financial condition.</w:t>
      </w:r>
    </w:p>
    <w:p>
      <w:pPr>
        <w:spacing w:after="0" w:line="13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also face increased cybersecurity risks due to our reliance on internet technology and the increased number of our employees (and employees of our vendors, contractors and other organizations with whom we have formed strategic relationships) who are working remotely, which may create additional opportunities for threat actors to exploit vulnerabilities. Additionally, any integration of artificial intelligence in our or any third party’s operations, products or services is expected to pose new or unknown cybersecurity risks and challenges.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cybersecurity incidents or data breaches that may remain undetected for an extended period. If such an event were to occur and cause interruptions in our operations, result in the unauthorized access to, disclosure, loss, processing or other compromise of, personal information or individually identifiable health information (violating certain privacy laws such as GDPR) or confidential information, or jeopardize the confidentiality, integrity, or availability of our information systems or any information residing therein, it could result in a material disruption of our commercial operations, development programs and our business operations, whether due to a loss of our trade secrets or other similar disruptions. Some of the federal, state and foreign government requirements include obligations of companies to notify individuals of certain cybersecurity breaches involving particular personal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cybersecurity breach could impact our reputation, cause us to incur significant costs, including legal expenses, harm customer confidence, hurt our expansion into new markets, cause us to incur remediation costs, or cause us to lose existing customers. For example, the loss of clinical trial data from completed or future clinical trials could result in delays in our regulatory approval efforts and significantly increase our costs to recover or reproduce the data. We also rely on third parties to manufacture vonoprazan, and will rely on third parties to manufacture any future product candidates, and similar events relating to their computer systems could also have a material adverse effect on our business. There can be no assurance that our cybersecurity risk management program and processes, including our policies, controls or procedures, will be fully implemented, complied with or effective in protecting our information systems and personal or confidential information. To the extent that any disruption or cybersecurity incident were to jeopardize the confidentiality, integrity, or availability of our information systems, or result in a loss of, or damage to, our data or applications, or inappropriate disclosure of confidential or proprietary information, we could incur liability, the further development and commercialization of vonoprazan and any future product candidates could be delayed, and we could be subject to significant fines, legal claims or proceedings (including class actions), regulatory investigations, enforcement actions, and other penalties or liabilities for any noncompliance to certain privacy and cybersecurity laws. Further, our insurance coverage may not be sufficient to cover the financial, legal, business or reputational losses that may result from an interruption or breach of our systems.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the evolving regulatory framework for AI Technologies</w:t>
      </w:r>
    </w:p>
    <w:p>
      <w:pPr>
        <w:spacing w:after="0" w:line="183" w:lineRule="exact"/>
        <w:rPr>
          <w:sz w:val="20"/>
          <w:szCs w:val="20"/>
          <w:color w:val="auto"/>
        </w:rPr>
      </w:pPr>
    </w:p>
    <w:p>
      <w:pPr>
        <w:ind w:right="100" w:firstLine="609"/>
        <w:spacing w:after="0"/>
        <w:rPr>
          <w:sz w:val="20"/>
          <w:szCs w:val="20"/>
          <w:color w:val="auto"/>
        </w:rPr>
      </w:pPr>
      <w:r>
        <w:rPr>
          <w:rFonts w:ascii="Arial" w:cs="Arial" w:eastAsia="Arial" w:hAnsi="Arial"/>
          <w:sz w:val="18"/>
          <w:szCs w:val="18"/>
          <w:color w:val="auto"/>
        </w:rPr>
        <w:t>We use artificial intelligence, machine learning and automated decision-making technologies, or collectively, AI Technologies, in certain aspects of our business and may increase our investment in these capabilities over time. The development, implementation and oversight of AI Technologies involve significant risks, including the possibility that AI-generated analyses or recommendations may be inaccurate, incomplete, biased, based on data to which we do not have sufficient rights, or otherwise deficient. AI models may degrade in performance over time, be adversely affected by technical failures or cybersecurity threats, or require substantial resources to maintain and monitor. Our use of AI Technologies may also increase regulatory, data protection, cybersecurity, intellectual property and contractual risks, and may expose us to liability if such technologies are used improperly or in violation of applicable laws.</w:t>
      </w:r>
    </w:p>
    <w:p>
      <w:pPr>
        <w:spacing w:after="0" w:line="144"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color w:val="auto"/>
        </w:rPr>
        <w:t>The legal and regulatory landscape governing AI Technologies is rapidly evolving at the federal, state and international levels, and existing laws may be interpreted in ways that affect our use of these technologies. Compliance with new or changing requirements may require us to modify our practices, incur significant costs, or limit our use of AI Technologies in certain</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57" w:name="page58"/>
    <w:bookmarkEnd w:id="57"/>
    <w:p>
      <w:pPr>
        <w:ind w:right="80"/>
        <w:spacing w:after="0" w:line="271" w:lineRule="auto"/>
        <w:rPr>
          <w:sz w:val="20"/>
          <w:szCs w:val="20"/>
          <w:color w:val="auto"/>
        </w:rPr>
      </w:pPr>
      <w:r>
        <w:rPr>
          <w:rFonts w:ascii="Arial" w:cs="Arial" w:eastAsia="Arial" w:hAnsi="Arial"/>
          <w:sz w:val="18"/>
          <w:szCs w:val="18"/>
          <w:color w:val="auto"/>
        </w:rPr>
        <w:t>jurisdictions. If we fail to appropriately manage the risks associated with AI Technologies or comply with applicable laws and regulations, our business, reputation, financial condition and results of operations could be adversely affected.</w:t>
      </w:r>
    </w:p>
    <w:p>
      <w:pPr>
        <w:spacing w:after="0" w:line="115"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Our employees and independent contractors, including consultants, vendor, principal investigators and CROs, may engage in misconduct or other improper activities, including noncompliance with regulatory standards and requirements.</w:t>
      </w:r>
    </w:p>
    <w:p>
      <w:pPr>
        <w:spacing w:after="0" w:line="9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are exposed to the risk that our employees and independent contractors, including consultants, vendors, principal investigators or CROs, may engage in misconduct or other illegal activity. Misconduct by these parties could include intentional, reckless or negligent conduct or other unauthorized activities that violate applicable laws or regulations, including: (i) the laws and regulations of the FDA and other similar regulatory bodies, (ii) manufacturing standards, including cGMP and similar requirements, (iii) federal and state healthcare, security, fraud and abuse laws, data privacy and cybersecurity laws, and (iv) laws and regulations requiring the true, complete and accurate reporting of financial information, pricing data or other required disclosures. Activities subject to these laws also involve the improper use or misrepresentation of information obtained in the course of commercial activities, patient access programs, reimbursement support, sales and marketing activities, or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U.S. federal healthcare programs or healthcare programs in other jurisdictions, integrity oversight and reporting obligations to resolve allegations of non-compliance, imprisonment, contractual damages, reputational harm, diminished profits and future earnings, and curtailment of our operations, any of which could adversely affect our ability to operate our business and our results of operations.</w:t>
      </w:r>
    </w:p>
    <w:p>
      <w:pPr>
        <w:spacing w:after="0" w:line="155"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spacing w:after="0" w:line="125"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have engaged, and may engage in the future, third parties for clinical trials outside of the United States, and may engage third parties to develop and, if approved, sell our products in the territories outside the United States to which we have rights,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7" w:lineRule="exact"/>
        <w:rPr>
          <w:sz w:val="20"/>
          <w:szCs w:val="20"/>
          <w:color w:val="auto"/>
        </w:rPr>
      </w:pPr>
    </w:p>
    <w:p>
      <w:pPr>
        <w:ind w:right="1040"/>
        <w:spacing w:after="0" w:line="278"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common stock, or the incurrence of</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58" w:name="page59"/>
    <w:bookmarkEnd w:id="58"/>
    <w:p>
      <w:pPr>
        <w:ind w:right="60"/>
        <w:spacing w:after="0" w:line="239" w:lineRule="auto"/>
        <w:rPr>
          <w:sz w:val="20"/>
          <w:szCs w:val="20"/>
          <w:color w:val="auto"/>
        </w:rPr>
      </w:pPr>
      <w:r>
        <w:rPr>
          <w:rFonts w:ascii="Arial" w:cs="Arial" w:eastAsia="Arial" w:hAnsi="Arial"/>
          <w:sz w:val="18"/>
          <w:szCs w:val="18"/>
          <w:color w:val="auto"/>
        </w:rPr>
        <w:t>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83"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approved products and any future product candidates, proprietary technologies and their uses as well as our ability to operate without infringing upon the proprietary rights of others. If we are unable to protect our intellectual property rights or if our intellectual property rights are inadequate for our approved products or any future product candidates, our competitive position could be harmed. We generally seek to protect our proprietary position by filing patent applications in the United States and abroad to the extent we believe such patent protection will be important to our business. We do not own any issued patents at this time. We currently own one pending patent application. We also seek to protect our proprietary position by acquiring or in-licensing relevant issued patents or pending patent applications from third parties. We have in-licensed from Takeda a number of United States, European, and Canadian patents and patent applications relating to the compound vonoprazan as well as the use and manufacture of vonoprazan products.</w:t>
      </w:r>
    </w:p>
    <w:p>
      <w:pPr>
        <w:spacing w:after="0" w:line="14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future patent applications or the patent applications of our current and future licensors will result in patents being issued or that issued patents will afford sufficient protection against competitors with similar technology, nor can there be any assurance that the patents if issued will not be infringed, designed around or invalidated by third parties.</w:t>
      </w:r>
    </w:p>
    <w:p>
      <w:pPr>
        <w:spacing w:after="0" w:line="136"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vonoprazan and any future product candidates could have a material adverse effect on our financial condition and results of operations.</w:t>
      </w:r>
    </w:p>
    <w:p>
      <w:pPr>
        <w:spacing w:after="0" w:line="149"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We cannot be certain that the claims in our licensor’s U.S. pending patent applications, corresponding international patent applications and patent applications in certain foreign countries will be considered patentable by the United States Patent and Trademark Office, or USPTO, courts in the United States or by the patent offices and courts in foreign countries, nor can we be certain that the claims in our licensor’s issued patents will not be found invalid or unenforceable if challenged.</w:t>
      </w:r>
    </w:p>
    <w:p>
      <w:pPr>
        <w:spacing w:after="0" w:line="133"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vonoprazan and any future product candidates by obtaining and defending patents. These risks and uncertainties include the following:</w:t>
      </w:r>
    </w:p>
    <w:p>
      <w:pPr>
        <w:spacing w:after="0" w:line="128" w:lineRule="exact"/>
        <w:rPr>
          <w:sz w:val="20"/>
          <w:szCs w:val="20"/>
          <w:color w:val="auto"/>
        </w:rPr>
      </w:pPr>
    </w:p>
    <w:p>
      <w:pPr>
        <w:ind w:left="900" w:right="40" w:hanging="383"/>
        <w:spacing w:after="0" w:line="252"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4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59" w:name="page60"/>
    <w:bookmarkEnd w:id="59"/>
    <w:p>
      <w:pPr>
        <w:ind w:left="900" w:right="600" w:hanging="383"/>
        <w:spacing w:after="0" w:line="270"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13" w:lineRule="exact"/>
        <w:rPr>
          <w:rFonts w:ascii="Times New Roman" w:cs="Times New Roman" w:eastAsia="Times New Roman" w:hAnsi="Times New Roman"/>
          <w:sz w:val="18"/>
          <w:szCs w:val="18"/>
          <w:color w:val="auto"/>
        </w:rPr>
      </w:pPr>
    </w:p>
    <w:p>
      <w:pPr>
        <w:ind w:left="900" w:right="140" w:hanging="383"/>
        <w:spacing w:after="0" w:line="252"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vonoprazan and any future product candidates;</w:t>
      </w:r>
    </w:p>
    <w:p>
      <w:pPr>
        <w:spacing w:after="0" w:line="130" w:lineRule="exact"/>
        <w:rPr>
          <w:rFonts w:ascii="Times New Roman" w:cs="Times New Roman" w:eastAsia="Times New Roman" w:hAnsi="Times New Roman"/>
          <w:sz w:val="18"/>
          <w:szCs w:val="18"/>
          <w:color w:val="auto"/>
        </w:rPr>
      </w:pPr>
    </w:p>
    <w:p>
      <w:pPr>
        <w:ind w:left="900" w:right="380" w:hanging="383"/>
        <w:spacing w:after="0" w:line="252"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43" w:lineRule="exact"/>
        <w:rPr>
          <w:rFonts w:ascii="Times New Roman" w:cs="Times New Roman" w:eastAsia="Times New Roman" w:hAnsi="Times New Roman"/>
          <w:sz w:val="18"/>
          <w:szCs w:val="18"/>
          <w:color w:val="auto"/>
        </w:rPr>
      </w:pPr>
    </w:p>
    <w:p>
      <w:pPr>
        <w:ind w:left="900" w:right="580" w:hanging="383"/>
        <w:spacing w:after="0" w:line="270"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1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patent prosecution process is also expensive and time consuming, and we and our licensor may not be able to file and prosecute all necessary or desirable patent applications at a reasonable cost or in a timely manner or in all jurisdictions where protection may be commercially advantageous. It is also possible that we and our licensor will fail to identify patentable aspects of our research and development output before it is too late to obtain patent protection. Moreover, in some circumstances such as under the Takeda License, we do not have the right to control the preparation, filing and prosecution of patent applications, or to maintain the patents, directed to technology that we license from third parties. We may also require the cooperation of our licensors in order to enforce the licensed patent rights, and such cooperation may not be provided. Therefore, these patents and applications may not be prosecuted and enforced in a manner consistent with the best interests of our business.</w:t>
      </w:r>
    </w:p>
    <w:p>
      <w:pPr>
        <w:spacing w:after="0" w:line="140"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49"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35"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including our rights in vonoprazan licensed from Takeda, or otherwise experience disruptions to our business relationships with our licensors, we could lose license rights that are important to our business.</w:t>
      </w:r>
    </w:p>
    <w:p>
      <w:pPr>
        <w:spacing w:after="0" w:line="11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are a party to the Takeda License under which we are granted rights to intellectual property that are important to our business and we may enter into additional license agreements in the future with other third parties. The Takeda License imposes, and we expect that any future license agreements where we in-license intellectual property, will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 Additionally, if a future license agreement includes a sublicense from a third party who is not the original licensor of the intellectual property at issue, then we must rely on our direct licensor to comply with its obligations under the primary license agreements under which such licensor obtained rights in the applicable intellectual property, where we may have no relationship with the original licensor of such rights. If such a licensor fails to comply with its obligations under its upstream license agreement, the original third-party licensor may have the right to terminate the original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any products and product candidates incorporating the relevant intellectual property.</w:t>
      </w:r>
    </w:p>
    <w:p>
      <w:pPr>
        <w:spacing w:after="0" w:line="153"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We may need to obtain further licenses from third parties to advance our research or continue commercialization of vonoprazan and any future product candidates, and we cannot provide any assurances that third-party patents do not exist which might be enforced against vonoprazan and any future product candidates in the absence of such a license. We may fail to obtain any</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60" w:name="page61"/>
    <w:bookmarkEnd w:id="60"/>
    <w:p>
      <w:pPr>
        <w:ind w:right="20"/>
        <w:spacing w:after="0" w:line="242" w:lineRule="auto"/>
        <w:rPr>
          <w:sz w:val="20"/>
          <w:szCs w:val="20"/>
          <w:color w:val="auto"/>
        </w:rPr>
      </w:pPr>
      <w:r>
        <w:rPr>
          <w:rFonts w:ascii="Arial" w:cs="Arial" w:eastAsia="Arial" w:hAnsi="Arial"/>
          <w:sz w:val="18"/>
          <w:szCs w:val="18"/>
          <w:color w:val="auto"/>
        </w:rPr>
        <w:t>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and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between us and our licensors regarding intellectual property subject to a license agreement, including:</w:t>
      </w:r>
    </w:p>
    <w:p>
      <w:pPr>
        <w:spacing w:after="0" w:line="153"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97" w:lineRule="exact"/>
        <w:rPr>
          <w:rFonts w:ascii="Times New Roman" w:cs="Times New Roman" w:eastAsia="Times New Roman" w:hAnsi="Times New Roman"/>
          <w:sz w:val="18"/>
          <w:szCs w:val="18"/>
          <w:color w:val="auto"/>
        </w:rPr>
      </w:pPr>
    </w:p>
    <w:p>
      <w:pPr>
        <w:ind w:left="900" w:right="20" w:hanging="383"/>
        <w:spacing w:after="0" w:line="270"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patents and other rights to third parties;</w:t>
      </w:r>
    </w:p>
    <w:p>
      <w:pPr>
        <w:spacing w:after="0" w:line="183"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vonoprazan and any future product candidates, and what activities satisfy those diligence obligations;</w:t>
      </w:r>
    </w:p>
    <w:p>
      <w:pPr>
        <w:spacing w:after="0" w:line="12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transfer or assign the license; and</w:t>
      </w:r>
    </w:p>
    <w:p>
      <w:pPr>
        <w:spacing w:after="0" w:line="183"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1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14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 with Takeda with respect to any licensed product, we may be required to wait for a certain period or until the occurrence of certain funding or development milestones.</w:t>
      </w:r>
    </w:p>
    <w:p>
      <w:pPr>
        <w:spacing w:after="0" w:line="1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If the scope of any patent protection or non-patent regulatory exclusivity we obtain is not sufficiently broad, or if we lose or fail to obtain any of our patent protection or non-patent regulatory exclusivity, our ability to prevent our competitors from commercializing similar or identical product candidates would be adversely affected.</w:t>
      </w:r>
    </w:p>
    <w:p>
      <w:pPr>
        <w:spacing w:after="0" w:line="11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in-licensed pending and future patent applications may not result in patents being issued which protect vonoprazan or any future product candidates or which effectively prevent others from commercializing competitive product candidates.</w:t>
      </w:r>
    </w:p>
    <w:p>
      <w:pPr>
        <w:spacing w:after="0" w:line="147"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in the future or license currently issue as patents, they may not issue in a form that will provide us with any meaningful protection, prevent competitors or other third parties from competing with us, or otherwise provide us with any competitive advantage. Any future patents that we own or license, now or in the future, may be challenged or circumvented by third parties or may be narrowed or invalidated as a result of challenges by third parties. Consequently, we do not know whether vonoprazan or any future product candidates will be protectable or remain protected by valid and enforceable patents. Our competitors or other third parties may be able to circumvent our future patents or the patents of our current and future licensors by developing similar or alternative technologies, processes, formulations or products in a non-infringing manner which could materially adversely affect our business, financial condition, results of operations and prospects.</w:t>
      </w:r>
    </w:p>
    <w:p>
      <w:pPr>
        <w:spacing w:after="0" w:line="14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future patents or the patents of our current and future licensors may not cover vonoprazan or any future product candidates or may be challenged in the</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61" w:name="page62"/>
    <w:bookmarkEnd w:id="61"/>
    <w:p>
      <w:pPr>
        <w:ind w:right="40"/>
        <w:spacing w:after="0" w:line="237" w:lineRule="auto"/>
        <w:rPr>
          <w:sz w:val="20"/>
          <w:szCs w:val="20"/>
          <w:color w:val="auto"/>
        </w:rPr>
      </w:pPr>
      <w:r>
        <w:rPr>
          <w:rFonts w:ascii="Arial" w:cs="Arial" w:eastAsia="Arial" w:hAnsi="Arial"/>
          <w:sz w:val="18"/>
          <w:szCs w:val="18"/>
          <w:color w:val="auto"/>
        </w:rPr>
        <w:t>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in-licensed patents and patent applications has been found. There is also no assurance that there is not prior art of which we, our predecessors or licensors are aware, but which we do not believe affects the validity or enforceability of a claim in our in-licensed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vonoprazan or any future product candidates and compete directly with us, without payment to us. It is possible that defects of form in the preparation or filing of our or our current and future licensors’ patents or patent applications may exist, or may arise in the future, for example with respect to proper priority claims, inventorship, claim scope, or requests for patent term adjustments. If there are material defects in the form, preparation, prosecution, or enforcement of our future patents or future patent applications or our current and future licensors’ patents or patent applications, such patents may be invalid and/or unenforceable, and such applications may never result in valid, enforceable patents.</w:t>
      </w:r>
    </w:p>
    <w:p>
      <w:pPr>
        <w:spacing w:after="0" w:line="14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Any loss of patent rights, loss of exclusivity or in patent claims being narrowed, invalidated or held unenforceable could limit our ability to stop others from using or commercializing similar or identical technology and products, or limit the duration of the patent protection of vonoprazan or any future product candidates, which could materially and adversely impact our business. Such proceedings also may result in substantial cost and require significant time from our scientists and management, even if the eventual outcome is favorable to us. In addition, if the breadth or strength of protection provided by our future patents and future patent applications or the patents and patent applications of our current and future licensors is threatened, regardless of the outcome, it could dissuade companies from collaborating with us to license, develop or commercialize vonoprazan or any future product candidates.</w:t>
      </w:r>
    </w:p>
    <w:p>
      <w:pPr>
        <w:spacing w:after="0" w:line="144" w:lineRule="exact"/>
        <w:rPr>
          <w:sz w:val="20"/>
          <w:szCs w:val="20"/>
          <w:color w:val="auto"/>
        </w:rPr>
      </w:pPr>
    </w:p>
    <w:p>
      <w:pPr>
        <w:ind w:right="160" w:firstLine="509"/>
        <w:spacing w:after="0" w:line="237" w:lineRule="auto"/>
        <w:rPr>
          <w:sz w:val="20"/>
          <w:szCs w:val="20"/>
          <w:color w:val="auto"/>
        </w:rPr>
      </w:pPr>
      <w:r>
        <w:rPr>
          <w:rFonts w:ascii="Arial" w:cs="Arial" w:eastAsia="Arial" w:hAnsi="Arial"/>
          <w:sz w:val="18"/>
          <w:szCs w:val="18"/>
          <w:color w:val="auto"/>
        </w:rPr>
        <w:t xml:space="preserve">In addition to patent exclusivity, the successful commercialization of our products also depends, in part, on our ability to obtain and maintain periods of non-patent regulatory exclusivity. In May 2021, the FDA granted qualified infectious disease product, or QIDP, designations to vonoprazan in combination with both amoxicillin capsules and clarithromycin tablets, and with amoxicillin capsules alone, respectively,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On May 3, 2022, the FDA approved our NDAs for these products, branded as VOQUEZNA TRIPLE PAK and VOQUEZNA DUAL PAK, respectively. Because these products contained the active moiety vonoprazan, which had not previously been approved, the approvals triggered the standard five-year period of NCE exclusivity. In addition, because the products were designated as QIDPs, that five-year NCE exclusivity period was extended by an additional five years pursuant to the GAIN Act, resulting in a total of ten years of NCE exclusivity through May 3, 2032. In November 2023, we received approval for VOQUEZNA tablets, which also contain vonoprazan. The FDA has interpreted NCE exclusivity to preclude FDA from accepting abbreviated new drug applications, or ANDAs, or certain new drug applications submitted under Section 505(b)(2) of the FDCA containing the same active moiety as the applicable approved active moiety. On June 16, 2025, we announced that, following our Citizen Petition, FDA updated the Orange Book listing for VOQUEZNA tablets, which contain the same active moiety as VOQUEZNA TRIPLE PAK and VOQUEZNA DUAL to reflect the same total ten-year period of NCE exclusivity, consisting of the standard five-year NCE exclusivity period plus the five-year GAIN Act extension, through May 3, 2032. Patent protections listed in the Orange Book are distinct from regulatory exclusivities and generally do not prevent the FDA from accepting ANDAs or 505(b)(2) NDAs, but may delay approval or result in litigation depending on the certifications made by the applicant.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vonoprazan or any future product candidates may be dependent on third parties.</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may rely on third parties to file and prosecute patent applications and maintain patents and otherwise protect the licensed intellectual property under certain current and future license agreements, such as the Takeda License. Under such arrangements, we may not have primary control over these activities for certain of licensed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In addition, our current and future licensors may not be fully cooperative or disagree with us as to the prosecution, maintenance or enforcement of any patent rights, which could compromise such patent rights. We may in the future enter into license agreements where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2" w:name="page63"/>
    <w:bookmarkEnd w:id="62"/>
    <w:p>
      <w:pPr>
        <w:ind w:right="40"/>
        <w:spacing w:after="0" w:line="242" w:lineRule="auto"/>
        <w:rPr>
          <w:sz w:val="20"/>
          <w:szCs w:val="20"/>
          <w:color w:val="auto"/>
        </w:rPr>
      </w:pPr>
      <w:r>
        <w:rPr>
          <w:rFonts w:ascii="Arial" w:cs="Arial" w:eastAsia="Arial" w:hAnsi="Arial"/>
          <w:sz w:val="18"/>
          <w:szCs w:val="18"/>
          <w:color w:val="auto"/>
        </w:rPr>
        <w:t>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our approved products or any future product candidates, our ability to develop and commercialize those product candidates may be adversely affected and we may not be able to prevent competitors from making, using and selling competing products.</w:t>
      </w:r>
    </w:p>
    <w:p>
      <w:pPr>
        <w:spacing w:after="0" w:line="138"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In addition, even where we have the right to control prosecution of patent applications or enforcement of patents we have acquired or licensed from third parties, we may still be adversely affected or prejudiced by actions or inactions of our predecessors or licensors and their counsel that took place prior to us assuming control over such activities.</w:t>
      </w:r>
    </w:p>
    <w:p>
      <w:pPr>
        <w:spacing w:after="0" w:line="12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Third parties may retain certain rights to the technology that they license to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For example, under the Takeda License, Takeda retained the rights to the inventions in all countries other than the United States, Europe, and Canada. Takeda also retained the right to develop certain drug products that contain vonoprazan where vonoprazan is not the only active pharmaceutical ingredient. It is difficult to monitor whether our predecessors or licensors limit their use of the technology to these uses, and we could incur substantial expenses to enforce our rights to our licensed technology in the event of misuse.</w:t>
      </w:r>
    </w:p>
    <w:p>
      <w:pPr>
        <w:spacing w:after="0" w:line="158"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our product candidate.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69"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7" w:lineRule="exact"/>
        <w:rPr>
          <w:sz w:val="20"/>
          <w:szCs w:val="20"/>
          <w:color w:val="auto"/>
        </w:rPr>
      </w:pPr>
    </w:p>
    <w:p>
      <w:pPr>
        <w:ind w:left="900" w:right="60" w:hanging="383"/>
        <w:spacing w:after="0" w:line="270"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develop products that are similar to VOQUEZNA or any future product candidates but that are not covered by the claims of the patents that we own in the future or license;</w:t>
      </w:r>
    </w:p>
    <w:p>
      <w:pPr>
        <w:spacing w:after="0" w:line="113" w:lineRule="exact"/>
        <w:rPr>
          <w:rFonts w:ascii="Times New Roman" w:cs="Times New Roman" w:eastAsia="Times New Roman" w:hAnsi="Times New Roman"/>
          <w:sz w:val="18"/>
          <w:szCs w:val="18"/>
          <w:color w:val="auto"/>
        </w:rPr>
      </w:pPr>
    </w:p>
    <w:p>
      <w:pPr>
        <w:ind w:left="900" w:hanging="383"/>
        <w:spacing w:after="0" w:line="270"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or our current and future licensors or predecessors might not have been the first to make the inventions covered by the issued patents or patent applications that we own in the future or license;</w:t>
      </w:r>
    </w:p>
    <w:p>
      <w:pPr>
        <w:spacing w:after="0" w:line="113" w:lineRule="exact"/>
        <w:rPr>
          <w:rFonts w:ascii="Times New Roman" w:cs="Times New Roman" w:eastAsia="Times New Roman" w:hAnsi="Times New Roman"/>
          <w:sz w:val="18"/>
          <w:szCs w:val="18"/>
          <w:color w:val="auto"/>
        </w:rPr>
      </w:pPr>
    </w:p>
    <w:p>
      <w:pPr>
        <w:ind w:left="900" w:right="100" w:hanging="383"/>
        <w:spacing w:after="0" w:line="270"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or our current and future licensors or predecessors might not have been the first to file patent applications covering certain of the claimed inventions;</w:t>
      </w:r>
    </w:p>
    <w:p>
      <w:pPr>
        <w:spacing w:after="0" w:line="127" w:lineRule="exact"/>
        <w:rPr>
          <w:rFonts w:ascii="Times New Roman" w:cs="Times New Roman" w:eastAsia="Times New Roman" w:hAnsi="Times New Roman"/>
          <w:sz w:val="18"/>
          <w:szCs w:val="18"/>
          <w:color w:val="auto"/>
        </w:rPr>
      </w:pPr>
    </w:p>
    <w:p>
      <w:pPr>
        <w:ind w:left="900" w:right="220" w:hanging="383"/>
        <w:spacing w:after="0" w:line="270"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83" w:lineRule="exact"/>
        <w:rPr>
          <w:rFonts w:ascii="Times New Roman" w:cs="Times New Roman" w:eastAsia="Times New Roman" w:hAnsi="Times New Roman"/>
          <w:sz w:val="18"/>
          <w:szCs w:val="18"/>
          <w:color w:val="auto"/>
        </w:rPr>
      </w:pPr>
    </w:p>
    <w:p>
      <w:pPr>
        <w:ind w:left="900" w:right="280" w:hanging="383"/>
        <w:spacing w:after="0" w:line="270"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own in the future or license may be held invalid or unenforceable, as a result of legal challenges by our competitors;</w:t>
      </w:r>
    </w:p>
    <w:p>
      <w:pPr>
        <w:spacing w:after="0" w:line="127" w:lineRule="exact"/>
        <w:rPr>
          <w:rFonts w:ascii="Times New Roman" w:cs="Times New Roman" w:eastAsia="Times New Roman" w:hAnsi="Times New Roman"/>
          <w:sz w:val="18"/>
          <w:szCs w:val="18"/>
          <w:color w:val="auto"/>
        </w:rPr>
      </w:pPr>
    </w:p>
    <w:p>
      <w:pPr>
        <w:ind w:left="900" w:right="40" w:hanging="383"/>
        <w:spacing w:after="0" w:line="270"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8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others may have an adverse effect on our business.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9" w:right="399" w:bottom="1440" w:gutter="0" w:footer="0" w:header="0"/>
        </w:sectPr>
      </w:pPr>
    </w:p>
    <w:bookmarkStart w:id="63" w:name="page64"/>
    <w:bookmarkEnd w:id="63"/>
    <w:p>
      <w:pPr>
        <w:ind w:right="120"/>
        <w:spacing w:after="0" w:line="256"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11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VOQUEZNA products and any future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 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VOQUEZNA products and any future product candidates.</w:t>
      </w:r>
    </w:p>
    <w:p>
      <w:pPr>
        <w:spacing w:after="0" w:line="13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the biopharmaceutical industry expands and more patents are issued, the risk increases that our VOQUEZNA products and any future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VOQUEZNA products and any future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VOQUEZNA products and any future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these patents. Any claims of patent infringement asserted by third parties would be time consuming and could:</w:t>
      </w:r>
    </w:p>
    <w:p>
      <w:pPr>
        <w:spacing w:after="0" w:line="153" w:lineRule="exact"/>
        <w:rPr>
          <w:sz w:val="20"/>
          <w:szCs w:val="20"/>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costly litigation that may cause negative publicity;</w:t>
      </w:r>
    </w:p>
    <w:p>
      <w:pPr>
        <w:spacing w:after="0" w:line="18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divert the time and attention of our technical personnel and management;</w:t>
      </w:r>
    </w:p>
    <w:p>
      <w:pPr>
        <w:spacing w:after="0" w:line="18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cause development delays;</w:t>
      </w:r>
    </w:p>
    <w:p>
      <w:pPr>
        <w:spacing w:after="0" w:line="197" w:lineRule="exact"/>
        <w:rPr>
          <w:rFonts w:ascii="Times New Roman" w:cs="Times New Roman" w:eastAsia="Times New Roman" w:hAnsi="Times New Roman"/>
          <w:sz w:val="18"/>
          <w:szCs w:val="18"/>
          <w:color w:val="auto"/>
        </w:rPr>
      </w:pPr>
    </w:p>
    <w:p>
      <w:pPr>
        <w:ind w:left="900" w:right="440" w:hanging="383"/>
        <w:spacing w:after="0" w:line="270"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continuing to commercialize, VOQUEZNA (and/or other approved products containing vonoprazan), and any future product candidates until the asserted patent expires or is held finally invalid or not infringed in a court of law;</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8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subject us to significant liability to third parties; or</w:t>
      </w:r>
    </w:p>
    <w:p>
      <w:pPr>
        <w:spacing w:after="0" w:line="197" w:lineRule="exact"/>
        <w:rPr>
          <w:rFonts w:ascii="Times New Roman" w:cs="Times New Roman" w:eastAsia="Times New Roman" w:hAnsi="Times New Roman"/>
          <w:sz w:val="18"/>
          <w:szCs w:val="18"/>
          <w:color w:val="auto"/>
        </w:rPr>
      </w:pPr>
    </w:p>
    <w:p>
      <w:pPr>
        <w:ind w:left="900" w:hanging="383"/>
        <w:spacing w:after="0" w:line="270"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14"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annual report, others may hold proprietary rights that could prevent our VOQUEZNA products and any future product candidates from being marketed.</w:t>
      </w:r>
    </w:p>
    <w:p>
      <w:pPr>
        <w:spacing w:after="0" w:line="11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Any patent-related legal action against us claiming damages and seeking to enjoin activities relating to our VOQUEZNA products and any future product candidates or processes could subject us to potential liability for damages, including treble damages if we were determined to willfully infringe, and require us to obtain a license to manufacture or market such products and any future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VOQUEZNA products and any future product candidates or processes to avoid infringement, if necessary. Accordingly, 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64" w:name="page65"/>
    <w:bookmarkEnd w:id="64"/>
    <w:p>
      <w:pPr>
        <w:ind w:right="600"/>
        <w:spacing w:after="0" w:line="253" w:lineRule="auto"/>
        <w:rPr>
          <w:sz w:val="20"/>
          <w:szCs w:val="20"/>
          <w:color w:val="auto"/>
        </w:rPr>
      </w:pPr>
      <w:r>
        <w:rPr>
          <w:rFonts w:ascii="Arial" w:cs="Arial" w:eastAsia="Arial" w:hAnsi="Arial"/>
          <w:sz w:val="18"/>
          <w:szCs w:val="18"/>
          <w:color w:val="auto"/>
        </w:rPr>
        <w:t>adverse determination in a judicial or administrative proceeding, or the failure to obtain necessary licenses, could prevent us from commercializing our VOQUEZNA products and any future product candidates, which could harm our business, financial condition and operating results.</w:t>
      </w:r>
    </w:p>
    <w:p>
      <w:pPr>
        <w:spacing w:after="0" w:line="128"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40"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current products and any future product candidates through acquisitions and in-licenses.</w:t>
      </w:r>
    </w:p>
    <w:p>
      <w:pPr>
        <w:spacing w:after="0" w:line="11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Because our development programs may in the future require the use of proprietary rights held by other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approved products and any future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We may be involved in lawsuits to protect or enforce our future patents or the patents of our current and future licensors, which could be expensive, time consuming and unsuccessful. Further, our future issued patents or the patents of our current and future licensors could be found invalid or unenforceable if challenged in court.</w:t>
      </w:r>
    </w:p>
    <w:p>
      <w:pPr>
        <w:spacing w:after="0" w:line="11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Competitors may infringe our intellectual property rights or those of our current and future licensors. To prevent infringement or unauthorized use, we and/or any such licensors may be required to file infringement claims, which can be expensive and time consuming. In addition, in a patent infringement proceeding, a court may decide that a patent we own or license is not valid, is unenforceable and/or is not infringed. If we or any of our current and future licensors were to initiate legal proceedings against a third party to enforce a patent directed at our VOQUEZNA products and any future product candidates, the defendant could counterclaim that our patent or the patent of our current or future licensor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53"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future patents and future patent applications or those of our current and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13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65" w:name="page66"/>
    <w:bookmarkEnd w:id="65"/>
    <w:p>
      <w:pPr>
        <w:ind w:right="280" w:firstLine="509"/>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30"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9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w:t>
      </w:r>
    </w:p>
    <w:p>
      <w:pPr>
        <w:spacing w:after="0" w:line="151"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99"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Derivation or interference proceedings provoked by third parties or brought by us or declared by the USPTO or similar proceedings in foreign patent offices may be necessary to determine the priority of inventions with respect to our future patents or future patent applications or those of our current and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commercial activities, clinical trials, license necessary technology from third parties or enter into development or manufacturing partnerships that would help us continue commercializing our current products and bring any future product candidates to market.</w:t>
      </w:r>
    </w:p>
    <w:p>
      <w:pPr>
        <w:spacing w:after="0" w:line="14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future patent applications or those of our current and future licensors and the enforcement or defense of our future issued patents or those of our current and future licensors.</w:t>
      </w:r>
    </w:p>
    <w:p>
      <w:pPr>
        <w:spacing w:after="0" w:line="132"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current and future licensors are the first to either (1) file any patent application related to VOQUEZNA and any future product candidates or (2) invent any of the inventions claimed in the patents or patent applications.</w:t>
      </w:r>
    </w:p>
    <w:p>
      <w:pPr>
        <w:spacing w:after="0" w:line="142"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36"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future patent applications or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6" w:name="page67"/>
    <w:bookmarkEnd w:id="66"/>
    <w:p>
      <w:pPr>
        <w:ind w:right="540"/>
        <w:spacing w:after="0" w:line="271" w:lineRule="auto"/>
        <w:rPr>
          <w:sz w:val="20"/>
          <w:szCs w:val="20"/>
          <w:color w:val="auto"/>
        </w:rPr>
      </w:pPr>
      <w:r>
        <w:rPr>
          <w:rFonts w:ascii="Arial" w:cs="Arial" w:eastAsia="Arial" w:hAnsi="Arial"/>
          <w:sz w:val="18"/>
          <w:szCs w:val="18"/>
          <w:color w:val="auto"/>
        </w:rPr>
        <w:t>those of our current and future licensors and the enforcement or defense of our future issued patents or those of our current and future licensors, all of which could have a material adverse effect on our business, financial condition, results of operations and prospects.</w:t>
      </w:r>
    </w:p>
    <w:p>
      <w:pPr>
        <w:spacing w:after="0" w:line="11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2012, the European patent “Unitary Patent” and Unified Patent Court, or UPC, framework was adopted to create a new court system for litigation involving European patents. The UPC began operating on June 1, 2023 and has become a common forum for challenging patents in the pharmaceutical space. The UPC provides a forum in which competitors may seek centralized revocation of our European patents and may seek injunctions with effect across multiple participating jurisdictions, which could adversely affect our business and our ability to commercialize our products. During a transitional period, actions concerning traditional European patents may be brought either before the UPC or national courts. Proprietors (or applicants) of certain European patents and applications may also elect to opt out of the UPC’s jurisdiction for the life of the patent, unless an action has already been brought before the UPC, but doing so could limit our ability to take advantage of the UPC system. If we do not meet the applicable procedural requirements for an effective opt-out, our European patents could remain subject to UPC jurisdiction.</w:t>
      </w:r>
    </w:p>
    <w:p>
      <w:pPr>
        <w:spacing w:after="0" w:line="14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current products and any future product candidates.</w:t>
      </w:r>
    </w:p>
    <w:p>
      <w:pPr>
        <w:spacing w:after="0" w:line="11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future patents or in third-party patents. In addition, Congress or other foreign legislative bodies may pass patent reform legislation that is unfavorable to us.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the existing licensed patents and the patents we might obtain or license in the future.</w:t>
      </w:r>
    </w:p>
    <w:p>
      <w:pPr>
        <w:spacing w:after="0" w:line="142"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future patents, the patents of our current and future licensors, or other intellectual property</w:t>
      </w:r>
      <w:r>
        <w:rPr>
          <w:rFonts w:ascii="Arial" w:cs="Arial" w:eastAsia="Arial" w:hAnsi="Arial"/>
          <w:sz w:val="18"/>
          <w:szCs w:val="18"/>
          <w:color w:val="auto"/>
        </w:rPr>
        <w:t>.</w:t>
      </w:r>
    </w:p>
    <w:p>
      <w:pPr>
        <w:spacing w:after="0" w:line="9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future patents, the patents of our current and future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151"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VOQUEZNA and any future product candidates for an adequate amount of time.</w:t>
      </w:r>
    </w:p>
    <w:p>
      <w:pPr>
        <w:spacing w:after="0" w:line="9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Although certain extensions or adjustments may be available, they are not guaranteed and may not be sufficient to meaningfully extend the commercial life of a patent. Even if patents covering our current products including VOQUEZNA and any future product candidates are obtained, once the patent life has expired, we may be open to competition from competitive products. Given the amount of time required for the development, testing and regulatory review of product candidates, patents protecting our current products and any future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any future product candidates, our business may be materially harmed.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7" w:name="page68"/>
    <w:bookmarkEnd w:id="67"/>
    <w:p>
      <w:pPr>
        <w:ind w:right="20" w:firstLine="509"/>
        <w:spacing w:after="0" w:line="237" w:lineRule="auto"/>
        <w:rPr>
          <w:sz w:val="20"/>
          <w:szCs w:val="20"/>
          <w:color w:val="auto"/>
        </w:rPr>
      </w:pPr>
      <w:r>
        <w:rPr>
          <w:rFonts w:ascii="Arial" w:cs="Arial" w:eastAsia="Arial" w:hAnsi="Arial"/>
          <w:sz w:val="18"/>
          <w:szCs w:val="18"/>
          <w:color w:val="auto"/>
        </w:rPr>
        <w:t xml:space="preserve">Based on the first marketing approval by the FDA for a product, the product may be eligible for limited patent term restoration under the Drug Price Competition and Patent Term Restoration Act of 1984, or the Hatch-Waxman Amendments. The Hatch- 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However, we may not be granted an extension because of, for example, failing to apply within applicable deadlines, failing to apply prior to expiration of relevant patents or otherwise failing to satisfy applicable requirements, or the government may disagree that the patent term extension should apply to a particular product.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 </w:t>
      </w:r>
      <w:r>
        <w:rPr>
          <w:rFonts w:ascii="Arial" w:cs="Arial" w:eastAsia="Arial" w:hAnsi="Arial"/>
          <w:sz w:val="18"/>
          <w:szCs w:val="18"/>
          <w:i w:val="1"/>
          <w:iCs w:val="1"/>
          <w:color w:val="auto"/>
        </w:rPr>
        <w:t>For more information regarding our patent term extensions for our patents, see</w:t>
      </w:r>
      <w:r>
        <w:rPr>
          <w:rFonts w:ascii="Arial" w:cs="Arial" w:eastAsia="Arial" w:hAnsi="Arial"/>
          <w:sz w:val="18"/>
          <w:szCs w:val="18"/>
          <w:color w:val="auto"/>
        </w:rPr>
        <w:t xml:space="preserve"> </w:t>
      </w:r>
      <w:r>
        <w:rPr>
          <w:rFonts w:ascii="Arial" w:cs="Arial" w:eastAsia="Arial" w:hAnsi="Arial"/>
          <w:sz w:val="18"/>
          <w:szCs w:val="18"/>
          <w:i w:val="1"/>
          <w:iCs w:val="1"/>
          <w:color w:val="auto"/>
        </w:rPr>
        <w:t>the section entitled “Business—Intellectual Property.”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our licensed territories.</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Although we have issued patents and pending patent applications in the United States and certain other countries in which we intend to commercialize our products, filing, prosecuting and defending patents in all relevant countries throughout our licensed territories could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approved products or any future product candidates, and our patents, the patents of our current and future licensors or other intellectual property rights may not be effective or sufficient to prevent them from competing.</w:t>
      </w:r>
    </w:p>
    <w:p>
      <w:pPr>
        <w:spacing w:after="0" w:line="15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intellectual property rights or marketing of competing products in violation of our proprietary rights. Proceedings to enforce our patent rights in foreign jurisdictions could result in substantial costs and divert our efforts and attention from other aspects of our business, could put our future patents or the patents of our current and future licensors at risk of being invalidated or interpreted narrowly and our future patent applications or the patent applications of our current and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3"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3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future patents and/or future applications and those of our current and future licensors. We have systems in place to remind us to pay these fees, and we rely on third parties to pay these fees when due. Additionally, the USPTO and various foreign patent offices require compliance with a</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68" w:name="page69"/>
    <w:bookmarkEnd w:id="68"/>
    <w:p>
      <w:pPr>
        <w:ind w:right="260"/>
        <w:spacing w:after="0" w:line="244" w:lineRule="auto"/>
        <w:rPr>
          <w:sz w:val="20"/>
          <w:szCs w:val="20"/>
          <w:color w:val="auto"/>
        </w:rPr>
      </w:pPr>
      <w:r>
        <w:rPr>
          <w:rFonts w:ascii="Arial" w:cs="Arial" w:eastAsia="Arial" w:hAnsi="Arial"/>
          <w:sz w:val="18"/>
          <w:szCs w:val="18"/>
          <w:color w:val="auto"/>
        </w:rPr>
        <w:t>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In addition, some courts inside and outside the United States are less willing or unwilling to protect trade secrets.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other countries.</w:t>
      </w:r>
    </w:p>
    <w:p>
      <w:pPr>
        <w:spacing w:after="0" w:line="15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cannot otherwise maintain the confidentiality of our proprietary technology and other confidential information, then our ability to protect our trade secret information may be jeopardized.</w:t>
      </w:r>
    </w:p>
    <w:p>
      <w:pPr>
        <w:spacing w:after="0" w:line="138"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9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our activities.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5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9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9" w:name="page70"/>
    <w:bookmarkEnd w:id="69"/>
    <w:p>
      <w:pPr>
        <w:ind w:right="200"/>
        <w:spacing w:after="0" w:line="271" w:lineRule="auto"/>
        <w:rPr>
          <w:sz w:val="20"/>
          <w:szCs w:val="20"/>
          <w:color w:val="auto"/>
        </w:rPr>
      </w:pPr>
      <w:r>
        <w:rPr>
          <w:rFonts w:ascii="Arial" w:cs="Arial" w:eastAsia="Arial" w:hAnsi="Arial"/>
          <w:sz w:val="18"/>
          <w:szCs w:val="18"/>
          <w:color w:val="auto"/>
        </w:rPr>
        <w:t>trade names, trade secrets, domain names, copyrights or other intellectual property may be ineffective and could result in substantial costs and diversion of resources and could adversely affect our financial condition or results of operations.</w:t>
      </w:r>
    </w:p>
    <w:p>
      <w:pPr>
        <w:spacing w:after="0" w:line="115"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Any collaboration arrangements that we have or may enter into in the future may not be successful, which could adversely affect our ability to develop and commercialize our products.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our collaboration arrangements will depend heavily on the efforts and activities of our collaborators and partners.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and partnerships are subject to numerous risks, which may include that:</w:t>
      </w:r>
    </w:p>
    <w:p>
      <w:pPr>
        <w:spacing w:after="0" w:line="167"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83" w:lineRule="exact"/>
        <w:rPr>
          <w:rFonts w:ascii="Times New Roman" w:cs="Times New Roman" w:eastAsia="Times New Roman" w:hAnsi="Times New Roman"/>
          <w:sz w:val="18"/>
          <w:szCs w:val="18"/>
          <w:color w:val="auto"/>
        </w:rPr>
      </w:pPr>
    </w:p>
    <w:p>
      <w:pPr>
        <w:ind w:left="900" w:hanging="383"/>
        <w:spacing w:after="0" w:line="246"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36" w:lineRule="exact"/>
        <w:rPr>
          <w:rFonts w:ascii="Times New Roman" w:cs="Times New Roman" w:eastAsia="Times New Roman" w:hAnsi="Times New Roman"/>
          <w:sz w:val="18"/>
          <w:szCs w:val="18"/>
          <w:color w:val="auto"/>
        </w:rPr>
      </w:pPr>
    </w:p>
    <w:p>
      <w:pPr>
        <w:ind w:left="900" w:right="520" w:hanging="383"/>
        <w:spacing w:after="0" w:line="270"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27" w:lineRule="exact"/>
        <w:rPr>
          <w:rFonts w:ascii="Times New Roman" w:cs="Times New Roman" w:eastAsia="Times New Roman" w:hAnsi="Times New Roman"/>
          <w:sz w:val="18"/>
          <w:szCs w:val="18"/>
          <w:color w:val="auto"/>
        </w:rPr>
      </w:pPr>
    </w:p>
    <w:p>
      <w:pPr>
        <w:ind w:left="900" w:right="140" w:hanging="383"/>
        <w:spacing w:after="0" w:line="270"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83" w:lineRule="exact"/>
        <w:rPr>
          <w:rFonts w:ascii="Times New Roman" w:cs="Times New Roman" w:eastAsia="Times New Roman" w:hAnsi="Times New Roman"/>
          <w:sz w:val="18"/>
          <w:szCs w:val="18"/>
          <w:color w:val="auto"/>
        </w:rPr>
      </w:pPr>
    </w:p>
    <w:p>
      <w:pPr>
        <w:ind w:left="900" w:right="160" w:hanging="383"/>
        <w:spacing w:after="0" w:line="252"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43" w:lineRule="exact"/>
        <w:rPr>
          <w:rFonts w:ascii="Times New Roman" w:cs="Times New Roman" w:eastAsia="Times New Roman" w:hAnsi="Times New Roman"/>
          <w:sz w:val="18"/>
          <w:szCs w:val="18"/>
          <w:color w:val="auto"/>
        </w:rPr>
      </w:pPr>
    </w:p>
    <w:p>
      <w:pPr>
        <w:ind w:left="900" w:hanging="383"/>
        <w:spacing w:after="0" w:line="252"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any product candidates or that results in costly litigation or arbitration that diverts management attention and resources;</w:t>
      </w:r>
    </w:p>
    <w:p>
      <w:pPr>
        <w:spacing w:after="0" w:line="130"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or product candidate;</w:t>
      </w:r>
    </w:p>
    <w:p>
      <w:pPr>
        <w:spacing w:after="0" w:line="113"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27" w:lineRule="exact"/>
        <w:rPr>
          <w:rFonts w:ascii="Times New Roman" w:cs="Times New Roman" w:eastAsia="Times New Roman" w:hAnsi="Times New Roman"/>
          <w:sz w:val="18"/>
          <w:szCs w:val="18"/>
          <w:color w:val="auto"/>
        </w:rPr>
      </w:pPr>
    </w:p>
    <w:p>
      <w:pPr>
        <w:ind w:left="900" w:right="140" w:hanging="383"/>
        <w:spacing w:after="0" w:line="270"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1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We may acquire or license in the future intellectual property rights that have been generated through the use of U.S. government funding or grant.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70" w:name="page71"/>
    <w:bookmarkEnd w:id="70"/>
    <w:p>
      <w:pPr>
        <w:spacing w:after="0" w:line="242" w:lineRule="auto"/>
        <w:rPr>
          <w:sz w:val="20"/>
          <w:szCs w:val="20"/>
          <w:color w:val="auto"/>
        </w:rPr>
      </w:pPr>
      <w:r>
        <w:rPr>
          <w:rFonts w:ascii="Arial" w:cs="Arial" w:eastAsia="Arial" w:hAnsi="Arial"/>
          <w:sz w:val="18"/>
          <w:szCs w:val="18"/>
          <w:color w:val="auto"/>
        </w:rPr>
        <w:t>embodying any of these inventions or produced through the use of any of these inventions be manufactured substantially in the United States. This preference for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3"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is likely to continue to be, highly volatile, and purchasers of our common stock could incur substantial losses.</w:t>
      </w:r>
    </w:p>
    <w:p>
      <w:pPr>
        <w:spacing w:after="0" w:line="112" w:lineRule="exact"/>
        <w:rPr>
          <w:sz w:val="20"/>
          <w:szCs w:val="20"/>
          <w:color w:val="auto"/>
        </w:rPr>
      </w:pPr>
    </w:p>
    <w:p>
      <w:pPr>
        <w:ind w:left="100" w:right="60" w:firstLine="469"/>
        <w:spacing w:after="0" w:line="244" w:lineRule="auto"/>
        <w:rPr>
          <w:sz w:val="20"/>
          <w:szCs w:val="20"/>
          <w:color w:val="auto"/>
        </w:rPr>
      </w:pPr>
      <w:r>
        <w:rPr>
          <w:rFonts w:ascii="Arial" w:cs="Arial" w:eastAsia="Arial" w:hAnsi="Arial"/>
          <w:sz w:val="18"/>
          <w:szCs w:val="18"/>
          <w:color w:val="auto"/>
        </w:rPr>
        <w:t>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Our common stock has a limited trading history and the market price has fluctuated widely, and may in the future fluctuate widely, depending upon many factors such as those discussed in this “Risk Factors” section and many others, some of which are beyond our control, including the following:</w:t>
      </w:r>
    </w:p>
    <w:p>
      <w:pPr>
        <w:spacing w:after="0" w:line="68"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achievement of expected product sales, market acceptance and profitability for VOQUEZNA and any future products;</w:t>
      </w:r>
    </w:p>
    <w:p>
      <w:pPr>
        <w:spacing w:after="0" w:line="11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coverage, reimbursement, utilization management or pricing policies affecting VOQUEZNA and any future products, including changes in the structure of healthcare payment systems;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supply or distribution delays or shortages;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any changes to our relationships with manufacturers, suppliers, licensors, future collaborators or other strategic partners;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innovations, new products or generic alternatives introduced by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biopharmaceutical sector and the issuance of securities analysts’ reports or recommendations;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of short positions by holders or non-holders of our common stock;</w:t>
      </w:r>
    </w:p>
    <w:p>
      <w:pPr>
        <w:spacing w:after="0" w:line="11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relatively low-volume trading market for our shares of common stock that could cause trades of small blocks of shares to have a significant impact on the price of our shares of common stock;</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insiders or other stockholders;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 inability to obtain additional funding on acceptable terms or at all;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16" w:lineRule="exact"/>
        <w:rPr>
          <w:rFonts w:ascii="Times New Roman" w:cs="Times New Roman" w:eastAsia="Times New Roman" w:hAnsi="Times New Roman"/>
          <w:sz w:val="18"/>
          <w:szCs w:val="18"/>
          <w:color w:val="auto"/>
        </w:rPr>
      </w:pPr>
    </w:p>
    <w:p>
      <w:pPr>
        <w:ind w:left="1020" w:right="50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regulatory approvals of vonoprazan or any future product candidates, limitations on approved labeling or patient populations, or changes or delays in regulatory review processes that affect commercialization;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foreign countries;</w:t>
      </w:r>
    </w:p>
    <w:p>
      <w:pPr>
        <w:spacing w:after="0" w:line="11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enroll patients in our ongoing and any future clinical trials and to generate data to support additional indications or formulations;</w:t>
      </w:r>
    </w:p>
    <w:p>
      <w:pPr>
        <w:spacing w:after="0" w:line="46"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our clinical trials or other clinical studies, including studies supporting additional indications or formulations, as well as clinical results reported by Takeda, our competitors or other companies in our market sector;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or failure of our efforts to acquire, license or develop additional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any termination or loss of rights under the Takeda License;</w:t>
      </w:r>
    </w:p>
    <w:p>
      <w:pPr>
        <w:spacing w:after="0" w:line="116" w:lineRule="exact"/>
        <w:rPr>
          <w:rFonts w:ascii="Times New Roman" w:cs="Times New Roman" w:eastAsia="Times New Roman" w:hAnsi="Times New Roman"/>
          <w:sz w:val="18"/>
          <w:szCs w:val="18"/>
          <w:color w:val="auto"/>
        </w:rPr>
      </w:pPr>
    </w:p>
    <w:p>
      <w:pPr>
        <w:ind w:left="1020" w:right="11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key personnel;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71" w:name="page72"/>
    <w:bookmarkEnd w:id="71"/>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intellectual property, product liability or other litigation against us;</w:t>
      </w:r>
    </w:p>
    <w:p>
      <w:pPr>
        <w:spacing w:after="0" w:line="116"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public health emergencies or other events or factors, many of which are beyond our control;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97"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35" w:lineRule="exact"/>
        <w:rPr>
          <w:sz w:val="20"/>
          <w:szCs w:val="20"/>
          <w:color w:val="auto"/>
        </w:rPr>
      </w:pPr>
    </w:p>
    <w:p>
      <w:pPr>
        <w:ind w:right="760"/>
        <w:spacing w:after="0" w:line="256"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 Furthermore, many of our current directors were appointed by our principal stockholders.</w:t>
      </w:r>
    </w:p>
    <w:p>
      <w:pPr>
        <w:spacing w:after="0" w:line="11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executive officers, directors and greater than 5% stockholders, in the aggregate, own a majority of our outstanding common stock. As a result, such persons acting together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60"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9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under the terms of the Loan Agreement, we are prohibited from paying any cash dividends without the consent of the lenders. Any return to stockholders will therefore be limited to the appreciation of their stock. Shares of our common stock may not appreciate in value or even maintain the price at which stockholders have purchased their shares.</w:t>
      </w:r>
    </w:p>
    <w:p>
      <w:pPr>
        <w:spacing w:after="0" w:line="138" w:lineRule="exact"/>
        <w:rPr>
          <w:sz w:val="20"/>
          <w:szCs w:val="20"/>
          <w:color w:val="auto"/>
        </w:rPr>
      </w:pPr>
    </w:p>
    <w:p>
      <w:pPr>
        <w:ind w:right="920"/>
        <w:spacing w:after="0" w:line="278" w:lineRule="auto"/>
        <w:rPr>
          <w:sz w:val="20"/>
          <w:szCs w:val="20"/>
          <w:color w:val="auto"/>
        </w:rPr>
      </w:pPr>
      <w:r>
        <w:rPr>
          <w:rFonts w:ascii="Arial" w:cs="Arial" w:eastAsia="Arial" w:hAnsi="Arial"/>
          <w:sz w:val="18"/>
          <w:szCs w:val="18"/>
          <w:b w:val="1"/>
          <w:bCs w:val="1"/>
          <w:i w:val="1"/>
          <w:iCs w:val="1"/>
          <w:color w:val="auto"/>
        </w:rPr>
        <w:t>We have ceased to qualify as a smaller reporting company in 2026, and as a result we are subject to increased reporting, compliance and internal control requirements, which may increase our costs and strain management resources.</w:t>
      </w:r>
    </w:p>
    <w:p>
      <w:pPr>
        <w:spacing w:after="0" w:line="112" w:lineRule="exact"/>
        <w:rPr>
          <w:sz w:val="20"/>
          <w:szCs w:val="20"/>
          <w:color w:val="auto"/>
        </w:rPr>
      </w:pPr>
    </w:p>
    <w:p>
      <w:pPr>
        <w:ind w:right="340" w:firstLine="509"/>
        <w:spacing w:after="0" w:line="247" w:lineRule="auto"/>
        <w:rPr>
          <w:sz w:val="20"/>
          <w:szCs w:val="20"/>
          <w:color w:val="auto"/>
        </w:rPr>
      </w:pPr>
      <w:r>
        <w:rPr>
          <w:rFonts w:ascii="Arial" w:cs="Arial" w:eastAsia="Arial" w:hAnsi="Arial"/>
          <w:sz w:val="18"/>
          <w:szCs w:val="18"/>
          <w:color w:val="auto"/>
        </w:rPr>
        <w:t>As of January 1, 2026, we no longer qualify as a smaller reporting company under the U.S. securities laws. As a result, we will be subject to expanded disclosure requirements, accelerated filing deadlines, and increased compliance obligations under the Securities Exchange Act of 1934, including, over time, the requirement that our independent registered public accounting firm provide an attestation report on the effectiveness of our internal control over financial reporting pursuant to Section 404(b) of the Sarbanes-Oxley Act.</w:t>
      </w:r>
    </w:p>
    <w:p>
      <w:pPr>
        <w:spacing w:after="0" w:line="13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These requirements will increase our legal, accounting, compliance and internal control costs and require significant management time and attention. We may need to implement additional systems, procedures and controls to maintain compliance, and we may need to hire additional personnel or engage additional third-party advisors. If we are unable to effectively manage these increased requirements, or if we experience material weaknesses in our internal controls, our ability to timely file required reports, our financial reporting reliability and investor confidence in our company could be adversely affected, which could negatively impact our stock price.</w:t>
      </w:r>
    </w:p>
    <w:p>
      <w:pPr>
        <w:spacing w:after="0" w:line="138" w:lineRule="exact"/>
        <w:rPr>
          <w:sz w:val="20"/>
          <w:szCs w:val="20"/>
          <w:color w:val="auto"/>
        </w:rPr>
      </w:pPr>
    </w:p>
    <w:p>
      <w:pPr>
        <w:ind w:right="760"/>
        <w:spacing w:after="0" w:line="278"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12" w:lineRule="exact"/>
        <w:rPr>
          <w:sz w:val="20"/>
          <w:szCs w:val="20"/>
          <w:color w:val="auto"/>
        </w:rPr>
      </w:pPr>
    </w:p>
    <w:p>
      <w:pPr>
        <w:ind w:right="360" w:firstLine="509"/>
        <w:spacing w:after="0" w:line="25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28" w:lineRule="exact"/>
        <w:rPr>
          <w:sz w:val="20"/>
          <w:szCs w:val="20"/>
          <w:color w:val="auto"/>
        </w:rPr>
      </w:pPr>
    </w:p>
    <w:p>
      <w:pPr>
        <w:ind w:left="900" w:right="780" w:hanging="38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72" w:name="page73"/>
    <w:bookmarkEnd w:id="72"/>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83" w:lineRule="exact"/>
        <w:rPr>
          <w:rFonts w:ascii="Times New Roman" w:cs="Times New Roman" w:eastAsia="Times New Roman" w:hAnsi="Times New Roman"/>
          <w:sz w:val="18"/>
          <w:szCs w:val="18"/>
          <w:color w:val="auto"/>
        </w:rPr>
      </w:pPr>
    </w:p>
    <w:p>
      <w:pPr>
        <w:ind w:left="900" w:right="140" w:hanging="383"/>
        <w:spacing w:after="0" w:line="252"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30" w:lineRule="exact"/>
        <w:rPr>
          <w:rFonts w:ascii="Times New Roman" w:cs="Times New Roman" w:eastAsia="Times New Roman" w:hAnsi="Times New Roman"/>
          <w:sz w:val="18"/>
          <w:szCs w:val="18"/>
          <w:color w:val="auto"/>
        </w:rPr>
      </w:pPr>
    </w:p>
    <w:p>
      <w:pPr>
        <w:ind w:left="900" w:right="500" w:hanging="38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127" w:lineRule="exact"/>
        <w:rPr>
          <w:rFonts w:ascii="Times New Roman" w:cs="Times New Roman" w:eastAsia="Times New Roman" w:hAnsi="Times New Roman"/>
          <w:sz w:val="18"/>
          <w:szCs w:val="18"/>
          <w:color w:val="auto"/>
        </w:rPr>
      </w:pPr>
    </w:p>
    <w:p>
      <w:pPr>
        <w:ind w:left="900" w:right="120" w:hanging="383"/>
        <w:spacing w:after="0" w:line="252"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83" w:lineRule="exact"/>
        <w:rPr>
          <w:rFonts w:ascii="Times New Roman" w:cs="Times New Roman" w:eastAsia="Times New Roman" w:hAnsi="Times New Roman"/>
          <w:sz w:val="18"/>
          <w:szCs w:val="18"/>
          <w:color w:val="auto"/>
        </w:rPr>
      </w:pPr>
    </w:p>
    <w:p>
      <w:pPr>
        <w:ind w:left="900" w:right="360" w:hanging="383"/>
        <w:spacing w:after="0" w:line="252"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43" w:lineRule="exact"/>
        <w:rPr>
          <w:rFonts w:ascii="Times New Roman" w:cs="Times New Roman" w:eastAsia="Times New Roman" w:hAnsi="Times New Roman"/>
          <w:sz w:val="18"/>
          <w:szCs w:val="18"/>
          <w:color w:val="auto"/>
        </w:rPr>
      </w:pPr>
    </w:p>
    <w:p>
      <w:pPr>
        <w:ind w:left="900" w:hanging="38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3" w:lineRule="exact"/>
        <w:rPr>
          <w:rFonts w:ascii="Times New Roman" w:cs="Times New Roman" w:eastAsia="Times New Roman" w:hAnsi="Times New Roman"/>
          <w:sz w:val="18"/>
          <w:szCs w:val="18"/>
          <w:color w:val="auto"/>
        </w:rPr>
      </w:pPr>
    </w:p>
    <w:p>
      <w:pPr>
        <w:ind w:left="900" w:hanging="383"/>
        <w:spacing w:after="0" w:line="252"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 exclusive forum provision providing that the federal district courts will be the exclusive forum for actions and proceedings a cause of action arising under the Securities Act of 1933, as amended, and that the Court of Chancery of the State of Delaware will be the exclusive forum for certain other actions and proceedings;</w:t>
      </w:r>
    </w:p>
    <w:p>
      <w:pPr>
        <w:spacing w:after="0" w:line="130" w:lineRule="exact"/>
        <w:rPr>
          <w:rFonts w:ascii="Times New Roman" w:cs="Times New Roman" w:eastAsia="Times New Roman" w:hAnsi="Times New Roman"/>
          <w:sz w:val="18"/>
          <w:szCs w:val="18"/>
          <w:color w:val="auto"/>
        </w:rPr>
      </w:pPr>
    </w:p>
    <w:p>
      <w:pPr>
        <w:ind w:left="900" w:right="40" w:hanging="38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27" w:lineRule="exact"/>
        <w:rPr>
          <w:rFonts w:ascii="Times New Roman" w:cs="Times New Roman" w:eastAsia="Times New Roman" w:hAnsi="Times New Roman"/>
          <w:sz w:val="18"/>
          <w:szCs w:val="18"/>
          <w:color w:val="auto"/>
        </w:rPr>
      </w:pPr>
    </w:p>
    <w:p>
      <w:pPr>
        <w:ind w:left="900" w:right="40" w:hanging="383"/>
        <w:spacing w:after="0" w:line="252"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0"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3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3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Court of Chancery of the State of Delaware is the exclusive forum for any derivative action or proceeding brought on our behalf under Delaware statutory or common law, including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The choice of forum provisions in our amended and restated certificate of incorporation may limit a stockholder’s ability to bring a claim in a judicial forum that it finds favorable for disputes with us or our directors, officers or other employees, which may discourage such lawsuits against us and our directors, officers and other employees. By agreeing to these provisions, however, stockholders will not be deemed to have waived our compliance with the federal securities laws and the rules and regulations thereunder. Furthermore, the enforceability of similar choice of forum</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73" w:name="page74"/>
    <w:bookmarkEnd w:id="73"/>
    <w:p>
      <w:pPr>
        <w:ind w:right="20"/>
        <w:spacing w:after="0" w:line="247" w:lineRule="auto"/>
        <w:rPr>
          <w:sz w:val="20"/>
          <w:szCs w:val="20"/>
          <w:color w:val="auto"/>
        </w:rPr>
      </w:pPr>
      <w:r>
        <w:rPr>
          <w:rFonts w:ascii="Arial" w:cs="Arial" w:eastAsia="Arial" w:hAnsi="Arial"/>
          <w:sz w:val="18"/>
          <w:szCs w:val="18"/>
          <w:color w:val="auto"/>
        </w:rPr>
        <w:t>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or NOL, carryforwards and other tax attributes may be limited.</w:t>
      </w:r>
    </w:p>
    <w:p>
      <w:pPr>
        <w:spacing w:after="0" w:line="169"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We have incurred substantial losses during our history. Our ability to use our federal and state NOL carryforwards to offset potential future taxable income is dependent upon our generation of future taxable income before any applicable expiration dates of the NOL carryforwards, and we cannot predict with certainty when or whether we will generate sufficient taxable income to use all of our NOL carryforwards. To the extent that we continue to generate taxable losses, unused losses will carry forward and, subject to limitations, offset future taxable income, if any, until such unused losses expire (if at all).</w:t>
      </w:r>
    </w:p>
    <w:p>
      <w:pPr>
        <w:spacing w:after="0" w:line="14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Under prevailing U.S. tax law, federal NOL, carryforwards generated in periods after December 31, 2017, may be carried forward indefinitely but may only be used to offset 80% of our taxable income annually. Our NOL carryforwards are subject to review and possible adjustment by the Internal Revenue Service, or the IRS, and state tax authorities. Under Section 382 of the Internal Revenue Code of 1986, as amended, or the Code, our federal NOL carryforwards may become subject to an annual limitation in the event of certain cumulative changes in the ownership interest of significant stockholders over a three-year period in excess of 50 percentage points. Our ability to utilize our NOL carryforwards and other tax attributes to offset future taxable income or tax liabilities may be limited as a result of ownership changes, including changes in connection with our IPO or other offerings. Similar rules may apply under state tax laws. We have not yet determined the amount of the cumulative change in our ownership resulting from our IPO or other transactions, or any resulting limitations on our ability to utilize our NOL carryforwards and other tax attributes. If we earn taxable income, such limitations could result in increased future tax liability to us and our future cash flows could be adversely affected. We have recorded a full valuation allowance related to our NOLs and other deferred tax assets due to the uncertainty of the ultimate realization of the future benefits of those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may materially adversely affect our financial condition, results of operations and cash flows.</w:t>
      </w:r>
    </w:p>
    <w:p>
      <w:pPr>
        <w:spacing w:after="0" w:line="169" w:lineRule="exact"/>
        <w:rPr>
          <w:sz w:val="20"/>
          <w:szCs w:val="20"/>
          <w:color w:val="auto"/>
        </w:rPr>
      </w:pPr>
    </w:p>
    <w:p>
      <w:pPr>
        <w:ind w:right="40" w:firstLine="559"/>
        <w:spacing w:after="0"/>
        <w:rPr>
          <w:sz w:val="20"/>
          <w:szCs w:val="20"/>
          <w:color w:val="auto"/>
        </w:rPr>
      </w:pPr>
      <w:r>
        <w:rPr>
          <w:rFonts w:ascii="Arial" w:cs="Arial" w:eastAsia="Arial" w:hAnsi="Arial"/>
          <w:sz w:val="18"/>
          <w:szCs w:val="18"/>
          <w:color w:val="auto"/>
        </w:rPr>
        <w:t>New income, sales, use or other tax laws, statutes, rules, regulations or ordinances could be enacted at any time, or interpreted, changed, modified or applied adversely to us, any of which could adversely affect our business operations and financial performance. The likelihood of these changes being enacted or implemented is unclear. We are currently unable to predict whether such changes will occur and, if so, the ultimate impact on our business. To the extent that such changes have a negative impact on us, our customers or our suppliers, including as a result of related uncertainty, these changes may materially and adversely impact our business, financial condition, results of operations and cash flows. We urge our investors to consult with their legal and tax advisors with respect to any new tax legislation and the potential tax consequences of investing in our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6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and expect to continue to rely, on third-party manufacturers to produce vonoprazan, including VOQUEZNA, VOQUEZNA DUAL PAK and VOQUEZNA TRIPLE PAK and any future product candidates. Our ability to obtain commercial and clinical supplies of vonoprazan and any future product candidates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epidemics, pandemics or other public health emergencies.</w:t>
      </w:r>
    </w:p>
    <w:p>
      <w:pPr>
        <w:spacing w:after="0" w:line="169"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Epidemics, pandemics or other public health emergencies could adversely affect our business, financial condition and results of operations. Such events may disrupt economic activity globally and could materially impact our operations, including by limiting access to healthcare providers and patients, reducing in-person promotional activities, disrupting manufacturing or supply chains for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74" w:name="page75"/>
    <w:bookmarkEnd w:id="74"/>
    <w:p>
      <w:pPr>
        <w:ind w:right="40"/>
        <w:spacing w:after="0" w:line="271" w:lineRule="auto"/>
        <w:rPr>
          <w:sz w:val="20"/>
          <w:szCs w:val="20"/>
          <w:color w:val="auto"/>
        </w:rPr>
      </w:pPr>
      <w:r>
        <w:rPr>
          <w:rFonts w:ascii="Arial" w:cs="Arial" w:eastAsia="Arial" w:hAnsi="Arial"/>
          <w:sz w:val="18"/>
          <w:szCs w:val="18"/>
          <w:color w:val="auto"/>
        </w:rPr>
        <w:t>our products, delaying regulatory reviews or inspections, constraining our workforce or that of our third-party manufacturers, CROs, suppliers or service providers, and impairing our ability to raise capital or access the financial markets on acceptable terms.</w:t>
      </w:r>
    </w:p>
    <w:p>
      <w:pPr>
        <w:spacing w:after="0" w:line="113"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Public health emergencies may also result in governmental actions, travel restrictions, workplace closures or other mitigation measures that could adversely affect our commercial execution, distribution of our products or demand for our products. While the impact of any future public health emergency is difficult to predict, such events could materially impair our ability to successfully commercialize our approved products, pursue development activities or otherwise operate our business, and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the continued listing requirements of the Nasdaq could result in a delisting of our common stock.</w:t>
      </w:r>
    </w:p>
    <w:p>
      <w:pPr>
        <w:spacing w:after="0" w:line="183"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If we fail to satisfy the continued listing requirements of the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any action taken by us to restore compliance with listing requirements may not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4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be required to devote substantial time to new compliance initiatives.</w:t>
      </w:r>
    </w:p>
    <w:p>
      <w:pPr>
        <w:spacing w:after="0" w:line="9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a public company, we incur significant legal, accounting and other expenses.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apply to us.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56"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 consuming and costly. If these requirements divert the attention of our management and personnel from other business concerns, they could have a material adverse effect on our business, financial condition and results of operations. The costs we incur as a public company will decrease our net income or increase our net loss, and may require us to reduce costs in other areas of our business. For example, these rules and regulations make it more difficult and more expensive for us to obtain director and officer liability insurance, and we may be required to incur substantial costs to maintain the same or similar coverage in the future.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4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9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business, our market or our competitors. If securities or industry analysts do not continue coverage of our company, the trading price for our stock would be negatively impacted. In addition,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51" w:lineRule="exact"/>
        <w:rPr>
          <w:sz w:val="20"/>
          <w:szCs w:val="20"/>
          <w:color w:val="auto"/>
        </w:rPr>
      </w:pPr>
    </w:p>
    <w:p>
      <w:pPr>
        <w:jc w:val="both"/>
        <w:ind w:right="640"/>
        <w:spacing w:after="0" w:line="256"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75" w:name="page76"/>
    <w:bookmarkEnd w:id="75"/>
    <w:p>
      <w:pPr>
        <w:ind w:firstLine="509"/>
        <w:spacing w:after="0" w:line="237" w:lineRule="auto"/>
        <w:rPr>
          <w:sz w:val="20"/>
          <w:szCs w:val="20"/>
          <w:color w:val="auto"/>
        </w:rPr>
      </w:pPr>
      <w:r>
        <w:rPr>
          <w:rFonts w:ascii="Arial" w:cs="Arial" w:eastAsia="Arial" w:hAnsi="Arial"/>
          <w:sz w:val="18"/>
          <w:szCs w:val="18"/>
          <w:color w:val="auto"/>
        </w:rPr>
        <w:t>Pursuant to Section 404 of the Sarbanes-Oxley Act of 2002, our management is required to assess and report on the effectiveness of our internal control over financial reporting. Beginning with fiscal year 2026, as a result of our filer status, our independent registered public accounting firm will be required to attest to the effectiveness of our internal control over financial reporting. The rules governing internal control over financial reporting are complex and require significant documentation, testing, oversight and ongoing evaluation. Compliance with these requirements places significant demands on management, finance, accounting and internal audit resources and may increase our costs. As we continue to scale our operations and commercial activities, the risk of deficiencies in our internal control environment may increase. There can be no assurance that we will be able to maintain effective internal control over financial reporting on a timely basis or at all. In the future, we may identify material weaknesses or significant deficiencies in our internal control over financial reporting, including as a result of changes in business processes, personnel, systems or increased transaction volume. Any failure to maintain effective internal control over financial reporting could impair our ability to accurately report our financial condition, results of operations or cash flows. If we or our independent registered public accounting firm are unable to conclude that our internal control over financial reporting is effective, or if we are required to remediate material weaknesses, investors may lose confidence in the accuracy and completeness of our financial reports, the market price of our common stock could decline, and we could become subject to increased regulatory scrutiny, enforcement actions or limitations on our ability to access the capital markets.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69"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we, like many other biotechnology and pharmaceutical companies, have recently experienced significant stock price volatility. If we face such litigation, it could result in substantial costs and a diversion of management’s attention and resources, which could harm our business.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 Risk Management and Strategy</w:t>
      </w:r>
    </w:p>
    <w:p>
      <w:pPr>
        <w:spacing w:after="0" w:line="185"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w:t>
      </w:r>
    </w:p>
    <w:p>
      <w:pPr>
        <w:spacing w:after="0" w:line="113"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We design and assess our program based on the National Institute of Standards and Technology Cybersecurity Framework, or NIST CSF. This means that we use the NIST CSF as a guide to help us identify, assess, and manage cybersecurity risks relevant to our business. This does not mean, however, that we meet any technical standards, specifications, or requirements.</w:t>
      </w:r>
    </w:p>
    <w:p>
      <w:pPr>
        <w:spacing w:after="0" w:line="128" w:lineRule="exact"/>
        <w:rPr>
          <w:sz w:val="20"/>
          <w:szCs w:val="20"/>
          <w:color w:val="auto"/>
        </w:rPr>
      </w:pPr>
    </w:p>
    <w:p>
      <w:pPr>
        <w:ind w:firstLine="509"/>
        <w:spacing w:after="0" w:line="301" w:lineRule="auto"/>
        <w:rPr>
          <w:sz w:val="20"/>
          <w:szCs w:val="20"/>
          <w:color w:val="auto"/>
        </w:rPr>
      </w:pPr>
      <w:r>
        <w:rPr>
          <w:rFonts w:ascii="Arial" w:cs="Arial" w:eastAsia="Arial" w:hAnsi="Arial"/>
          <w:sz w:val="17"/>
          <w:szCs w:val="17"/>
          <w:color w:val="auto"/>
        </w:rPr>
        <w:t>Our cybersecurity risk management program is part of our overall risk management program and shares similar governance processes and reporting channels that apply across the risk management program to financial, legal, compliance, and other operational risk areas.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Key elements of our cybersecurity risk management program include but are not limited to the following:</w:t>
      </w:r>
    </w:p>
    <w:p>
      <w:pPr>
        <w:spacing w:after="0" w:line="171" w:lineRule="exact"/>
        <w:rPr>
          <w:sz w:val="20"/>
          <w:szCs w:val="20"/>
          <w:color w:val="auto"/>
        </w:rPr>
      </w:pPr>
    </w:p>
    <w:p>
      <w:pPr>
        <w:ind w:left="880" w:hanging="36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 assessments designed to help identify material risks from cybersecurity threats to our critical systems and information;</w:t>
      </w:r>
    </w:p>
    <w:p>
      <w:pPr>
        <w:spacing w:after="0" w:line="184" w:lineRule="exact"/>
        <w:rPr>
          <w:rFonts w:ascii="Arial" w:cs="Arial" w:eastAsia="Arial" w:hAnsi="Arial"/>
          <w:sz w:val="18"/>
          <w:szCs w:val="18"/>
          <w:color w:val="auto"/>
        </w:rPr>
      </w:pPr>
    </w:p>
    <w:p>
      <w:pPr>
        <w:ind w:left="900" w:right="180" w:hanging="383"/>
        <w:spacing w:after="0" w:line="271" w:lineRule="auto"/>
        <w:tabs>
          <w:tab w:leader="none" w:pos="9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internal team responsible for, inter alia, managing (1) our cybersecurity risk assessment processes, (2) our security controls, and (3) our response to cybersecurity incidents;</w:t>
      </w:r>
    </w:p>
    <w:p>
      <w:pPr>
        <w:spacing w:after="0" w:line="126" w:lineRule="exact"/>
        <w:rPr>
          <w:rFonts w:ascii="Arial" w:cs="Arial" w:eastAsia="Arial" w:hAnsi="Arial"/>
          <w:sz w:val="18"/>
          <w:szCs w:val="18"/>
          <w:color w:val="auto"/>
        </w:rPr>
      </w:pPr>
    </w:p>
    <w:p>
      <w:pPr>
        <w:ind w:left="900" w:right="380" w:hanging="383"/>
        <w:spacing w:after="0" w:line="271" w:lineRule="auto"/>
        <w:tabs>
          <w:tab w:leader="none" w:pos="9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use of external service providers with subject matter expertise, where appropriate, to assess, test or otherwise assist with aspects of our security processes;</w:t>
      </w:r>
    </w:p>
    <w:p>
      <w:pPr>
        <w:spacing w:after="0" w:line="113" w:lineRule="exact"/>
        <w:rPr>
          <w:rFonts w:ascii="Arial" w:cs="Arial" w:eastAsia="Arial" w:hAnsi="Arial"/>
          <w:sz w:val="18"/>
          <w:szCs w:val="18"/>
          <w:color w:val="auto"/>
        </w:rPr>
      </w:pPr>
    </w:p>
    <w:p>
      <w:pPr>
        <w:ind w:left="920" w:hanging="40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cybersecurity awareness training of our employees, including incident response personnel and senior management;</w:t>
      </w:r>
    </w:p>
    <w:p>
      <w:pPr>
        <w:spacing w:after="0" w:line="171" w:lineRule="exact"/>
        <w:rPr>
          <w:rFonts w:ascii="Arial" w:cs="Arial" w:eastAsia="Arial" w:hAnsi="Arial"/>
          <w:sz w:val="18"/>
          <w:szCs w:val="18"/>
          <w:color w:val="auto"/>
        </w:rPr>
      </w:pPr>
    </w:p>
    <w:p>
      <w:pPr>
        <w:ind w:left="900" w:right="260" w:hanging="383"/>
        <w:spacing w:after="0" w:line="252"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artificial intelligence based managed detection and response system that provides 24×7 monitoring of our networks, endpoints, and cloud environments; alerts from this system are handled by an external 24x7 staff that reviews the alerts and acts where necessary;</w:t>
      </w:r>
    </w:p>
    <w:p>
      <w:pPr>
        <w:spacing w:after="0" w:line="143" w:lineRule="exact"/>
        <w:rPr>
          <w:rFonts w:ascii="Times New Roman" w:cs="Times New Roman" w:eastAsia="Times New Roman" w:hAnsi="Times New Roman"/>
          <w:sz w:val="18"/>
          <w:szCs w:val="18"/>
          <w:color w:val="auto"/>
        </w:rPr>
      </w:pPr>
    </w:p>
    <w:p>
      <w:pPr>
        <w:ind w:left="920" w:hanging="40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171" w:lineRule="exact"/>
        <w:rPr>
          <w:rFonts w:ascii="Arial" w:cs="Arial" w:eastAsia="Arial" w:hAnsi="Arial"/>
          <w:sz w:val="18"/>
          <w:szCs w:val="18"/>
          <w:color w:val="auto"/>
        </w:rPr>
      </w:pPr>
    </w:p>
    <w:p>
      <w:pPr>
        <w:ind w:left="900" w:right="360" w:hanging="383"/>
        <w:spacing w:after="0" w:line="271" w:lineRule="auto"/>
        <w:tabs>
          <w:tab w:leader="none" w:pos="9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third-party risk management evaluation process for key service providers, based on our assessment of their criticality to our operations and respective risk profile.</w:t>
      </w:r>
    </w:p>
    <w:p>
      <w:pPr>
        <w:spacing w:after="0" w:line="113" w:lineRule="exact"/>
        <w:rPr>
          <w:sz w:val="20"/>
          <w:szCs w:val="20"/>
          <w:color w:val="auto"/>
        </w:rPr>
      </w:pPr>
    </w:p>
    <w:p>
      <w:pPr>
        <w:ind w:right="460" w:firstLine="509"/>
        <w:spacing w:after="0" w:line="244" w:lineRule="auto"/>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 “</w:t>
      </w:r>
      <w:r>
        <w:rPr>
          <w:rFonts w:ascii="Arial" w:cs="Arial" w:eastAsia="Arial" w:hAnsi="Arial"/>
          <w:sz w:val="18"/>
          <w:szCs w:val="18"/>
          <w:b w:val="1"/>
          <w:bCs w:val="1"/>
          <w:i w:val="1"/>
          <w:iCs w:val="1"/>
          <w:color w:val="auto"/>
        </w:rPr>
        <w:t>Our internal information systems, or those of any of our CROs, contract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manufacturers, service providers, other contractors or consultants or potential future collaborators, may fail or suffer cybersecurity incidents or breaches, which could result in a material disruption of our product development programs</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Governance</w:t>
      </w:r>
    </w:p>
    <w:p>
      <w:pPr>
        <w:spacing w:after="0" w:line="169"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Our Board of Directors considers cybersecurity risk as part of its risk oversight function and has delegated to the Audit Committee, or Committee, oversight of cybersecurity risks, including oversight of management’s implementation of our cybersecurity risk management program. The Committee receives periodic reports from management on our cybersecurity risks. In addition, management is required to update the Committee where it deems appropriate, regarding any cybersecurity incidents it considers to be significant or potentially significant.</w:t>
      </w:r>
    </w:p>
    <w:p>
      <w:pPr>
        <w:spacing w:after="0" w:line="136"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The Committee reports to the full Board regarding its activities, including those related to cybersecurity. The full Board also receives periodic briefings from management on our cyber risk management program. Board members receive presentations on cybersecurity topics from our Vice President, Information Technology, internal security staff or external experts as part of the Board’s continuing education on topics that impact public companies.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77" w:name="page78"/>
    <w:bookmarkEnd w:id="77"/>
    <w:p>
      <w:pPr>
        <w:ind w:right="60" w:firstLine="509"/>
        <w:spacing w:after="0" w:line="244" w:lineRule="auto"/>
        <w:rPr>
          <w:sz w:val="20"/>
          <w:szCs w:val="20"/>
          <w:color w:val="auto"/>
        </w:rPr>
      </w:pPr>
      <w:r>
        <w:rPr>
          <w:rFonts w:ascii="Arial" w:cs="Arial" w:eastAsia="Arial" w:hAnsi="Arial"/>
          <w:sz w:val="18"/>
          <w:szCs w:val="18"/>
          <w:color w:val="auto"/>
        </w:rPr>
        <w:t>Our management team, led by our Vice President of Information Technology, is responsible for managing and directing day-to-day assessment and management of materials risks from cybersecurity threats, including oversight of our cybersecurity tools, controls and strategies to protect organization assets, networks and data. The Vice President of Information Technology has primary responsibility for our overall cybersecurity risk management program and supervises both our internal IT personnel and our retained external cybersecurity consultants. The Vice President of Information Technology has over 25 years of experience in information technology.</w:t>
      </w:r>
    </w:p>
    <w:p>
      <w:pPr>
        <w:spacing w:after="0" w:line="136" w:lineRule="exact"/>
        <w:rPr>
          <w:sz w:val="20"/>
          <w:szCs w:val="20"/>
          <w:color w:val="auto"/>
        </w:rPr>
      </w:pPr>
    </w:p>
    <w:p>
      <w:pPr>
        <w:ind w:right="20" w:firstLine="559"/>
        <w:spacing w:after="0" w:line="247" w:lineRule="auto"/>
        <w:rPr>
          <w:sz w:val="20"/>
          <w:szCs w:val="20"/>
          <w:color w:val="auto"/>
        </w:rPr>
      </w:pPr>
      <w:r>
        <w:rPr>
          <w:rFonts w:ascii="Arial" w:cs="Arial" w:eastAsia="Arial" w:hAnsi="Arial"/>
          <w:sz w:val="18"/>
          <w:szCs w:val="18"/>
          <w:color w:val="auto"/>
        </w:rPr>
        <w:t>Our information technology team takes steps to stay informed about and monitor efforts to prevent, detect, mitigate, and remediate cybersecurity risks and incidents through various means, which may include briefings from internal IT personnel; threat intelligence and other information obtained from governmental, public or private sources, including external consultants engaged by us; and alerts and reports produced by security tools deployed in our internal IT environment.</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tab/>
        <w:t>Properties</w:t>
      </w:r>
    </w:p>
    <w:p>
      <w:pPr>
        <w:spacing w:after="0" w:line="185" w:lineRule="exact"/>
        <w:rPr>
          <w:sz w:val="20"/>
          <w:szCs w:val="20"/>
          <w:color w:val="auto"/>
        </w:rPr>
      </w:pPr>
    </w:p>
    <w:p>
      <w:pPr>
        <w:ind w:right="580" w:firstLine="509"/>
        <w:spacing w:after="0" w:line="253" w:lineRule="auto"/>
        <w:rPr>
          <w:sz w:val="20"/>
          <w:szCs w:val="20"/>
          <w:color w:val="auto"/>
        </w:rPr>
      </w:pPr>
      <w:r>
        <w:rPr>
          <w:rFonts w:ascii="Arial" w:cs="Arial" w:eastAsia="Arial" w:hAnsi="Arial"/>
          <w:sz w:val="18"/>
          <w:szCs w:val="18"/>
          <w:color w:val="auto"/>
        </w:rPr>
        <w:t>Our corporate offices are located in leased offices in Buffalo Grove, Illinois, and Florham Park, New Jersey. We believe that our facilities are adequate to meet our current needs, and that suitable additional alternative spaces will be available in the future on commercially reasonable terms, if required.</w:t>
      </w:r>
    </w:p>
    <w:p>
      <w:pPr>
        <w:spacing w:after="0" w:line="155" w:lineRule="exact"/>
        <w:rPr>
          <w:sz w:val="20"/>
          <w:szCs w:val="20"/>
          <w:color w:val="auto"/>
        </w:rPr>
      </w:pPr>
    </w:p>
    <w:p>
      <w:pPr>
        <w:ind w:right="1460" w:firstLine="509"/>
        <w:spacing w:after="0" w:line="453" w:lineRule="auto"/>
        <w:rPr>
          <w:sz w:val="20"/>
          <w:szCs w:val="20"/>
          <w:color w:val="auto"/>
        </w:rPr>
      </w:pPr>
      <w:r>
        <w:rPr>
          <w:rFonts w:ascii="Arial" w:cs="Arial" w:eastAsia="Arial" w:hAnsi="Arial"/>
          <w:sz w:val="18"/>
          <w:szCs w:val="18"/>
          <w:color w:val="auto"/>
        </w:rPr>
        <w:t xml:space="preserve">For additional information, see Note 4, Lease Commitments included in Item 15 of this Annual Report on Form 10-K. </w:t>
      </w:r>
      <w:r>
        <w:rPr>
          <w:rFonts w:ascii="Arial" w:cs="Arial" w:eastAsia="Arial" w:hAnsi="Arial"/>
          <w:sz w:val="18"/>
          <w:szCs w:val="18"/>
          <w:b w:val="1"/>
          <w:bCs w:val="1"/>
          <w:color w:val="auto"/>
        </w:rPr>
        <w:t>Item 3. Legal Proceedings</w:t>
      </w:r>
    </w:p>
    <w:p>
      <w:pPr>
        <w:spacing w:after="0" w:line="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tab/>
        <w:t>Mine Safety Disclosures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78" w:name="page79"/>
    <w:bookmarkEnd w:id="78"/>
    <w:p>
      <w:pPr>
        <w:ind w:left="528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1"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Our common stock has been publicly traded on the Nasdaq Global Select Market under the symbol “PHAT” since our initial public offering on October 25, 2019, which was completed at a price to the public of $19.00 per share. Prior to our initial public offering, there was no public market for our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71"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As of February 23, 2026, there were 78,798,712 shares of our common stock outstanding held by approximately 56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5"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under the terms of our Loan Agreement, we are prohibited from paying any cash dividends without the consent of the lenders.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See Item 12 of Part III of this annual report on Form 10-K for information about our equity compensation plans which is incorporated by reference herein.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related notes included elsewhere in this annual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including those set forth under “Risk Factors” or in other parts of this annual report.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are a commercial-stage biopharmaceutical company focused on commercializing and developing novel treatments for gastrointestinal, or GI, diseases. Our approved products, VOQUEZNA®, VOQUEZNA® DUAL PAK® and VOQUEZNA® TRIPLE PAK®, contain vonoprazan, an oral small molecule potassium-competitive acid blocker, or PCAB. PCABs are a novel class of molecules that block acid secretion in the stomach. VOQUEZNA is the only PCAB currently approved for marketing and sale in the United States.</w:t>
      </w:r>
    </w:p>
    <w:p>
      <w:pPr>
        <w:spacing w:after="0" w:line="14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 xml:space="preserve">We began U.S. commercialization of VOQUEZNA for the treatment of erosive gastroesophageal reflux disease, or Erosive GERD, and Helicobacter pylori, or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and VOQUEZNA DUAL PAK and VOQUEZNA TRIPLE PAK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November 2023. The U.S. Food and Drug Administration, or FDA, approved VOQUEZNA for the relief of heartburn associated with Non-Erosive GERD, the largest category of GERD, in July 2024.</w:t>
      </w:r>
    </w:p>
    <w:p>
      <w:pPr>
        <w:spacing w:after="0" w:line="133"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Vonoprazan was originally developed by Takeda Pharmaceutical Company Limited, or Takeda, and is marketed in multiple countries outside the United States. We licensed U.S., European and Canadian rights to vonoprazan from Takeda in 2019. We are independently commercializing VOQUEZNA, VOQUEZNA DUAL PAK and VOQUEZNA TRIPLE PAK in the United States.</w:t>
      </w:r>
    </w:p>
    <w:p>
      <w:pPr>
        <w:spacing w:after="0" w:line="128"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During the year ended December 31, 2025, we generated increased revenues from sales of our VOQUEZNA products compared to the prior year, reflecting continued execution of our U.S. commercial strategy. The majority of our 2025 revenue was derived from sales of VOQUEZNA. During this period, we also experienced growth in prescription volume and prescriber adoption, with most prescriptions written for GERD indications. As of February 13, 2026, over 1.1 million prescriptions for VOQUEZNA, VOQUEZNA DUAL PAK and VOQUEZNA TRIPLE PAK have been filled since launch. We continue to have broad commercial coverage for VOQUEZNA, with access for over 120 million, or over 80%, of U.S. commercial lives. Our commercial efforts are supported by a targeted sales force and continued focus on prescriber engagement and payer access.</w:t>
      </w:r>
    </w:p>
    <w:p>
      <w:pPr>
        <w:spacing w:after="0" w:line="15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May 2021, the FDA granted qualified infectious disease product, or QIDP, designation to VOQUEZNA DUAL PAK and VOQUEZNA TRIPLE PAK, resulting in an extension of the five-year new chemical entity, or NCE, exclusivity by an additional five years. In December 2024, we submitted a citizen petition requesting that the FDA update the Orange Book listing for VOQUEZNA to reflect the same ten-year period of NCE exclusivity applicable to VOQUEZNA DUAL PAK and VOQUEZNA TRIPLE PAK. In June 2025, the FDA granted the petition and updated the Orange Book listing for VOQUEZNA to reflect the ten-year period of NCE exclusivity for vonoprazan. As a result, all three VOQUEZNA products now have NCE exclusivity extending through May 3, 2032.</w:t>
      </w:r>
    </w:p>
    <w:p>
      <w:pPr>
        <w:spacing w:after="0" w:line="13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 xml:space="preserve">In the fourth quarter of 2025, we initiated a Phase 2 clinical trial evaluating vonoprazan in the treatment of adults with eosinophilic esophagitis, or EoE. While our current focus is on continued U.S. commercialization of VOQUEZNA products for GERD and </w:t>
      </w:r>
      <w:r>
        <w:rPr>
          <w:rFonts w:ascii="Arial" w:cs="Arial" w:eastAsia="Arial" w:hAnsi="Arial"/>
          <w:sz w:val="18"/>
          <w:szCs w:val="18"/>
          <w:i w:val="1"/>
          <w:iCs w:val="1"/>
          <w:color w:val="auto"/>
        </w:rPr>
        <w:t>H. pylori</w:t>
      </w:r>
      <w:r>
        <w:rPr>
          <w:rFonts w:ascii="Arial" w:cs="Arial" w:eastAsia="Arial" w:hAnsi="Arial"/>
          <w:sz w:val="18"/>
          <w:szCs w:val="18"/>
          <w:color w:val="auto"/>
        </w:rPr>
        <w:t>, we are also selectively pursuing life-cycle management opportunities for vonoprazan. We may also explore the potential for vonoprazan in Europe and Canada, as well as opportunities to in-license or acquire additional clinical or commercial-stage product candidates for GI diseases.</w:t>
      </w:r>
    </w:p>
    <w:p>
      <w:pPr>
        <w:spacing w:after="0" w:line="133"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commenced our operations in 2018 and have devoted substantially all of our resources to date to organizing and staffing our company, business planning, raising capital, in-licensing vonoprazan, meeting with regulatory authorities, managing our clinical trials of vonoprazan, preparing for commercialization of our products containing vonoprazan, commercially launching our approved products in the U.S., and providing other selling, general and administrative support for our operations. Our operations to date have been funded primarily through commercial bank debt, our revenue interest financing debt and various equity offerings, including our at-the-market offerings. From our inception through December 31, 2025, we sold 34,737,032 shares of our common stock and 2,608,922 pre-funded warrants, generating net proceeds of approximately $543.3 million, after deducting underwriting discounts, commissions and offering costs. In January 2026, we sold 6,875,000 shares of our common stock, or our January 2026 Offering, at a price of $16.00 per share and pre-funded warrants to purchase 1,250,078 shares of our common stock at a price of $15.999 per pre-funded warrant for total gross proceeds of $130.0 million or $122.2 million of net proceeds after deducting underwriting discounts, commissions and offering costs.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bookmarkStart w:id="80" w:name="page81"/>
    <w:bookmarkEnd w:id="80"/>
    <w:p>
      <w:pPr>
        <w:ind w:firstLine="509"/>
        <w:spacing w:after="0" w:line="239" w:lineRule="auto"/>
        <w:rPr>
          <w:sz w:val="20"/>
          <w:szCs w:val="20"/>
          <w:color w:val="auto"/>
        </w:rPr>
      </w:pPr>
      <w:r>
        <w:rPr>
          <w:rFonts w:ascii="Arial" w:cs="Arial" w:eastAsia="Arial" w:hAnsi="Arial"/>
          <w:sz w:val="18"/>
          <w:szCs w:val="18"/>
          <w:color w:val="auto"/>
        </w:rPr>
        <w:t>As of December 31, 2025, we had cash and cash equivalents of $ 130.0 million. Based on our current operating plan, we believe that our existing cash and cash equivalents together with anticipated product revenues and the $122.2 million of net proceeds from our January 2026 offering, are sufficient to fund operations for at least the next twelve months and will be sufficient to enable us to reach operating profitability beginning in the third quarter of 2026</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excluding stock-based compensation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VOQUEZNA, develop vonoprazan for additional indications or formulations or develop or any future product candidates.</w:t>
      </w:r>
    </w:p>
    <w:p>
      <w:pPr>
        <w:spacing w:after="0" w:line="14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Since inception, we have incurred significant operating losses. Our net loss was $221.2 million and $334.3 million for the years ended December 31, 2025 and 2024, respectively. As of December 31, 2025, we had an accumulated deficit of $1.5 billion. Despite our plans and expectations, we could continue to incur operating losses for the foreseeable future. If we do not achieve our goals, it could be several years, if ever, before our current products or potential future product candidates, if successfully developed and approved, generate significant revenues to offset these operating losses. As a result, we are uncertain if we will achieve profitability on our current expected timeline, if at all, and, if so, whether we will be able to sustain it. The net losses we incur may fluctuate significantly from quarter to quarter and year to year.</w:t>
      </w:r>
    </w:p>
    <w:p>
      <w:pPr>
        <w:spacing w:after="0" w:line="14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While we have generated revenue to date, until such time as we can generate significant revenue from sales of our approved products containing vonoprazan, we also expect to finance our cash needs through equity offerings, additional debt financings or other capital sources, including potential collaborations, licenses and other similar arrangements. However, we may be unable to raise additional funds or enter into such other arrangements when and if needed on favorable terms or at all, and this risk could be exacerbated by the impact of ongoing conflicts throughout the world and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6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 May 2025, we implemented a cost reduction and organizational restructuring plan to reduce cash burn and focus resources on commercial execution. In connection with the restructuring, our workforce was reduced by 26 employees, or approximately 6%, including certain leadership changes all designed to right-size the organization. During the year ended December 31, 2025, total restructuring charges incurred were $9.2 million consisting of one-time termination benefits to affected employees for severance, non-cash stock-based compensation costs, healthcare benefits and outplacement assistance. As of December 31, 2025, approximately $0.5 million of restructuring related accruals remain on our balance sheet.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8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are responsible at our cost for the development, manufacture and commercialization of vonoprazan products. We are required to use commercially reasonable efforts to develop and commercialize the vonoprazan products in our licensed territory.</w:t>
      </w:r>
    </w:p>
    <w:p>
      <w:pPr>
        <w:spacing w:after="0" w:line="138"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28"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We paid Takeda upfront consideration consisting of a cash fee of $25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81" w:name="page82"/>
    <w:bookmarkEnd w:id="81"/>
    <w:p>
      <w:pPr>
        <w:ind w:right="40"/>
        <w:spacing w:after="0" w:line="238" w:lineRule="auto"/>
        <w:rPr>
          <w:sz w:val="20"/>
          <w:szCs w:val="20"/>
          <w:color w:val="auto"/>
        </w:rPr>
      </w:pPr>
      <w:r>
        <w:rPr>
          <w:rFonts w:ascii="Arial" w:cs="Arial" w:eastAsia="Arial" w:hAnsi="Arial"/>
          <w:sz w:val="18"/>
          <w:szCs w:val="18"/>
          <w:color w:val="auto"/>
        </w:rPr>
        <w:t>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 million. We also agreed to make tiered royalty payments at percentages averaging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 We currently pay royalties to Takeda on sales of VOQUEZNA tablets, VOQUEZNA DUAL PAK and VOQUEZNA TRIPLE PAK in the U.S. During the years ended December 31, 2025 and 2024, we recorded $17.5 million and $5.5 million, respectively, of royalty expense under the Takeda License, of which $5.8 million is included within accrued expenses as of December 31, 2025.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3" w:lineRule="exact"/>
        <w:rPr>
          <w:sz w:val="20"/>
          <w:szCs w:val="20"/>
          <w:color w:val="auto"/>
        </w:rPr>
      </w:pPr>
    </w:p>
    <w:p>
      <w:pPr>
        <w:ind w:right="20" w:firstLine="509"/>
        <w:spacing w:after="0" w:line="301" w:lineRule="auto"/>
        <w:rPr>
          <w:sz w:val="20"/>
          <w:szCs w:val="20"/>
          <w:color w:val="auto"/>
        </w:rPr>
      </w:pPr>
      <w:r>
        <w:rPr>
          <w:rFonts w:ascii="Arial" w:cs="Arial" w:eastAsia="Arial" w:hAnsi="Arial"/>
          <w:sz w:val="17"/>
          <w:szCs w:val="17"/>
          <w:color w:val="auto"/>
        </w:rPr>
        <w:t>We began to recognize revenue from product sales, net of rebates, chargebacks, discounts, and other adjustments, in November 2023 in conjunction with the commercial launch of VOQUEZNA, VOQUEZNA TRIPLE PAK, and VOQUEZNA DUAL PAK in the United States.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Cost of revenue includes the cost of producing and distributing inventories that are related to product sales. This also includes royalties payable to Takeda, pursuant to the Takeda License Agreement (Refer to Note 3 Commitments and Contingencies for further details). In addition, shipping and handling costs for product sales are recorded as incurred. Cost of revenue also includes costs related to excess or obsolete inventory adjustment charges.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9"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 We do not track total research and development expenses by indication.</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171" w:lineRule="exact"/>
        <w:rPr>
          <w:sz w:val="20"/>
          <w:szCs w:val="20"/>
          <w:color w:val="auto"/>
        </w:rPr>
      </w:pPr>
    </w:p>
    <w:p>
      <w:pPr>
        <w:ind w:left="900" w:right="100" w:hanging="38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Clinical development expenses: </w:t>
      </w:r>
      <w:r>
        <w:rPr>
          <w:rFonts w:ascii="Arial" w:cs="Arial" w:eastAsia="Arial" w:hAnsi="Arial"/>
          <w:sz w:val="18"/>
          <w:szCs w:val="18"/>
          <w:color w:val="auto"/>
        </w:rPr>
        <w:t>external research and development expenses incurred under agreements with CROs,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consultants to conduct and support our clinical trials of vonoprazan;</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Personnel related expenses</w:t>
      </w:r>
      <w:r>
        <w:rPr>
          <w:rFonts w:ascii="Arial" w:cs="Arial" w:eastAsia="Arial" w:hAnsi="Arial"/>
          <w:sz w:val="18"/>
          <w:szCs w:val="18"/>
          <w:color w:val="auto"/>
        </w:rPr>
        <w:t>: salaries, payroll taxes, employee benefits, and restructuring expenses in 2025;</w:t>
      </w:r>
    </w:p>
    <w:p>
      <w:pPr>
        <w:spacing w:after="0" w:line="19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Chemistry manufacturing and controls, or CMC, expenses: </w:t>
      </w:r>
      <w:r>
        <w:rPr>
          <w:rFonts w:ascii="Arial" w:cs="Arial" w:eastAsia="Arial" w:hAnsi="Arial"/>
          <w:sz w:val="18"/>
          <w:szCs w:val="18"/>
          <w:color w:val="auto"/>
        </w:rPr>
        <w:t>costs related to the manufacturing of vonoprazan for our clinical trials;</w:t>
      </w:r>
    </w:p>
    <w:p>
      <w:pPr>
        <w:spacing w:after="0" w:line="183"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Consulting, professional and other costs: </w:t>
      </w:r>
      <w:r>
        <w:rPr>
          <w:rFonts w:ascii="Arial" w:cs="Arial" w:eastAsia="Arial" w:hAnsi="Arial"/>
          <w:sz w:val="18"/>
          <w:szCs w:val="18"/>
          <w:color w:val="auto"/>
        </w:rPr>
        <w:t>external costs related to consulting and professional services and other research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and</w:t>
      </w:r>
    </w:p>
    <w:p>
      <w:pPr>
        <w:spacing w:after="0" w:line="113"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stock-based compensation expense recognized for those individuals involved in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efforts including for any restructuring expenses in 2025.</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82" w:name="page83"/>
    <w:bookmarkEnd w:id="82"/>
    <w:p>
      <w:pPr>
        <w:ind w:right="620" w:firstLine="509"/>
        <w:spacing w:after="0" w:line="271" w:lineRule="auto"/>
        <w:rPr>
          <w:sz w:val="20"/>
          <w:szCs w:val="20"/>
          <w:color w:val="auto"/>
        </w:rPr>
      </w:pPr>
      <w:r>
        <w:rPr>
          <w:rFonts w:ascii="Arial" w:cs="Arial" w:eastAsia="Arial" w:hAnsi="Arial"/>
          <w:sz w:val="18"/>
          <w:szCs w:val="18"/>
          <w:color w:val="auto"/>
        </w:rPr>
        <w:t>The following table summarizes our research and development expenses for the years ended December 31, 2025 and 2024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Years Ended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69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920" w:type="dxa"/>
            <w:vAlign w:val="bottom"/>
          </w:tcPr>
          <w:p>
            <w:pPr>
              <w:spacing w:after="0"/>
              <w:rPr>
                <w:sz w:val="17"/>
                <w:szCs w:val="17"/>
                <w:color w:val="auto"/>
              </w:rPr>
            </w:pPr>
          </w:p>
        </w:tc>
        <w:tc>
          <w:tcPr>
            <w:tcW w:w="12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2025</w:t>
            </w:r>
          </w:p>
        </w:tc>
        <w:tc>
          <w:tcPr>
            <w:tcW w:w="6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6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Clinical development and regulatory</w:t>
            </w:r>
          </w:p>
        </w:tc>
        <w:tc>
          <w:tcPr>
            <w:tcW w:w="1280" w:type="dxa"/>
            <w:vAlign w:val="bottom"/>
            <w:shd w:val="clear" w:color="auto" w:fill="CFF0FC"/>
          </w:tcPr>
          <w:p>
            <w:pPr>
              <w:jc w:val="right"/>
              <w:ind w:right="10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10,491</w:t>
            </w:r>
          </w:p>
        </w:tc>
        <w:tc>
          <w:tcPr>
            <w:tcW w:w="920" w:type="dxa"/>
            <w:vAlign w:val="bottom"/>
            <w:gridSpan w:val="2"/>
            <w:shd w:val="clear" w:color="auto" w:fill="CFF0FC"/>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10,877</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Personnel related</w:t>
            </w:r>
          </w:p>
        </w:tc>
        <w:tc>
          <w:tcPr>
            <w:tcW w:w="1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11,166</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11,909</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Chemistry manufacturing and controls</w:t>
            </w:r>
          </w:p>
        </w:tc>
        <w:tc>
          <w:tcPr>
            <w:tcW w:w="1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3,179</w:t>
            </w:r>
          </w:p>
        </w:tc>
        <w:tc>
          <w:tcPr>
            <w:tcW w:w="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4,090</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Consulting, professional and other costs</w:t>
            </w:r>
          </w:p>
        </w:tc>
        <w:tc>
          <w:tcPr>
            <w:tcW w:w="1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1,080</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1,639</w:t>
            </w:r>
          </w:p>
        </w:tc>
        <w:tc>
          <w:tcPr>
            <w:tcW w:w="100" w:type="dxa"/>
            <w:vAlign w:val="bottom"/>
          </w:tcPr>
          <w:p>
            <w:pPr>
              <w:spacing w:after="0"/>
              <w:rPr>
                <w:sz w:val="17"/>
                <w:szCs w:val="17"/>
                <w:color w:val="auto"/>
              </w:rPr>
            </w:pPr>
          </w:p>
        </w:tc>
      </w:tr>
      <w:tr>
        <w:trPr>
          <w:trHeight w:val="202"/>
        </w:trPr>
        <w:tc>
          <w:tcPr>
            <w:tcW w:w="69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6,864</w:t>
            </w:r>
          </w:p>
        </w:tc>
        <w:tc>
          <w:tcPr>
            <w:tcW w:w="3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20" w:type="dxa"/>
            <w:vAlign w:val="bottom"/>
          </w:tcPr>
          <w:p>
            <w:pPr>
              <w:ind w:left="140"/>
              <w:spacing w:after="0" w:line="196" w:lineRule="exact"/>
              <w:rPr>
                <w:sz w:val="20"/>
                <w:szCs w:val="20"/>
                <w:color w:val="auto"/>
              </w:rPr>
            </w:pPr>
            <w:r>
              <w:rPr>
                <w:rFonts w:ascii="Arial" w:cs="Arial" w:eastAsia="Arial" w:hAnsi="Arial"/>
                <w:sz w:val="18"/>
                <w:szCs w:val="18"/>
                <w:color w:val="auto"/>
              </w:rPr>
              <w:t>Total research and development expenses</w:t>
            </w:r>
          </w:p>
        </w:tc>
        <w:tc>
          <w:tcPr>
            <w:tcW w:w="128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32,780</w:t>
            </w:r>
          </w:p>
        </w:tc>
        <w:tc>
          <w:tcPr>
            <w:tcW w:w="92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34,082</w:t>
            </w:r>
          </w:p>
        </w:tc>
        <w:tc>
          <w:tcPr>
            <w:tcW w:w="100" w:type="dxa"/>
            <w:vAlign w:val="bottom"/>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-162560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plan to invest in our research and development expenses for the foreseeable future as we continue the development of vonoprazan and potentially in the future also develop additional product candidates.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actual results and development costs can differ materially from expectations. In addition, we cannot forecast which product candidates, if any, may be subject to future collaborations, when such arrangements will be secured, if at all, and to what degree such arrangements would affect our development plans and capital requirements.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69"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Selling, general and administrative expenses consist of salaries and employee-related costs, including stock-based compensation, for personnel in commercial, executive, finance, accounting, legal, human resources and other administrative functions, restructuring expenses in 2025, legal fees relating to intellectual property and corporate matters, and professional fees for accounting and consulting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Interest Financing Agreement</w:t>
      </w:r>
    </w:p>
    <w:p>
      <w:pPr>
        <w:spacing w:after="0" w:line="10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Interest expense under the Revenue Interest Financing Agreement is based on the imputed effective interest rate derived from expected future payments and the carrying value of the obligation. We recalculate the effective interest rate each period based on the current carrying value and the revised estimated future payments. Changes in future payments from previous estimates are included in current and future interest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 with Hercules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under the Loan Agreement consists of (i) cash interest at a variable annual rate equal to the greater of (a) 9.85% and</w:t>
      </w:r>
    </w:p>
    <w:p>
      <w:pPr>
        <w:spacing w:after="0" w:line="14" w:lineRule="exact"/>
        <w:rPr>
          <w:sz w:val="20"/>
          <w:szCs w:val="20"/>
          <w:color w:val="auto"/>
        </w:rPr>
      </w:pPr>
    </w:p>
    <w:p>
      <w:pPr>
        <w:jc w:val="both"/>
        <w:ind w:right="320" w:firstLine="8"/>
        <w:spacing w:after="0"/>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Prime Rate (as reported in the Wall Street Journal) plus 1.35% and provided that the cash interest rate shall be capped at 10.35% and upon us achieving the certain milestones, the cash interest shall be decreased by 0.35%, (ii) payment-in-kind interest at a per annum rate of interest equal to 2.15%, and (iii) amortization of the Loan Agreement debt discount recorded in connection with the fair value of warrants issued to the lenders, the debt issuance costs incurred, and the obligation to make a final payment.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2025 and 2024</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2025 and 2024 (in thousands):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w w:val="99"/>
              </w:rPr>
              <w:t>2024</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175,110</w:t>
            </w:r>
          </w:p>
        </w:tc>
        <w:tc>
          <w:tcPr>
            <w:tcW w:w="58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55,252</w:t>
            </w:r>
          </w:p>
        </w:tc>
        <w:tc>
          <w:tcPr>
            <w:tcW w:w="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119,858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22,599</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7,973</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152,511</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47,279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32,780</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34,082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279,717</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290,664</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312,497</w:t>
            </w:r>
          </w:p>
        </w:tc>
        <w:tc>
          <w:tcPr>
            <w:tcW w:w="1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324,746</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(159,986)</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(277,467)</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117,481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(expense) income:</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7,044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15,158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(68,115)</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(72,009)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(61,261)</w:t>
            </w:r>
          </w:p>
        </w:tc>
        <w:tc>
          <w:tcPr>
            <w:tcW w:w="1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(56,859)</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(221,247)</w:t>
            </w:r>
          </w:p>
        </w:tc>
        <w:tc>
          <w:tcPr>
            <w:tcW w:w="5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(334,326)</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113,079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-959485</wp:posOffset>
            </wp:positionV>
            <wp:extent cx="93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-959485</wp:posOffset>
            </wp:positionV>
            <wp:extent cx="93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-162560</wp:posOffset>
            </wp:positionV>
            <wp:extent cx="939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-162560</wp:posOffset>
            </wp:positionV>
            <wp:extent cx="939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7" w:lineRule="exact"/>
        <w:rPr>
          <w:sz w:val="20"/>
          <w:szCs w:val="20"/>
          <w:color w:val="auto"/>
        </w:rPr>
      </w:pPr>
    </w:p>
    <w:p>
      <w:pPr>
        <w:jc w:val="both"/>
        <w:ind w:right="320" w:firstLine="509"/>
        <w:spacing w:after="0" w:line="25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revenues were $175.1 million and $55.3 million for the years ended December 31, 2025 and 2024,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sales of VOQUEZNA, VOQUEZNA TRIPLE PAK, and VOQUEZNA DUAL PAK which was launched during the fourth quarter of 2023.</w:t>
      </w:r>
    </w:p>
    <w:p>
      <w:pPr>
        <w:spacing w:after="0" w:line="155"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$22.6 million and $8.0 million for the years ended December 31, 2025 and 2024,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of $14.6 million was due to the increase in revenues for the year ended December 31, 2025 as well as an increase in Takeda royalty payments.</w:t>
      </w:r>
    </w:p>
    <w:p>
      <w:pPr>
        <w:spacing w:after="0" w:line="14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$32.8 million and $34.1 million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2025 and 2024, respectively. The decrease of $1.3 million consists of $2.6 million of lower CMC costs, clinical and regulatory costs, and lower project and consulting costs, partially offset by $1.3 million related to higher stock-based compensation expense due to restructuring charges.</w:t>
      </w:r>
    </w:p>
    <w:p>
      <w:pPr>
        <w:spacing w:after="0" w:line="13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$279.7 million and $290.7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years ended December 31, 2025 and 2024, respectively. The decrease of $11.0 million was due to decreases of $19.1 million of commercial related promotional expenses in support of launching VOQUEZNA and a decrease of $0.2 million in consulting expenses, partially offset by an increase of $8.3 million in personnel-related expenses primarily due to $7.3 million of restructuring charges.</w:t>
      </w:r>
    </w:p>
    <w:p>
      <w:pPr>
        <w:spacing w:after="0" w:line="13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$61.3 million for the year ended December 31, 2025 consisted of $68.1 million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under the Loan Agreement and Revenue Interest Financing Agreement, partially offset by $7.0 million of interest income related to cash held in money market funds. Other expense of $56.9 million for the year ended December 31, 2024 consisted of $72.0 million of interest expense under the Loan Agreement and Revenue Interest Financing Agreement, partially offset by $15.1 million of interest income related to cash held in money market funds.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We have incurred net losses and negative cash flows from operations since our inception and while we expect to continue to incur a net loss in the near term, we anticipate achieving operating profitability beginning in the third quarter of 2026, excluding stock-based compensation. As of December 31, 2025, we had cash and cash equivalents of $130.0 million and received $122.2 million of net proceeds from our January 2026 offering.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 with Hercules</w:t>
      </w:r>
    </w:p>
    <w:p>
      <w:pPr>
        <w:spacing w:after="0" w:line="183"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On September 17, 2021, or the Closing Date, we entered into the Loan Agreement with Hercules (in such capacity, the Agent or Hercules), as administrative agent and collateral agent and as a lender and the other financial institutions that from time to time become parties to the Loan Agreement as lenders (collectively, the Lenders). We’ve entered into several amendments to the Loan Agreement which are described below, most recently in February 2026.</w:t>
      </w:r>
    </w:p>
    <w:p>
      <w:pPr>
        <w:spacing w:after="0" w:line="13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Loan Agreement originally provided for term loans in an aggregate principal amount of up to $200 million, or the Term Loan, under multiple tranches. The tranches consisted of (i) a first tranche consisting of term loans in an aggregate principal amount of $100 million, all of which was funded on the Closing Date, or the First Advance, (ii) a second tranche consisting of up to an additional $50 million, (iii) a third and fourth tranches consisting of an additional total $50 million, which became available to us in May 2022.</w:t>
      </w:r>
    </w:p>
    <w:p>
      <w:pPr>
        <w:spacing w:after="0" w:line="174"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On September 27, 2022, we entered into an amendment to the Loan Agreement, or the Second Loan Amendment, pursuant to which the date the second tranche of funding of $50 million will remain available to us has been moved until May 15, 2023, rather than December 15, 2022.</w:t>
      </w:r>
    </w:p>
    <w:p>
      <w:pPr>
        <w:spacing w:after="0" w:line="128"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On May 9, 2023, we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effective date of the Performance Covenants was amended to provide an option to extend the covenant trigger date to May 15, 2024, subject to the achievement of the FDA approval of vonoprazan for Erosive GERD or the EE Milestone, prior to February 15, 2024, and (iv) the warrant agreement with Hercules was amended as described below. On November 1, 2023, the EE Milestone was achieved and the covenant trigger date was extended to May 15, 2024. In connection with the Third Loan Amendment, a tranche extension amendment fee of $150,000 and a covenant extension amendment fee of $100,000 was paid to the Agent. These fees have been recorded as debt discount and are being amortized to interest expense using the effective interest method over the remaining term of the Term Loan.</w:t>
      </w:r>
    </w:p>
    <w:p>
      <w:pPr>
        <w:spacing w:after="0" w:line="72"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On December 14, 2023, we entered into a Fourth Amendment to Loan and Security Agreement, or the Fourth Loan Amendment, with the lenders, which, among other things, (i) increased the aggregate principal amount of the term loans from $200 million to $300 million; (ii) provided for the possibility of accessing the $200 million commitment through five additional tranches referred to as tranches 2 through 6, which are available subject to certain milestones and conditions: (a) Tranche 2: $50 million, $40 million of which was funded on December 14, 2023, available through March 15, 2024, (b) Tranche 3: $25 million available through June 15, 2024, (c) Tranche 4: $25 million available through December 15, 2024, (d) Tranche 5: $50 million available, subject to the achievement of a specified revenue milestone, through June 30, 2025 and which we did not draw down, and (e) Tranche 6: $50 million available, subject to the achievement of a specified revenue milestone, through December 31, 2025 and which we did not draw down; (iii) extended the interest only period and the maturity date from October 2026 to December 2027, (iv) reduced the cash interest rate from 10.75% (floating annual rate equal to the greater of (a) 5.50% and</w:t>
      </w:r>
    </w:p>
    <w:p>
      <w:pPr>
        <w:ind w:left="280" w:hanging="272"/>
        <w:spacing w:after="0" w:line="235" w:lineRule="auto"/>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Prime Rate (as reported in the Wall Street Journal) plus 2.25% to 9.85% (floating rate based on the greater of (a) 9.85% or (b) US</w:t>
      </w:r>
    </w:p>
    <w:p>
      <w:pPr>
        <w:ind w:right="60"/>
        <w:spacing w:after="0"/>
        <w:rPr>
          <w:rFonts w:ascii="Arial" w:cs="Arial" w:eastAsia="Arial" w:hAnsi="Arial"/>
          <w:sz w:val="18"/>
          <w:szCs w:val="18"/>
          <w:color w:val="auto"/>
        </w:rPr>
      </w:pPr>
      <w:r>
        <w:rPr>
          <w:rFonts w:ascii="Arial" w:cs="Arial" w:eastAsia="Arial" w:hAnsi="Arial"/>
          <w:sz w:val="18"/>
          <w:szCs w:val="18"/>
          <w:color w:val="auto"/>
        </w:rPr>
        <w:t>WSJ Prime + 1.35%), provided that the cash interest rate shall be capped at 10.35% and upon us achieving the certain milestones, the cash interest shall be decreased by 0.35%, and (v) decreased the payment-in-kind interest rate from 3.35% per annum to 2.15% per annum. In connection with the Fourth Loan Amendment, an amendment fee of $250,000 was paid to the Agent and was recorded as a debt discount and being amortized to interest expense using the effective interest method over the remaining term of the Term Loan.</w:t>
      </w:r>
    </w:p>
    <w:p>
      <w:pPr>
        <w:spacing w:after="0" w:line="153"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As amended through the Fourth Amendment, the Term Loan had a maturity date of December 1, 2027. As of December 31, 2025, the Term Loan bore (i) cash interest at a variable annual rate equal to the greater of (a) 9.85% and (b) the Prime Rate (as reported in the Wall Street Journal) plus 1.35%, or the Interest Rate, and (ii) payment-in-kind interest at a per annum rate of interest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85" w:name="page86"/>
    <w:bookmarkEnd w:id="85"/>
    <w:p>
      <w:pPr>
        <w:ind w:right="560"/>
        <w:spacing w:after="0" w:line="271" w:lineRule="auto"/>
        <w:rPr>
          <w:sz w:val="20"/>
          <w:szCs w:val="20"/>
          <w:color w:val="auto"/>
        </w:rPr>
      </w:pPr>
      <w:r>
        <w:rPr>
          <w:rFonts w:ascii="Arial" w:cs="Arial" w:eastAsia="Arial" w:hAnsi="Arial"/>
          <w:sz w:val="18"/>
          <w:szCs w:val="18"/>
          <w:color w:val="auto"/>
        </w:rPr>
        <w:t>equal to 2.15%. We may make payments of interest only through the maturity date of the Term Loan. After the interest-only period, the principal balance and related interest will be required to be repaid in full on the maturity date.</w:t>
      </w:r>
    </w:p>
    <w:p>
      <w:pPr>
        <w:spacing w:after="0" w:line="113"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In addition, under the Fourth Amendment, we were obligated to pay a final payment fee of 7.50% of the original principal amount of amounts actually advanced under the Term Loan, or each Term Loan Advance and together, the Term Loan Advances. In connection with the Fourth Loan Amendment, the final payment fee was amended to be $1 million plus 3.00% of any future tranche drawdowns under the agreement, due upon final maturity. Additionally, the initial final payment fee of $7.5 million for the first Term Loan Advance was amended to become payable on October 1, 2026, and has been recorded within other current liabilities as of December 31, 2025. The remaining aggregate $4.0 million of final payment fees includes $2.5 million for the second Term Loan Advance, $0.8 million for the third Term Loan Advance, and $0.7 million for the fourth Term Loan Advance and have been recorded within other long-term liabilities as of December 31, 2025.</w:t>
      </w:r>
    </w:p>
    <w:p>
      <w:pPr>
        <w:spacing w:after="0" w:line="140"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Under the Fourth Loan Amendment, we may elect to prepay all or a portion of the Term Loan Advances prior to maturity, subject to a prepayment fee of up to 1.25% of the then outstanding principal balance of the Term Loan Advances being prepaid when such prepayment occurs prior to October 1, 2026, or 0.50% if such prepayment occurs on or after October 1, 2026. After repayment, no Term Loan amounts may be borrowed again.</w:t>
      </w:r>
    </w:p>
    <w:p>
      <w:pPr>
        <w:spacing w:after="0" w:line="147"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representations, warranties and covenants, including financial covenants. The financial covenants under the Fourth Loan Amendment included (i) a minimum cash covenant and (ii) a performance covenant as follows:</w:t>
      </w:r>
    </w:p>
    <w:p>
      <w:pPr>
        <w:spacing w:after="0" w:line="61" w:lineRule="exact"/>
        <w:rPr>
          <w:sz w:val="20"/>
          <w:szCs w:val="20"/>
          <w:color w:val="auto"/>
        </w:rPr>
      </w:pPr>
    </w:p>
    <w:p>
      <w:pPr>
        <w:ind w:left="1020" w:right="180" w:hanging="503"/>
        <w:spacing w:after="0" w:line="245" w:lineRule="auto"/>
        <w:tabs>
          <w:tab w:leader="none" w:pos="1020" w:val="left"/>
        </w:tabs>
        <w:numPr>
          <w:ilvl w:val="0"/>
          <w:numId w:val="43"/>
        </w:numPr>
        <w:rPr>
          <w:rFonts w:ascii="Calibri" w:cs="Calibri" w:eastAsia="Calibri" w:hAnsi="Calibri"/>
          <w:sz w:val="18"/>
          <w:szCs w:val="18"/>
          <w:color w:val="auto"/>
        </w:rPr>
      </w:pPr>
      <w:r>
        <w:rPr>
          <w:rFonts w:ascii="Arial" w:cs="Arial" w:eastAsia="Arial" w:hAnsi="Arial"/>
          <w:sz w:val="18"/>
          <w:szCs w:val="18"/>
          <w:color w:val="auto"/>
        </w:rPr>
        <w:t>Minimum cash covenant - We must maintain a minimum cash balance of 20% of the outstanding principal balance at all times. The minimum cash balance may be increased to 35% or 50% under performance covenant (b) below if the performance covenants (a) or (c) are not met beginning September 30, 2024 and all times thereafter.</w:t>
      </w:r>
    </w:p>
    <w:p>
      <w:pPr>
        <w:spacing w:after="0" w:line="68" w:lineRule="exact"/>
        <w:rPr>
          <w:rFonts w:ascii="Calibri" w:cs="Calibri" w:eastAsia="Calibri" w:hAnsi="Calibri"/>
          <w:sz w:val="18"/>
          <w:szCs w:val="18"/>
          <w:color w:val="auto"/>
        </w:rPr>
      </w:pPr>
    </w:p>
    <w:p>
      <w:pPr>
        <w:ind w:left="1020" w:hanging="503"/>
        <w:spacing w:after="0"/>
        <w:tabs>
          <w:tab w:leader="none" w:pos="1020" w:val="left"/>
        </w:tabs>
        <w:numPr>
          <w:ilvl w:val="0"/>
          <w:numId w:val="43"/>
        </w:numPr>
        <w:rPr>
          <w:rFonts w:ascii="Calibri" w:cs="Calibri" w:eastAsia="Calibri" w:hAnsi="Calibri"/>
          <w:sz w:val="18"/>
          <w:szCs w:val="18"/>
          <w:color w:val="auto"/>
        </w:rPr>
      </w:pPr>
      <w:r>
        <w:rPr>
          <w:rFonts w:ascii="Arial" w:cs="Arial" w:eastAsia="Arial" w:hAnsi="Arial"/>
          <w:sz w:val="18"/>
          <w:szCs w:val="18"/>
          <w:color w:val="auto"/>
        </w:rPr>
        <w:t>Performance covenant- Beginning September 30, 2024 and all times there after we must satisfy any one of the following:</w:t>
      </w:r>
    </w:p>
    <w:p>
      <w:pPr>
        <w:spacing w:after="0" w:line="117" w:lineRule="exact"/>
        <w:rPr>
          <w:rFonts w:ascii="Calibri" w:cs="Calibri" w:eastAsia="Calibri" w:hAnsi="Calibri"/>
          <w:sz w:val="18"/>
          <w:szCs w:val="18"/>
          <w:color w:val="auto"/>
        </w:rPr>
      </w:pPr>
    </w:p>
    <w:p>
      <w:pPr>
        <w:ind w:left="1540" w:hanging="514"/>
        <w:spacing w:after="0"/>
        <w:tabs>
          <w:tab w:leader="none" w:pos="1540" w:val="left"/>
        </w:tabs>
        <w:numPr>
          <w:ilvl w:val="1"/>
          <w:numId w:val="43"/>
        </w:numPr>
        <w:rPr>
          <w:rFonts w:ascii="Calibri" w:cs="Calibri" w:eastAsia="Calibri" w:hAnsi="Calibri"/>
          <w:sz w:val="18"/>
          <w:szCs w:val="18"/>
          <w:color w:val="auto"/>
        </w:rPr>
      </w:pPr>
      <w:r>
        <w:rPr>
          <w:rFonts w:ascii="Arial" w:cs="Arial" w:eastAsia="Arial" w:hAnsi="Arial"/>
          <w:sz w:val="18"/>
          <w:szCs w:val="18"/>
          <w:color w:val="auto"/>
        </w:rPr>
        <w:t>Market capitalization exceeding $900 million;</w:t>
      </w:r>
    </w:p>
    <w:p>
      <w:pPr>
        <w:spacing w:after="0" w:line="117" w:lineRule="exact"/>
        <w:rPr>
          <w:rFonts w:ascii="Calibri" w:cs="Calibri" w:eastAsia="Calibri" w:hAnsi="Calibri"/>
          <w:sz w:val="18"/>
          <w:szCs w:val="18"/>
          <w:color w:val="auto"/>
        </w:rPr>
      </w:pPr>
    </w:p>
    <w:p>
      <w:pPr>
        <w:ind w:left="1540" w:right="580" w:hanging="514"/>
        <w:spacing w:after="0" w:line="256" w:lineRule="auto"/>
        <w:tabs>
          <w:tab w:leader="none" w:pos="1540" w:val="left"/>
        </w:tabs>
        <w:numPr>
          <w:ilvl w:val="1"/>
          <w:numId w:val="43"/>
        </w:numPr>
        <w:rPr>
          <w:rFonts w:ascii="Calibri" w:cs="Calibri" w:eastAsia="Calibri" w:hAnsi="Calibri"/>
          <w:sz w:val="18"/>
          <w:szCs w:val="18"/>
          <w:color w:val="auto"/>
        </w:rPr>
      </w:pPr>
      <w:r>
        <w:rPr>
          <w:rFonts w:ascii="Arial" w:cs="Arial" w:eastAsia="Arial" w:hAnsi="Arial"/>
          <w:sz w:val="18"/>
          <w:szCs w:val="18"/>
          <w:color w:val="auto"/>
        </w:rPr>
        <w:t>Minimum cash balance exceeding (x) outstanding principal amount of term loans, multiplied by (y) (A) 50%, prior to achieving trailing three months net product revenue of greater than $35 million, and (B) 35% thereafter; or</w:t>
      </w:r>
    </w:p>
    <w:p>
      <w:pPr>
        <w:spacing w:after="0" w:line="57" w:lineRule="exact"/>
        <w:rPr>
          <w:rFonts w:ascii="Calibri" w:cs="Calibri" w:eastAsia="Calibri" w:hAnsi="Calibri"/>
          <w:sz w:val="18"/>
          <w:szCs w:val="18"/>
          <w:color w:val="auto"/>
        </w:rPr>
      </w:pPr>
    </w:p>
    <w:p>
      <w:pPr>
        <w:ind w:left="1540" w:right="340" w:hanging="514"/>
        <w:spacing w:after="0" w:line="256" w:lineRule="auto"/>
        <w:tabs>
          <w:tab w:leader="none" w:pos="1540" w:val="left"/>
        </w:tabs>
        <w:numPr>
          <w:ilvl w:val="1"/>
          <w:numId w:val="43"/>
        </w:numPr>
        <w:rPr>
          <w:rFonts w:ascii="Calibri" w:cs="Calibri" w:eastAsia="Calibri" w:hAnsi="Calibri"/>
          <w:sz w:val="18"/>
          <w:szCs w:val="18"/>
          <w:color w:val="auto"/>
        </w:rPr>
      </w:pPr>
      <w:r>
        <w:rPr>
          <w:rFonts w:ascii="Arial" w:cs="Arial" w:eastAsia="Arial" w:hAnsi="Arial"/>
          <w:sz w:val="18"/>
          <w:szCs w:val="18"/>
          <w:color w:val="auto"/>
        </w:rPr>
        <w:t>Trailing three months net product revenue of at least (x) 30% of agreed upon projected net revenues for periods in the calendar year 2024 and 25% for all periods thereafter or (y) $120 million.</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2025, we were in compliance with all applicable covenants under the Loan Agreement.</w:t>
      </w:r>
    </w:p>
    <w:p>
      <w:pPr>
        <w:spacing w:after="0" w:line="17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February 25, 2026, or the Fifth Amendment Closing Date, we entered into the Fifth Amendment to the Loan and Security Agreement, or the Fifth Loan Amendment, with the lenders, which, among other things, (i) provides for a new term loan tranche of $175 million, the proceeds of which, along with cash on our balance sheet, were used to repay in full the existing secured obligations outstanding under the Loan Agreement, including principal, capitalized payment-in-kind interest, existing final fee payments, and any applicable prepayment fees, (ii) provides for an additional loan tranche of up to $25 million which shall be available to us at the lenders’ discretion, (iii) extends the maturity date from December 1, 2027 to February 1, 2029, subject to further extension to December 1, 2030 upon the achievement of a specified revenue milestone and subject to a certain pro forma liquidity test; (iv) extends the interest only period from October 2026 to December 2027, thereafter, monthly payment of interest and 2.5% of the original principal amount advanced through the maturity date, with any remaining payments to be repaid in full on the maturity date, (v) changes the cash interest rate to 9.85% (floating rate based on the greater of (a) US WSJ Prime + 3.10% or (b) 9.85%, (vi) eliminates the payment-in-kind interest rate of 2.15% per annum, (vii) amends the prepayment charge, which is a percentage of the principal amount actually advanced under the Term Loans under the Fifth Loan Amendment, or each a Term Loan Advance and together, the Term Loan Advances, as follows: (a) if the Term Loan Advances are prepaid after the Fifth Amendment Closing Date but prior to the twelfth month anniversary of the Fifth Amendment Closing Date, 2.50%; (b) if the Term Loan Advances are prepaid on or after the twelfth month anniversary of the Fifth Amendment Closing Date but prior to the twenty-fourth month anniversary of the Fifth Amendment Closing Date, 2.00%; (c) if the Term Loan Advances are prepaid on or after the twenty-fourth month anniversary of the Fifth Amendment Closing Date but prior to the thirty-sixth month anniversary of the Fifth Amendment Closing Date, 1.50%; (d) thereafter, 1.00%; and (viii) provides for a new final payment fee which is as a percentage of the Term Loan Advances so prepaid, as follows: (a) if the Term Loan Advances are repaid prior to September 2027, 1.25%; (b) if the Term Loan Advances are repaid after September 1, 2027 but on or prior to February 1, 2029, 2.00%; (c) if the Term Loan Advances are repaid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86" w:name="page87"/>
    <w:bookmarkEnd w:id="86"/>
    <w:p>
      <w:pPr>
        <w:ind w:right="600"/>
        <w:spacing w:after="0" w:line="271" w:lineRule="auto"/>
        <w:rPr>
          <w:sz w:val="20"/>
          <w:szCs w:val="20"/>
          <w:color w:val="auto"/>
        </w:rPr>
      </w:pPr>
      <w:r>
        <w:rPr>
          <w:rFonts w:ascii="Arial" w:cs="Arial" w:eastAsia="Arial" w:hAnsi="Arial"/>
          <w:sz w:val="18"/>
          <w:szCs w:val="18"/>
          <w:color w:val="auto"/>
        </w:rPr>
        <w:t>after February 1, 2029 but on or prior to January 1, 2030, 3.00%, and (d) if the Term Loan Advances are repaid after January 1, 2030, 3.50%.</w:t>
      </w:r>
    </w:p>
    <w:p>
      <w:pPr>
        <w:spacing w:after="0" w:line="113"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In addition, the financial covenants under the Fifth Loan Amendment include (i) a minimum cash covenant and (ii) a performance covenant, as follows:</w:t>
      </w:r>
    </w:p>
    <w:p>
      <w:pPr>
        <w:spacing w:after="0" w:line="46" w:lineRule="exact"/>
        <w:rPr>
          <w:sz w:val="20"/>
          <w:szCs w:val="20"/>
          <w:color w:val="auto"/>
        </w:rPr>
      </w:pPr>
    </w:p>
    <w:p>
      <w:pPr>
        <w:ind w:left="1780" w:right="20" w:hanging="515"/>
        <w:spacing w:after="0" w:line="245" w:lineRule="auto"/>
        <w:tabs>
          <w:tab w:leader="none" w:pos="1780" w:val="left"/>
        </w:tabs>
        <w:numPr>
          <w:ilvl w:val="0"/>
          <w:numId w:val="44"/>
        </w:numPr>
        <w:rPr>
          <w:rFonts w:ascii="Calibri" w:cs="Calibri" w:eastAsia="Calibri" w:hAnsi="Calibri"/>
          <w:sz w:val="18"/>
          <w:szCs w:val="18"/>
          <w:color w:val="auto"/>
        </w:rPr>
      </w:pPr>
      <w:r>
        <w:rPr>
          <w:rFonts w:ascii="Arial" w:cs="Arial" w:eastAsia="Arial" w:hAnsi="Arial"/>
          <w:sz w:val="18"/>
          <w:szCs w:val="18"/>
          <w:color w:val="auto"/>
        </w:rPr>
        <w:t>Minimum cash covenant - We must maintain a minimum cash balance of 20% of the outstanding principal balance at all times, which will decrease to 15% of the outstanding principal amount upon us reporting and maintaining $75 million of trailing three months net product revenue.</w:t>
      </w:r>
    </w:p>
    <w:p>
      <w:pPr>
        <w:spacing w:after="0" w:line="68" w:lineRule="exact"/>
        <w:rPr>
          <w:rFonts w:ascii="Calibri" w:cs="Calibri" w:eastAsia="Calibri" w:hAnsi="Calibri"/>
          <w:sz w:val="18"/>
          <w:szCs w:val="18"/>
          <w:color w:val="auto"/>
        </w:rPr>
      </w:pPr>
    </w:p>
    <w:p>
      <w:pPr>
        <w:ind w:left="1780" w:right="100" w:hanging="515"/>
        <w:spacing w:after="0" w:line="256" w:lineRule="auto"/>
        <w:tabs>
          <w:tab w:leader="none" w:pos="1780" w:val="left"/>
        </w:tabs>
        <w:numPr>
          <w:ilvl w:val="0"/>
          <w:numId w:val="44"/>
        </w:numPr>
        <w:rPr>
          <w:rFonts w:ascii="Calibri" w:cs="Calibri" w:eastAsia="Calibri" w:hAnsi="Calibri"/>
          <w:sz w:val="18"/>
          <w:szCs w:val="18"/>
          <w:color w:val="auto"/>
        </w:rPr>
      </w:pPr>
      <w:r>
        <w:rPr>
          <w:rFonts w:ascii="Arial" w:cs="Arial" w:eastAsia="Arial" w:hAnsi="Arial"/>
          <w:sz w:val="18"/>
          <w:szCs w:val="18"/>
          <w:color w:val="auto"/>
        </w:rPr>
        <w:t>Performance covenant - Beginning on the Fifth Amendment Closing Date and all times there after we must satisfy any one of the following:</w:t>
      </w:r>
    </w:p>
    <w:p>
      <w:pPr>
        <w:spacing w:after="0" w:line="57" w:lineRule="exact"/>
        <w:rPr>
          <w:rFonts w:ascii="Calibri" w:cs="Calibri" w:eastAsia="Calibri" w:hAnsi="Calibri"/>
          <w:sz w:val="18"/>
          <w:szCs w:val="18"/>
          <w:color w:val="auto"/>
        </w:rPr>
      </w:pPr>
    </w:p>
    <w:p>
      <w:pPr>
        <w:ind w:left="2280" w:hanging="505"/>
        <w:spacing w:after="0"/>
        <w:tabs>
          <w:tab w:leader="none" w:pos="2280" w:val="left"/>
        </w:tabs>
        <w:numPr>
          <w:ilvl w:val="1"/>
          <w:numId w:val="44"/>
        </w:numPr>
        <w:rPr>
          <w:rFonts w:ascii="Calibri" w:cs="Calibri" w:eastAsia="Calibri" w:hAnsi="Calibri"/>
          <w:sz w:val="18"/>
          <w:szCs w:val="18"/>
          <w:color w:val="auto"/>
        </w:rPr>
      </w:pPr>
      <w:r>
        <w:rPr>
          <w:rFonts w:ascii="Arial" w:cs="Arial" w:eastAsia="Arial" w:hAnsi="Arial"/>
          <w:sz w:val="18"/>
          <w:szCs w:val="18"/>
          <w:color w:val="auto"/>
        </w:rPr>
        <w:t>Market capitalization exceeding $900 million;</w:t>
      </w:r>
    </w:p>
    <w:p>
      <w:pPr>
        <w:spacing w:after="0" w:line="117" w:lineRule="exact"/>
        <w:rPr>
          <w:rFonts w:ascii="Calibri" w:cs="Calibri" w:eastAsia="Calibri" w:hAnsi="Calibri"/>
          <w:sz w:val="18"/>
          <w:szCs w:val="18"/>
          <w:color w:val="auto"/>
        </w:rPr>
      </w:pPr>
    </w:p>
    <w:p>
      <w:pPr>
        <w:ind w:left="2280" w:right="300" w:hanging="505"/>
        <w:spacing w:after="0" w:line="245" w:lineRule="auto"/>
        <w:tabs>
          <w:tab w:leader="none" w:pos="2280" w:val="left"/>
        </w:tabs>
        <w:numPr>
          <w:ilvl w:val="1"/>
          <w:numId w:val="44"/>
        </w:numPr>
        <w:rPr>
          <w:rFonts w:ascii="Calibri" w:cs="Calibri" w:eastAsia="Calibri" w:hAnsi="Calibri"/>
          <w:sz w:val="18"/>
          <w:szCs w:val="18"/>
          <w:color w:val="auto"/>
        </w:rPr>
      </w:pPr>
      <w:r>
        <w:rPr>
          <w:rFonts w:ascii="Arial" w:cs="Arial" w:eastAsia="Arial" w:hAnsi="Arial"/>
          <w:sz w:val="18"/>
          <w:szCs w:val="18"/>
          <w:color w:val="auto"/>
        </w:rPr>
        <w:t>Minimum cash balance of 50% of the outstanding principal amount of term loans, which will decrease to 40% upon achieving $65 million of trailing three months nets product revenue, and to 30% upon achieving $85 million, of trailing three months net product revenue; or</w:t>
      </w:r>
    </w:p>
    <w:p>
      <w:pPr>
        <w:spacing w:after="0" w:line="68" w:lineRule="exact"/>
        <w:rPr>
          <w:rFonts w:ascii="Calibri" w:cs="Calibri" w:eastAsia="Calibri" w:hAnsi="Calibri"/>
          <w:sz w:val="18"/>
          <w:szCs w:val="18"/>
          <w:color w:val="auto"/>
        </w:rPr>
      </w:pPr>
    </w:p>
    <w:p>
      <w:pPr>
        <w:ind w:left="2280" w:right="440" w:hanging="505"/>
        <w:spacing w:after="0" w:line="256" w:lineRule="auto"/>
        <w:tabs>
          <w:tab w:leader="none" w:pos="2280" w:val="left"/>
        </w:tabs>
        <w:numPr>
          <w:ilvl w:val="1"/>
          <w:numId w:val="44"/>
        </w:numPr>
        <w:rPr>
          <w:rFonts w:ascii="Calibri" w:cs="Calibri" w:eastAsia="Calibri" w:hAnsi="Calibri"/>
          <w:sz w:val="18"/>
          <w:szCs w:val="18"/>
          <w:color w:val="auto"/>
        </w:rPr>
      </w:pPr>
      <w:r>
        <w:rPr>
          <w:rFonts w:ascii="Arial" w:cs="Arial" w:eastAsia="Arial" w:hAnsi="Arial"/>
          <w:sz w:val="18"/>
          <w:szCs w:val="18"/>
          <w:color w:val="auto"/>
        </w:rPr>
        <w:t>Trailing three months net product revenue equal to 75% of projected revenue in 2026 and 70% of projected revenue in 2027 and beyond, tested on a quarterly basis.</w:t>
      </w:r>
    </w:p>
    <w:p>
      <w:pPr>
        <w:spacing w:after="0" w:line="12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 connection with the Fifth Loan Amendment, the existing final fee payments under the Loan and Security Agreement in the aggregate amount of $11.5 million were fully paid to Agent and a facility fee of $1.8 million was also paid to the Agent.</w:t>
      </w:r>
    </w:p>
    <w:p>
      <w:pPr>
        <w:spacing w:after="0" w:line="127" w:lineRule="exact"/>
        <w:rPr>
          <w:sz w:val="20"/>
          <w:szCs w:val="20"/>
          <w:color w:val="auto"/>
        </w:rPr>
      </w:pPr>
    </w:p>
    <w:p>
      <w:pPr>
        <w:ind w:right="900" w:firstLine="559"/>
        <w:spacing w:after="0" w:line="271" w:lineRule="auto"/>
        <w:rPr>
          <w:sz w:val="20"/>
          <w:szCs w:val="20"/>
          <w:color w:val="auto"/>
        </w:rPr>
      </w:pPr>
      <w:r>
        <w:rPr>
          <w:rFonts w:ascii="Arial" w:cs="Arial" w:eastAsia="Arial" w:hAnsi="Arial"/>
          <w:sz w:val="18"/>
          <w:szCs w:val="18"/>
          <w:color w:val="auto"/>
        </w:rPr>
        <w:t>Upon the occurrence of an event of default, subject to any specified cure periods, all amounts owed by us may be declared immediately due and payable by Hercules, as collateral agent.</w:t>
      </w:r>
    </w:p>
    <w:p>
      <w:pPr>
        <w:spacing w:after="0" w:line="113"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As collateral for the obligations, we granted Hercules a senior security interest in all of our right, title, and interest in, to and under substantially all of our property, inclusive of intellectual property.</w:t>
      </w:r>
    </w:p>
    <w:p>
      <w:pPr>
        <w:spacing w:after="0" w:line="11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connection with the entry into the Loan Agreement, we issued to Hercules a warrant, or the Warrant, to purchase a number of shares of our common stock equal to 2.5% of the aggregate amount of the Term Loan advances funded, and will issue to Hercules additional warrants when future Term Loan advances are funded. On the Closing Date, we issued a Warrant for 74,782 shares of common stock. The Warrant is exercisable for a period of seven years from the date of issuance at a per-share exercise price equal to $33.43, which was the closing price of our common stock on September 16, 2021. In connection with the entry into the Third Loan Amendment, we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we drawdown future tranches. In connection with the entry into the Fourth Amendment, we eliminated the warrant agreement for all future tranches. The Warrant issued with the initial tranche was not modified as part of these amendments. The exercise price and terms of the outstanding Warrant remain unchanged.</w:t>
      </w:r>
    </w:p>
    <w:p>
      <w:pPr>
        <w:spacing w:after="0" w:line="153"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The initial $1.3 million fair value of the Warrant, the $11.5 million final interest payment fees and $4.6 million of debt issuance costs have been recorded as debt discount and are being amortized to interest expense using the effective interest method over the term of the Term Loan.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Interest Financing Agreement</w:t>
      </w:r>
    </w:p>
    <w:p>
      <w:pPr>
        <w:spacing w:after="0" w:line="10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May 3, 2022, we entered into a Revenue Interest Financing Agreement, or the Revenue Interest Financing Agreement, with entities managed or advised by NovaQuest Capital Management, or NQ, Sagard Holdings Manager LP, or Sagard, and Hercules, together with NQ and Sagard, or the Initial Investors, pursuant to which we had the right to receive up to $260 million in funding from the Initial Investors. Under the terms of the Revenue Interest Financing Agreement, we received $100 million at the initial closing and received an additional $ 160 million upon FDA approval of vonoprazan for treatment of Erosive GERD in the fourth quarter of 2023. Additionally, on October 31, 2022, we entered into a Joinder and Waiver Agreement with the Initial Investors and CO Finance LVS XXXVII LLC, or the Additional Investor, and Hercules in its capacity as administrative agent and collateral agent for itself and the lenders under that certain Loan Agreement, or the Joinder Agreement, in respect of the Revenue Interest Financing Agreement. Under the terms of the Joinder Agreement, we received $15 million in additional funding upon FDA approval of vonoprazan for Erosive GERD, or Approval Additional Funding, in the fourth quarter of 2023 and provided for $25 million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87" w:name="page88"/>
    <w:bookmarkEnd w:id="87"/>
    <w:p>
      <w:pPr>
        <w:spacing w:after="0" w:line="242" w:lineRule="auto"/>
        <w:rPr>
          <w:sz w:val="20"/>
          <w:szCs w:val="20"/>
          <w:color w:val="auto"/>
        </w:rPr>
      </w:pPr>
      <w:r>
        <w:rPr>
          <w:rFonts w:ascii="Arial" w:cs="Arial" w:eastAsia="Arial" w:hAnsi="Arial"/>
          <w:sz w:val="18"/>
          <w:szCs w:val="18"/>
          <w:color w:val="auto"/>
        </w:rPr>
        <w:t>additional funding for achievement of a sales milestone, or Milestone Additional Funding, and, together with the Approval Additional Funding, or the Additional Investor Funding. The Initial Investors waived their right of first offer for any Additional Investor Funding. On December 23, 2024, CO Finance LVS XXXVII LLC agreed to assign and transfer to OC III LVS LX LP all of its rights, title and interest as an Additional Investor and in connection therewith, OC III LVS LX LP executed a Joinder Agreement. The total amount funded by the Initial Investors and any subsequent investors is referred to herein as the Investment Amount. As of December 31, 2025, no additional funding is available under the Revenue Interest Financing Agreement.</w:t>
      </w:r>
    </w:p>
    <w:p>
      <w:pPr>
        <w:spacing w:after="0" w:line="138"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Under the Revenue Interest Financing Agreement, the Initial Investors and the Additional Investors, are entitled to receive a 10% royalty on net sales of products containing vonoprazan. The royalty rate is subject to a step-down on net sales exceeding certain annual thresholds and upon FDA approval for vonoprazan for an indication relating to the treatment of heartburn associated with Non-Erosive GERD, which occurred on July 17, 2024. The investors’ right to receive royalties on net sales will terminate when the investors have aggregate payments equal to 200% of the Investment Amount. In addition, at any time after April 30, 2024, we have the right to make a cap payment equal to 200% of the Investment Amount less any royalties already paid, at which time the agreement will terminate.</w:t>
      </w:r>
    </w:p>
    <w:p>
      <w:pPr>
        <w:spacing w:after="0" w:line="138"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sufficient to gross the investors up to the applicable Minimum Amount.</w:t>
      </w:r>
    </w:p>
    <w:p>
      <w:pPr>
        <w:spacing w:after="0" w:line="142" w:lineRule="exact"/>
        <w:rPr>
          <w:sz w:val="20"/>
          <w:szCs w:val="20"/>
          <w:color w:val="auto"/>
        </w:rPr>
      </w:pPr>
    </w:p>
    <w:p>
      <w:pPr>
        <w:ind w:right="360" w:firstLine="509"/>
        <w:spacing w:after="0" w:line="253" w:lineRule="auto"/>
        <w:rPr>
          <w:sz w:val="20"/>
          <w:szCs w:val="20"/>
          <w:color w:val="auto"/>
        </w:rPr>
      </w:pPr>
      <w:r>
        <w:rPr>
          <w:rFonts w:ascii="Arial" w:cs="Arial" w:eastAsia="Arial" w:hAnsi="Arial"/>
          <w:sz w:val="18"/>
          <w:szCs w:val="18"/>
          <w:color w:val="auto"/>
        </w:rPr>
        <w:t>Upon the occurrence of an event of default taking place between April 1, 2025 and April 1, 2028, or after April 1, 2028, we are obligated to pay 1.30 times Investment Amount, 1.65 times Investment Amount, and 2.0 times investment amount, respectively, less any amounts we previously paid pursuant to the agreement.</w:t>
      </w:r>
    </w:p>
    <w:p>
      <w:pPr>
        <w:spacing w:after="0" w:line="128" w:lineRule="exact"/>
        <w:rPr>
          <w:sz w:val="20"/>
          <w:szCs w:val="20"/>
          <w:color w:val="auto"/>
        </w:rPr>
      </w:pPr>
    </w:p>
    <w:p>
      <w:pPr>
        <w:ind w:right="220" w:firstLine="509"/>
        <w:spacing w:after="0" w:line="245" w:lineRule="auto"/>
        <w:rPr>
          <w:sz w:val="20"/>
          <w:szCs w:val="20"/>
          <w:color w:val="auto"/>
        </w:rPr>
      </w:pPr>
      <w:r>
        <w:rPr>
          <w:rFonts w:ascii="Arial" w:cs="Arial" w:eastAsia="Arial" w:hAnsi="Arial"/>
          <w:sz w:val="18"/>
          <w:szCs w:val="18"/>
          <w:color w:val="auto"/>
        </w:rPr>
        <w:t>Additionally, under the terms of Revenue Interest Financing Agreement, we are subject to a minimum cash covenant of at least (a) beginning on the date that the Hercules Loan Agreement is terminated and each day thereafter until September 30, 2026, $30 million, and</w:t>
      </w:r>
    </w:p>
    <w:p>
      <w:pPr>
        <w:ind w:right="20" w:firstLine="8"/>
        <w:spacing w:after="0" w:line="234" w:lineRule="auto"/>
        <w:tabs>
          <w:tab w:leader="none" w:pos="2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beginning on October 1, 2026 and on each day thereafter until September 30, 2029, a certain percentage of the minimum cash reference amount defined as the difference between the Investment Amount and the amount of all royalty payments received by the Investors as of each such date as follows: (i) 50% from October 1, 2026 to September 30, 2027 (ii) 75% from October 1, 2027 to September 30, 2028, and</w:t>
      </w:r>
    </w:p>
    <w:p>
      <w:pPr>
        <w:spacing w:after="0" w:line="2" w:lineRule="exact"/>
        <w:rPr>
          <w:rFonts w:ascii="Arial" w:cs="Arial" w:eastAsia="Arial" w:hAnsi="Arial"/>
          <w:sz w:val="18"/>
          <w:szCs w:val="18"/>
          <w:color w:val="auto"/>
        </w:rPr>
      </w:pPr>
    </w:p>
    <w:p>
      <w:pPr>
        <w:ind w:right="40" w:firstLine="8"/>
        <w:spacing w:after="0" w:line="250" w:lineRule="auto"/>
        <w:tabs>
          <w:tab w:leader="none" w:pos="2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from October 1, 2028 to September 30, 2029. As of December 31, 2025, we are in compliance with all applicable covenants under the Revenue Interest Financing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At-the-Market-Offerings</w:t>
      </w:r>
    </w:p>
    <w:p>
      <w:pPr>
        <w:spacing w:after="0" w:line="188" w:lineRule="exact"/>
        <w:rPr>
          <w:sz w:val="20"/>
          <w:szCs w:val="20"/>
          <w:color w:val="auto"/>
        </w:rPr>
      </w:pPr>
    </w:p>
    <w:p>
      <w:pPr>
        <w:ind w:right="440" w:firstLine="509"/>
        <w:spacing w:after="0" w:line="226" w:lineRule="auto"/>
        <w:rPr>
          <w:sz w:val="20"/>
          <w:szCs w:val="20"/>
          <w:color w:val="auto"/>
        </w:rPr>
      </w:pPr>
      <w:r>
        <w:rPr>
          <w:rFonts w:ascii="Arial" w:cs="Arial" w:eastAsia="Arial" w:hAnsi="Arial"/>
          <w:sz w:val="18"/>
          <w:szCs w:val="18"/>
          <w:color w:val="auto"/>
        </w:rPr>
        <w:t>In November 2020, we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under which we may, from time to time, sell shares of our common stock having an aggregate offering price of up to an amount registered under an effective registration statement through the Sales Agent.</w:t>
      </w:r>
    </w:p>
    <w:p>
      <w:pPr>
        <w:spacing w:after="0" w:line="14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November 2023, we filed a shelf registration statement on Form S-3 which was declared effective by the SEC on November 17, 2023, which included an at-the-market prospectus pursuant to which we may, from time to time, sell up to an aggregate of $150 million of our common stock through the Sales Agent, or the 2023 ATM Offering. We are not obligated to, and we cannot provide any assurances that we will, make any sales of the shares under the Sales Agreement. The Sales Agreement may be terminated by the Sales Agent or us at any time. No shares were sold under the Sales Agreement during the years ended December 31, 2025 and 2024. As of December 31, 2025, all of the available $150 million under the 2023 ATM Offering remains available.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Offerings</w:t>
      </w:r>
    </w:p>
    <w:p>
      <w:pPr>
        <w:spacing w:after="0" w:line="183" w:lineRule="exact"/>
        <w:rPr>
          <w:sz w:val="20"/>
          <w:szCs w:val="20"/>
          <w:color w:val="auto"/>
        </w:rPr>
      </w:pPr>
    </w:p>
    <w:p>
      <w:pPr>
        <w:jc w:val="both"/>
        <w:ind w:right="40" w:firstLine="509"/>
        <w:spacing w:after="0" w:line="247" w:lineRule="auto"/>
        <w:rPr>
          <w:sz w:val="20"/>
          <w:szCs w:val="20"/>
          <w:color w:val="auto"/>
        </w:rPr>
      </w:pPr>
      <w:r>
        <w:rPr>
          <w:rFonts w:ascii="Arial" w:cs="Arial" w:eastAsia="Arial" w:hAnsi="Arial"/>
          <w:sz w:val="18"/>
          <w:szCs w:val="18"/>
          <w:color w:val="auto"/>
        </w:rPr>
        <w:t>On January 9, 2026, we sold 6,875,000 shares of common stock at a price of $16.00 per share and pre-funded warrants to purchase 1,250,078 shares of common stock at a price of $ 15.999 per pre-funded warrant for total gross proceeds of $130.0 million, before deducting underwriting discounts, commissions and offering costs. The net purchase price after deducting the underwriting discounts and commissions and other offering expenses, was $15.04 per share or net proceeds of $122.2 million.</w:t>
      </w:r>
    </w:p>
    <w:p>
      <w:pPr>
        <w:spacing w:after="0" w:line="133"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On August 20, 2024, we completed an underwritten public offering, in which we sold 8,695,652 shares of our common stock at a price of $11.50 per share and pre-funded warrants to purchase 2,608,922 shares of our common stock at a price of $11.499 per pre-funded warrant for total gross proceeds of $130.0 million. The net purchase price after deducting the underwriting discounts and commissions and other offering expenses, was $10.77 per share or net proceeds of $121.8 million.</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Based on our current operating plan, we believe that our existing cash and cash equivalents together with anticipated product revenues and the $122.2 million of net proceeds from our January 2026 offering, are sufficient to fund operations for at least the next twelve months. However, our forecast of the period of time through which our financial resources may be adequate to support our operations is a forward-looking statement that involves risks and uncertainties and actual results could vary materially. We have based this estimate on assumptions that may prove to be inaccurate, and we could deplete our capital resources sooner than we expect based on the amount and timing of product sales and operating expenses, among other factors. Additionally, the process of testing product candidates in clinical trials is costly, and the timing of progress and expenses in ongoing and future trials is uncertain.</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900" w:right="160" w:hanging="383"/>
        <w:spacing w:after="0" w:line="252"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and maintain market acceptance, market share, coverage, reimbursement and revenues from sales of VOQUEZNA in its approved GERD indications, and patients’ willingness to pay out-of-pocket in the absence of coverage and/or adequate reimbursement from third-party payers;</w:t>
      </w:r>
    </w:p>
    <w:p>
      <w:pPr>
        <w:spacing w:after="0" w:line="130" w:lineRule="exact"/>
        <w:rPr>
          <w:rFonts w:ascii="Times New Roman" w:cs="Times New Roman" w:eastAsia="Times New Roman" w:hAnsi="Times New Roman"/>
          <w:sz w:val="18"/>
          <w:szCs w:val="18"/>
          <w:color w:val="auto"/>
        </w:rPr>
      </w:pPr>
    </w:p>
    <w:p>
      <w:pPr>
        <w:ind w:left="900" w:right="220" w:hanging="383"/>
        <w:spacing w:after="0" w:line="252"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sales and marketing activities in support of the continued commercial launch of VOQUEZNA, VOQUEZNA DUAL PAK and VOQUEZNA TRIPLE PAK, or any future product candidates we may choose to pursue, if successfully developed and approved;</w:t>
      </w:r>
    </w:p>
    <w:p>
      <w:pPr>
        <w:spacing w:after="0" w:line="130"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availability of manufacturing for vonoprazan as well as the costs of manufacturing for any potential product candidates we may pursue in the future;</w:t>
      </w:r>
    </w:p>
    <w:p>
      <w:pPr>
        <w:spacing w:after="0" w:line="127" w:lineRule="exact"/>
        <w:rPr>
          <w:rFonts w:ascii="Times New Roman" w:cs="Times New Roman" w:eastAsia="Times New Roman" w:hAnsi="Times New Roman"/>
          <w:sz w:val="18"/>
          <w:szCs w:val="18"/>
          <w:color w:val="auto"/>
        </w:rPr>
      </w:pPr>
    </w:p>
    <w:p>
      <w:pPr>
        <w:ind w:left="900" w:right="200" w:hanging="383"/>
        <w:spacing w:after="0" w:line="252"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30" w:lineRule="exact"/>
        <w:rPr>
          <w:rFonts w:ascii="Times New Roman" w:cs="Times New Roman" w:eastAsia="Times New Roman" w:hAnsi="Times New Roman"/>
          <w:sz w:val="18"/>
          <w:szCs w:val="18"/>
          <w:color w:val="auto"/>
        </w:rPr>
      </w:pPr>
    </w:p>
    <w:p>
      <w:pPr>
        <w:ind w:left="900" w:right="200" w:hanging="383"/>
        <w:spacing w:after="0" w:line="270"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future vonoprazan applications or such applications for any future product candidates;</w:t>
      </w:r>
    </w:p>
    <w:p>
      <w:pPr>
        <w:spacing w:after="0" w:line="113" w:lineRule="exact"/>
        <w:rPr>
          <w:rFonts w:ascii="Times New Roman" w:cs="Times New Roman" w:eastAsia="Times New Roman" w:hAnsi="Times New Roman"/>
          <w:sz w:val="18"/>
          <w:szCs w:val="18"/>
          <w:color w:val="auto"/>
        </w:rPr>
      </w:pPr>
    </w:p>
    <w:p>
      <w:pPr>
        <w:ind w:left="900" w:right="680" w:hanging="383"/>
        <w:spacing w:after="0" w:line="270"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obtaining, maintaining and enforcing our patents and other intellectual property rights, and the success of our enforcement efforts;</w:t>
      </w:r>
    </w:p>
    <w:p>
      <w:pPr>
        <w:spacing w:after="0" w:line="12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profile and impact of competitive products;</w:t>
      </w:r>
    </w:p>
    <w:p>
      <w:pPr>
        <w:spacing w:after="0" w:line="183" w:lineRule="exact"/>
        <w:rPr>
          <w:rFonts w:ascii="Times New Roman" w:cs="Times New Roman" w:eastAsia="Times New Roman" w:hAnsi="Times New Roman"/>
          <w:sz w:val="18"/>
          <w:szCs w:val="18"/>
          <w:color w:val="auto"/>
        </w:rPr>
      </w:pPr>
    </w:p>
    <w:p>
      <w:pPr>
        <w:ind w:left="900" w:right="520" w:hanging="383"/>
        <w:spacing w:after="0" w:line="270"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hiring additional personnel and consultants as our business grows and enhancing our operational systems;</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97" w:lineRule="exact"/>
        <w:rPr>
          <w:rFonts w:ascii="Times New Roman" w:cs="Times New Roman" w:eastAsia="Times New Roman" w:hAnsi="Times New Roman"/>
          <w:sz w:val="18"/>
          <w:szCs w:val="18"/>
          <w:color w:val="auto"/>
        </w:rPr>
      </w:pPr>
    </w:p>
    <w:p>
      <w:pPr>
        <w:ind w:left="900" w:right="320" w:hanging="383"/>
        <w:spacing w:after="0" w:line="270"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impact of our obligations under our Loan and Security Agreement with Hercules Capital, Inc., and our Revenue Interest Financing Agreement; and</w:t>
      </w:r>
    </w:p>
    <w:p>
      <w:pPr>
        <w:spacing w:after="0" w:line="113" w:lineRule="exact"/>
        <w:rPr>
          <w:rFonts w:ascii="Times New Roman" w:cs="Times New Roman" w:eastAsia="Times New Roman" w:hAnsi="Times New Roman"/>
          <w:sz w:val="18"/>
          <w:szCs w:val="18"/>
          <w:color w:val="auto"/>
        </w:rPr>
      </w:pPr>
    </w:p>
    <w:p>
      <w:pPr>
        <w:ind w:left="900" w:right="180" w:hanging="383"/>
        <w:spacing w:after="0" w:line="246"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building a portfolio of product candidates through the acquisition or in-license of additional product candidates or technologies, including the terms and timing of establishing and maintaining future collaborations, licenses and other similar arrangement and the costs associated with development of any products or technologies that we may in-license or acquire.</w:t>
      </w:r>
    </w:p>
    <w:p>
      <w:pPr>
        <w:spacing w:after="0" w:line="13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Until such time, if ever, as we can generate substantial product revenues to support our cost structure, we expect to also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1" w:right="379" w:bottom="1440" w:gutter="0" w:footer="0" w:header="0"/>
        </w:sectPr>
      </w:pPr>
    </w:p>
    <w:bookmarkStart w:id="89" w:name="page90"/>
    <w:bookmarkEnd w:id="89"/>
    <w:p>
      <w:pPr>
        <w:spacing w:after="0" w:line="253" w:lineRule="auto"/>
        <w:rPr>
          <w:sz w:val="20"/>
          <w:szCs w:val="20"/>
          <w:color w:val="auto"/>
        </w:rPr>
      </w:pPr>
      <w:r>
        <w:rPr>
          <w:rFonts w:ascii="Arial" w:cs="Arial" w:eastAsia="Arial" w:hAnsi="Arial"/>
          <w:sz w:val="18"/>
          <w:szCs w:val="18"/>
          <w:color w:val="auto"/>
        </w:rPr>
        <w:t>common stock. If we are unable to raise additional funds through equity or debt financings when and if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28"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Including our existing cash and cash equivalents, we believe that we have sufficient working capital on hand to fund operations such that there is no substantial doubt as to our ability to continue as a going concern at the date the audited financial statements were issued. There can be no assurance that we will be successful in acquiring additional funding, that our projections of future revenues or working capital needs will prove accurate, or that any additional funding would be sufficient to continue operations in future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194"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Years Ended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w w:val="99"/>
              </w:rPr>
              <w:t>2024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80"/>
              <w:spacing w:after="0" w:line="202" w:lineRule="exact"/>
              <w:rPr>
                <w:sz w:val="20"/>
                <w:szCs w:val="20"/>
                <w:color w:val="auto"/>
              </w:rPr>
            </w:pPr>
            <w:r>
              <w:rPr>
                <w:rFonts w:ascii="Arial" w:cs="Arial" w:eastAsia="Arial" w:hAnsi="Arial"/>
                <w:sz w:val="18"/>
                <w:szCs w:val="18"/>
                <w:color w:val="auto"/>
              </w:rPr>
              <w:t>Operating activities</w:t>
            </w: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(166,775)</w:t>
            </w:r>
          </w:p>
        </w:tc>
        <w:tc>
          <w:tcPr>
            <w:tcW w:w="5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(266,770)</w:t>
            </w:r>
          </w:p>
        </w:tc>
        <w:tc>
          <w:tcPr>
            <w:tcW w:w="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99,995</w:t>
            </w: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Investing activities</w:t>
            </w: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3660" w:type="dxa"/>
            <w:vAlign w:val="bottom"/>
          </w:tcPr>
          <w:p>
            <w:pPr>
              <w:ind w:left="80"/>
              <w:spacing w:after="0" w:line="202" w:lineRule="exact"/>
              <w:rPr>
                <w:sz w:val="20"/>
                <w:szCs w:val="20"/>
                <w:color w:val="auto"/>
              </w:rPr>
            </w:pPr>
            <w:r>
              <w:rPr>
                <w:rFonts w:ascii="Arial" w:cs="Arial" w:eastAsia="Arial" w:hAnsi="Arial"/>
                <w:sz w:val="18"/>
                <w:szCs w:val="18"/>
                <w:color w:val="auto"/>
              </w:rPr>
              <w:t>Financing activities</w:t>
            </w:r>
          </w:p>
        </w:tc>
        <w:tc>
          <w:tcPr>
            <w:tcW w:w="1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(288)</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182,774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(183,062)</w:t>
            </w: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decrease in cash</w:t>
            </w:r>
          </w:p>
        </w:tc>
        <w:tc>
          <w:tcPr>
            <w:tcW w:w="14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(167,292)</w:t>
            </w:r>
          </w:p>
        </w:tc>
        <w:tc>
          <w:tcPr>
            <w:tcW w:w="52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(84,131)</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(83,161)</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Net cash used in operating activities was approximately $166.8 million and $266.8 million for the years ended December 31, 2025 and 2024, respectively. The net cash used in operating activities for the year ended December 31, 2025 was due to approximately $ 154.4 million spent on ongoing research and development and selling, general and administrative activities and a $12.4 million net change in operating assets and liabilities. The net change in operating assets and liabilities is related to a $34.4 million increase in accounts payable and accrued expenses (including interest, operating lease assets and liabilities), a $5.5 million decrease in prepaid assets and other current assets, and a $52.3 million increase in accounts receivable, inventory, and other long-term assets. The net cash used in operating activities for the year ended December 31, 2024 was due to approximately $ 251.5 million spent on ongoing research and development and selling, general and administrative activities and a $15.3 million net change in operating assets and liabilities. The net change in operating assets and liabilities primarily related to a $35.7 million increase in accounts payable and accrued expenses (including interest, operating lease assets and liabilities), and a $51.0 million increase in accounts receivable, inventory, and prepaid assets and other current assets in support of our growth and continued launch of our commercial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3"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Net cash used in investing activities for the years ended December 31, 2025 and 2024 was related to payments for acquiring property and equipment.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69"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Net cash used in financing activities for the year ended December 31, 2025 was $0.3 million primarily related to $1.9 million payments of employee tax obligations related to vesting of PSUs and RSUs offset by $1.6 million of proceeds from the issuance of common stock from exercise of stock options. Net cash provided by financing activities for the year ended December 31, 2024 was $182.8 million, primarily related to $ 59.4 million of net proceeds from the issuance of debt under our Loan Agreement, $121.8 million of net proceeds from issuance of common stock and pre-funded warrants in connection with the underwritten public offering completed in August 2024, and $1.6 million of proceeds from the exercise of stock options.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December 30, 2020, we entered into a Supply and Packaging Services Agreement with Sandoz, pursuant to which Sandoz has agreed to supply commercial quantities of amoxicillin capsules and clarithromycin tablets, to package these antibiotics with vonoprazan, in finished convenience packs, and to supply us with these convenience packs. The supply agreement commits us to a minimum purchase obligation of approximately $3.2 million during the first 24-month period following the launch of the final product. We have incurred $1.7 million and $0.3 million of expenses under the agreement during each of the years ended December 31, 2025 and 2024, respectively. As of December 31, 2025, €1.2 million, or approximately $1.4 million, remains of the minimum purchase obligation and for which we have recorded within accrued expenses on the balance sheet and within our statement of operations and comprehensive loss during the year ended December 31, 2025.</w:t>
      </w:r>
    </w:p>
    <w:p>
      <w:pPr>
        <w:spacing w:after="0" w:line="140"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Additionally, on May 3, 2022, we entered into a Revenue Interest Financing Agreement, or the Revenue Interest Financing Agreement, with entities managed or advised by NovaQuest Capital Management, or NQ, Sagard Holdings Manager LP, or Sagard, and Hercules Capital, Inc. , or Hercules, together with NQ and Sagard, the Initial Investors, and on October 31, 2022, we entered into a Joinder and Waiver Agreement with the Initial Investors and CO Finance LVS XXXVII LLC, or the Additional Investor, and Hercules Capital, Inc. in its capacity as administrative agent and collateral agent for itself and the lenders under that certain Loan Agreement, or the Joinder Agreement, in respect of the Revenue Interest Financing Agreement. We received $100 million at the initial closing and an additional $175 million in fourth quarter 2023 following FDA approval of vonoprazan for treatment of Erosive GERD, or the Investment Amount. Under the terms of the Joinder Agreement, we received $15 million in additional funding upon FDA approval of vonoprazan for Erosive GERD, or Approval Additional Funding, in the fourth quarter of 2023 and provides for $25 million in additional funding for achievement of a sales milestone, or Milestone Additional Funding, and, together with the Approval Additional Funding, or the Additional Investor Funding. On December 23, 2024, CO Finance LVS XXXVII LLC agreed to assign and transfer to OC III LVS LX LP all of its rights, title and interest as an Additional Investor and in connection therewith, OC III LVS LX LP executed a Joinder Agreement. As of December 31, 2025, no additional funding is available under the Revenue Interest Financing Agreement. Under the Revenue Interest Financing Agreement, the Initial Investors and Additional Investors are entitled to receive a 10% royalty on net sales of products containing vonoprazan. The investors’ right to receive royalties on net sales will terminate when the investors have aggregate payments equal to 200% of the Investment Amount less any royalties already paid. During the years ended December 31, 2025 and 2024 we incurred $14.8 million and $2.6 million, respectively, of royalty payments under the Revenue Interest Financing Agreement.</w:t>
      </w:r>
    </w:p>
    <w:p>
      <w:pPr>
        <w:spacing w:after="0" w:line="15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enter into contracts in the normal course of business for our contract research services, contract manufacturing services, professional services and other services and products for operating purposes. These contracts generally provide for termination after a notice period, and, therefore, are cancelable contracts.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71"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revenues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3"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While our significant accounting policies are more fully described in Note 1 to our financial statements, we believe that the following accounting policies are the most critical for fully understanding and evaluating our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9"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Revenues from product sales may vary due to rebates, chargebacks, discounts and fees provided under government and other programs, product returns and other sales-related deductions. Reserves are established for the estimates of variable consideration based on the amounts earned or to be claimed on the related sales. The reserves are classified as reductions to accounts receivable, net if payable to a customer or accrued expenses if payable to a third-party or related to product returns. Where appropriate, we utilize the expected value method to determine the appropriate amount for estimates of variable consideration based on factors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91" w:name="page92"/>
    <w:bookmarkEnd w:id="91"/>
    <w:p>
      <w:pPr>
        <w:ind w:right="360"/>
        <w:spacing w:after="0" w:line="242" w:lineRule="auto"/>
        <w:rPr>
          <w:sz w:val="20"/>
          <w:szCs w:val="20"/>
          <w:color w:val="auto"/>
        </w:rPr>
      </w:pPr>
      <w:r>
        <w:rPr>
          <w:rFonts w:ascii="Arial" w:cs="Arial" w:eastAsia="Arial" w:hAnsi="Arial"/>
          <w:sz w:val="18"/>
          <w:szCs w:val="18"/>
          <w:color w:val="auto"/>
        </w:rPr>
        <w:t>such as current contractual and statutory requirements,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our estimates. If actual results vary from our estimates, we will adjust these estimates, which would affect net product revenue and earnings in the period such variances become known.</w:t>
      </w:r>
    </w:p>
    <w:p>
      <w:pPr>
        <w:spacing w:after="0" w:line="138"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We make significant estimates and judgments that materially affect our recognition of net product revenue. Claims by third-party payors for rebates, chargebacks and discounts frequently are submitted to us significantly after the related sales, potentially resulting in adjustments in the period in which the new information becomes known. We will adjust our estimates based on new information, including information regarding actual rebates, chargebacks, co-pay assistance and discounts for our products, as it becomes available.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Interest Financing Liability</w:t>
      </w:r>
    </w:p>
    <w:p>
      <w:pPr>
        <w:spacing w:after="0" w:line="183"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We have accounted for the Revenue Interest Financing Agreement as a debt instrument. Accordingly, we recognized the transaction as a debt obligation with interest expense based on an imputed effective rate derived from the initial carrying value of the obligation and the expected future payments. We recalculate the effective interest rate each period based on the current carrying value and the revised estimated future payments. Changes in future payments from previous estimates are included in the current and future financing expense. See Note 6 Revenue Interest Financing Liability for additional details.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Smaller Reporting Company Status</w:t>
      </w:r>
    </w:p>
    <w:p>
      <w:pPr>
        <w:spacing w:after="0" w:line="18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are currently a smaller reporting company as defined in Rule 12b-2 of the Exchange Act. We may take advantage of certain of the scaled disclosures available to smaller reporting companies and will be able to take advantage of these scaled disclosures for so long as (i) our voting and non-voting common stock held by non-affiliates is less than $250 million measured on the last business day of our second fiscal quarter or (ii)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included in Note 1, Organization, Basis of Presentation and Summary of Significant Accounting Policies included in Item 15 of this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SEC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9"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Our cash and cash equivalents consist of cash in readily available checking accounts and money market funds. As a result, the fair value of our investment portfolio is relatively insensitive to interest rate changes. Additionally, our long-term debt bears interest at a variable rate. A 10% increase or decrease in the interest rate on our long-term debt would not have a material effect on our financial position, results of operations or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8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 costs. We do not believe inflation has had a material effect on our results of operations during the periods presented.</w:t>
      </w:r>
    </w:p>
    <w:p>
      <w:pPr>
        <w:spacing w:after="0" w:line="1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92" w:name="page93"/>
    <w:bookmarkEnd w:id="92"/>
    <w:p>
      <w:pPr>
        <w:ind w:firstLine="509"/>
        <w:spacing w:after="0" w:line="271" w:lineRule="auto"/>
        <w:rPr>
          <w:sz w:val="20"/>
          <w:szCs w:val="20"/>
          <w:color w:val="auto"/>
        </w:rPr>
      </w:pPr>
      <w:r>
        <w:rPr>
          <w:rFonts w:ascii="Arial" w:cs="Arial" w:eastAsia="Arial" w:hAnsi="Arial"/>
          <w:sz w:val="18"/>
          <w:szCs w:val="18"/>
          <w:color w:val="auto"/>
        </w:rPr>
        <w:t>The financial statements required pursuant to this item are incorporated by reference herein from the applicable information included in Item 15 of this annual report and are presented beginning on page F-1.</w:t>
      </w:r>
    </w:p>
    <w:p>
      <w:pPr>
        <w:spacing w:after="0" w:line="1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7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6"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Based on such evaluation, our principal executive officer and principal financial officer have concluded that as of such date, our disclosure controls and procedures were effective at the reasonable assurance level.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of the Exchange Act). Internal control over financial reporting is a process designed under the supervision and with the participation of our management to provide reasonable assurance regarding the reliability of financial reporting and the preparation of financial statements for external purposes in accordance with accounting principles generally accepted in the United States of America. Management conducted an assessment of the effectiveness of our internal control over financial reporting based on the criteria set forth by the Committee of Sponsoring Organizations of the Treadway Commission in Internal Control—Integrated Framework (2013 Framework). Based on this assessment, our management concluded that, as of December 31, 2025, our internal control over financial reporting was effective.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7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due to an exclusion for non-accelerated filers.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5"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ended December 31, 2025 that have materially affected, or are reasonably likely to materially affect, our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On February 25, 2026, or the Fifth Amendment Closing Date, the Company entered into the Fifth Amendment to the Loan and Security Agreement, or the Fifth Loan Amendment, with the lenders, which, among other things, (i) provides for a new term loan tranche of $175 million, the proceeds of which, along with cash on our balance sheet, were used to repay in full the existing secured obligations outstanding under the Loan Agreement, including principal, capitalized payment-in-kind interest, existing final fee payments, and any applicable prepayment fees, (ii) provides for an additional loan tranche of up to $25 million which shall be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93" w:name="page94"/>
    <w:bookmarkEnd w:id="93"/>
    <w:p>
      <w:pPr>
        <w:ind w:right="320"/>
        <w:spacing w:after="0" w:line="250" w:lineRule="auto"/>
        <w:rPr>
          <w:sz w:val="20"/>
          <w:szCs w:val="20"/>
          <w:color w:val="auto"/>
        </w:rPr>
      </w:pPr>
      <w:r>
        <w:rPr>
          <w:rFonts w:ascii="Arial" w:cs="Arial" w:eastAsia="Arial" w:hAnsi="Arial"/>
          <w:sz w:val="17"/>
          <w:szCs w:val="17"/>
          <w:color w:val="auto"/>
        </w:rPr>
        <w:t>available to the Company at the lenders’ discretion, (iii) extends the maturity date from December 1, 2027 to February 1, 2029, subject to further extension to December 1, 2030 upon the achievement of a specified revenue milestone and subject to a certain pro forma liquidity test; (iv) extends the interest only period from October 2026 to December 2027, thereafter, monthly payment of interest and 2.5% of the original principal amount advanced through the maturity date, with any remaining payments to be repaid in full on the maturity date, (v) changes the cash interest rate to 9.85% (floating rate based on the greater of (a) US WSJ Prime + 3.10% or (b) 9.85%, (vi) eliminates the payment-in-kind interest rate of 2.15% per annum, (vii) amends the prepayment charge, which is a percentage of the principal amount actually advanced under the Term Loans under the Fifth Loan Amendment, or each a Term Loan Advance and together, the Term Loan Advances, as follows: (a) if the Term Loan Advances are prepaid after the Fifth Amendment Closing Date but prior to the twelfth month anniversary of the Fifth Amendment Closing Date, 2.50%; (b) if the Term Loan Advances are prepaid on or after the twelfth month anniversary of the Fifth Amendment Closing Date but prior to the twenty-fourth month anniversary of the Fifth Amendment Closing Date,</w:t>
      </w:r>
    </w:p>
    <w:p>
      <w:pPr>
        <w:spacing w:after="0" w:line="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2.00%; (c) if the Term Loan Advances are prepaid on or after the twenty-fourth month anniversary of the Fifth Amendment Closing Date but prior to the thirty-sixth month anniversary of the Fifth Amendment Closing Date, 1.50%; (d) thereafter, 1.00%; and (viii) provides for a new final payment fee which is as a percentage of the Term Loan Advances so prepaid, as follows: (a) if the Term Loan Advances are repaid prior to September 2027, 1.25%; (b) if the Term Loan Advances are repaid after September 1, 2027 but on or prior to February 1, 2029, 2.00%; (c) if the Term Loan Advances are repaid after February 1, 2029 but on or prior to January 1, 2030, 3.00%, and (d) if the Term Loan Advances are repaid after January 1, 2030, 3.50%.</w:t>
      </w:r>
    </w:p>
    <w:p>
      <w:pPr>
        <w:spacing w:after="0" w:line="141"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In addition, the financial covenants under the Fifth Loan Amendment include (i) a minimum cash covenant and (ii) a performance covenant, as follows:</w:t>
      </w:r>
    </w:p>
    <w:p>
      <w:pPr>
        <w:spacing w:after="0" w:line="46" w:lineRule="exact"/>
        <w:rPr>
          <w:sz w:val="20"/>
          <w:szCs w:val="20"/>
          <w:color w:val="auto"/>
        </w:rPr>
      </w:pPr>
    </w:p>
    <w:p>
      <w:pPr>
        <w:ind w:left="1780" w:right="40" w:hanging="515"/>
        <w:spacing w:after="0" w:line="245" w:lineRule="auto"/>
        <w:tabs>
          <w:tab w:leader="none" w:pos="1780" w:val="left"/>
        </w:tabs>
        <w:numPr>
          <w:ilvl w:val="0"/>
          <w:numId w:val="48"/>
        </w:numPr>
        <w:rPr>
          <w:rFonts w:ascii="Calibri" w:cs="Calibri" w:eastAsia="Calibri" w:hAnsi="Calibri"/>
          <w:sz w:val="18"/>
          <w:szCs w:val="18"/>
          <w:color w:val="auto"/>
        </w:rPr>
      </w:pPr>
      <w:r>
        <w:rPr>
          <w:rFonts w:ascii="Arial" w:cs="Arial" w:eastAsia="Arial" w:hAnsi="Arial"/>
          <w:sz w:val="18"/>
          <w:szCs w:val="18"/>
          <w:color w:val="auto"/>
        </w:rPr>
        <w:t>Minimum cash covenant - We must maintain a minimum cash balance of 20% of the outstanding principal balance at all times, which will decrease to 15% of the outstanding principal amount upon the Company reporting and maintaining $75 million of trailing three months net product revenue.</w:t>
      </w:r>
    </w:p>
    <w:p>
      <w:pPr>
        <w:spacing w:after="0" w:line="68" w:lineRule="exact"/>
        <w:rPr>
          <w:rFonts w:ascii="Calibri" w:cs="Calibri" w:eastAsia="Calibri" w:hAnsi="Calibri"/>
          <w:sz w:val="18"/>
          <w:szCs w:val="18"/>
          <w:color w:val="auto"/>
        </w:rPr>
      </w:pPr>
    </w:p>
    <w:p>
      <w:pPr>
        <w:ind w:left="1780" w:right="100" w:hanging="515"/>
        <w:spacing w:after="0" w:line="256" w:lineRule="auto"/>
        <w:tabs>
          <w:tab w:leader="none" w:pos="1780" w:val="left"/>
        </w:tabs>
        <w:numPr>
          <w:ilvl w:val="0"/>
          <w:numId w:val="48"/>
        </w:numPr>
        <w:rPr>
          <w:rFonts w:ascii="Calibri" w:cs="Calibri" w:eastAsia="Calibri" w:hAnsi="Calibri"/>
          <w:sz w:val="18"/>
          <w:szCs w:val="18"/>
          <w:color w:val="auto"/>
        </w:rPr>
      </w:pPr>
      <w:r>
        <w:rPr>
          <w:rFonts w:ascii="Arial" w:cs="Arial" w:eastAsia="Arial" w:hAnsi="Arial"/>
          <w:sz w:val="18"/>
          <w:szCs w:val="18"/>
          <w:color w:val="auto"/>
        </w:rPr>
        <w:t>Performance covenant - Beginning on the Fifth Amendment Closing Date and all times there after we must satisfy any one of the following:</w:t>
      </w:r>
    </w:p>
    <w:p>
      <w:pPr>
        <w:spacing w:after="0" w:line="57" w:lineRule="exact"/>
        <w:rPr>
          <w:rFonts w:ascii="Calibri" w:cs="Calibri" w:eastAsia="Calibri" w:hAnsi="Calibri"/>
          <w:sz w:val="18"/>
          <w:szCs w:val="18"/>
          <w:color w:val="auto"/>
        </w:rPr>
      </w:pPr>
    </w:p>
    <w:p>
      <w:pPr>
        <w:ind w:left="2280" w:hanging="505"/>
        <w:spacing w:after="0"/>
        <w:tabs>
          <w:tab w:leader="none" w:pos="2280" w:val="left"/>
        </w:tabs>
        <w:numPr>
          <w:ilvl w:val="1"/>
          <w:numId w:val="48"/>
        </w:numPr>
        <w:rPr>
          <w:rFonts w:ascii="Calibri" w:cs="Calibri" w:eastAsia="Calibri" w:hAnsi="Calibri"/>
          <w:sz w:val="18"/>
          <w:szCs w:val="18"/>
          <w:color w:val="auto"/>
        </w:rPr>
      </w:pPr>
      <w:r>
        <w:rPr>
          <w:rFonts w:ascii="Arial" w:cs="Arial" w:eastAsia="Arial" w:hAnsi="Arial"/>
          <w:sz w:val="18"/>
          <w:szCs w:val="18"/>
          <w:color w:val="auto"/>
        </w:rPr>
        <w:t>Market capitalization exceeding $900 million;</w:t>
      </w:r>
    </w:p>
    <w:p>
      <w:pPr>
        <w:spacing w:after="0" w:line="117" w:lineRule="exact"/>
        <w:rPr>
          <w:rFonts w:ascii="Calibri" w:cs="Calibri" w:eastAsia="Calibri" w:hAnsi="Calibri"/>
          <w:sz w:val="18"/>
          <w:szCs w:val="18"/>
          <w:color w:val="auto"/>
        </w:rPr>
      </w:pPr>
    </w:p>
    <w:p>
      <w:pPr>
        <w:ind w:left="2280" w:right="300" w:hanging="505"/>
        <w:spacing w:after="0" w:line="245" w:lineRule="auto"/>
        <w:tabs>
          <w:tab w:leader="none" w:pos="2280" w:val="left"/>
        </w:tabs>
        <w:numPr>
          <w:ilvl w:val="1"/>
          <w:numId w:val="48"/>
        </w:numPr>
        <w:rPr>
          <w:rFonts w:ascii="Calibri" w:cs="Calibri" w:eastAsia="Calibri" w:hAnsi="Calibri"/>
          <w:sz w:val="18"/>
          <w:szCs w:val="18"/>
          <w:color w:val="auto"/>
        </w:rPr>
      </w:pPr>
      <w:r>
        <w:rPr>
          <w:rFonts w:ascii="Arial" w:cs="Arial" w:eastAsia="Arial" w:hAnsi="Arial"/>
          <w:sz w:val="18"/>
          <w:szCs w:val="18"/>
          <w:color w:val="auto"/>
        </w:rPr>
        <w:t>Minimum cash balance of 50% of the outstanding principal amount of term loans, which will decrease to 40% upon achieving $65 million of trailing three months nets product revenue, and to 30% upon achieving $85 million, of trailing three months net product revenue; or</w:t>
      </w:r>
    </w:p>
    <w:p>
      <w:pPr>
        <w:spacing w:after="0" w:line="68" w:lineRule="exact"/>
        <w:rPr>
          <w:rFonts w:ascii="Calibri" w:cs="Calibri" w:eastAsia="Calibri" w:hAnsi="Calibri"/>
          <w:sz w:val="18"/>
          <w:szCs w:val="18"/>
          <w:color w:val="auto"/>
        </w:rPr>
      </w:pPr>
    </w:p>
    <w:p>
      <w:pPr>
        <w:ind w:left="2280" w:right="440" w:hanging="505"/>
        <w:spacing w:after="0" w:line="256" w:lineRule="auto"/>
        <w:tabs>
          <w:tab w:leader="none" w:pos="2280" w:val="left"/>
        </w:tabs>
        <w:numPr>
          <w:ilvl w:val="1"/>
          <w:numId w:val="48"/>
        </w:numPr>
        <w:rPr>
          <w:rFonts w:ascii="Calibri" w:cs="Calibri" w:eastAsia="Calibri" w:hAnsi="Calibri"/>
          <w:sz w:val="18"/>
          <w:szCs w:val="18"/>
          <w:color w:val="auto"/>
        </w:rPr>
      </w:pPr>
      <w:r>
        <w:rPr>
          <w:rFonts w:ascii="Arial" w:cs="Arial" w:eastAsia="Arial" w:hAnsi="Arial"/>
          <w:sz w:val="18"/>
          <w:szCs w:val="18"/>
          <w:color w:val="auto"/>
        </w:rPr>
        <w:t>Trailing three months net product revenue equal to 75% of projected revenue in 2026 and 70% of projected revenue in 2027 and beyond, tested on a quarterly basis.</w:t>
      </w:r>
    </w:p>
    <w:p>
      <w:pPr>
        <w:spacing w:after="0" w:line="12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 connection with the Fifth Loan Amendment, the existing final fee payments under the Loan and Security Agreement in the aggregate amount of $11.5 million were fully paid to Agent and a facility fee of $1.8 million was also paid to the Agent.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Trading Arrangements: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69"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 xml:space="preserve">From time to time, our officers (as defined in Rule 16a-1(f) of the Exchange Act) and directors may enter into Rule 10b5-1 or non-Rule 10b5-1 trading arrangements (as each such term is defined in Item 408 of Regulation S-K). During the three months ended December 31, 2025, none of our officers or directors </w:t>
      </w:r>
      <w:r>
        <w:rPr>
          <w:rFonts w:ascii="Arial" w:cs="Arial" w:eastAsia="Arial" w:hAnsi="Arial"/>
          <w:sz w:val="18"/>
          <w:szCs w:val="18"/>
          <w:b w:val="1"/>
          <w:bCs w:val="1"/>
          <w:color w:val="auto"/>
        </w:rPr>
        <w:t>adopted</w:t>
      </w:r>
      <w:r>
        <w:rPr>
          <w:rFonts w:ascii="Arial" w:cs="Arial" w:eastAsia="Arial" w:hAnsi="Arial"/>
          <w:sz w:val="18"/>
          <w:szCs w:val="18"/>
          <w:color w:val="auto"/>
        </w:rPr>
        <w:t xml:space="preserve">, </w:t>
      </w:r>
      <w:r>
        <w:rPr>
          <w:rFonts w:ascii="Arial" w:cs="Arial" w:eastAsia="Arial" w:hAnsi="Arial"/>
          <w:sz w:val="18"/>
          <w:szCs w:val="18"/>
          <w:b w:val="1"/>
          <w:bCs w:val="1"/>
          <w:color w:val="auto"/>
        </w:rPr>
        <w:t>modified</w:t>
      </w:r>
      <w:r>
        <w:rPr>
          <w:rFonts w:ascii="Arial" w:cs="Arial" w:eastAsia="Arial" w:hAnsi="Arial"/>
          <w:sz w:val="18"/>
          <w:szCs w:val="18"/>
          <w:color w:val="auto"/>
        </w:rPr>
        <w:t xml:space="preserve"> or </w:t>
      </w:r>
      <w:r>
        <w:rPr>
          <w:rFonts w:ascii="Arial" w:cs="Arial" w:eastAsia="Arial" w:hAnsi="Arial"/>
          <w:sz w:val="18"/>
          <w:szCs w:val="18"/>
          <w:b w:val="1"/>
          <w:bCs w:val="1"/>
          <w:color w:val="auto"/>
        </w:rPr>
        <w:t>terminated</w:t>
      </w:r>
      <w:r>
        <w:rPr>
          <w:rFonts w:ascii="Arial" w:cs="Arial" w:eastAsia="Arial" w:hAnsi="Arial"/>
          <w:sz w:val="18"/>
          <w:szCs w:val="18"/>
          <w:color w:val="auto"/>
        </w:rPr>
        <w:t xml:space="preserve"> any such trading arrangements.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 that Prevent Inspection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94" w:name="page95"/>
    <w:bookmarkEnd w:id="94"/>
    <w:p>
      <w:pPr>
        <w:ind w:left="528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our 2026 Annual Meeting of Stockholders, or the Definitive Proxy Statement, which is expected to be filed not later than 120 days after the end of our fiscal year ended December 31, 2025, under the headings “Election of Directors,” “Executive Officers,” “Corporate Governance,” and is incorporated herein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Policies and Procedures</w:t>
      </w:r>
    </w:p>
    <w:p>
      <w:pPr>
        <w:spacing w:after="0" w:line="185"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We have adopted a formal policy against insider trading which provides guidelines to all of our directors, officers, employees, and consultants with respect to trading in our securities, as well as the securities of publicly traded companies with whom we have a business relationship. This policy has been designed to prevent insider trading or even allegations of insider trading.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17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have adopted a Code of Conduct and Ethics that applies to our officers, directors and employees, which is available on our website at www.phathompharma.com. The Code of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The information required by this item will be set forth in the section headed “Executive Compensation and Other Information” in our Definitive Proxy Statement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5"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information required by this item will be set forth in the section headed “Security Ownership of Certain Beneficial Owners and Management” in our Definitive Proxy Statement and is incorporated herein by reference.</w:t>
      </w:r>
    </w:p>
    <w:p>
      <w:pPr>
        <w:spacing w:after="0" w:line="11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information required by Item 201(d) of Regulation S-K will be set forth in the section headed “Executive Compensation and Other Information” in our Definitive Proxy Statement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5"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 information required by this item will be set forth in the section headed “Certain Relationships and Related Person Transactions,” “Director Independence” and “Board Committees and Independence” in our Definitive Proxy Statement and is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information required by this item will be set forth in the section headed “Independent Registered Public Accounting Firm's Fees” in our Definitive Proxy Statement and is incorporated herein by reference.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95" w:name="page96"/>
    <w:bookmarkEnd w:id="95"/>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4" w:lineRule="exact"/>
        <w:rPr>
          <w:sz w:val="20"/>
          <w:szCs w:val="20"/>
          <w:color w:val="auto"/>
        </w:rPr>
      </w:pPr>
    </w:p>
    <w:p>
      <w:pPr>
        <w:ind w:left="520" w:hanging="512"/>
        <w:spacing w:after="0"/>
        <w:tabs>
          <w:tab w:leader="none" w:pos="520" w:val="left"/>
        </w:tabs>
        <w:numPr>
          <w:ilvl w:val="0"/>
          <w:numId w:val="49"/>
        </w:numPr>
        <w:rPr>
          <w:rFonts w:ascii="Calibri" w:cs="Calibri" w:eastAsia="Calibri" w:hAnsi="Calibri"/>
          <w:sz w:val="18"/>
          <w:szCs w:val="18"/>
          <w:b w:val="1"/>
          <w:bCs w:val="1"/>
          <w:color w:val="auto"/>
        </w:rPr>
      </w:pPr>
      <w:r>
        <w:rPr>
          <w:rFonts w:ascii="Arial" w:cs="Arial" w:eastAsia="Arial" w:hAnsi="Arial"/>
          <w:sz w:val="18"/>
          <w:szCs w:val="18"/>
          <w:b w:val="1"/>
          <w:bCs w:val="1"/>
          <w:color w:val="auto"/>
        </w:rPr>
        <w:t>All financial statements.</w:t>
      </w:r>
    </w:p>
    <w:p>
      <w:pPr>
        <w:spacing w:after="0" w:line="185"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financial statements of Phathom Pharmaceuticals, Inc., together with the report thereon of Ernst &amp; Young LLP, an independent registered public accounting firm, are included in this annual report on Form 10-K beginning on page F-1.</w:t>
      </w:r>
    </w:p>
    <w:p>
      <w:pPr>
        <w:spacing w:after="0" w:line="113" w:lineRule="exact"/>
        <w:rPr>
          <w:sz w:val="20"/>
          <w:szCs w:val="20"/>
          <w:color w:val="auto"/>
        </w:rPr>
      </w:pPr>
    </w:p>
    <w:p>
      <w:pPr>
        <w:ind w:left="520" w:hanging="512"/>
        <w:spacing w:after="0"/>
        <w:tabs>
          <w:tab w:leader="none" w:pos="520" w:val="left"/>
        </w:tabs>
        <w:numPr>
          <w:ilvl w:val="0"/>
          <w:numId w:val="50"/>
        </w:numPr>
        <w:rPr>
          <w:rFonts w:ascii="Calibri" w:cs="Calibri" w:eastAsia="Calibri" w:hAnsi="Calibri"/>
          <w:sz w:val="18"/>
          <w:szCs w:val="18"/>
          <w:b w:val="1"/>
          <w:bCs w:val="1"/>
          <w:color w:val="auto"/>
        </w:rPr>
      </w:pPr>
      <w:r>
        <w:rPr>
          <w:rFonts w:ascii="Arial" w:cs="Arial" w:eastAsia="Arial" w:hAnsi="Arial"/>
          <w:sz w:val="18"/>
          <w:szCs w:val="18"/>
          <w:b w:val="1"/>
          <w:bCs w:val="1"/>
          <w:color w:val="auto"/>
        </w:rPr>
        <w:t>Financial statement schedules.</w:t>
      </w:r>
    </w:p>
    <w:p>
      <w:pPr>
        <w:spacing w:after="0" w:line="19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113" w:lineRule="exact"/>
        <w:rPr>
          <w:sz w:val="20"/>
          <w:szCs w:val="20"/>
          <w:color w:val="auto"/>
        </w:rPr>
      </w:pPr>
    </w:p>
    <w:p>
      <w:pPr>
        <w:ind w:left="520" w:hanging="512"/>
        <w:spacing w:after="0"/>
        <w:tabs>
          <w:tab w:leader="none" w:pos="520" w:val="left"/>
        </w:tabs>
        <w:numPr>
          <w:ilvl w:val="0"/>
          <w:numId w:val="51"/>
        </w:numPr>
        <w:rPr>
          <w:rFonts w:ascii="Calibri" w:cs="Calibri" w:eastAsia="Calibri" w:hAnsi="Calibri"/>
          <w:sz w:val="18"/>
          <w:szCs w:val="18"/>
          <w:b w:val="1"/>
          <w:bCs w:val="1"/>
          <w:color w:val="auto"/>
        </w:rPr>
      </w:pPr>
      <w:r>
        <w:rPr>
          <w:rFonts w:ascii="Arial" w:cs="Arial" w:eastAsia="Arial" w:hAnsi="Arial"/>
          <w:sz w:val="18"/>
          <w:szCs w:val="18"/>
          <w:b w:val="1"/>
          <w:bCs w:val="1"/>
          <w:color w:val="auto"/>
        </w:rPr>
        <w:t>Exhibits</w:t>
      </w:r>
    </w:p>
    <w:p>
      <w:pPr>
        <w:spacing w:after="0" w:line="18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A list of exhibits is set forth on the Exhibit Index immediately preceding the signature page of this annual report on Form 10-K and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60" w:right="539" w:bottom="1440" w:gutter="0" w:footer="0" w:header="0"/>
        </w:sectPr>
      </w:pPr>
    </w:p>
    <w:bookmarkStart w:id="96" w:name="page97"/>
    <w:bookmarkEnd w:id="96"/>
    <w:p>
      <w:pPr>
        <w:ind w:left="4260"/>
        <w:spacing w:after="0"/>
        <w:rPr>
          <w:sz w:val="20"/>
          <w:szCs w:val="20"/>
          <w:color w:val="auto"/>
        </w:rPr>
      </w:pPr>
      <w:r>
        <w:rPr>
          <w:rFonts w:ascii="Arial" w:cs="Arial" w:eastAsia="Arial" w:hAnsi="Arial"/>
          <w:sz w:val="18"/>
          <w:szCs w:val="18"/>
          <w:b w:val="1"/>
          <w:bCs w:val="1"/>
          <w:color w:val="auto"/>
        </w:rPr>
        <w:t>Phathom Pharmaceuticals, Inc.</w:t>
      </w:r>
    </w:p>
    <w:p>
      <w:pPr>
        <w:spacing w:after="0" w:line="10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0"/>
        </w:trPr>
        <w:tc>
          <w:tcPr>
            <w:tcW w:w="1058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42)</w:t>
            </w:r>
          </w:p>
        </w:tc>
        <w:tc>
          <w:tcPr>
            <w:tcW w:w="660" w:type="dxa"/>
            <w:vAlign w:val="bottom"/>
          </w:tcPr>
          <w:p>
            <w:pPr>
              <w:ind w:left="40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83"/>
        </w:trPr>
        <w:tc>
          <w:tcPr>
            <w:tcW w:w="46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Balance Sheets</w:t>
            </w:r>
          </w:p>
        </w:tc>
        <w:tc>
          <w:tcPr>
            <w:tcW w:w="5980" w:type="dxa"/>
            <w:vAlign w:val="bottom"/>
          </w:tcPr>
          <w:p>
            <w:pPr>
              <w:spacing w:after="0"/>
              <w:rPr>
                <w:sz w:val="15"/>
                <w:szCs w:val="15"/>
                <w:color w:val="auto"/>
              </w:rPr>
            </w:pPr>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83"/>
        </w:trPr>
        <w:tc>
          <w:tcPr>
            <w:tcW w:w="1260" w:type="dxa"/>
            <w:vAlign w:val="bottom"/>
            <w:tcBorders>
              <w:top w:val="single" w:sz="8" w:color="0000FF"/>
            </w:tcBorders>
          </w:tcPr>
          <w:p>
            <w:pPr>
              <w:spacing w:after="0" w:line="182" w:lineRule="exact"/>
              <w:rPr>
                <w:sz w:val="20"/>
                <w:szCs w:val="20"/>
                <w:color w:val="auto"/>
              </w:rPr>
            </w:pPr>
            <w:r>
              <w:rPr>
                <w:rFonts w:ascii="Arial" w:cs="Arial" w:eastAsia="Arial" w:hAnsi="Arial"/>
                <w:sz w:val="18"/>
                <w:szCs w:val="18"/>
                <w:color w:val="0000FF"/>
              </w:rPr>
              <w:t>Statements of</w:t>
            </w:r>
          </w:p>
        </w:tc>
        <w:tc>
          <w:tcPr>
            <w:tcW w:w="20" w:type="dxa"/>
            <w:vAlign w:val="bottom"/>
            <w:tcBorders>
              <w:top w:val="single" w:sz="8" w:color="0000EE"/>
            </w:tcBorders>
          </w:tcPr>
          <w:p>
            <w:pPr>
              <w:spacing w:after="0"/>
              <w:rPr>
                <w:sz w:val="15"/>
                <w:szCs w:val="15"/>
                <w:color w:val="auto"/>
              </w:rPr>
            </w:pPr>
          </w:p>
        </w:tc>
        <w:tc>
          <w:tcPr>
            <w:tcW w:w="9300" w:type="dxa"/>
            <w:vAlign w:val="bottom"/>
            <w:gridSpan w:val="6"/>
          </w:tcPr>
          <w:p>
            <w:pPr>
              <w:spacing w:after="0" w:line="182" w:lineRule="exact"/>
              <w:rPr>
                <w:sz w:val="20"/>
                <w:szCs w:val="20"/>
                <w:color w:val="auto"/>
              </w:rPr>
            </w:pPr>
            <w:r>
              <w:rPr>
                <w:rFonts w:ascii="Arial" w:cs="Arial" w:eastAsia="Arial" w:hAnsi="Arial"/>
                <w:sz w:val="18"/>
                <w:szCs w:val="18"/>
                <w:color w:val="0000FF"/>
              </w:rPr>
              <w:t>Operations and Comprehensive Loss</w:t>
            </w:r>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83"/>
        </w:trPr>
        <w:tc>
          <w:tcPr>
            <w:tcW w:w="414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Statements of Stockholders’ Deficit</w:t>
            </w:r>
          </w:p>
        </w:tc>
        <w:tc>
          <w:tcPr>
            <w:tcW w:w="6440" w:type="dxa"/>
            <w:vAlign w:val="bottom"/>
            <w:gridSpan w:val="2"/>
          </w:tcPr>
          <w:p>
            <w:pPr>
              <w:spacing w:after="0"/>
              <w:rPr>
                <w:sz w:val="15"/>
                <w:szCs w:val="15"/>
                <w:color w:val="auto"/>
              </w:rPr>
            </w:pPr>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83"/>
        </w:trPr>
        <w:tc>
          <w:tcPr>
            <w:tcW w:w="28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Statements of Cash Flows</w:t>
            </w:r>
          </w:p>
        </w:tc>
        <w:tc>
          <w:tcPr>
            <w:tcW w:w="7780" w:type="dxa"/>
            <w:vAlign w:val="bottom"/>
            <w:gridSpan w:val="3"/>
          </w:tcPr>
          <w:p>
            <w:pPr>
              <w:spacing w:after="0"/>
              <w:rPr>
                <w:sz w:val="15"/>
                <w:szCs w:val="15"/>
                <w:color w:val="auto"/>
              </w:rPr>
            </w:pPr>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0"/>
        </w:trPr>
        <w:tc>
          <w:tcPr>
            <w:tcW w:w="212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180" w:type="dxa"/>
            <w:vAlign w:val="bottom"/>
            <w:gridSpan w:val="4"/>
          </w:tcPr>
          <w:p>
            <w:pPr>
              <w:spacing w:after="0" w:line="20" w:lineRule="exact"/>
              <w:rPr>
                <w:sz w:val="1"/>
                <w:szCs w:val="1"/>
                <w:color w:val="auto"/>
              </w:rPr>
            </w:pPr>
          </w:p>
        </w:tc>
        <w:tc>
          <w:tcPr>
            <w:tcW w:w="660" w:type="dxa"/>
            <w:vAlign w:val="bottom"/>
            <w:vMerge w:val="restart"/>
          </w:tcPr>
          <w:p>
            <w:pPr>
              <w:ind w:left="400"/>
              <w:spacing w:after="0" w:line="202"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line="20" w:lineRule="exact"/>
              <w:rPr>
                <w:sz w:val="1"/>
                <w:szCs w:val="1"/>
                <w:color w:val="auto"/>
              </w:rPr>
            </w:pPr>
          </w:p>
        </w:tc>
      </w:tr>
      <w:tr>
        <w:trPr>
          <w:trHeight w:val="183"/>
        </w:trPr>
        <w:tc>
          <w:tcPr>
            <w:tcW w:w="10580" w:type="dxa"/>
            <w:vAlign w:val="bottom"/>
            <w:gridSpan w:val="8"/>
          </w:tcPr>
          <w:p>
            <w:pPr>
              <w:spacing w:after="0" w:line="182" w:lineRule="exact"/>
              <w:rPr>
                <w:sz w:val="20"/>
                <w:szCs w:val="20"/>
                <w:color w:val="auto"/>
              </w:rPr>
            </w:pPr>
            <w:r>
              <w:rPr>
                <w:rFonts w:ascii="Arial" w:cs="Arial" w:eastAsia="Arial" w:hAnsi="Arial"/>
                <w:sz w:val="18"/>
                <w:szCs w:val="18"/>
                <w:color w:val="0000FF"/>
              </w:rPr>
              <w:t>Notes to Financial Statements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58"/>
        </w:trPr>
        <w:tc>
          <w:tcPr>
            <w:tcW w:w="1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7" w:name="page98"/>
    <w:bookmarkEnd w:id="97"/>
    <w:p>
      <w:pPr>
        <w:spacing w:after="0" w:line="193" w:lineRule="exact"/>
        <w:rPr>
          <w:sz w:val="20"/>
          <w:szCs w:val="20"/>
          <w:color w:val="auto"/>
        </w:rPr>
      </w:pPr>
    </w:p>
    <w:p>
      <w:pPr>
        <w:ind w:right="3140" w:firstLine="3132"/>
        <w:spacing w:after="0" w:line="4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Phathom Pharmaceuticals,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have audited the accompanying balance sheets of Phathom Pharmaceuticals, Inc. (the Company) as of December 31, 2025 and 2024, the related statements of operations and comprehensive loss, stockholders'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3"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9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 to which it relates.</w:t>
      </w:r>
    </w:p>
    <w:p>
      <w:pPr>
        <w:spacing w:after="0" w:line="165"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Reserve for Product Returns</w:t>
      </w:r>
    </w:p>
    <w:p>
      <w:pPr>
        <w:spacing w:after="0" w:line="210" w:lineRule="exact"/>
        <w:rPr>
          <w:sz w:val="20"/>
          <w:szCs w:val="20"/>
          <w:color w:val="auto"/>
        </w:rPr>
      </w:pPr>
    </w:p>
    <w:p>
      <w:pPr>
        <w:ind w:left="120"/>
        <w:spacing w:after="0"/>
        <w:tabs>
          <w:tab w:leader="none" w:pos="204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7"/>
          <w:szCs w:val="17"/>
          <w:color w:val="auto"/>
        </w:rPr>
        <w:t>During the year ended December 31, 2025, the Company’s net product revenues were</w:t>
      </w:r>
    </w:p>
    <w:p>
      <w:pPr>
        <w:spacing w:after="0" w:line="14" w:lineRule="exact"/>
        <w:rPr>
          <w:sz w:val="20"/>
          <w:szCs w:val="20"/>
          <w:color w:val="auto"/>
        </w:rPr>
      </w:pPr>
    </w:p>
    <w:p>
      <w:pPr>
        <w:ind w:left="2060" w:right="2060" w:hanging="1939"/>
        <w:spacing w:after="0" w:line="238" w:lineRule="auto"/>
        <w:tabs>
          <w:tab w:leader="none" w:pos="204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$175.1 million. As explained in Note 1 of the financial statements, net product revenue includes estimates of variable consideration for which reserves are established, including the reserve for product returns. The Company provides customers a return credit in the amount of the purchase price paid by customers for all products returned in accordance with the Company’s returned goods policy. The Company estimates its provision for sales returns based on available industry data,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ind w:left="2060" w:right="1039"/>
        <w:spacing w:after="0" w:line="271" w:lineRule="auto"/>
        <w:rPr>
          <w:sz w:val="20"/>
          <w:szCs w:val="20"/>
          <w:color w:val="auto"/>
        </w:rPr>
      </w:pPr>
      <w:r>
        <w:rPr>
          <w:rFonts w:ascii="Arial" w:cs="Arial" w:eastAsia="Arial" w:hAnsi="Arial"/>
          <w:sz w:val="18"/>
          <w:szCs w:val="18"/>
          <w:color w:val="auto"/>
        </w:rPr>
        <w:t>including visibility into the inventory remaining in the distribution channel, and adjusts the transaction price with such estimate at the time of sale to the customer.</w:t>
      </w:r>
    </w:p>
    <w:p>
      <w:pPr>
        <w:spacing w:after="0" w:line="46" w:lineRule="exact"/>
        <w:rPr>
          <w:sz w:val="20"/>
          <w:szCs w:val="20"/>
          <w:color w:val="auto"/>
        </w:rPr>
      </w:pPr>
    </w:p>
    <w:p>
      <w:pPr>
        <w:ind w:left="2060" w:right="1039"/>
        <w:spacing w:after="0" w:line="242" w:lineRule="auto"/>
        <w:rPr>
          <w:sz w:val="20"/>
          <w:szCs w:val="20"/>
          <w:color w:val="auto"/>
        </w:rPr>
      </w:pPr>
      <w:r>
        <w:rPr>
          <w:rFonts w:ascii="Arial" w:cs="Arial" w:eastAsia="Arial" w:hAnsi="Arial"/>
          <w:sz w:val="18"/>
          <w:szCs w:val="18"/>
          <w:color w:val="auto"/>
        </w:rPr>
        <w:t>Auditing the Company’s measurement of the reserve for product returns was challenging due to (1) the significant judgment required in determining the estimated returns rate and inventory in the distribution channel that will not ultimately be sold to the end user and returned, and (2) the limited returns history on which the estimated returns rate is based. The reserve for product returns is sensitive to the level of inventory in the distribution channel, which could exceed future market demand and be subject to return.</w:t>
      </w:r>
    </w:p>
    <w:p>
      <w:pPr>
        <w:spacing w:after="0" w:line="71" w:lineRule="exact"/>
        <w:rPr>
          <w:sz w:val="20"/>
          <w:szCs w:val="20"/>
          <w:color w:val="auto"/>
        </w:rPr>
      </w:pPr>
    </w:p>
    <w:p>
      <w:pPr>
        <w:ind w:left="120"/>
        <w:spacing w:after="0"/>
        <w:tabs>
          <w:tab w:leader="none" w:pos="2040" w:val="left"/>
        </w:tabs>
        <w:rPr>
          <w:sz w:val="20"/>
          <w:szCs w:val="20"/>
          <w:color w:val="auto"/>
        </w:rPr>
      </w:pPr>
      <w:r>
        <w:rPr>
          <w:rFonts w:ascii="Arial" w:cs="Arial" w:eastAsia="Arial" w:hAnsi="Arial"/>
          <w:sz w:val="18"/>
          <w:szCs w:val="18"/>
          <w:i w:val="1"/>
          <w:iCs w:val="1"/>
          <w:color w:val="auto"/>
        </w:rPr>
        <w:t>How We Addressed</w:t>
      </w:r>
      <w:r>
        <w:rPr>
          <w:sz w:val="20"/>
          <w:szCs w:val="20"/>
          <w:color w:val="auto"/>
        </w:rPr>
        <w:tab/>
      </w:r>
      <w:r>
        <w:rPr>
          <w:rFonts w:ascii="Arial" w:cs="Arial" w:eastAsia="Arial" w:hAnsi="Arial"/>
          <w:sz w:val="17"/>
          <w:szCs w:val="17"/>
          <w:color w:val="auto"/>
        </w:rPr>
        <w:t>To test the reserve for product returns, we performed audit procedures that included,</w:t>
      </w:r>
    </w:p>
    <w:p>
      <w:pPr>
        <w:spacing w:after="0" w:line="9" w:lineRule="exact"/>
        <w:rPr>
          <w:sz w:val="20"/>
          <w:szCs w:val="20"/>
          <w:color w:val="auto"/>
        </w:rPr>
      </w:pPr>
    </w:p>
    <w:p>
      <w:pPr>
        <w:ind w:left="120"/>
        <w:spacing w:after="0"/>
        <w:tabs>
          <w:tab w:leader="none" w:pos="2040" w:val="left"/>
        </w:tabs>
        <w:rPr>
          <w:sz w:val="20"/>
          <w:szCs w:val="20"/>
          <w:color w:val="auto"/>
        </w:rPr>
      </w:pPr>
      <w:r>
        <w:rPr>
          <w:rFonts w:ascii="Arial" w:cs="Arial" w:eastAsia="Arial" w:hAnsi="Arial"/>
          <w:sz w:val="18"/>
          <w:szCs w:val="18"/>
          <w:i w:val="1"/>
          <w:iCs w:val="1"/>
          <w:color w:val="auto"/>
        </w:rPr>
        <w:t>the Matter in Our</w:t>
      </w:r>
      <w:r>
        <w:rPr>
          <w:sz w:val="20"/>
          <w:szCs w:val="20"/>
          <w:color w:val="auto"/>
        </w:rPr>
        <w:tab/>
      </w:r>
      <w:r>
        <w:rPr>
          <w:rFonts w:ascii="Arial" w:cs="Arial" w:eastAsia="Arial" w:hAnsi="Arial"/>
          <w:sz w:val="17"/>
          <w:szCs w:val="17"/>
          <w:color w:val="auto"/>
        </w:rPr>
        <w:t>among others, testing the accuracy and completeness of the underlying data used in the</w:t>
      </w:r>
    </w:p>
    <w:p>
      <w:pPr>
        <w:ind w:left="2060" w:right="899" w:hanging="1939"/>
        <w:spacing w:after="0" w:line="236" w:lineRule="auto"/>
        <w:tabs>
          <w:tab w:leader="none" w:pos="204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calculations and evaluating the assumptions used by management to estimate the Company’s reserves. We tested the industry data used in the calculation of the estimated returns rate by inspecting industry publications. We compared actual returns received to date with the Company's estimated return rate. In addition, we tested the Company’s analysis of inventory held at various stages in the distribution channel. We obtained third-party confirmation of prescription data and tested inventory in the distribution channel reported by significant customers. We also inspected agreements with significant customers to validate the rights of return and performed inquiries with management, including the Commercial and Legal departments, regarding any changes to the terms and conditions of customer contracts. We also performed a sensitivity analysis over the Company’s returns rate to assess the effect of changes in assumptions.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w:t>
      </w:r>
    </w:p>
    <w:p>
      <w:pPr>
        <w:spacing w:after="0" w:line="1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196"/>
        </w:trPr>
        <w:tc>
          <w:tcPr>
            <w:tcW w:w="78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129,972</w:t>
            </w:r>
          </w:p>
        </w:tc>
        <w:tc>
          <w:tcPr>
            <w:tcW w:w="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297,263</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15,353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20,866</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78,129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38,797</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5,518</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3,208</w:t>
            </w:r>
          </w:p>
        </w:tc>
      </w:tr>
      <w:tr>
        <w:trPr>
          <w:trHeight w:val="196"/>
        </w:trPr>
        <w:tc>
          <w:tcPr>
            <w:tcW w:w="7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228,972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360,134</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1,476</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2,603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613</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2,862</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Inventory, non-current</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20,732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11,540</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2,917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1,693</w:t>
            </w:r>
          </w:p>
        </w:tc>
      </w:tr>
      <w:tr>
        <w:trPr>
          <w:trHeight w:val="236"/>
        </w:trPr>
        <w:tc>
          <w:tcPr>
            <w:tcW w:w="7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259,149</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378,318</w:t>
            </w:r>
          </w:p>
        </w:tc>
      </w:tr>
      <w:tr>
        <w:trPr>
          <w:trHeight w:val="183"/>
        </w:trPr>
        <w:tc>
          <w:tcPr>
            <w:tcW w:w="78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4,983</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10,507</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89,831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53,232</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1,711</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Operating lease liabilities, current</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648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501</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Current portion of revenue interest financing liability</w:t>
            </w:r>
          </w:p>
        </w:tc>
        <w:tc>
          <w:tcPr>
            <w:tcW w:w="12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27,249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19,777</w:t>
            </w:r>
          </w:p>
        </w:tc>
      </w:tr>
      <w:tr>
        <w:trPr>
          <w:trHeight w:val="203"/>
        </w:trPr>
        <w:tc>
          <w:tcPr>
            <w:tcW w:w="786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7,500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196"/>
        </w:trPr>
        <w:tc>
          <w:tcPr>
            <w:tcW w:w="7860" w:type="dxa"/>
            <w:vAlign w:val="bottom"/>
          </w:tcPr>
          <w:p>
            <w:pPr>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14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132,044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85,728</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debt, net of discount</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209,087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201,409</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Revenue interest financing liability</w:t>
            </w:r>
          </w:p>
        </w:tc>
        <w:tc>
          <w:tcPr>
            <w:tcW w:w="12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350,122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333,261</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2,065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4,000</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11,500</w:t>
            </w:r>
          </w:p>
        </w:tc>
      </w:tr>
      <w:tr>
        <w:trPr>
          <w:trHeight w:val="196"/>
        </w:trPr>
        <w:tc>
          <w:tcPr>
            <w:tcW w:w="78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697,318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631,898</w:t>
            </w:r>
          </w:p>
        </w:tc>
      </w:tr>
      <w:tr>
        <w:trPr>
          <w:trHeight w:val="196"/>
        </w:trPr>
        <w:tc>
          <w:tcPr>
            <w:tcW w:w="786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3)</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184"/>
        </w:trPr>
        <w:tc>
          <w:tcPr>
            <w:tcW w:w="7860" w:type="dxa"/>
            <w:vAlign w:val="bottom"/>
          </w:tcPr>
          <w:p>
            <w:pPr>
              <w:ind w:left="160"/>
              <w:spacing w:after="0" w:line="183" w:lineRule="exact"/>
              <w:rPr>
                <w:sz w:val="20"/>
                <w:szCs w:val="20"/>
                <w:color w:val="auto"/>
              </w:rPr>
            </w:pPr>
            <w:r>
              <w:rPr>
                <w:rFonts w:ascii="Arial" w:cs="Arial" w:eastAsia="Arial" w:hAnsi="Arial"/>
                <w:sz w:val="18"/>
                <w:szCs w:val="18"/>
                <w:color w:val="auto"/>
              </w:rPr>
              <w:t>Preferred stock, $0.0001 par value; authorized shares — 40,000,000 at December 31, 2025</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and December 31, 2024; no shares issued and outstanding at December 31, 2025 and</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1"/>
        </w:trPr>
        <w:tc>
          <w:tcPr>
            <w:tcW w:w="7860" w:type="dxa"/>
            <w:vAlign w:val="bottom"/>
          </w:tcPr>
          <w:p>
            <w:pPr>
              <w:ind w:left="160"/>
              <w:spacing w:after="0"/>
              <w:rPr>
                <w:sz w:val="20"/>
                <w:szCs w:val="20"/>
                <w:color w:val="auto"/>
              </w:rPr>
            </w:pPr>
            <w:r>
              <w:rPr>
                <w:rFonts w:ascii="Arial" w:cs="Arial" w:eastAsia="Arial" w:hAnsi="Arial"/>
                <w:sz w:val="18"/>
                <w:szCs w:val="18"/>
                <w:color w:val="auto"/>
              </w:rPr>
              <w:t>December 31, 2024</w:t>
            </w:r>
          </w:p>
        </w:tc>
        <w:tc>
          <w:tcPr>
            <w:tcW w:w="12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184"/>
        </w:trPr>
        <w:tc>
          <w:tcPr>
            <w:tcW w:w="7860" w:type="dxa"/>
            <w:vAlign w:val="bottom"/>
            <w:shd w:val="clear" w:color="auto" w:fill="CFF0FC"/>
          </w:tcPr>
          <w:p>
            <w:pPr>
              <w:ind w:left="160"/>
              <w:spacing w:after="0" w:line="183" w:lineRule="exact"/>
              <w:rPr>
                <w:sz w:val="20"/>
                <w:szCs w:val="20"/>
                <w:color w:val="auto"/>
              </w:rPr>
            </w:pPr>
            <w:r>
              <w:rPr>
                <w:rFonts w:ascii="Arial" w:cs="Arial" w:eastAsia="Arial" w:hAnsi="Arial"/>
                <w:sz w:val="18"/>
                <w:szCs w:val="18"/>
                <w:color w:val="auto"/>
              </w:rPr>
              <w:t>Common stock, $0.0001 par value; authorized shares — 400,000,000 at December 31, 2025</w:t>
            </w: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and December 31, 2024; issued and outstanding shares — 71,419,025 and 68,518,238 at</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21"/>
        </w:trPr>
        <w:tc>
          <w:tcPr>
            <w:tcW w:w="78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December 31, 2025 and December 31, 2024, respectively</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Treasury stock — 19 shares at December 31, 2025 and December 31, 2024</w:t>
            </w:r>
          </w:p>
        </w:tc>
        <w:tc>
          <w:tcPr>
            <w:tcW w:w="12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2"/>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1,046,083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1,009,425</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(1,484,258)</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(1,263,011)</w:t>
            </w:r>
          </w:p>
        </w:tc>
      </w:tr>
      <w:tr>
        <w:trPr>
          <w:trHeight w:val="196"/>
        </w:trPr>
        <w:tc>
          <w:tcPr>
            <w:tcW w:w="78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stockholders’ deficit</w:t>
            </w: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(438,169)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(253,580)</w:t>
            </w:r>
          </w:p>
        </w:tc>
      </w:tr>
      <w:tr>
        <w:trPr>
          <w:trHeight w:val="196"/>
        </w:trPr>
        <w:tc>
          <w:tcPr>
            <w:tcW w:w="7860" w:type="dxa"/>
            <w:vAlign w:val="bottom"/>
          </w:tcPr>
          <w:p>
            <w:pPr>
              <w:spacing w:after="0" w:line="196" w:lineRule="exact"/>
              <w:rPr>
                <w:sz w:val="20"/>
                <w:szCs w:val="20"/>
                <w:color w:val="auto"/>
              </w:rPr>
            </w:pPr>
            <w:r>
              <w:rPr>
                <w:rFonts w:ascii="Arial" w:cs="Arial" w:eastAsia="Arial" w:hAnsi="Arial"/>
                <w:sz w:val="18"/>
                <w:szCs w:val="18"/>
                <w:color w:val="auto"/>
              </w:rPr>
              <w:t>Total liabilities and stockholders’ deficit</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259,149</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378,318</w:t>
            </w:r>
          </w:p>
        </w:tc>
      </w:tr>
      <w:tr>
        <w:trPr>
          <w:trHeight w:val="20"/>
        </w:trPr>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-3565525</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-3548380</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-2510790</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-1722120</wp:posOffset>
            </wp:positionV>
            <wp:extent cx="1028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-161925</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0" w:name="page101"/>
    <w:bookmarkEnd w:id="100"/>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Statements of Operations and Comprehensive Loss</w:t>
      </w: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Years Ended</w:t>
            </w:r>
          </w:p>
        </w:tc>
        <w:tc>
          <w:tcPr>
            <w:tcW w:w="1160" w:type="dxa"/>
            <w:vAlign w:val="bottom"/>
          </w:tcPr>
          <w:p>
            <w:pPr>
              <w:spacing w:after="0"/>
              <w:rPr>
                <w:sz w:val="17"/>
                <w:szCs w:val="17"/>
                <w:color w:val="auto"/>
              </w:rPr>
            </w:pPr>
          </w:p>
        </w:tc>
      </w:tr>
      <w:tr>
        <w:trPr>
          <w:trHeight w:val="221"/>
        </w:trPr>
        <w:tc>
          <w:tcPr>
            <w:tcW w:w="6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Borders>
              <w:bottom w:val="single" w:sz="8" w:color="auto"/>
            </w:tcBorders>
          </w:tcPr>
          <w:p>
            <w:pPr>
              <w:spacing w:after="0"/>
              <w:rPr>
                <w:sz w:val="19"/>
                <w:szCs w:val="19"/>
                <w:color w:val="auto"/>
              </w:rPr>
            </w:pPr>
          </w:p>
        </w:tc>
      </w:tr>
      <w:tr>
        <w:trPr>
          <w:trHeight w:val="196"/>
        </w:trPr>
        <w:tc>
          <w:tcPr>
            <w:tcW w:w="6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12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175,110</w:t>
            </w:r>
          </w:p>
        </w:tc>
        <w:tc>
          <w:tcPr>
            <w:tcW w:w="680" w:type="dxa"/>
            <w:vAlign w:val="bottom"/>
            <w:gridSpan w:val="2"/>
            <w:shd w:val="clear" w:color="auto" w:fill="CFF0FC"/>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55,252</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22,599</w:t>
            </w: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7,973</w:t>
            </w:r>
          </w:p>
        </w:tc>
      </w:tr>
      <w:tr>
        <w:trPr>
          <w:trHeight w:val="196"/>
        </w:trPr>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152,511</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47,279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8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32,780</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34,082</w:t>
            </w:r>
          </w:p>
        </w:tc>
      </w:tr>
      <w:tr>
        <w:trPr>
          <w:trHeight w:val="203"/>
        </w:trPr>
        <w:tc>
          <w:tcPr>
            <w:tcW w:w="6820" w:type="dxa"/>
            <w:vAlign w:val="bottom"/>
          </w:tcPr>
          <w:p>
            <w:pPr>
              <w:ind w:left="80"/>
              <w:spacing w:after="0" w:line="202" w:lineRule="exact"/>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279,717</w:t>
            </w: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290,664</w:t>
            </w:r>
          </w:p>
        </w:tc>
      </w:tr>
      <w:tr>
        <w:trPr>
          <w:trHeight w:val="196"/>
        </w:trPr>
        <w:tc>
          <w:tcPr>
            <w:tcW w:w="6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312,497</w:t>
            </w:r>
          </w:p>
        </w:tc>
        <w:tc>
          <w:tcPr>
            <w:tcW w:w="1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324,746</w:t>
            </w:r>
          </w:p>
        </w:tc>
      </w:tr>
      <w:tr>
        <w:trPr>
          <w:trHeight w:val="196"/>
        </w:trPr>
        <w:tc>
          <w:tcPr>
            <w:tcW w:w="68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(159,986)</w:t>
            </w: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(277,467)</w:t>
            </w:r>
          </w:p>
        </w:tc>
      </w:tr>
      <w:tr>
        <w:trPr>
          <w:trHeight w:val="196"/>
        </w:trPr>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(expense) income:</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6820" w:type="dxa"/>
            <w:vAlign w:val="bottom"/>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7,044</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15,158</w:t>
            </w:r>
          </w:p>
        </w:tc>
      </w:tr>
      <w:tr>
        <w:trPr>
          <w:trHeight w:val="203"/>
        </w:trPr>
        <w:tc>
          <w:tcPr>
            <w:tcW w:w="68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(68,115)</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(72,009)</w:t>
            </w:r>
          </w:p>
        </w:tc>
      </w:tr>
      <w:tr>
        <w:trPr>
          <w:trHeight w:val="203"/>
        </w:trPr>
        <w:tc>
          <w:tcPr>
            <w:tcW w:w="6820" w:type="dxa"/>
            <w:vAlign w:val="bottom"/>
          </w:tcPr>
          <w:p>
            <w:pPr>
              <w:ind w:left="80"/>
              <w:spacing w:after="0" w:line="202" w:lineRule="exact"/>
              <w:rPr>
                <w:sz w:val="20"/>
                <w:szCs w:val="20"/>
                <w:color w:val="auto"/>
              </w:rPr>
            </w:pPr>
            <w:r>
              <w:rPr>
                <w:rFonts w:ascii="Arial" w:cs="Arial" w:eastAsia="Arial" w:hAnsi="Arial"/>
                <w:sz w:val="18"/>
                <w:szCs w:val="18"/>
                <w:color w:val="auto"/>
              </w:rPr>
              <w:t>Other expense, net</w:t>
            </w: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w:t>
            </w: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r>
      <w:tr>
        <w:trPr>
          <w:trHeight w:val="196"/>
        </w:trPr>
        <w:tc>
          <w:tcPr>
            <w:tcW w:w="6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9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(61,261)</w:t>
            </w:r>
          </w:p>
        </w:tc>
        <w:tc>
          <w:tcPr>
            <w:tcW w:w="1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(56,859)</w:t>
            </w:r>
          </w:p>
        </w:tc>
      </w:tr>
      <w:tr>
        <w:trPr>
          <w:trHeight w:val="196"/>
        </w:trPr>
        <w:tc>
          <w:tcPr>
            <w:tcW w:w="6820" w:type="dxa"/>
            <w:vAlign w:val="bottom"/>
          </w:tcPr>
          <w:p>
            <w:pPr>
              <w:spacing w:after="0" w:line="196" w:lineRule="exact"/>
              <w:rPr>
                <w:sz w:val="20"/>
                <w:szCs w:val="20"/>
                <w:color w:val="auto"/>
              </w:rPr>
            </w:pPr>
            <w:r>
              <w:rPr>
                <w:rFonts w:ascii="Arial" w:cs="Arial" w:eastAsia="Arial" w:hAnsi="Arial"/>
                <w:sz w:val="18"/>
                <w:szCs w:val="18"/>
                <w:color w:val="auto"/>
              </w:rPr>
              <w:t>Net loss and comprehensive loss</w:t>
            </w:r>
          </w:p>
        </w:tc>
        <w:tc>
          <w:tcPr>
            <w:tcW w:w="12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(221,247)</w:t>
            </w:r>
          </w:p>
        </w:tc>
        <w:tc>
          <w:tcPr>
            <w:tcW w:w="68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(334,326)</w:t>
            </w:r>
          </w:p>
        </w:tc>
      </w:tr>
      <w:tr>
        <w:trPr>
          <w:trHeight w:val="20"/>
        </w:trPr>
        <w:tc>
          <w:tcPr>
            <w:tcW w:w="6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8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12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(3.03)</w:t>
            </w:r>
          </w:p>
        </w:tc>
        <w:tc>
          <w:tcPr>
            <w:tcW w:w="680" w:type="dxa"/>
            <w:vAlign w:val="bottom"/>
            <w:gridSpan w:val="2"/>
            <w:shd w:val="clear" w:color="auto" w:fill="CFF0FC"/>
          </w:tcPr>
          <w:p>
            <w:pPr>
              <w:jc w:val="right"/>
              <w:ind w:right="420"/>
              <w:spacing w:after="0" w:line="183"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(5.29)</w:t>
            </w:r>
          </w:p>
        </w:tc>
      </w:tr>
      <w:tr>
        <w:trPr>
          <w:trHeight w:val="183"/>
        </w:trPr>
        <w:tc>
          <w:tcPr>
            <w:tcW w:w="68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Weighted-average shares of common stock outstanding, basic and diluted</w:t>
            </w:r>
          </w:p>
        </w:tc>
        <w:tc>
          <w:tcPr>
            <w:tcW w:w="90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rPr>
              <w:t>72,918,764</w:t>
            </w:r>
          </w:p>
        </w:tc>
        <w:tc>
          <w:tcPr>
            <w:tcW w:w="160" w:type="dxa"/>
            <w:vAlign w:val="bottom"/>
            <w:tcBorders>
              <w:top w:val="single" w:sz="8" w:color="CFF0FC"/>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63,176,210</w:t>
            </w:r>
          </w:p>
        </w:tc>
      </w:tr>
      <w:tr>
        <w:trPr>
          <w:trHeight w:val="20"/>
        </w:trPr>
        <w:tc>
          <w:tcPr>
            <w:tcW w:w="6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-1268095</wp:posOffset>
            </wp:positionV>
            <wp:extent cx="1117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-470535</wp:posOffset>
            </wp:positionV>
            <wp:extent cx="1117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-179070</wp:posOffset>
            </wp:positionV>
            <wp:extent cx="1117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-161925</wp:posOffset>
            </wp:positionV>
            <wp:extent cx="1117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1" w:name="page102"/>
    <w:bookmarkEnd w:id="101"/>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Deficit</w:t>
      </w: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9"/>
              </w:rPr>
              <w:t>Treasury</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9"/>
              </w:rPr>
              <w:t>Additional</w:t>
            </w:r>
          </w:p>
        </w:tc>
        <w:tc>
          <w:tcPr>
            <w:tcW w:w="80" w:type="dxa"/>
            <w:vAlign w:val="bottom"/>
          </w:tcPr>
          <w:p>
            <w:pPr>
              <w:spacing w:after="0"/>
              <w:rPr>
                <w:sz w:val="16"/>
                <w:szCs w:val="16"/>
                <w:color w:val="auto"/>
              </w:rPr>
            </w:pPr>
          </w:p>
        </w:tc>
        <w:tc>
          <w:tcPr>
            <w:tcW w:w="132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Accumulate</w:t>
            </w:r>
          </w:p>
        </w:tc>
        <w:tc>
          <w:tcPr>
            <w:tcW w:w="11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18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7"/>
              </w:rPr>
              <w:t>Stock</w:t>
            </w: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d</w:t>
            </w:r>
          </w:p>
        </w:tc>
        <w:tc>
          <w:tcPr>
            <w:tcW w:w="16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160" w:type="dxa"/>
            <w:vAlign w:val="bottom"/>
            <w:tcBorders>
              <w:bottom w:val="single" w:sz="8" w:color="auto"/>
            </w:tcBorders>
          </w:tcPr>
          <w:p>
            <w:pPr>
              <w:jc w:val="right"/>
              <w:ind w:right="197"/>
              <w:spacing w:after="0" w:line="196" w:lineRule="exact"/>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7"/>
                <w:szCs w:val="17"/>
                <w:color w:val="auto"/>
              </w:rPr>
            </w:pPr>
          </w:p>
        </w:tc>
        <w:tc>
          <w:tcPr>
            <w:tcW w:w="7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7"/>
                <w:szCs w:val="17"/>
                <w:color w:val="auto"/>
              </w:rPr>
            </w:pPr>
          </w:p>
        </w:tc>
        <w:tc>
          <w:tcPr>
            <w:tcW w:w="960" w:type="dxa"/>
            <w:vAlign w:val="bottom"/>
            <w:tcBorders>
              <w:bottom w:val="single" w:sz="8" w:color="auto"/>
            </w:tcBorders>
          </w:tcPr>
          <w:p>
            <w:pPr>
              <w:jc w:val="center"/>
              <w:ind w:left="110"/>
              <w:spacing w:after="0" w:line="196" w:lineRule="exact"/>
              <w:rPr>
                <w:sz w:val="20"/>
                <w:szCs w:val="20"/>
                <w:color w:val="auto"/>
              </w:rPr>
            </w:pPr>
            <w:r>
              <w:rPr>
                <w:rFonts w:ascii="Arial" w:cs="Arial" w:eastAsia="Arial" w:hAnsi="Arial"/>
                <w:sz w:val="18"/>
                <w:szCs w:val="18"/>
                <w:b w:val="1"/>
                <w:bCs w:val="1"/>
                <w:color w:val="auto"/>
                <w:w w:val="99"/>
              </w:rPr>
              <w:t>Shares</w:t>
            </w:r>
          </w:p>
        </w:tc>
        <w:tc>
          <w:tcPr>
            <w:tcW w:w="2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7"/>
              <w:spacing w:after="0" w:line="196" w:lineRule="exact"/>
              <w:rPr>
                <w:sz w:val="20"/>
                <w:szCs w:val="20"/>
                <w:color w:val="auto"/>
              </w:rPr>
            </w:pPr>
            <w:r>
              <w:rPr>
                <w:rFonts w:ascii="Arial" w:cs="Arial" w:eastAsia="Arial" w:hAnsi="Arial"/>
                <w:sz w:val="18"/>
                <w:szCs w:val="18"/>
                <w:b w:val="1"/>
                <w:bCs w:val="1"/>
                <w:color w:val="auto"/>
                <w:w w:val="99"/>
              </w:rPr>
              <w:t>Capital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97"/>
              <w:spacing w:after="0" w:line="196" w:lineRule="exact"/>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97"/>
              <w:spacing w:after="0" w:line="196" w:lineRule="exact"/>
              <w:rPr>
                <w:sz w:val="20"/>
                <w:szCs w:val="20"/>
                <w:color w:val="auto"/>
              </w:rPr>
            </w:pPr>
            <w:r>
              <w:rPr>
                <w:rFonts w:ascii="Arial" w:cs="Arial" w:eastAsia="Arial" w:hAnsi="Arial"/>
                <w:sz w:val="18"/>
                <w:szCs w:val="18"/>
                <w:b w:val="1"/>
                <w:bCs w:val="1"/>
                <w:color w:val="auto"/>
                <w:w w:val="98"/>
              </w:rPr>
              <w:t>Deficit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2024</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68,518,238</w:t>
            </w:r>
          </w:p>
        </w:tc>
        <w:tc>
          <w:tcPr>
            <w:tcW w:w="660" w:type="dxa"/>
            <w:vAlign w:val="bottom"/>
            <w:gridSpan w:val="2"/>
            <w:shd w:val="clear" w:color="auto" w:fill="CFF0FC"/>
          </w:tcPr>
          <w:p>
            <w:pPr>
              <w:ind w:left="260"/>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1,009,425</w:t>
            </w:r>
          </w:p>
        </w:tc>
        <w:tc>
          <w:tcPr>
            <w:tcW w:w="140" w:type="dxa"/>
            <w:vAlign w:val="bottom"/>
            <w:shd w:val="clear" w:color="auto" w:fill="CFF0FC"/>
          </w:tcPr>
          <w:p>
            <w:pPr>
              <w:spacing w:after="0"/>
              <w:rPr>
                <w:sz w:val="15"/>
                <w:szCs w:val="15"/>
                <w:color w:val="auto"/>
              </w:rPr>
            </w:pPr>
          </w:p>
        </w:tc>
        <w:tc>
          <w:tcPr>
            <w:tcW w:w="260" w:type="dxa"/>
            <w:vAlign w:val="bottom"/>
            <w:gridSpan w:val="2"/>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(1,263,011)</w:t>
            </w:r>
          </w:p>
        </w:tc>
        <w:tc>
          <w:tcPr>
            <w:tcW w:w="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(253,580)</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401(k) matching contribution</w:t>
            </w:r>
          </w:p>
        </w:tc>
        <w:tc>
          <w:tcPr>
            <w:tcW w:w="1160" w:type="dxa"/>
            <w:vAlign w:val="bottom"/>
          </w:tcPr>
          <w:p>
            <w:pPr>
              <w:jc w:val="right"/>
              <w:spacing w:after="0"/>
              <w:rPr>
                <w:sz w:val="20"/>
                <w:szCs w:val="20"/>
                <w:color w:val="auto"/>
              </w:rPr>
            </w:pPr>
            <w:r>
              <w:rPr>
                <w:rFonts w:ascii="Arial" w:cs="Arial" w:eastAsia="Arial" w:hAnsi="Arial"/>
                <w:sz w:val="16"/>
                <w:szCs w:val="16"/>
                <w:color w:val="auto"/>
              </w:rPr>
              <w:t>616,377</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5,258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Vesting of restricted stock units and performance</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stock units, net of employee tax obligations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1,615,577</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(1,926)</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(1,926)</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28,719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505,293</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exercises of</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options</w:t>
            </w:r>
          </w:p>
        </w:tc>
        <w:tc>
          <w:tcPr>
            <w:tcW w:w="1160" w:type="dxa"/>
            <w:vAlign w:val="bottom"/>
          </w:tcPr>
          <w:p>
            <w:pPr>
              <w:jc w:val="right"/>
              <w:spacing w:after="0"/>
              <w:rPr>
                <w:sz w:val="20"/>
                <w:szCs w:val="20"/>
                <w:color w:val="auto"/>
              </w:rPr>
            </w:pPr>
            <w:r>
              <w:rPr>
                <w:rFonts w:ascii="Arial" w:cs="Arial" w:eastAsia="Arial" w:hAnsi="Arial"/>
                <w:sz w:val="16"/>
                <w:szCs w:val="16"/>
                <w:color w:val="auto"/>
              </w:rPr>
              <w:t>163,540</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(221,247)</w:t>
            </w: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(221,247)</w:t>
            </w:r>
          </w:p>
        </w:tc>
        <w:tc>
          <w:tcPr>
            <w:tcW w:w="0" w:type="dxa"/>
            <w:vAlign w:val="bottom"/>
          </w:tcPr>
          <w:p>
            <w:pPr>
              <w:spacing w:after="0"/>
              <w:rPr>
                <w:sz w:val="1"/>
                <w:szCs w:val="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Balance at December 31, 2025</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71,419,025</w:t>
            </w:r>
          </w:p>
        </w:tc>
        <w:tc>
          <w:tcPr>
            <w:tcW w:w="660" w:type="dxa"/>
            <w:vAlign w:val="bottom"/>
            <w:gridSpan w:val="2"/>
          </w:tcPr>
          <w:p>
            <w:pPr>
              <w:ind w:left="260"/>
              <w:spacing w:after="0" w:line="183"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6</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19</w:t>
            </w:r>
          </w:p>
        </w:tc>
        <w:tc>
          <w:tcPr>
            <w:tcW w:w="3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1,046,083</w:t>
            </w:r>
          </w:p>
        </w:tc>
        <w:tc>
          <w:tcPr>
            <w:tcW w:w="140" w:type="dxa"/>
            <w:vAlign w:val="bottom"/>
          </w:tcPr>
          <w:p>
            <w:pPr>
              <w:spacing w:after="0"/>
              <w:rPr>
                <w:sz w:val="15"/>
                <w:szCs w:val="15"/>
                <w:color w:val="auto"/>
              </w:rPr>
            </w:pPr>
          </w:p>
        </w:tc>
        <w:tc>
          <w:tcPr>
            <w:tcW w:w="260" w:type="dxa"/>
            <w:vAlign w:val="bottom"/>
            <w:gridSpan w:val="2"/>
          </w:tcPr>
          <w:p>
            <w:pPr>
              <w:ind w:left="8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(1,484,258)</w:t>
            </w:r>
          </w:p>
        </w:tc>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(438,169)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9"/>
              </w:rPr>
              <w:t>Treasury</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9"/>
              </w:rPr>
              <w:t>Additional</w:t>
            </w:r>
          </w:p>
        </w:tc>
        <w:tc>
          <w:tcPr>
            <w:tcW w:w="80" w:type="dxa"/>
            <w:vAlign w:val="bottom"/>
          </w:tcPr>
          <w:p>
            <w:pPr>
              <w:spacing w:after="0"/>
              <w:rPr>
                <w:sz w:val="16"/>
                <w:szCs w:val="16"/>
                <w:color w:val="auto"/>
              </w:rPr>
            </w:pPr>
          </w:p>
        </w:tc>
        <w:tc>
          <w:tcPr>
            <w:tcW w:w="132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Accumulate</w:t>
            </w:r>
          </w:p>
        </w:tc>
        <w:tc>
          <w:tcPr>
            <w:tcW w:w="11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18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7"/>
              </w:rPr>
              <w:t>Stock</w:t>
            </w: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d</w:t>
            </w:r>
          </w:p>
        </w:tc>
        <w:tc>
          <w:tcPr>
            <w:tcW w:w="16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160" w:type="dxa"/>
            <w:vAlign w:val="bottom"/>
            <w:tcBorders>
              <w:bottom w:val="single" w:sz="8" w:color="auto"/>
            </w:tcBorders>
          </w:tcPr>
          <w:p>
            <w:pPr>
              <w:jc w:val="right"/>
              <w:ind w:right="197"/>
              <w:spacing w:after="0" w:line="196" w:lineRule="exact"/>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7"/>
                <w:szCs w:val="17"/>
                <w:color w:val="auto"/>
              </w:rPr>
            </w:pPr>
          </w:p>
        </w:tc>
        <w:tc>
          <w:tcPr>
            <w:tcW w:w="7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7"/>
                <w:szCs w:val="17"/>
                <w:color w:val="auto"/>
              </w:rPr>
            </w:pPr>
          </w:p>
        </w:tc>
        <w:tc>
          <w:tcPr>
            <w:tcW w:w="960" w:type="dxa"/>
            <w:vAlign w:val="bottom"/>
            <w:tcBorders>
              <w:bottom w:val="single" w:sz="8" w:color="auto"/>
            </w:tcBorders>
          </w:tcPr>
          <w:p>
            <w:pPr>
              <w:jc w:val="center"/>
              <w:ind w:left="110"/>
              <w:spacing w:after="0" w:line="196" w:lineRule="exact"/>
              <w:rPr>
                <w:sz w:val="20"/>
                <w:szCs w:val="20"/>
                <w:color w:val="auto"/>
              </w:rPr>
            </w:pPr>
            <w:r>
              <w:rPr>
                <w:rFonts w:ascii="Arial" w:cs="Arial" w:eastAsia="Arial" w:hAnsi="Arial"/>
                <w:sz w:val="18"/>
                <w:szCs w:val="18"/>
                <w:b w:val="1"/>
                <w:bCs w:val="1"/>
                <w:color w:val="auto"/>
                <w:w w:val="99"/>
              </w:rPr>
              <w:t>Shares</w:t>
            </w:r>
          </w:p>
        </w:tc>
        <w:tc>
          <w:tcPr>
            <w:tcW w:w="2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7"/>
              <w:spacing w:after="0" w:line="196" w:lineRule="exact"/>
              <w:rPr>
                <w:sz w:val="20"/>
                <w:szCs w:val="20"/>
                <w:color w:val="auto"/>
              </w:rPr>
            </w:pPr>
            <w:r>
              <w:rPr>
                <w:rFonts w:ascii="Arial" w:cs="Arial" w:eastAsia="Arial" w:hAnsi="Arial"/>
                <w:sz w:val="18"/>
                <w:szCs w:val="18"/>
                <w:b w:val="1"/>
                <w:bCs w:val="1"/>
                <w:color w:val="auto"/>
                <w:w w:val="99"/>
              </w:rPr>
              <w:t>Capital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97"/>
              <w:spacing w:after="0" w:line="196" w:lineRule="exact"/>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97"/>
              <w:spacing w:after="0" w:line="196" w:lineRule="exact"/>
              <w:rPr>
                <w:sz w:val="20"/>
                <w:szCs w:val="20"/>
                <w:color w:val="auto"/>
              </w:rPr>
            </w:pPr>
            <w:r>
              <w:rPr>
                <w:rFonts w:ascii="Arial" w:cs="Arial" w:eastAsia="Arial" w:hAnsi="Arial"/>
                <w:sz w:val="18"/>
                <w:szCs w:val="18"/>
                <w:b w:val="1"/>
                <w:bCs w:val="1"/>
                <w:color w:val="auto"/>
                <w:w w:val="98"/>
              </w:rPr>
              <w:t>Deficit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2023</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57,970,044</w:t>
            </w:r>
          </w:p>
        </w:tc>
        <w:tc>
          <w:tcPr>
            <w:tcW w:w="660" w:type="dxa"/>
            <w:vAlign w:val="bottom"/>
            <w:gridSpan w:val="2"/>
            <w:shd w:val="clear" w:color="auto" w:fill="CFF0FC"/>
          </w:tcPr>
          <w:p>
            <w:pPr>
              <w:ind w:left="260"/>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855,921</w:t>
            </w:r>
          </w:p>
        </w:tc>
        <w:tc>
          <w:tcPr>
            <w:tcW w:w="140" w:type="dxa"/>
            <w:vAlign w:val="bottom"/>
            <w:shd w:val="clear" w:color="auto" w:fill="CFF0FC"/>
          </w:tcPr>
          <w:p>
            <w:pPr>
              <w:spacing w:after="0"/>
              <w:rPr>
                <w:sz w:val="15"/>
                <w:szCs w:val="15"/>
                <w:color w:val="auto"/>
              </w:rPr>
            </w:pPr>
          </w:p>
        </w:tc>
        <w:tc>
          <w:tcPr>
            <w:tcW w:w="260" w:type="dxa"/>
            <w:vAlign w:val="bottom"/>
            <w:gridSpan w:val="2"/>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(928,685)</w:t>
            </w:r>
          </w:p>
        </w:tc>
        <w:tc>
          <w:tcPr>
            <w:tcW w:w="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(72,759)</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401(k) matching contribution</w:t>
            </w:r>
          </w:p>
        </w:tc>
        <w:tc>
          <w:tcPr>
            <w:tcW w:w="1160" w:type="dxa"/>
            <w:vAlign w:val="bottom"/>
          </w:tcPr>
          <w:p>
            <w:pPr>
              <w:jc w:val="right"/>
              <w:spacing w:after="0"/>
              <w:rPr>
                <w:sz w:val="20"/>
                <w:szCs w:val="20"/>
                <w:color w:val="auto"/>
              </w:rPr>
            </w:pPr>
            <w:r>
              <w:rPr>
                <w:rFonts w:ascii="Arial" w:cs="Arial" w:eastAsia="Arial" w:hAnsi="Arial"/>
                <w:sz w:val="16"/>
                <w:szCs w:val="16"/>
                <w:color w:val="auto"/>
              </w:rPr>
              <w:t>383,589</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3,683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965,681</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24,047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24,047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375,381</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2,401</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exercise of</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options</w:t>
            </w:r>
          </w:p>
        </w:tc>
        <w:tc>
          <w:tcPr>
            <w:tcW w:w="1160" w:type="dxa"/>
            <w:vAlign w:val="bottom"/>
          </w:tcPr>
          <w:p>
            <w:pPr>
              <w:jc w:val="right"/>
              <w:spacing w:after="0"/>
              <w:rPr>
                <w:sz w:val="20"/>
                <w:szCs w:val="20"/>
                <w:color w:val="auto"/>
              </w:rPr>
            </w:pPr>
            <w:r>
              <w:rPr>
                <w:rFonts w:ascii="Arial" w:cs="Arial" w:eastAsia="Arial" w:hAnsi="Arial"/>
                <w:sz w:val="16"/>
                <w:szCs w:val="16"/>
                <w:color w:val="auto"/>
              </w:rPr>
              <w:t>127,891</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Issuance of common stock and pre-funded</w:t>
            </w: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warrants in connection with the underwritten</w:t>
            </w: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public offering, net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8,695,652</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121,774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Net loss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(334,326)</w:t>
            </w:r>
          </w:p>
        </w:tc>
        <w:tc>
          <w:tcPr>
            <w:tcW w:w="1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(334,326)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2024</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68,518,238</w:t>
            </w:r>
          </w:p>
        </w:tc>
        <w:tc>
          <w:tcPr>
            <w:tcW w:w="660" w:type="dxa"/>
            <w:vAlign w:val="bottom"/>
            <w:gridSpan w:val="2"/>
            <w:shd w:val="clear" w:color="auto" w:fill="CFF0FC"/>
          </w:tcPr>
          <w:p>
            <w:pPr>
              <w:ind w:left="260"/>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1,009,425</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(1,263,011)</w:t>
            </w:r>
          </w:p>
        </w:tc>
        <w:tc>
          <w:tcPr>
            <w:tcW w:w="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(253,580)</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-2425065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-2425065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-2425065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-2425065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-2425065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-25400</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-8255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-25400</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7500" w:type="dxa"/>
            <w:vAlign w:val="bottom"/>
          </w:tcPr>
          <w:p>
            <w:pPr>
              <w:jc w:val="center"/>
              <w:ind w:left="3610"/>
              <w:spacing w:after="0"/>
              <w:rPr>
                <w:sz w:val="20"/>
                <w:szCs w:val="20"/>
                <w:color w:val="auto"/>
              </w:rPr>
            </w:pPr>
            <w:r>
              <w:rPr>
                <w:rFonts w:ascii="Arial" w:cs="Arial" w:eastAsia="Arial" w:hAnsi="Arial"/>
                <w:sz w:val="18"/>
                <w:szCs w:val="18"/>
                <w:b w:val="1"/>
                <w:bCs w:val="1"/>
                <w:color w:val="auto"/>
                <w:w w:val="99"/>
              </w:rPr>
              <w:t>PHATHOM PHARMACEUTICALS, INC.</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jc w:val="center"/>
              <w:ind w:left="3610"/>
              <w:spacing w:after="0" w:line="202" w:lineRule="exact"/>
              <w:rPr>
                <w:sz w:val="20"/>
                <w:szCs w:val="20"/>
                <w:color w:val="auto"/>
              </w:rPr>
            </w:pPr>
            <w:r>
              <w:rPr>
                <w:rFonts w:ascii="Arial" w:cs="Arial" w:eastAsia="Arial" w:hAnsi="Arial"/>
                <w:sz w:val="18"/>
                <w:szCs w:val="18"/>
                <w:b w:val="1"/>
                <w:bCs w:val="1"/>
                <w:color w:val="auto"/>
                <w:w w:val="99"/>
              </w:rPr>
              <w:t>Statements of Cash Flows</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500" w:type="dxa"/>
            <w:vAlign w:val="bottom"/>
          </w:tcPr>
          <w:p>
            <w:pPr>
              <w:jc w:val="center"/>
              <w:ind w:left="3610"/>
              <w:spacing w:after="0"/>
              <w:rPr>
                <w:sz w:val="20"/>
                <w:szCs w:val="20"/>
                <w:color w:val="auto"/>
              </w:rPr>
            </w:pPr>
            <w:r>
              <w:rPr>
                <w:rFonts w:ascii="Arial" w:cs="Arial" w:eastAsia="Arial" w:hAnsi="Arial"/>
                <w:sz w:val="18"/>
                <w:szCs w:val="18"/>
                <w:b w:val="1"/>
                <w:bCs w:val="1"/>
                <w:color w:val="auto"/>
                <w:w w:val="99"/>
              </w:rPr>
              <w:t>(in thousands)</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Years Ended</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7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75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(221,247)</w:t>
            </w:r>
          </w:p>
        </w:tc>
        <w:tc>
          <w:tcPr>
            <w:tcW w:w="6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(334,326)</w:t>
            </w: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633</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28,719</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24,047</w:t>
            </w:r>
          </w:p>
        </w:tc>
        <w:tc>
          <w:tcPr>
            <w:tcW w:w="0" w:type="dxa"/>
            <w:vAlign w:val="bottom"/>
          </w:tcPr>
          <w:p>
            <w:pPr>
              <w:spacing w:after="0"/>
              <w:rPr>
                <w:sz w:val="1"/>
                <w:szCs w:val="1"/>
                <w:color w:val="auto"/>
              </w:rPr>
            </w:pPr>
          </w:p>
        </w:tc>
      </w:tr>
      <w:tr>
        <w:trPr>
          <w:trHeight w:val="203"/>
        </w:trPr>
        <w:tc>
          <w:tcPr>
            <w:tcW w:w="7500" w:type="dxa"/>
            <w:vAlign w:val="bottom"/>
          </w:tcPr>
          <w:p>
            <w:pPr>
              <w:ind w:left="140"/>
              <w:spacing w:after="0" w:line="202" w:lineRule="exact"/>
              <w:rPr>
                <w:sz w:val="20"/>
                <w:szCs w:val="20"/>
                <w:color w:val="auto"/>
              </w:rPr>
            </w:pPr>
            <w:r>
              <w:rPr>
                <w:rFonts w:ascii="Arial" w:cs="Arial" w:eastAsia="Arial" w:hAnsi="Arial"/>
                <w:sz w:val="18"/>
                <w:szCs w:val="18"/>
                <w:color w:val="auto"/>
              </w:rPr>
              <w:t>Accrued payment-in-kind interest on debt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4,664</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Accrued interest on revenue interest financing liability, net of payments</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24,333</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46,111</w:t>
            </w:r>
          </w:p>
        </w:tc>
        <w:tc>
          <w:tcPr>
            <w:tcW w:w="0" w:type="dxa"/>
            <w:vAlign w:val="bottom"/>
          </w:tcPr>
          <w:p>
            <w:pPr>
              <w:spacing w:after="0"/>
              <w:rPr>
                <w:sz w:val="1"/>
                <w:szCs w:val="1"/>
                <w:color w:val="auto"/>
              </w:rPr>
            </w:pPr>
          </w:p>
        </w:tc>
      </w:tr>
      <w:tr>
        <w:trPr>
          <w:trHeight w:val="203"/>
        </w:trPr>
        <w:tc>
          <w:tcPr>
            <w:tcW w:w="7500" w:type="dxa"/>
            <w:vAlign w:val="bottom"/>
          </w:tcPr>
          <w:p>
            <w:pPr>
              <w:ind w:left="140"/>
              <w:spacing w:after="0" w:line="202" w:lineRule="exact"/>
              <w:rPr>
                <w:sz w:val="20"/>
                <w:szCs w:val="20"/>
                <w:color w:val="auto"/>
              </w:rPr>
            </w:pPr>
            <w:r>
              <w:rPr>
                <w:rFonts w:ascii="Arial" w:cs="Arial" w:eastAsia="Arial" w:hAnsi="Arial"/>
                <w:sz w:val="18"/>
                <w:szCs w:val="18"/>
                <w:color w:val="auto"/>
              </w:rPr>
              <w:t>Amortization of debt discount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3,014</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Inventory reserve</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280</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3"/>
        </w:trPr>
        <w:tc>
          <w:tcPr>
            <w:tcW w:w="7500" w:type="dxa"/>
            <w:vAlign w:val="bottom"/>
          </w:tcPr>
          <w:p>
            <w:pPr>
              <w:ind w:left="140"/>
              <w:spacing w:after="0" w:line="202"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5,205</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5,513</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(7,672)</w:t>
            </w: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(39,331)</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(37,160)</w:t>
            </w:r>
          </w:p>
        </w:tc>
        <w:tc>
          <w:tcPr>
            <w:tcW w:w="0" w:type="dxa"/>
            <w:vAlign w:val="bottom"/>
          </w:tcPr>
          <w:p>
            <w:pPr>
              <w:spacing w:after="0"/>
              <w:rPr>
                <w:sz w:val="1"/>
                <w:szCs w:val="1"/>
                <w:color w:val="auto"/>
              </w:rPr>
            </w:pPr>
          </w:p>
        </w:tc>
      </w:tr>
      <w:tr>
        <w:trPr>
          <w:trHeight w:val="203"/>
        </w:trPr>
        <w:tc>
          <w:tcPr>
            <w:tcW w:w="7500" w:type="dxa"/>
            <w:vAlign w:val="bottom"/>
          </w:tcPr>
          <w:p>
            <w:pPr>
              <w:ind w:left="280"/>
              <w:spacing w:after="0" w:line="202" w:lineRule="exact"/>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34,104</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34,936</w:t>
            </w: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Accrued interest</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121</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3"/>
        </w:trPr>
        <w:tc>
          <w:tcPr>
            <w:tcW w:w="7500" w:type="dxa"/>
            <w:vAlign w:val="bottom"/>
          </w:tcPr>
          <w:p>
            <w:pPr>
              <w:ind w:left="280"/>
              <w:spacing w:after="0" w:line="202" w:lineRule="exact"/>
              <w:rPr>
                <w:sz w:val="20"/>
                <w:szCs w:val="20"/>
                <w:color w:val="auto"/>
              </w:rPr>
            </w:pPr>
            <w:r>
              <w:rPr>
                <w:rFonts w:ascii="Arial" w:cs="Arial" w:eastAsia="Arial" w:hAnsi="Arial"/>
                <w:sz w:val="18"/>
                <w:szCs w:val="18"/>
                <w:color w:val="auto"/>
              </w:rPr>
              <w:t>Operating right-of-use assets and lease liabilities</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222</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Inventory</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(11,781)</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203"/>
        </w:trPr>
        <w:tc>
          <w:tcPr>
            <w:tcW w:w="7500" w:type="dxa"/>
            <w:vAlign w:val="bottom"/>
          </w:tcPr>
          <w:p>
            <w:pPr>
              <w:ind w:left="280"/>
              <w:spacing w:after="0" w:line="202" w:lineRule="exact"/>
              <w:rPr>
                <w:sz w:val="20"/>
                <w:szCs w:val="20"/>
                <w:color w:val="auto"/>
              </w:rPr>
            </w:pPr>
            <w:r>
              <w:rPr>
                <w:rFonts w:ascii="Arial" w:cs="Arial" w:eastAsia="Arial" w:hAnsi="Arial"/>
                <w:sz w:val="18"/>
                <w:szCs w:val="18"/>
                <w:color w:val="auto"/>
              </w:rPr>
              <w:t>Other long-term assets</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(1,224)</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5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(166,775)</w:t>
            </w: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(266,770)</w:t>
            </w:r>
          </w:p>
        </w:tc>
        <w:tc>
          <w:tcPr>
            <w:tcW w:w="0" w:type="dxa"/>
            <w:vAlign w:val="bottom"/>
          </w:tcPr>
          <w:p>
            <w:pPr>
              <w:spacing w:after="0"/>
              <w:rPr>
                <w:sz w:val="1"/>
                <w:szCs w:val="1"/>
                <w:color w:val="auto"/>
              </w:rPr>
            </w:pPr>
          </w:p>
        </w:tc>
      </w:tr>
      <w:tr>
        <w:trPr>
          <w:trHeight w:val="196"/>
        </w:trPr>
        <w:tc>
          <w:tcPr>
            <w:tcW w:w="750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paid for property and equipment</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(229)</w:t>
            </w: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7500" w:type="dxa"/>
            <w:vAlign w:val="bottom"/>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75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Proceeds from issuance of common stock from exercise of stock options</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1,638</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proceeds from issuance of debt</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59,400</w:t>
            </w: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Net proceeds from underwritten public offering</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121,775</w:t>
            </w: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Payment of employee tax obligations related to vesting of PSUs and RSUs</w:t>
            </w:r>
          </w:p>
        </w:tc>
        <w:tc>
          <w:tcPr>
            <w:tcW w:w="28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(1,926)</w:t>
            </w:r>
          </w:p>
        </w:tc>
        <w:tc>
          <w:tcPr>
            <w:tcW w:w="180" w:type="dxa"/>
            <w:vAlign w:val="bottom"/>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500" w:type="dxa"/>
            <w:vAlign w:val="bottom"/>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182,774</w:t>
            </w:r>
          </w:p>
        </w:tc>
        <w:tc>
          <w:tcPr>
            <w:tcW w:w="0" w:type="dxa"/>
            <w:vAlign w:val="bottom"/>
          </w:tcPr>
          <w:p>
            <w:pPr>
              <w:spacing w:after="0"/>
              <w:rPr>
                <w:sz w:val="1"/>
                <w:szCs w:val="1"/>
                <w:color w:val="auto"/>
              </w:rPr>
            </w:pPr>
          </w:p>
        </w:tc>
      </w:tr>
      <w:tr>
        <w:trPr>
          <w:trHeight w:val="196"/>
        </w:trPr>
        <w:tc>
          <w:tcPr>
            <w:tcW w:w="7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decrease in cash and cash equivalents and restricted cash</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(167,292)</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(84,131)</w:t>
            </w: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Cash and cash equivalents and restricted cash – beginning of period</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300,125</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384,256</w:t>
            </w:r>
          </w:p>
        </w:tc>
        <w:tc>
          <w:tcPr>
            <w:tcW w:w="0" w:type="dxa"/>
            <w:vAlign w:val="bottom"/>
          </w:tcPr>
          <w:p>
            <w:pPr>
              <w:spacing w:after="0"/>
              <w:rPr>
                <w:sz w:val="1"/>
                <w:szCs w:val="1"/>
                <w:color w:val="auto"/>
              </w:rPr>
            </w:pPr>
          </w:p>
        </w:tc>
      </w:tr>
      <w:tr>
        <w:trPr>
          <w:trHeight w:val="236"/>
        </w:trPr>
        <w:tc>
          <w:tcPr>
            <w:tcW w:w="7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 and restricted cash – end of period</w:t>
            </w:r>
          </w:p>
        </w:tc>
        <w:tc>
          <w:tcPr>
            <w:tcW w:w="6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132,833</w:t>
            </w:r>
          </w:p>
        </w:tc>
        <w:tc>
          <w:tcPr>
            <w:tcW w:w="680" w:type="dxa"/>
            <w:vAlign w:val="bottom"/>
            <w:gridSpan w:val="2"/>
            <w:shd w:val="clear" w:color="auto" w:fill="CFF0FC"/>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300,125</w:t>
            </w:r>
          </w:p>
        </w:tc>
        <w:tc>
          <w:tcPr>
            <w:tcW w:w="0" w:type="dxa"/>
            <w:vAlign w:val="bottom"/>
          </w:tcPr>
          <w:p>
            <w:pPr>
              <w:spacing w:after="0"/>
              <w:rPr>
                <w:sz w:val="1"/>
                <w:szCs w:val="1"/>
                <w:color w:val="auto"/>
              </w:rPr>
            </w:pPr>
          </w:p>
        </w:tc>
      </w:tr>
      <w:tr>
        <w:trPr>
          <w:trHeight w:val="183"/>
        </w:trPr>
        <w:tc>
          <w:tcPr>
            <w:tcW w:w="7500" w:type="dxa"/>
            <w:vAlign w:val="bottom"/>
            <w:tcBorders>
              <w:top w:val="single" w:sz="8" w:color="CFF0FC"/>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Interest paid</w:t>
            </w:r>
          </w:p>
        </w:tc>
        <w:tc>
          <w:tcPr>
            <w:tcW w:w="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21,368</w:t>
            </w:r>
          </w:p>
        </w:tc>
        <w:tc>
          <w:tcPr>
            <w:tcW w:w="6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17,293</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Property and equipment purchases included in accounts payable and accrued expenses</w:t>
            </w:r>
          </w:p>
        </w:tc>
        <w:tc>
          <w:tcPr>
            <w:tcW w:w="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Final interest payment fee</w:t>
            </w:r>
          </w:p>
        </w:tc>
        <w:tc>
          <w:tcPr>
            <w:tcW w:w="6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400"/>
              <w:spacing w:after="0" w:line="18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00" w:type="dxa"/>
            <w:vAlign w:val="bottom"/>
          </w:tcPr>
          <w:p>
            <w:pPr>
              <w:spacing w:after="0" w:line="183" w:lineRule="exact"/>
              <w:rPr>
                <w:sz w:val="20"/>
                <w:szCs w:val="20"/>
                <w:color w:val="auto"/>
              </w:rPr>
            </w:pPr>
            <w:r>
              <w:rPr>
                <w:rFonts w:ascii="Arial" w:cs="Arial" w:eastAsia="Arial" w:hAnsi="Arial"/>
                <w:sz w:val="18"/>
                <w:szCs w:val="18"/>
                <w:color w:val="auto"/>
              </w:rPr>
              <w:t>Settlement of ESPP liability in common stock</w:t>
            </w:r>
          </w:p>
        </w:tc>
        <w:tc>
          <w:tcPr>
            <w:tcW w:w="60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line="183" w:lineRule="exact"/>
              <w:rPr>
                <w:sz w:val="20"/>
                <w:szCs w:val="20"/>
                <w:color w:val="auto"/>
              </w:rPr>
            </w:pPr>
            <w:r>
              <w:rPr>
                <w:rFonts w:ascii="Arial" w:cs="Arial" w:eastAsia="Arial" w:hAnsi="Arial"/>
                <w:sz w:val="18"/>
                <w:szCs w:val="18"/>
                <w:color w:val="auto"/>
              </w:rPr>
              <w:t>2,969</w:t>
            </w:r>
          </w:p>
        </w:tc>
        <w:tc>
          <w:tcPr>
            <w:tcW w:w="680" w:type="dxa"/>
            <w:vAlign w:val="bottom"/>
            <w:gridSpan w:val="2"/>
          </w:tcPr>
          <w:p>
            <w:pPr>
              <w:jc w:val="right"/>
              <w:ind w:right="400"/>
              <w:spacing w:after="0" w:line="183"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183" w:lineRule="exact"/>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Settlement of 401(k) liability in common stock</w:t>
            </w:r>
          </w:p>
        </w:tc>
        <w:tc>
          <w:tcPr>
            <w:tcW w:w="6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5,258</w:t>
            </w:r>
          </w:p>
        </w:tc>
        <w:tc>
          <w:tcPr>
            <w:tcW w:w="680" w:type="dxa"/>
            <w:vAlign w:val="bottom"/>
            <w:gridSpan w:val="2"/>
            <w:shd w:val="clear" w:color="auto" w:fill="CFF0FC"/>
          </w:tcPr>
          <w:p>
            <w:pPr>
              <w:jc w:val="right"/>
              <w:ind w:right="400"/>
              <w:spacing w:after="0" w:line="18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-2776855</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-2510790</wp:posOffset>
            </wp:positionV>
            <wp:extent cx="1111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-1734820</wp:posOffset>
            </wp:positionV>
            <wp:extent cx="13652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65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-1182370</wp:posOffset>
            </wp:positionV>
            <wp:extent cx="1111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-1165225</wp:posOffset>
            </wp:positionV>
            <wp:extent cx="1111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-333375</wp:posOffset>
            </wp:positionV>
            <wp:extent cx="1111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1111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PHATHOM PHARMACEUTICALS,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71" w:lineRule="exact"/>
        <w:rPr>
          <w:sz w:val="20"/>
          <w:szCs w:val="20"/>
          <w:color w:val="auto"/>
        </w:rPr>
      </w:pPr>
    </w:p>
    <w:p>
      <w:pPr>
        <w:ind w:right="3800"/>
        <w:spacing w:after="0" w:line="446" w:lineRule="auto"/>
        <w:rPr>
          <w:sz w:val="20"/>
          <w:szCs w:val="20"/>
          <w:color w:val="auto"/>
        </w:rPr>
      </w:pPr>
      <w:r>
        <w:rPr>
          <w:rFonts w:ascii="Arial" w:cs="Arial" w:eastAsia="Arial" w:hAnsi="Arial"/>
          <w:sz w:val="18"/>
          <w:szCs w:val="18"/>
          <w:b w:val="1"/>
          <w:bCs w:val="1"/>
          <w:color w:val="auto"/>
        </w:rPr>
        <w:t xml:space="preserve">1. Organization, Basis of Presentation and Summary of Significant Accounting Policies </w:t>
      </w:r>
      <w:r>
        <w:rPr>
          <w:rFonts w:ascii="Arial" w:cs="Arial" w:eastAsia="Arial" w:hAnsi="Arial"/>
          <w:sz w:val="18"/>
          <w:szCs w:val="18"/>
          <w:b w:val="1"/>
          <w:bCs w:val="1"/>
          <w:i w:val="1"/>
          <w:iCs w:val="1"/>
          <w:color w:val="auto"/>
        </w:rPr>
        <w:t>Organization and Basis of Presentation</w:t>
      </w:r>
    </w:p>
    <w:p>
      <w:pPr>
        <w:ind w:right="220" w:firstLine="509"/>
        <w:spacing w:after="0" w:line="247" w:lineRule="auto"/>
        <w:rPr>
          <w:sz w:val="20"/>
          <w:szCs w:val="20"/>
          <w:color w:val="auto"/>
        </w:rPr>
      </w:pPr>
      <w:r>
        <w:rPr>
          <w:rFonts w:ascii="Arial" w:cs="Arial" w:eastAsia="Arial" w:hAnsi="Arial"/>
          <w:sz w:val="18"/>
          <w:szCs w:val="18"/>
          <w:color w:val="auto"/>
        </w:rPr>
        <w:t>Phathom Pharmaceuticals, Inc., or the Company or Phathom, was incorporated in the state of Delaware in January 2018. The Company is a commercial-stage biopharmaceutical company focused on commercializing and developing novel treatments for gastrointestinal, or GI, diseases. The Company’s financial statements are prepared in accordance with U.S. generally accepted accounting principles, or GAAP.</w:t>
      </w:r>
    </w:p>
    <w:p>
      <w:pPr>
        <w:spacing w:after="0" w:line="13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 xml:space="preserve">In May 2022, the U.S. Food and Drug Administration, or FDA, approved the Company's new drug applications, or NDAs for vonoprazan triple therapy, under the brand name VOQUEZNA TRIPLE PAK, and vonoprazan dual therapy, under the brand name VOQUEZNA DUAL PAK. On October 27, 2023, the FDA approved the prior approval supplements to the Company's NDAs, for VOQUEZNA TRIPLE PAK and VOQUEZNA DUAL PAK. Additionally, on November 1, 2023, the FDA approved the Company's NDA for VOQUEZNA tablets. The Company initiated commercial launch for VOQUEZNA in the U.S. for both the Erosive GERD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indications, and VOQUEZNA TRIPLE PAK and VOQUEZNA DUAL PAK for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the fourth quarter of 2023. Additionally, on July 17, 2024, the FDA approved VOQUEZNA 10 mg tablets for the relief of heartburn associated with Non-Erosive GERD.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From inception to December 31, 2025, the Company has devoted substantially all of its efforts to organizing and staffing the Company, business planning, raising capital, in-licensing its initial and approved product candidate, vonoprazan, meeting with regulatory authorities, managing the clinical trials of vonoprazan, preparing for commercialization of its initial products containing vonoprazan, commercially launching its approved products in the U.S., and providing other selling, general and administrative support for these operations. The Company has a limited operating history as a commercial company, has generated limited product revenue to date, and the sales and income potential of its business remains uncertain. The Company has incurred net losses and negative cash flows from operating activities since its inception and despite the Company's plans and expectations, could continue to incur additional net losses in the future. The Company has funded its operations primarily through commercial bank debt, the revenue interest financing debt and various equity offerings, including the Company's at-the-market, or ATM, offerings. From inception through December 31, 2025, the Company sold 34,737,032 shares of common stock and 2,608,922 pre-funded warrants, generating net proceeds of approximately $543.3 million, after deducting underwriting discounts, commissions and offering costs. In January 2026, the Company sold 6,875,000 shares of common stock at a price of $16.00 per share and pre-funded warrants to purchase 1,250,078 shares of common stock at a price of $15.999 per pre-funded warrant for total gross proceeds of $130.0 million or $122.2 million of net proceeds after deducting underwriting discounts, commissions and offering costs.</w:t>
      </w:r>
    </w:p>
    <w:p>
      <w:pPr>
        <w:spacing w:after="0" w:line="140"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in accordance with GAAP.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58"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financial statements were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ind w:right="420" w:firstLine="509"/>
        <w:spacing w:after="0" w:line="253" w:lineRule="auto"/>
        <w:rPr>
          <w:sz w:val="20"/>
          <w:szCs w:val="20"/>
          <w:color w:val="auto"/>
        </w:rPr>
      </w:pPr>
      <w:r>
        <w:rPr>
          <w:rFonts w:ascii="Arial" w:cs="Arial" w:eastAsia="Arial" w:hAnsi="Arial"/>
          <w:sz w:val="18"/>
          <w:szCs w:val="18"/>
          <w:color w:val="auto"/>
        </w:rPr>
        <w:t>The preparation of the Company’s financial statements requires management to make estimates and assumptions that impact the reported amounts of assets, liabilities, revenues and expenses, and the disclosure of contingent assets and liabilities in the Company’s financial statements and accompanying notes. The most significant estimates in the Company’s financial statements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4" w:name="page105"/>
    <w:bookmarkEnd w:id="104"/>
    <w:p>
      <w:pPr>
        <w:ind w:right="40"/>
        <w:spacing w:after="0" w:line="247" w:lineRule="auto"/>
        <w:rPr>
          <w:sz w:val="20"/>
          <w:szCs w:val="20"/>
          <w:color w:val="auto"/>
        </w:rPr>
      </w:pPr>
      <w:r>
        <w:rPr>
          <w:rFonts w:ascii="Arial" w:cs="Arial" w:eastAsia="Arial" w:hAnsi="Arial"/>
          <w:sz w:val="18"/>
          <w:szCs w:val="18"/>
          <w:color w:val="auto"/>
        </w:rPr>
        <w:t>relate to accruals for net product revenues and the valuation for the revenue interest financing liability. In addition, management’s assessment of the Company’s ability to continue as a going concern involves the estimation of the amount and timing of future cash inflows and outflows. Although these estimates are based on the Company’s knowledge of current events and actions it may undertake in the future, actual results could differ materially from those estimates and assumptions.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9"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71" w:lineRule="exact"/>
        <w:rPr>
          <w:sz w:val="20"/>
          <w:szCs w:val="20"/>
          <w:color w:val="auto"/>
        </w:rPr>
      </w:pPr>
    </w:p>
    <w:p>
      <w:pPr>
        <w:ind w:right="1040" w:firstLine="509"/>
        <w:spacing w:after="0" w:line="271" w:lineRule="auto"/>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13"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The carrying amounts of the Company’s financial instruments, including cash and cash equivalents, are classified within the Level 1 designation discussed above, while accounts receivable, prepaid and other current assets, accounts payable, and accrued liabilities, approximate fair value due to their short-term maturities.</w:t>
      </w:r>
    </w:p>
    <w:p>
      <w:pPr>
        <w:spacing w:after="0" w:line="142" w:lineRule="exact"/>
        <w:rPr>
          <w:sz w:val="20"/>
          <w:szCs w:val="20"/>
          <w:color w:val="auto"/>
        </w:rPr>
      </w:pPr>
    </w:p>
    <w:p>
      <w:pPr>
        <w:ind w:right="440" w:firstLine="509"/>
        <w:spacing w:after="0" w:line="301"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9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As of December 31, 2025 and 2024, the estimated fair value of the Company’s long-term debt approximated the carrying amount given its floating interest rate basis. The fair value of the Company’s long-term debt was estimated for disclosure purposes only and was determined based on quoted market data for valuation, and thus categorized as Level 2 in the fair value hierarchy.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3" w:lineRule="exact"/>
        <w:rPr>
          <w:sz w:val="20"/>
          <w:szCs w:val="20"/>
          <w:color w:val="auto"/>
        </w:rPr>
      </w:pPr>
    </w:p>
    <w:p>
      <w:pPr>
        <w:jc w:val="both"/>
        <w:ind w:right="580" w:firstLine="509"/>
        <w:spacing w:after="0" w:line="253"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Cash and cash equivalents include cash in readily available checking accounts and money market funds. Restricted cash primarily consists of cash deposited by the Company to secure corporate leased vehicles.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69" w:lineRule="exact"/>
        <w:rPr>
          <w:sz w:val="20"/>
          <w:szCs w:val="20"/>
          <w:color w:val="auto"/>
        </w:rPr>
      </w:pPr>
    </w:p>
    <w:p>
      <w:pPr>
        <w:ind w:right="80" w:firstLine="559"/>
        <w:spacing w:after="0" w:line="244" w:lineRule="auto"/>
        <w:rPr>
          <w:sz w:val="20"/>
          <w:szCs w:val="20"/>
          <w:color w:val="auto"/>
        </w:rPr>
      </w:pPr>
      <w:r>
        <w:rPr>
          <w:rFonts w:ascii="Arial" w:cs="Arial" w:eastAsia="Arial" w:hAnsi="Arial"/>
          <w:sz w:val="18"/>
          <w:szCs w:val="18"/>
          <w:color w:val="auto"/>
        </w:rPr>
        <w:t>Accounts receivable consists of amounts due from customers, primarily wholesale distributors, net of customer allowances for prompt pay discounts, distribution service fees, and other adjustments. Our contracts with customers have standard payment terms. The Company assesses the need for an allowance for credit losses primarily based on creditworthiness, historical payment experience and general economic conditions. The Company has not experienced any credit losses to date given our limited commercial operations with any of its customers, and has not currently recognized a material allowance for credit losses.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6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33"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Company is also subject to credit risk from our accounts receivable related to our product sales. The Company monitors exposure within accounts receivable and records an allowance for credit losses as necessary. The Company extends credit primarily to wholesale distributors. Customer creditworthiness is monitored and collateral is not required. The allowance for credit losses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reflects the best estimate of expected credit losses of the accounts receivable portfolio determined on the basis of historical experience, current information, and forecasts of future economic conditions. The Company determines its allowance methodology by pooling receivable balances at the customer level. The Company considers various factors, including its previous loss history, individual credit risk associated to each customer, and the current and future conditions of the general economy. These credit risk factors are monitored on a quarterly basis and updated as necessary. To the extent that any individual debtor is identified whose credit quality has deteriorated, the Company establishes allowances based on the individual risk characteristics of such customer. The Company makes concerted efforts to collect all outstanding balances due from customers; however, account balances are charged off against the allowance when management believes it is probable the receivable will not be recovered. The Company does not have any off-balance-sheet credit exposure related to customers.</w:t>
      </w:r>
    </w:p>
    <w:p>
      <w:pPr>
        <w:spacing w:after="0" w:line="153"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As of December 31, 2025, three customers accounted for 78% of the accounts receivable balance, with each of these individual customers ranging from 19% to 30% of the accounts receivable balance. As of December 31, 2024, three customers accounted for 81% of the accounts receivable balance, with each of these individual customers ranging from 25% to 31% of the accounts receivable balance. For the year ended December 31, 2025, three customers accounted for 69% of the product sales, with each of these individual customers ranging from 22% to 23% of the product sales. For the year ended December 31, 2024, three customers accounted for 69% of the product sales, with each of these individual customers ranging from 22% to 25% of the product sales.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69" w:lineRule="exact"/>
        <w:rPr>
          <w:sz w:val="20"/>
          <w:szCs w:val="20"/>
          <w:color w:val="auto"/>
        </w:rPr>
      </w:pPr>
    </w:p>
    <w:p>
      <w:pPr>
        <w:ind w:firstLine="559"/>
        <w:spacing w:after="0" w:line="244" w:lineRule="auto"/>
        <w:rPr>
          <w:sz w:val="20"/>
          <w:szCs w:val="20"/>
          <w:color w:val="auto"/>
        </w:rPr>
      </w:pPr>
      <w:r>
        <w:rPr>
          <w:rFonts w:ascii="Arial" w:cs="Arial" w:eastAsia="Arial" w:hAnsi="Arial"/>
          <w:sz w:val="18"/>
          <w:szCs w:val="18"/>
          <w:color w:val="auto"/>
        </w:rPr>
        <w:t>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Inventory consists of bulk active pharmaceutical ingredients that are used to manufacture vonoprazan tablets and finished goods. Inventory related to indications prior to regulatory approval has been included in research and development expense in the period of purchase.</w:t>
      </w:r>
    </w:p>
    <w:p>
      <w:pPr>
        <w:spacing w:after="0" w:line="14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Company states its inventory at the lower of cost or net realizable value. The Company measures inventory cost using actual cost under a first-in, first-out basis. The Company assesses recoverability of inventory each reporting period to determine any write-down to net realizable value resulting from excess or obsolete inventories. During the years ended December 31, 2025 and 2024, the Company recorded approximately $0.3 million and $0.8 million, respectively, of charges for inventory not expected to be sold prior to its expiration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Property and equipment are recorded at cost, less accumulated depreciation. Depreciation expense is recognized using the straight-line method over the useful life of the asset. Computer equipment and related software are depreciated over two to three years. Equipment is depreciated over five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9" w:lineRule="exact"/>
        <w:rPr>
          <w:sz w:val="20"/>
          <w:szCs w:val="20"/>
          <w:color w:val="auto"/>
        </w:rPr>
      </w:pPr>
    </w:p>
    <w:p>
      <w:pPr>
        <w:jc w:val="both"/>
        <w:ind w:right="40" w:firstLine="509"/>
        <w:spacing w:after="0" w:line="244" w:lineRule="auto"/>
        <w:rPr>
          <w:sz w:val="20"/>
          <w:szCs w:val="20"/>
          <w:color w:val="auto"/>
        </w:rPr>
      </w:pPr>
      <w:r>
        <w:rPr>
          <w:rFonts w:ascii="Arial" w:cs="Arial" w:eastAsia="Arial" w:hAnsi="Arial"/>
          <w:sz w:val="18"/>
          <w:szCs w:val="18"/>
          <w:color w:val="auto"/>
        </w:rPr>
        <w:t>The Company reviews long-lived assets, including property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 impairment losses have been recorded for the years ended December 31, 2025 and 2024.</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83"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Other long-term assets consist of deposits relating to our copay and patient support programs and security deposits on our leased properties.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Leases</w:t>
      </w:r>
    </w:p>
    <w:p>
      <w:pPr>
        <w:spacing w:after="0" w:line="183"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Interest Financing Liability</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 entered into a revenue interest financing agreement, or the Revenue Interest Financing Agreement, with entities managed or advised by NovaQuest Capital Management, or NQ, Sagard Holdings Manager LP, or Sagard, and Hercules Capital, Inc., or Hercules, together with NQ and Sagard, the Initial Investors, in which the Company received funds in return for royalties on net sales of products containing vonoprazan, in May 2022. Subsequently, in October 2022, the Company entered into a Joinder Agreement with the Initial Investors and CO Finance LVS XXXVII LLC, or the Additional Investor, together as the Investors. On December 23, 2024, CO Finance LVS XXXVII LLC agreed to assign and transfer to OC III LVS LX LP all of its rights, title and interest as an Additional Investor and in connection therewith, OC III LVS LX LP executed a Joinder Agreement. The net proceeds received under the transactions are recognized as short-term and long-term liabilities with interest expense based on an imputed effective rate derived from the expected future payments to the Investors. The Company recalculates the effective interest rate each period based on the current carrying value and the revised estimated future payments to the Investors. Changes in future payments to the Investors from previous estimates are included in current and future interest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Pursuant to Accounting Standards Codification 606, Revenue from Contracts with Customers, or ASC 606, the Company recognizes revenue when a customer obtains control of promised goods or services. The Company records the amount of revenue that reflects the consideration that it expects to receive in exchange for those goods or services.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it will collect the consideration to which it is entitled in exchange for the goods or services that it transfers to the customer. Once a contract is determined to be within the scope of ASC 606 at contract inception, the Company reviews the contract to determine which performance obligations it must deliver and which of these performance obligations are distinct. The Company recognizes as revenue the amount of the transaction price that is allocated to each performance obligation when that performance obligation is satisfied or as it is satisfied. Generally, the Company’s performance obligations are transferred to customers at a point in time, typically upon delivery.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i w:val="1"/>
          <w:iCs w:val="1"/>
          <w:color w:val="auto"/>
        </w:rPr>
        <w:t>Product Revenue, Net</w:t>
      </w:r>
    </w:p>
    <w:p>
      <w:pPr>
        <w:spacing w:after="0" w:line="183" w:lineRule="exact"/>
        <w:rPr>
          <w:sz w:val="20"/>
          <w:szCs w:val="20"/>
          <w:color w:val="auto"/>
        </w:rPr>
      </w:pPr>
    </w:p>
    <w:p>
      <w:pPr>
        <w:ind w:right="520" w:firstLine="509"/>
        <w:spacing w:after="0" w:line="247" w:lineRule="auto"/>
        <w:rPr>
          <w:sz w:val="20"/>
          <w:szCs w:val="20"/>
          <w:color w:val="auto"/>
        </w:rPr>
      </w:pPr>
      <w:r>
        <w:rPr>
          <w:rFonts w:ascii="Arial" w:cs="Arial" w:eastAsia="Arial" w:hAnsi="Arial"/>
          <w:sz w:val="18"/>
          <w:szCs w:val="18"/>
          <w:color w:val="auto"/>
        </w:rPr>
        <w:t>The Company sells its product to its customers, primarily wholesale distributors, in the United States. The Company’s customers subsequently resell the products to pharmacies and health care providers. In accordance with ASC 606, the Company recognizes net product revenues from sales when the customers obtain control of the Company’s products, which typically occurs upon delivery to the customer.</w:t>
      </w:r>
    </w:p>
    <w:p>
      <w:pPr>
        <w:spacing w:after="0" w:line="133"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Revenues from product sales are recorded at the net sales price, or transaction price, which includes estimates of variable consideration that result from (a) invoice discounts for prompt payment and distribution service fees, (b) government and private payor rebates, chargebacks, discounts and fees, (c) product returns and (d) costs of co-pay assistance programs for patients, as well as other incentives for certain indirect customers. Reserves are established for the estimates of variable consideration based on the amounts earned or to be claimed on the related sales. The reserves are classified as reductions to accounts receivable, net if payable to a customer or accrued expenses if payable to a third-party or related to product returns. Where appropriate, the Company utilizes the expected value method to determine the appropriate amount for estimates of variable consideration based on factors such as current contractual and statutory requirements,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will adjust these estimates, which would affect net product revenue and earnings in the period such variances become known.</w:t>
      </w:r>
    </w:p>
    <w:p>
      <w:pPr>
        <w:spacing w:after="0" w:line="140"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i w:val="1"/>
          <w:iCs w:val="1"/>
          <w:color w:val="auto"/>
        </w:rPr>
        <w:t xml:space="preserve">Distribution Service Fees: </w:t>
      </w:r>
      <w:r>
        <w:rPr>
          <w:rFonts w:ascii="Arial" w:cs="Arial" w:eastAsia="Arial" w:hAnsi="Arial"/>
          <w:sz w:val="18"/>
          <w:szCs w:val="18"/>
          <w:color w:val="auto"/>
        </w:rPr>
        <w:t>The Company engages with wholesalers and specialty pharmacies to distribute its products to end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The Company pays the wholesalers a fee for services such as: Data Reporting, Inventory Management, Chargeback Administration and Service Level Commitment. The Company estimates the amount of distribution services fees to be paid to the customers based on a contractually fixed percentage of wholesaler acquisition costs and are calculated at the time of sale based on the purchase amount and the transaction price is adjusted with the amount of such estimate at the time of sale to the customer. Estimated distribution service fees are recorded within accounts receivable or accrued expenses, net on the balance sheets.</w:t>
      </w:r>
    </w:p>
    <w:p>
      <w:pPr>
        <w:spacing w:after="0" w:line="15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i w:val="1"/>
          <w:iCs w:val="1"/>
          <w:color w:val="auto"/>
        </w:rPr>
        <w:t xml:space="preserve">Prompt Pay Discounts: </w:t>
      </w:r>
      <w:r>
        <w:rPr>
          <w:rFonts w:ascii="Arial" w:cs="Arial" w:eastAsia="Arial" w:hAnsi="Arial"/>
          <w:sz w:val="18"/>
          <w:szCs w:val="18"/>
          <w:color w:val="auto"/>
        </w:rPr>
        <w:t>The Company provides its customers with a percentage discount on their invoice if the customers pay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agreed upon timeframe. The Company estimates the probability of customers paying promptly and the percentage of discount outlined in the agreement, and deducts the full amount of these discounts. Estimated prompt pay discounts are recorded within accounts receivable, net on the balance sheets.</w:t>
      </w:r>
    </w:p>
    <w:p>
      <w:pPr>
        <w:spacing w:after="0" w:line="133"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The Company provides customers a return credit in the amount of the purchase price paid by customers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returned in accordance with the Company’s returned goods policy. In the initial sales period, the Company estimates its provision for sales returns based on available industry data including visibility into the inventory remaining in the distribution channel, and adjusts the transaction price with such estimate at the time of sale to the customer. Once sufficient history has been collected for product returns, the Company will utilize that history to inform its estimate assumptions. Once the product is returned, it is destroyed. The Company does not record a right-of-return asset. Estimated product returns are recorded as accrued expenses on the balance sheets.</w:t>
      </w:r>
    </w:p>
    <w:p>
      <w:pPr>
        <w:spacing w:after="0" w:line="138"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i w:val="1"/>
          <w:iCs w:val="1"/>
          <w:color w:val="auto"/>
        </w:rPr>
        <w:t xml:space="preserve">Chargebacks: </w:t>
      </w:r>
      <w:r>
        <w:rPr>
          <w:rFonts w:ascii="Arial" w:cs="Arial" w:eastAsia="Arial" w:hAnsi="Arial"/>
          <w:sz w:val="18"/>
          <w:szCs w:val="18"/>
          <w:color w:val="auto"/>
        </w:rPr>
        <w:t>A chargeback is the difference between the manufacturer's invoice price to the wholesaler and the contract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wholesaler’s customer has negotiated directly with the manufacturer. The wholesaler tracks these sales and "charges back" the manufacturer for the difference between the negotiated prices paid between the wholesaler's customers and wholesaler's acquisition cost. The Company estimates the percentage of goods sold that are eligible for chargeback and adjusts the transaction price for such discount at the time of sale to the customer. Estimated chargebacks are recorded within accounts receivable, net on the balance sheets.</w:t>
      </w:r>
    </w:p>
    <w:p>
      <w:pPr>
        <w:spacing w:after="0" w:line="14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i w:val="1"/>
          <w:iCs w:val="1"/>
          <w:color w:val="auto"/>
        </w:rPr>
        <w:t xml:space="preserve">Co-pay Assistance: </w:t>
      </w:r>
      <w:r>
        <w:rPr>
          <w:rFonts w:ascii="Arial" w:cs="Arial" w:eastAsia="Arial" w:hAnsi="Arial"/>
          <w:sz w:val="18"/>
          <w:szCs w:val="18"/>
          <w:color w:val="auto"/>
        </w:rPr>
        <w:t>The Company provides for financial assistance to qualified patients, assisting them with prescription drug co-payments required by insurance. The Company uses third-party administers for the co-payment program for pharmacy benefit claims. The calculation of the accrual for copay is based on an estimate of claims and the cost per claim that the Company expects to receive associated with actual sales and inventory that exists in the distribution channel at period end. Estimated co-pay assistance accruals are recorded within accrued expenses on the balance sheets.</w:t>
      </w:r>
    </w:p>
    <w:p>
      <w:pPr>
        <w:spacing w:after="0" w:line="95"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i w:val="1"/>
          <w:iCs w:val="1"/>
          <w:color w:val="auto"/>
        </w:rPr>
        <w:t xml:space="preserve">Administration Fees: </w:t>
      </w:r>
      <w:r>
        <w:rPr>
          <w:rFonts w:ascii="Arial" w:cs="Arial" w:eastAsia="Arial" w:hAnsi="Arial"/>
          <w:sz w:val="18"/>
          <w:szCs w:val="18"/>
          <w:color w:val="auto"/>
        </w:rPr>
        <w:t>The Company engages with Pharmacy Benefit Managers, or PBMs, to administer prescription -drug plans for</w:t>
      </w:r>
      <w:r>
        <w:rPr>
          <w:rFonts w:ascii="Arial" w:cs="Arial" w:eastAsia="Arial" w:hAnsi="Arial"/>
          <w:sz w:val="18"/>
          <w:szCs w:val="18"/>
          <w:i w:val="1"/>
          <w:iCs w:val="1"/>
          <w:color w:val="auto"/>
        </w:rPr>
        <w:t xml:space="preserve"> </w:t>
      </w:r>
      <w:r>
        <w:rPr>
          <w:rFonts w:ascii="Arial" w:cs="Arial" w:eastAsia="Arial" w:hAnsi="Arial"/>
          <w:sz w:val="18"/>
          <w:szCs w:val="18"/>
          <w:color w:val="auto"/>
        </w:rPr>
        <w:t>people with third-party insurance through a self-insured employer, health insurance plan, labor union or government plan. The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08" w:name="page109"/>
    <w:bookmarkEnd w:id="108"/>
    <w:p>
      <w:pPr>
        <w:ind w:right="160"/>
        <w:spacing w:after="0" w:line="247" w:lineRule="auto"/>
        <w:rPr>
          <w:sz w:val="20"/>
          <w:szCs w:val="20"/>
          <w:color w:val="auto"/>
        </w:rPr>
      </w:pPr>
      <w:r>
        <w:rPr>
          <w:rFonts w:ascii="Arial" w:cs="Arial" w:eastAsia="Arial" w:hAnsi="Arial"/>
          <w:sz w:val="18"/>
          <w:szCs w:val="18"/>
          <w:color w:val="auto"/>
        </w:rPr>
        <w:t>Company pays PBMs “administrative fees” for their role in providing utilization data, administering rebates, and administering claims payments. The Company estimates the amount of administration fees to be paid to PBMs and adjusts the transaction price with the amount of such estimate at the time of sale to the customer. Estimated administration fees are recorded within accrued expenses on the balance sheets.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Rebates</w:t>
      </w:r>
      <w:r>
        <w:rPr>
          <w:rFonts w:ascii="Arial" w:cs="Arial" w:eastAsia="Arial" w:hAnsi="Arial"/>
          <w:sz w:val="18"/>
          <w:szCs w:val="18"/>
          <w:color w:val="auto"/>
        </w:rPr>
        <w:t>: Rebates apply to:</w:t>
      </w:r>
    </w:p>
    <w:p>
      <w:pPr>
        <w:spacing w:after="0" w:line="104" w:lineRule="exact"/>
        <w:rPr>
          <w:sz w:val="20"/>
          <w:szCs w:val="20"/>
          <w:color w:val="auto"/>
        </w:rPr>
      </w:pPr>
    </w:p>
    <w:p>
      <w:pPr>
        <w:ind w:left="1020" w:right="520" w:hanging="503"/>
        <w:spacing w:after="0" w:line="270"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Medicaid, managed care, and supplemental rebates to all applicable states as defined by the statutory government pricing calculation requirements under the Medicaid Drug Rebate Program, and</w:t>
      </w:r>
    </w:p>
    <w:p>
      <w:pPr>
        <w:spacing w:after="0" w:line="46" w:lineRule="exact"/>
        <w:rPr>
          <w:rFonts w:ascii="Times New Roman" w:cs="Times New Roman" w:eastAsia="Times New Roman" w:hAnsi="Times New Roman"/>
          <w:sz w:val="18"/>
          <w:szCs w:val="18"/>
          <w:color w:val="auto"/>
        </w:rPr>
      </w:pPr>
    </w:p>
    <w:p>
      <w:pPr>
        <w:ind w:left="1020" w:right="360" w:hanging="503"/>
        <w:spacing w:after="0" w:line="252"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Medicare Part D and Commercial Managed Care rebates are paid based on the contracts with PBMs and Managed Care Organizations. Rebates are paid to these entities upon receipt of an invoice from the contracted entity which is based on the utilization of the product by the members of the contracted entity.</w:t>
      </w:r>
    </w:p>
    <w:p>
      <w:pPr>
        <w:spacing w:after="0" w:line="130"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Company estimates the percentage of goods sold that are eligible for rebates and adjusts the transaction price for such discounts at the time of sale to the customers. Estimated rebates are recorded as accrued expenses on the balance sheets.</w:t>
      </w:r>
    </w:p>
    <w:p>
      <w:pPr>
        <w:spacing w:after="0" w:line="113" w:lineRule="exact"/>
        <w:rPr>
          <w:sz w:val="20"/>
          <w:szCs w:val="20"/>
          <w:color w:val="auto"/>
        </w:rPr>
      </w:pPr>
    </w:p>
    <w:p>
      <w:pPr>
        <w:ind w:right="60" w:firstLine="509"/>
        <w:spacing w:after="0"/>
        <w:rPr>
          <w:sz w:val="20"/>
          <w:szCs w:val="20"/>
          <w:color w:val="auto"/>
        </w:rPr>
      </w:pPr>
      <w:r>
        <w:rPr>
          <w:rFonts w:ascii="Arial" w:cs="Arial" w:eastAsia="Arial" w:hAnsi="Arial"/>
          <w:sz w:val="18"/>
          <w:szCs w:val="18"/>
          <w:i w:val="1"/>
          <w:iCs w:val="1"/>
          <w:color w:val="auto"/>
        </w:rPr>
        <w:t xml:space="preserve">Manufacturer Discount Program: </w:t>
      </w:r>
      <w:r>
        <w:rPr>
          <w:rFonts w:ascii="Arial" w:cs="Arial" w:eastAsia="Arial" w:hAnsi="Arial"/>
          <w:sz w:val="18"/>
          <w:szCs w:val="18"/>
          <w:color w:val="auto"/>
        </w:rPr>
        <w:t>The Medicare Part D coverage gap, previously referred to as the donut hole, was redesigned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replaced beginning on January 1, 2025 as part of The Inflation Reduction Act, or IRA, of 2022. This included the creation of a new manufacturer discount program, or MDP, in place of the prior coverage gap discount program. Prior to the IRA enactment, the Company estimated the percentage of goods sold under coverage gap and adjusted the transaction price for such discount at the time of sale to the customer. Beginning January 1, 2025, the calculation of the accrual under the MDP program is based on an estimate of prescriptions covered by Medicare and the estimated manufacturer portion of our obligation under the Part D redesign. Estimated accruals are recorded in the same period the related revenue is recognized, resulting in a reduction of product revenue and the establishment of a liability. Estimated MDP accruals are recorded as accrued expenses on the balance sheets.</w:t>
      </w:r>
    </w:p>
    <w:p>
      <w:pPr>
        <w:spacing w:after="0" w:line="153"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co-pay assistance and discounts for its products, as it becomes available.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Cost of revenue includes the cost of producing and distributing inventories that are related to product sales. This also includes royalties payable to Takeda Pharmaceutical Company Limited, or Takeda, pursuant to the Takeda License Agreement (Refer to Note 3 Commitments and Contingencies for further details). In addition, shipping and handling costs for product sales are recorded as incurred. Cost of revenue also includes costs related to excess or obsolete inventory adjustment charges and other inventory write-offs.</w:t>
      </w:r>
    </w:p>
    <w:p>
      <w:pPr>
        <w:spacing w:after="0" w:line="147"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In connection with the FDA approvals of VOQUEZNA, VOQUEZNA TRIPLE PAK, and VOQUEZNA DUAL PAK, the Company began capitalizing inventory manufactured by or purchased from third parties. Prior to receiving FDA approvals, manufacturing costs related to inventory purchased were expensed as research and development expense and therefore are excluded from cost of revenue during the current year. The exclusion of these previously expensed costs did not have a material impact on cost of revenue in the current year.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Accruals</w:t>
      </w:r>
    </w:p>
    <w:p>
      <w:pPr>
        <w:spacing w:after="0" w:line="169"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or CROs, and consultants to conduct and support the Company’s ongoing clinical trials of vonoprazan, and costs related to manufacturing vonoprazan for clinical trials.</w:t>
      </w:r>
    </w:p>
    <w:p>
      <w:pPr>
        <w:spacing w:after="0" w:line="14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09" w:name="page110"/>
    <w:bookmarkEnd w:id="109"/>
    <w:p>
      <w:pPr>
        <w:ind w:right="340"/>
        <w:spacing w:after="0" w:line="253" w:lineRule="auto"/>
        <w:rPr>
          <w:sz w:val="20"/>
          <w:szCs w:val="20"/>
          <w:color w:val="auto"/>
        </w:rPr>
      </w:pPr>
      <w:r>
        <w:rPr>
          <w:rFonts w:ascii="Arial" w:cs="Arial" w:eastAsia="Arial" w:hAnsi="Arial"/>
          <w:sz w:val="18"/>
          <w:szCs w:val="18"/>
          <w:color w:val="auto"/>
        </w:rPr>
        <w:t>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69"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Selling, general and administrative expenses consist of salaries and employee-related costs, including stock-based compensation, for personnel in commercial, executive, finance, accounting, information technology, legal, medical affairs and human resources functions.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183"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Advertising and marketing costs are expensed as incurred. Advertising and marketing costs for each of the years ended December 31, 2025 and 2024 was approximately $61.3 million and are included in selling, general and administrative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Stock-based compensation expense represents the cost of the grant date fair value of equity awards recognized over the requisite service period of the awards (generally the vesting period) on a straight-line basis with forfeitures recognized as they occur. The fair value of stock options are determined by using the Black-Scholes option-pricing model. The fair value of performance awards with a market condition is estimated at the date of grant using a Monte Carlo Simulation model. The Black-Scholes and Monte Carlo Simulation valuation models incorporate assumptions as to stock price volatility, the expected life of options or awards, a risk-free interest rate and dividend yield. The fair value of restricted stock, including performance awards, without a market condition is estimated using the current market price of our common stock on the date of grant.</w:t>
      </w:r>
    </w:p>
    <w:p>
      <w:pPr>
        <w:spacing w:after="0" w:line="158"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The Company also maintains an employee stock purchase program, or ESPP, under which it may issue shares. The Company estimates the fair value of shares that will be issued under the ESPP, and of stock options using the Black-Scholes valuation model, which requires the use of estimates. The Company recognizes stock-based compensation cost for shares that it will issue under the ESPP on a straight-line basis over the requisite service period of the award.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statements of operations in the period that includes the enactment date.</w:t>
      </w:r>
    </w:p>
    <w:p>
      <w:pPr>
        <w:spacing w:after="0" w:line="149"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38"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36" w:lineRule="exact"/>
        <w:rPr>
          <w:sz w:val="20"/>
          <w:szCs w:val="20"/>
          <w:color w:val="auto"/>
        </w:rPr>
      </w:pPr>
    </w:p>
    <w:p>
      <w:pPr>
        <w:jc w:val="both"/>
        <w:ind w:right="240" w:firstLine="509"/>
        <w:spacing w:after="0" w:line="253" w:lineRule="auto"/>
        <w:rPr>
          <w:sz w:val="20"/>
          <w:szCs w:val="20"/>
          <w:color w:val="auto"/>
        </w:rPr>
      </w:pPr>
      <w:r>
        <w:rPr>
          <w:rFonts w:ascii="Arial" w:cs="Arial" w:eastAsia="Arial" w:hAnsi="Arial"/>
          <w:sz w:val="18"/>
          <w:szCs w:val="18"/>
          <w:color w:val="auto"/>
        </w:rPr>
        <w:t>Beginning in 2022, the Tax Cuts and Jobs Act eliminates the option to deduct research and development expenditures currently and requires taxpayers to amortize domestic and foreign research and development expenditures over 5 years and 15 years, respectively. The requirement did not impact cash from operations in the periods presented.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3"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non-owner sources. The Company’s comprehensive loss was the same as its reported net loss for all periods presented.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Pre-funded Warrants</w:t>
      </w:r>
    </w:p>
    <w:p>
      <w:pPr>
        <w:spacing w:after="0" w:line="169"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The Company issued pre-funded warrants in connection with an underwritten public offering that were accounted for as a freestanding equity-linked financial instrument that met the criteria for equity classification under ASC 480, Distinguishing Liabilities from Equity, and ASC 815, Derivatives and Hedging. Accordingly, the Company classified the pre-funded warrants as a component of shareholders’ equity within additional paid-in capital. The Company valued the pre-funded warrants at issuance, concluding that their sales price approximated their fair value, and allocated the net proceeds from the offering proportionately to the common shares and pre-funded warrants. See Note 7 Stockholders' Equity for further discussion related to the offering.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and pre-funded warrants for the period, without consideration for other potentially dilutive securities. For the years ended December 31, 2025 and 2024, basic shares outstanding includes the weighted average effect of the Company’s outstanding pre-funded warrants, the exercise of which requires little or no consideration for the delivery of shares of common stock. For the years ended December 31, 2025 and 2024, the Company had no weighted-average unvested shares to exclude from the weighted-average number of common shares outstanding.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the periods presented, there is no difference in the number of shares used to calculate basic and diluted shares outstanding as inclusion of the potentially dilutive securities (warrants, stock options, and restricted stock units) would be antidilutive.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85"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In December 2023, the FASB issued ASU 2023-09 – Income Taxes (Topic 740) – Improvements to Income Tax Disclosures, which improves income tax disclosures primarily relating to the rate reconciliation and income taxes paid information. This includes a tabular reconciliation using both percentages and reporting currency amounts, covering various tax and reconciling items, and disaggregated summaries of income taxes paid during the period. For public business entities, the guidance is effective for annual periods beginning after December 15, 2024, with early adoption permitted. The Company prospectively adopted this guidance, which did not have an impact on the Company's financial statements, although it did result in expanded income tax-related disclosures, which are included in Note 9 Income Taxes to the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1" w:lineRule="exact"/>
        <w:rPr>
          <w:sz w:val="20"/>
          <w:szCs w:val="20"/>
          <w:color w:val="auto"/>
        </w:rPr>
      </w:pPr>
    </w:p>
    <w:p>
      <w:pPr>
        <w:jc w:val="both"/>
        <w:ind w:right="280" w:firstLine="509"/>
        <w:spacing w:after="0" w:line="242" w:lineRule="auto"/>
        <w:rPr>
          <w:sz w:val="20"/>
          <w:szCs w:val="20"/>
          <w:color w:val="auto"/>
        </w:rPr>
      </w:pPr>
      <w:r>
        <w:rPr>
          <w:rFonts w:ascii="Arial" w:cs="Arial" w:eastAsia="Arial" w:hAnsi="Arial"/>
          <w:sz w:val="18"/>
          <w:szCs w:val="18"/>
          <w:color w:val="auto"/>
        </w:rPr>
        <w:t>In November 2024, the FASB issued ASU 2024-03 - Disaggregation of Income Statement Expenses, which requires more detailed disclosures about specified categories of expenses (including employee compensation, depreciation, and amortization) included in certain expense captions presented on the face of the income statement. ASU 2024-03 is effective for fiscal years beginning after December 15, 2026, and for interim periods within fiscal years beginning after December 15, 2027, may be applied prospectively or retrospectively, and allows for early adoption. This standard is not expected to have an impact on any amounts recognized in our financial statements, but will result in more detailed disclosures addressing the categorization of expenses.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2. Balance Sheet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21"/>
        </w:trPr>
        <w:tc>
          <w:tcPr>
            <w:tcW w:w="44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tcBorders>
              <w:bottom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1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2025</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44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 equipment and software</w:t>
            </w:r>
          </w:p>
        </w:tc>
        <w:tc>
          <w:tcPr>
            <w:tcW w:w="1240" w:type="dxa"/>
            <w:vAlign w:val="bottom"/>
            <w:shd w:val="clear" w:color="auto" w:fill="CFF0FC"/>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1,685</w:t>
            </w:r>
          </w:p>
        </w:tc>
        <w:tc>
          <w:tcPr>
            <w:tcW w:w="720" w:type="dxa"/>
            <w:vAlign w:val="bottom"/>
            <w:gridSpan w:val="2"/>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1,546</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24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1,125</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1,124</w:t>
            </w:r>
          </w:p>
        </w:tc>
      </w:tr>
      <w:tr>
        <w:trPr>
          <w:trHeight w:val="203"/>
        </w:trPr>
        <w:tc>
          <w:tcPr>
            <w:tcW w:w="4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242</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w:t>
            </w:r>
          </w:p>
        </w:tc>
      </w:tr>
      <w:tr>
        <w:trPr>
          <w:trHeight w:val="203"/>
        </w:trPr>
        <w:tc>
          <w:tcPr>
            <w:tcW w:w="442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Equipment</w:t>
            </w:r>
          </w:p>
        </w:tc>
        <w:tc>
          <w:tcPr>
            <w:tcW w:w="1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1,487</w:t>
            </w:r>
          </w:p>
        </w:tc>
        <w:tc>
          <w:tcPr>
            <w:tcW w:w="12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1,487</w:t>
            </w:r>
          </w:p>
        </w:tc>
      </w:tr>
      <w:tr>
        <w:trPr>
          <w:trHeight w:val="196"/>
        </w:trPr>
        <w:tc>
          <w:tcPr>
            <w:tcW w:w="44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 gross</w:t>
            </w:r>
          </w:p>
        </w:tc>
        <w:tc>
          <w:tcPr>
            <w:tcW w:w="1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4,539</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4,317</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(3,475)</w:t>
            </w: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(2,841)</w:t>
            </w:r>
          </w:p>
        </w:tc>
      </w:tr>
      <w:tr>
        <w:trPr>
          <w:trHeight w:val="236"/>
        </w:trPr>
        <w:tc>
          <w:tcPr>
            <w:tcW w:w="44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 net</w:t>
            </w:r>
          </w:p>
        </w:tc>
        <w:tc>
          <w:tcPr>
            <w:tcW w:w="1240" w:type="dxa"/>
            <w:vAlign w:val="bottom"/>
            <w:tcBorders>
              <w:bottom w:val="single" w:sz="8" w:color="auto"/>
            </w:tcBorders>
            <w:shd w:val="clear" w:color="auto" w:fill="CFF0FC"/>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1,064</w:t>
            </w:r>
          </w:p>
        </w:tc>
        <w:tc>
          <w:tcPr>
            <w:tcW w:w="1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-427990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857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7"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Depreciation and amortization expense for the years ended December 31, 2025 and 2024 was approximately $0.6 million and $0.8 million, respectively. No property or equipment was disposed of during the years ended December 31, 2025 and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Accrued expenses consist of the following (in thousands):</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compensation expenses</w:t>
            </w:r>
          </w:p>
        </w:tc>
        <w:tc>
          <w:tcPr>
            <w:tcW w:w="1200" w:type="dxa"/>
            <w:vAlign w:val="bottom"/>
            <w:shd w:val="clear" w:color="auto" w:fill="CFF0FC"/>
          </w:tcPr>
          <w:p>
            <w:pPr>
              <w:jc w:val="right"/>
              <w:ind w:right="10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14,841</w:t>
            </w:r>
          </w:p>
        </w:tc>
        <w:tc>
          <w:tcPr>
            <w:tcW w:w="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Accrued professional &amp; consulting expenses</w:t>
            </w:r>
          </w:p>
        </w:tc>
        <w:tc>
          <w:tcPr>
            <w:tcW w:w="1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research and development expenses</w:t>
            </w:r>
          </w:p>
        </w:tc>
        <w:tc>
          <w:tcPr>
            <w:tcW w:w="1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Accrued revenue allowances</w:t>
            </w:r>
          </w:p>
        </w:tc>
        <w:tc>
          <w:tcPr>
            <w:tcW w:w="1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65,462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29,987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Accrued other</w:t>
            </w:r>
          </w:p>
        </w:tc>
        <w:tc>
          <w:tcPr>
            <w:tcW w:w="12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6,920</w:t>
            </w:r>
          </w:p>
        </w:tc>
        <w:tc>
          <w:tcPr>
            <w:tcW w:w="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3,044</w:t>
            </w:r>
          </w:p>
        </w:tc>
        <w:tc>
          <w:tcPr>
            <w:tcW w:w="8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tcPr>
          <w:p>
            <w:pPr>
              <w:spacing w:after="0" w:line="196" w:lineRule="exact"/>
              <w:rPr>
                <w:sz w:val="20"/>
                <w:szCs w:val="20"/>
                <w:color w:val="auto"/>
              </w:rPr>
            </w:pPr>
            <w:r>
              <w:rPr>
                <w:rFonts w:ascii="Arial" w:cs="Arial" w:eastAsia="Arial" w:hAnsi="Arial"/>
                <w:sz w:val="18"/>
                <w:szCs w:val="18"/>
                <w:color w:val="auto"/>
              </w:rPr>
              <w:t>Total accrued expenses</w:t>
            </w:r>
          </w:p>
        </w:tc>
        <w:tc>
          <w:tcPr>
            <w:tcW w:w="1200" w:type="dxa"/>
            <w:vAlign w:val="bottom"/>
          </w:tcPr>
          <w:p>
            <w:pPr>
              <w:jc w:val="right"/>
              <w:ind w:right="10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89,831</w:t>
            </w:r>
          </w:p>
        </w:tc>
        <w:tc>
          <w:tcPr>
            <w:tcW w:w="80" w:type="dxa"/>
            <w:vAlign w:val="bottom"/>
          </w:tcPr>
          <w:p>
            <w:pPr>
              <w:spacing w:after="0"/>
              <w:rPr>
                <w:sz w:val="17"/>
                <w:szCs w:val="17"/>
                <w:color w:val="auto"/>
              </w:rPr>
            </w:pPr>
          </w:p>
        </w:tc>
        <w:tc>
          <w:tcPr>
            <w:tcW w:w="72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53,232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Inventory</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8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Inventory consists of the following (in thousands):</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Finished goods</w:t>
            </w:r>
          </w:p>
        </w:tc>
        <w:tc>
          <w:tcPr>
            <w:tcW w:w="1200" w:type="dxa"/>
            <w:vAlign w:val="bottom"/>
            <w:shd w:val="clear" w:color="auto" w:fill="CFF0FC"/>
          </w:tcPr>
          <w:p>
            <w:pPr>
              <w:jc w:val="right"/>
              <w:ind w:right="10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1,457</w:t>
            </w:r>
          </w:p>
        </w:tc>
        <w:tc>
          <w:tcPr>
            <w:tcW w:w="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Raw materials</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inventory, current</w:t>
            </w:r>
          </w:p>
        </w:tc>
        <w:tc>
          <w:tcPr>
            <w:tcW w:w="1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5,518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3,208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Raw materials, non-current</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inventory</w:t>
            </w:r>
          </w:p>
        </w:tc>
        <w:tc>
          <w:tcPr>
            <w:tcW w:w="1200" w:type="dxa"/>
            <w:vAlign w:val="bottom"/>
            <w:shd w:val="clear" w:color="auto" w:fill="CFF0FC"/>
          </w:tcPr>
          <w:p>
            <w:pPr>
              <w:jc w:val="right"/>
              <w:ind w:right="10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26,250</w:t>
            </w: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14,748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-1722120</wp:posOffset>
            </wp:positionV>
            <wp:extent cx="857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Raw materials consist of materials, including active pharmaceutical ingredients, to be consumed in the production of inventory related to FDA-approved products. Inventory that is used for clinical development purposes is expensed to research and development expense when consumed. Inventory, noncurrent includes inventory expected to remain on-hand beyond one year from the balance sheet dates presented.</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60" w:right="4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6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40"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In consideration of the Takeda License, the Company (i) paid Takeda $25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or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initial public offering, or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 million in sales milestones upon the achievement of specified levels of product sales, and a low double-digit royalty rate on aggregate net sales of licensed products, subject to certain adjustments. The Takeda Warrant had an exercise price of $0.00004613 per share, and was to expire on May 7, 2029 and became exercisable upon the consummation of the IPO. All Takeda Warrants were exercised by March 2022.</w:t>
      </w:r>
    </w:p>
    <w:p>
      <w:pPr>
        <w:spacing w:after="0" w:line="159"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During the years ended December 31, 2025 and 2024, the Company recorded $17.5 million and $5.5 million, respectively, of royalty expense under the Takeda License, of which $5.8 million is included within accrued expenses as of December 31, 2025.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December 2020, the Company entered into a supply agreement with Sandoz pursuant to which Sandoz will supply commercial quantities of amoxicillin capsules and clarithromycin tablets, package these antibiotics with vonoprazan, and provide in finished convenience packs. The supply agreement commits the Company to a minimum purchase obligation of €2.9 million, or approximately $3.2 million, in the first 24-month period following the launch of the final product. The Company incurred $1.7 million and $0.3 million of expenses under the agreement during each of the years ended December 31, 2025 and 2024, respectively. As of December 31, 2025, approximately €1.2 million, or approximately $1.4 million, of the minimum purchase obligation remains and for which the Company has recorded within accrued expenses on the balance sheet and within the Company’s statement of operations and comprehensive loss during the year ended December 31, 2025.</w:t>
      </w:r>
    </w:p>
    <w:p>
      <w:pPr>
        <w:spacing w:after="0" w:line="15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had previously been informed by Sandoz that there could be a disruption in the supply of clarithromycin tablets, a component of the VOQUEZNA TRIPLE PAK, which could lead to a disruption in supply of the VOQUEZNA TRIPLE PAKs. Given more recent communications, however, the Company does not currently anticipate any near-term disruptions. The Company plans to continue to actively monitor the situation to determine if a supply disruption may arise in the future. The VOQUEZNA TRIPLE PAK represented approximately</w:t>
      </w:r>
    </w:p>
    <w:p>
      <w:pPr>
        <w:jc w:val="both"/>
        <w:ind w:right="60"/>
        <w:spacing w:after="0" w:line="242" w:lineRule="auto"/>
        <w:rPr>
          <w:sz w:val="20"/>
          <w:szCs w:val="20"/>
          <w:color w:val="auto"/>
        </w:rPr>
      </w:pPr>
      <w:r>
        <w:rPr>
          <w:rFonts w:ascii="Arial" w:cs="Arial" w:eastAsia="Arial" w:hAnsi="Arial"/>
          <w:sz w:val="18"/>
          <w:szCs w:val="18"/>
          <w:color w:val="auto"/>
        </w:rPr>
        <w:t>1% of our total revenue for 2025. While the Company has not experienced any commercial disruption to date, any disruption for such supply would result in our inability to continue to commercialize the VOQUEZNA TRIPLE PAK. The VOQUEZNA bottles and the VOQUEZNA DUAL PAKs are not impacted, as they do not include clarithromycin.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6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4. Lease Commitments</w:t>
      </w:r>
    </w:p>
    <w:p>
      <w:pPr>
        <w:spacing w:after="0" w:line="185"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As of December 31, 2025, the Company had operating leases for office space in both Buffalo Grove, Illinois and Florham Park, New Jersey, with weighted average remaining lease terms of 4.5 years and 5.2 years, respectively. In September 2025, the Company entered into amendments to its lease agreements for the New Jersey office space to extend the terms of the leases through February 2031. All operating leases contain an option to extend the term for one additional five year period, which was not considered in the determination of the right-of-use asset or lease liability as the Company did not consider it reasonably certain that it would exercise such options.</w:t>
      </w:r>
    </w:p>
    <w:p>
      <w:pPr>
        <w:spacing w:after="0" w:line="136"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The total rent expense for the years ended December 31, 2025 and 2024 was approximately $1.0 million and $1.1 million, respectively. Total short-term lease costs relating to leased vehicles was approximately $6.9 million and $8.8 million for the years ended December 31, 2025 and 2024, respectively.</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2025, the future minimum annual lease payments under the operating leases were as follows (in thousands):</w:t>
      </w:r>
    </w:p>
    <w:p>
      <w:pPr>
        <w:spacing w:after="0" w:line="212"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2026</w:t>
            </w:r>
          </w:p>
        </w:tc>
        <w:tc>
          <w:tcPr>
            <w:tcW w:w="1060" w:type="dxa"/>
            <w:vAlign w:val="bottom"/>
          </w:tcPr>
          <w:p>
            <w:pPr>
              <w:jc w:val="right"/>
              <w:ind w:right="85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686</w:t>
            </w:r>
          </w:p>
        </w:tc>
      </w:tr>
      <w:tr>
        <w:trPr>
          <w:trHeight w:val="203"/>
        </w:trPr>
        <w:tc>
          <w:tcPr>
            <w:tcW w:w="57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2027</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719</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2028</w:t>
            </w:r>
          </w:p>
        </w:tc>
        <w:tc>
          <w:tcPr>
            <w:tcW w:w="1060" w:type="dxa"/>
            <w:vAlign w:val="bottom"/>
          </w:tcPr>
          <w:p>
            <w:pPr>
              <w:spacing w:after="0"/>
              <w:rPr>
                <w:sz w:val="17"/>
                <w:szCs w:val="17"/>
                <w:color w:val="auto"/>
              </w:rPr>
            </w:pP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736</w:t>
            </w:r>
          </w:p>
        </w:tc>
      </w:tr>
      <w:tr>
        <w:trPr>
          <w:trHeight w:val="203"/>
        </w:trPr>
        <w:tc>
          <w:tcPr>
            <w:tcW w:w="57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2029</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753</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2030</w:t>
            </w:r>
          </w:p>
        </w:tc>
        <w:tc>
          <w:tcPr>
            <w:tcW w:w="1060" w:type="dxa"/>
            <w:vAlign w:val="bottom"/>
          </w:tcPr>
          <w:p>
            <w:pPr>
              <w:spacing w:after="0"/>
              <w:rPr>
                <w:sz w:val="17"/>
                <w:szCs w:val="17"/>
                <w:color w:val="auto"/>
              </w:rPr>
            </w:pP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702</w:t>
            </w:r>
          </w:p>
        </w:tc>
      </w:tr>
      <w:tr>
        <w:trPr>
          <w:trHeight w:val="203"/>
        </w:trPr>
        <w:tc>
          <w:tcPr>
            <w:tcW w:w="57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Thereafter</w:t>
            </w:r>
          </w:p>
        </w:tc>
        <w:tc>
          <w:tcPr>
            <w:tcW w:w="10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100</w:t>
            </w:r>
          </w:p>
        </w:tc>
      </w:tr>
      <w:tr>
        <w:trPr>
          <w:trHeight w:val="196"/>
        </w:trPr>
        <w:tc>
          <w:tcPr>
            <w:tcW w:w="5760" w:type="dxa"/>
            <w:vAlign w:val="bottom"/>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1060" w:type="dxa"/>
            <w:vAlign w:val="bottom"/>
          </w:tcPr>
          <w:p>
            <w:pPr>
              <w:spacing w:after="0"/>
              <w:rPr>
                <w:sz w:val="17"/>
                <w:szCs w:val="17"/>
                <w:color w:val="auto"/>
              </w:rPr>
            </w:pPr>
          </w:p>
        </w:tc>
        <w:tc>
          <w:tcPr>
            <w:tcW w:w="16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3,696</w:t>
            </w:r>
          </w:p>
        </w:tc>
      </w:tr>
      <w:tr>
        <w:trPr>
          <w:trHeight w:val="203"/>
        </w:trPr>
        <w:tc>
          <w:tcPr>
            <w:tcW w:w="5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10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(983)</w:t>
            </w:r>
          </w:p>
        </w:tc>
      </w:tr>
      <w:tr>
        <w:trPr>
          <w:trHeight w:val="196"/>
        </w:trPr>
        <w:tc>
          <w:tcPr>
            <w:tcW w:w="5760" w:type="dxa"/>
            <w:vAlign w:val="bottom"/>
          </w:tcPr>
          <w:p>
            <w:pPr>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1060" w:type="dxa"/>
            <w:vAlign w:val="bottom"/>
          </w:tcPr>
          <w:p>
            <w:pPr>
              <w:spacing w:after="0"/>
              <w:rPr>
                <w:sz w:val="17"/>
                <w:szCs w:val="17"/>
                <w:color w:val="auto"/>
              </w:rPr>
            </w:pPr>
          </w:p>
        </w:tc>
        <w:tc>
          <w:tcPr>
            <w:tcW w:w="16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2,713</w:t>
            </w:r>
          </w:p>
        </w:tc>
      </w:tr>
      <w:tr>
        <w:trPr>
          <w:trHeight w:val="203"/>
        </w:trPr>
        <w:tc>
          <w:tcPr>
            <w:tcW w:w="5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operating lease liabilities, current</w:t>
            </w:r>
          </w:p>
        </w:tc>
        <w:tc>
          <w:tcPr>
            <w:tcW w:w="10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(648)</w:t>
            </w:r>
          </w:p>
        </w:tc>
      </w:tr>
      <w:tr>
        <w:trPr>
          <w:trHeight w:val="196"/>
        </w:trPr>
        <w:tc>
          <w:tcPr>
            <w:tcW w:w="5760" w:type="dxa"/>
            <w:vAlign w:val="bottom"/>
          </w:tcPr>
          <w:p>
            <w:pPr>
              <w:spacing w:after="0" w:line="196" w:lineRule="exact"/>
              <w:rPr>
                <w:sz w:val="20"/>
                <w:szCs w:val="20"/>
                <w:color w:val="auto"/>
              </w:rPr>
            </w:pPr>
            <w:r>
              <w:rPr>
                <w:rFonts w:ascii="Arial" w:cs="Arial" w:eastAsia="Arial" w:hAnsi="Arial"/>
                <w:sz w:val="18"/>
                <w:szCs w:val="18"/>
                <w:color w:val="auto"/>
              </w:rPr>
              <w:t>Operating lease liabilities, non-current</w:t>
            </w:r>
          </w:p>
        </w:tc>
        <w:tc>
          <w:tcPr>
            <w:tcW w:w="1060" w:type="dxa"/>
            <w:vAlign w:val="bottom"/>
            <w:tcBorders>
              <w:bottom w:val="single" w:sz="8" w:color="auto"/>
            </w:tcBorders>
          </w:tcPr>
          <w:p>
            <w:pPr>
              <w:jc w:val="right"/>
              <w:ind w:right="85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2,065</w:t>
            </w:r>
          </w:p>
        </w:tc>
      </w:tr>
      <w:tr>
        <w:trPr>
          <w:trHeight w:val="20"/>
        </w:trPr>
        <w:tc>
          <w:tcPr>
            <w:tcW w:w="5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3"/>
        </w:trPr>
        <w:tc>
          <w:tcPr>
            <w:tcW w:w="57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Weighted-average remaining lease term (in years)</w:t>
            </w:r>
          </w:p>
        </w:tc>
        <w:tc>
          <w:tcPr>
            <w:tcW w:w="1060" w:type="dxa"/>
            <w:vAlign w:val="bottom"/>
          </w:tcPr>
          <w:p>
            <w:pPr>
              <w:spacing w:after="0"/>
              <w:rPr>
                <w:sz w:val="17"/>
                <w:szCs w:val="17"/>
                <w:color w:val="auto"/>
              </w:rPr>
            </w:pP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4.99</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incremental borrowing rate</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13.83%</w:t>
            </w:r>
          </w:p>
        </w:tc>
      </w:tr>
    </w:tbl>
    <w:p>
      <w:pPr>
        <w:spacing w:after="0" w:line="184"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Operating cash flows for the years ended December 31, 2025 and 2024 included cash payments for operating leases of $0.7 million and $1.0 million, respectively, of which $0.1 million as of December 31, 2024 were prepaid lease payments.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5. Debt</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383"/>
        </w:trPr>
        <w:tc>
          <w:tcPr>
            <w:tcW w:w="5980" w:type="dxa"/>
            <w:vAlign w:val="bottom"/>
            <w:gridSpan w:val="2"/>
          </w:tcPr>
          <w:p>
            <w:pPr>
              <w:ind w:left="520"/>
              <w:spacing w:after="0"/>
              <w:rPr>
                <w:sz w:val="20"/>
                <w:szCs w:val="20"/>
                <w:color w:val="auto"/>
              </w:rPr>
            </w:pPr>
            <w:r>
              <w:rPr>
                <w:rFonts w:ascii="Arial" w:cs="Arial" w:eastAsia="Arial" w:hAnsi="Arial"/>
                <w:sz w:val="18"/>
                <w:szCs w:val="18"/>
                <w:color w:val="auto"/>
              </w:rPr>
              <w:t>Total debt consists of the following (in thousands):</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8"/>
        </w:trPr>
        <w:tc>
          <w:tcPr>
            <w:tcW w:w="14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1420" w:type="dxa"/>
            <w:vAlign w:val="bottom"/>
          </w:tcPr>
          <w:p>
            <w:pPr>
              <w:spacing w:after="0"/>
              <w:rPr>
                <w:sz w:val="17"/>
                <w:szCs w:val="17"/>
                <w:color w:val="auto"/>
              </w:rPr>
            </w:pPr>
          </w:p>
        </w:tc>
        <w:tc>
          <w:tcPr>
            <w:tcW w:w="4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debt, current portion</w:t>
            </w:r>
          </w:p>
        </w:tc>
        <w:tc>
          <w:tcPr>
            <w:tcW w:w="1100" w:type="dxa"/>
            <w:vAlign w:val="bottom"/>
            <w:gridSpan w:val="2"/>
            <w:shd w:val="clear" w:color="auto" w:fill="CFF0FC"/>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3"/>
        </w:trPr>
        <w:tc>
          <w:tcPr>
            <w:tcW w:w="14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Long-term debt, non-current portion</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8"/>
              </w:rPr>
              <w:t>216,495</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211,831</w:t>
            </w:r>
          </w:p>
        </w:tc>
      </w:tr>
      <w:tr>
        <w:trPr>
          <w:trHeight w:val="203"/>
        </w:trPr>
        <w:tc>
          <w:tcPr>
            <w:tcW w:w="1420" w:type="dxa"/>
            <w:vAlign w:val="bottom"/>
          </w:tcPr>
          <w:p>
            <w:pPr>
              <w:spacing w:after="0"/>
              <w:rPr>
                <w:sz w:val="17"/>
                <w:szCs w:val="17"/>
                <w:color w:val="auto"/>
              </w:rPr>
            </w:pPr>
          </w:p>
        </w:tc>
        <w:tc>
          <w:tcPr>
            <w:tcW w:w="45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Unamortized debt discount</w:t>
            </w:r>
          </w:p>
        </w:tc>
        <w:tc>
          <w:tcPr>
            <w:tcW w:w="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(7,408)</w:t>
            </w:r>
          </w:p>
        </w:tc>
        <w:tc>
          <w:tcPr>
            <w:tcW w:w="1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(10,422)</w:t>
            </w:r>
          </w:p>
        </w:tc>
      </w:tr>
      <w:tr>
        <w:trPr>
          <w:trHeight w:val="210"/>
        </w:trPr>
        <w:tc>
          <w:tcPr>
            <w:tcW w:w="14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debt, net of debt discount</w:t>
            </w:r>
          </w:p>
        </w:tc>
        <w:tc>
          <w:tcPr>
            <w:tcW w:w="1100" w:type="dxa"/>
            <w:vAlign w:val="bottom"/>
            <w:gridSpan w:val="2"/>
          </w:tcPr>
          <w:p>
            <w:pPr>
              <w:jc w:val="right"/>
              <w:ind w:right="9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209,087</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201,409</w:t>
            </w:r>
          </w:p>
        </w:tc>
      </w:tr>
      <w:tr>
        <w:trPr>
          <w:trHeight w:val="20"/>
        </w:trPr>
        <w:tc>
          <w:tcPr>
            <w:tcW w:w="14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-170815</wp:posOffset>
            </wp:positionV>
            <wp:extent cx="93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3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September 17, 2021, or the Closing Date, the Company entered into a Loan and Security Agreement, or, the Loan Agreement, with Hercules Capital, Inc., in its capacity as administrative agent and collateral agent and as a lender, or, in such capacity, the Agent or Hercules, and the other financial institutions that from time to time become parties to the Loan Agreement as lenders, or, collectively, the Lenders. The Company has entered into several amendments to the Loan Agreement which are described below, and in Note 12 Subsequent Events.</w:t>
      </w:r>
    </w:p>
    <w:p>
      <w:pPr>
        <w:ind w:right="220"/>
        <w:spacing w:after="0" w:line="250" w:lineRule="auto"/>
        <w:rPr>
          <w:sz w:val="20"/>
          <w:szCs w:val="20"/>
          <w:color w:val="auto"/>
        </w:rPr>
      </w:pPr>
      <w:r>
        <w:rPr>
          <w:rFonts w:ascii="Arial" w:cs="Arial" w:eastAsia="Arial" w:hAnsi="Arial"/>
          <w:sz w:val="18"/>
          <w:szCs w:val="18"/>
          <w:color w:val="auto"/>
        </w:rPr>
        <w:t>Note 12 Subsequent Events describes the Fifth Amendment to the Loan and Security Agreement which the Company entered into on February 25, 2026 and which amends certain of the provisions of the Loan Agreement described below which is as of December 31, 2025.</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14" w:name="page115"/>
    <w:bookmarkEnd w:id="114"/>
    <w:p>
      <w:pPr>
        <w:ind w:right="40" w:firstLine="509"/>
        <w:spacing w:after="0" w:line="247" w:lineRule="auto"/>
        <w:rPr>
          <w:sz w:val="20"/>
          <w:szCs w:val="20"/>
          <w:color w:val="auto"/>
        </w:rPr>
      </w:pPr>
      <w:r>
        <w:rPr>
          <w:rFonts w:ascii="Arial" w:cs="Arial" w:eastAsia="Arial" w:hAnsi="Arial"/>
          <w:sz w:val="18"/>
          <w:szCs w:val="18"/>
          <w:color w:val="auto"/>
        </w:rPr>
        <w:t>The Loan Agreement provides for term loans in an aggregate principal amount of up to $200 million, or the Term Loan, under multiple tranches. The tranches consist of (i) a first tranche consisting of term loans in an aggregate principal amount of $100 million, all of which was funded on the Closing Date, or the First Advance, (ii) a second tranche consisting of up to an additional $50 million, (iii) a third and fourth tranches consisting of an additional total $50 million, which became available in May 2022.</w:t>
      </w:r>
    </w:p>
    <w:p>
      <w:pPr>
        <w:spacing w:after="0" w:line="17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On September 27, 2022, the Company entered into an amendment to the Loan Agreement, or the Second Loan Amendment, pursuant to which the date the second tranche of funding of $50 million was to remain available to the Company, was moved to May 15, 2023, rather than December 15, 2022.</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May 9, 2023, the Company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effective date of the performance covenants was amended to provide an option to extend the covenant trigger date to May 15, 2024, subject to the achievement of the FDA approval of vonoprazan for Erosive GERD or the EE Milestone, prior to February 15, 2024, and (iv) the warrant agreement with Hercules was amended as described below. On November 1, 2023, the EE Milestone was achieved and the covenant trigger date was extended to May 15, 2024. In connection with the Third Loan Amendment, a tranche extension amendment fee of $150,000 and a covenant extension amendment fee of $100,000 was paid to the Agent. These fees have been recorded as debt discount and are being amortized to interest expense using the effective interest method over the remaining term of the Term Loan.</w:t>
      </w:r>
    </w:p>
    <w:p>
      <w:pPr>
        <w:spacing w:after="0" w:line="180"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On December 14, 2023, the Company entered into a Fourth Amendment to Loan and Security Agreement, or the Fourth Loan Amendment, with the lenders, which, among other things, (i) increased the aggregate principal amount of the term loans from $200 million to $300 million; (ii) provided for the possibility of accessing the remaining $200 million commitment through five tranches referred to as the second through sixth tranches, which are available subject to certain milestones and conditions: (a) Second Tranche: $50 million, $40 million of which was funded on December 14, 2023, and the remaining $10 million of which was funded on March 15, 2024, (b) Third Tranche: $25 million which was funded on June 14, 2024, (c) Fourth Tranche: $25 million which was funded on December 15, 2024, (d) Fifth Tranche: $50 million which was available, subject to the achievement of a specified revenue milestone, or the Fifth Tranche milestone, through June 30, 2025 and which the Company did not draw down, and (e) Sixth Tranche: $50 million available, subject to the achievement of a specific revenue milestone, or the Sixth Tranche milestone, through December 31, 2025 and which the Company did not draw down; (iii) extended the interest only period and the maturity date from October 2026 to December 2027, (iv) reduced the cash interest rate from 10.75% (floating annual rate equal to the greater of (a) 5.50% and (b) the Prime Rate (as reported in the Wall Street Journal) plus 2.25% to 9.85% (floating rate based on the greater of (a) 9.85% or (b) US WSJ Prime + 1.35%), provided that the cash interest rate shall be capped at 10.35% and upon the Company achieving the Sixth Tranche milestone, the cash interest floating rate shall be decreased by 0.35% to 9.50%, and (v) decreased the payment-in-kind interest rate from 3.35% per annum to 2.15% per annum. In connection with the Fourth Loan Amendment, an amendment fee of $250,000 was paid to the Agent and was recorded as a debt discount and is being amortized to interest expense using the effective interest method over the remaining term of the Term Loan.</w:t>
      </w:r>
    </w:p>
    <w:p>
      <w:pPr>
        <w:spacing w:after="0" w:line="78" w:lineRule="exact"/>
        <w:rPr>
          <w:sz w:val="20"/>
          <w:szCs w:val="20"/>
          <w:color w:val="auto"/>
        </w:rPr>
      </w:pPr>
    </w:p>
    <w:p>
      <w:pPr>
        <w:ind w:firstLine="559"/>
        <w:spacing w:after="0" w:line="266" w:lineRule="auto"/>
        <w:rPr>
          <w:sz w:val="20"/>
          <w:szCs w:val="20"/>
          <w:color w:val="auto"/>
        </w:rPr>
      </w:pPr>
      <w:r>
        <w:rPr>
          <w:rFonts w:ascii="Arial" w:cs="Arial" w:eastAsia="Arial" w:hAnsi="Arial"/>
          <w:sz w:val="17"/>
          <w:szCs w:val="17"/>
          <w:color w:val="auto"/>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The Company may make payments of interest only through the Maturity Date. After the interest-only period, the principal balance and related interest will be required to be repaid in full on the Maturity Date.</w:t>
      </w:r>
    </w:p>
    <w:p>
      <w:pPr>
        <w:spacing w:after="0" w:line="13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addition, the Company is obligated to pay a final payment fee of 7.50% of the original principal amount of amounts actually advanced under the Term Loan, or each Term Loan Advance and together, the Term Loan Advances. In connection with the Fourth Loan Amendment, the final payment fee was amended to be $1 million plus 3.00% of any future tranche drawdowns under the agreement, due upon final maturity. Additionally, the initial final payment fee of $7.5 million for the first Term Loan Advance was amended to become payable on October 1, 2026, and has been recorded within other current liabilities as of December 31, 2025. The remaining aggregate $4.0 million of final payment fees includes $2.5 million for the second Term Loan Advance, $0.8 million for the third Term Loan Advance, and $0.7 million for the fourth Term Loan Advance and have been recorded within other long-term liabilities as of December 31, 2025.</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115" w:name="page116"/>
    <w:bookmarkEnd w:id="115"/>
    <w:p>
      <w:pPr>
        <w:ind w:right="200" w:firstLine="509"/>
        <w:spacing w:after="0" w:line="247" w:lineRule="auto"/>
        <w:rPr>
          <w:sz w:val="20"/>
          <w:szCs w:val="20"/>
          <w:color w:val="auto"/>
        </w:rPr>
      </w:pPr>
      <w:r>
        <w:rPr>
          <w:rFonts w:ascii="Arial" w:cs="Arial" w:eastAsia="Arial" w:hAnsi="Arial"/>
          <w:sz w:val="18"/>
          <w:szCs w:val="18"/>
          <w:color w:val="auto"/>
        </w:rPr>
        <w:t>Under the Fourth Loan Amendment the Company may elect to prepay all or a portion of the Term Loan Advances prior to maturity, subject to a prepayment fee of up to 1.25% of the then outstanding principal balance of the Term Loan Advances being prepaid when such prepayment occurs prior to October 1, 2026, or 0.50% if such prepayment occurs on or after October 1, 2026. After repayment, no Term Loan amounts may be borrowed again.</w:t>
      </w:r>
    </w:p>
    <w:p>
      <w:pPr>
        <w:spacing w:after="0" w:line="147"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As collateral for the obligations, the Company has granted to Hercules a senior security interest in all of Company’s right, title, and interest in, to and under substantially all of Company’s property, inclusive of intellectual property.</w:t>
      </w:r>
    </w:p>
    <w:p>
      <w:pPr>
        <w:spacing w:after="0" w:line="113"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representations, warranties and covenants, including financial covenants. The financial covenants under the Fourth Loan Amendment include (i) a minimum cash covenant and (ii) a performance covenant as follows:</w:t>
      </w:r>
    </w:p>
    <w:p>
      <w:pPr>
        <w:spacing w:after="0" w:line="61" w:lineRule="exact"/>
        <w:rPr>
          <w:sz w:val="20"/>
          <w:szCs w:val="20"/>
          <w:color w:val="auto"/>
        </w:rPr>
      </w:pPr>
    </w:p>
    <w:p>
      <w:pPr>
        <w:ind w:left="1020" w:right="80" w:hanging="503"/>
        <w:spacing w:after="0" w:line="245" w:lineRule="auto"/>
        <w:tabs>
          <w:tab w:leader="none" w:pos="1020" w:val="left"/>
        </w:tabs>
        <w:numPr>
          <w:ilvl w:val="0"/>
          <w:numId w:val="53"/>
        </w:numPr>
        <w:rPr>
          <w:rFonts w:ascii="Calibri" w:cs="Calibri" w:eastAsia="Calibri" w:hAnsi="Calibri"/>
          <w:sz w:val="18"/>
          <w:szCs w:val="18"/>
          <w:color w:val="auto"/>
        </w:rPr>
      </w:pPr>
      <w:r>
        <w:rPr>
          <w:rFonts w:ascii="Arial" w:cs="Arial" w:eastAsia="Arial" w:hAnsi="Arial"/>
          <w:sz w:val="18"/>
          <w:szCs w:val="18"/>
          <w:color w:val="auto"/>
        </w:rPr>
        <w:t>Minimum cash covenant - The Company must maintain a minimum cash balance of 20% of the outstanding principal balance at all times. The minimum cash balance may be increased to 35% or 50% under performance covenant (b) below if the performance covenants (a) or (c) are not met beginning September 30, 2024 and all times thereafter.</w:t>
      </w:r>
    </w:p>
    <w:p>
      <w:pPr>
        <w:spacing w:after="0" w:line="68" w:lineRule="exact"/>
        <w:rPr>
          <w:rFonts w:ascii="Calibri" w:cs="Calibri" w:eastAsia="Calibri" w:hAnsi="Calibri"/>
          <w:sz w:val="18"/>
          <w:szCs w:val="18"/>
          <w:color w:val="auto"/>
        </w:rPr>
      </w:pPr>
    </w:p>
    <w:p>
      <w:pPr>
        <w:ind w:left="1020" w:right="620" w:hanging="503"/>
        <w:spacing w:after="0" w:line="256" w:lineRule="auto"/>
        <w:tabs>
          <w:tab w:leader="none" w:pos="1020" w:val="left"/>
        </w:tabs>
        <w:numPr>
          <w:ilvl w:val="0"/>
          <w:numId w:val="53"/>
        </w:numPr>
        <w:rPr>
          <w:rFonts w:ascii="Calibri" w:cs="Calibri" w:eastAsia="Calibri" w:hAnsi="Calibri"/>
          <w:sz w:val="18"/>
          <w:szCs w:val="18"/>
          <w:color w:val="auto"/>
        </w:rPr>
      </w:pPr>
      <w:r>
        <w:rPr>
          <w:rFonts w:ascii="Arial" w:cs="Arial" w:eastAsia="Arial" w:hAnsi="Arial"/>
          <w:sz w:val="18"/>
          <w:szCs w:val="18"/>
          <w:color w:val="auto"/>
        </w:rPr>
        <w:t>Performance covenant- Beginning September 30, 2024 and all times thereafter the Company must satisfy any one of the following:</w:t>
      </w:r>
    </w:p>
    <w:p>
      <w:pPr>
        <w:spacing w:after="0" w:line="57" w:lineRule="exact"/>
        <w:rPr>
          <w:rFonts w:ascii="Calibri" w:cs="Calibri" w:eastAsia="Calibri" w:hAnsi="Calibri"/>
          <w:sz w:val="18"/>
          <w:szCs w:val="18"/>
          <w:color w:val="auto"/>
        </w:rPr>
      </w:pPr>
    </w:p>
    <w:p>
      <w:pPr>
        <w:ind w:left="1540" w:hanging="514"/>
        <w:spacing w:after="0"/>
        <w:tabs>
          <w:tab w:leader="none" w:pos="1540" w:val="left"/>
        </w:tabs>
        <w:numPr>
          <w:ilvl w:val="1"/>
          <w:numId w:val="53"/>
        </w:numPr>
        <w:rPr>
          <w:rFonts w:ascii="Calibri" w:cs="Calibri" w:eastAsia="Calibri" w:hAnsi="Calibri"/>
          <w:sz w:val="18"/>
          <w:szCs w:val="18"/>
          <w:color w:val="auto"/>
        </w:rPr>
      </w:pPr>
      <w:r>
        <w:rPr>
          <w:rFonts w:ascii="Arial" w:cs="Arial" w:eastAsia="Arial" w:hAnsi="Arial"/>
          <w:sz w:val="18"/>
          <w:szCs w:val="18"/>
          <w:color w:val="auto"/>
        </w:rPr>
        <w:t>Market capitalization exceeding $900 million;</w:t>
      </w:r>
    </w:p>
    <w:p>
      <w:pPr>
        <w:spacing w:after="0" w:line="117" w:lineRule="exact"/>
        <w:rPr>
          <w:rFonts w:ascii="Calibri" w:cs="Calibri" w:eastAsia="Calibri" w:hAnsi="Calibri"/>
          <w:sz w:val="18"/>
          <w:szCs w:val="18"/>
          <w:color w:val="auto"/>
        </w:rPr>
      </w:pPr>
    </w:p>
    <w:p>
      <w:pPr>
        <w:ind w:left="1540" w:right="580" w:hanging="514"/>
        <w:spacing w:after="0" w:line="256" w:lineRule="auto"/>
        <w:tabs>
          <w:tab w:leader="none" w:pos="1540" w:val="left"/>
        </w:tabs>
        <w:numPr>
          <w:ilvl w:val="1"/>
          <w:numId w:val="53"/>
        </w:numPr>
        <w:rPr>
          <w:rFonts w:ascii="Calibri" w:cs="Calibri" w:eastAsia="Calibri" w:hAnsi="Calibri"/>
          <w:sz w:val="18"/>
          <w:szCs w:val="18"/>
          <w:color w:val="auto"/>
        </w:rPr>
      </w:pPr>
      <w:r>
        <w:rPr>
          <w:rFonts w:ascii="Arial" w:cs="Arial" w:eastAsia="Arial" w:hAnsi="Arial"/>
          <w:sz w:val="18"/>
          <w:szCs w:val="18"/>
          <w:color w:val="auto"/>
        </w:rPr>
        <w:t>Minimum cash balance exceeding (x) outstanding principal amount of term loans, multiplied by (y) (A) 50%, prior to achieving trailing three months net product revenue of greater than $35 million, and (B) 35% thereafter; or</w:t>
      </w:r>
    </w:p>
    <w:p>
      <w:pPr>
        <w:spacing w:after="0" w:line="57" w:lineRule="exact"/>
        <w:rPr>
          <w:rFonts w:ascii="Calibri" w:cs="Calibri" w:eastAsia="Calibri" w:hAnsi="Calibri"/>
          <w:sz w:val="18"/>
          <w:szCs w:val="18"/>
          <w:color w:val="auto"/>
        </w:rPr>
      </w:pPr>
    </w:p>
    <w:p>
      <w:pPr>
        <w:ind w:left="1540" w:right="340" w:hanging="514"/>
        <w:spacing w:after="0" w:line="256" w:lineRule="auto"/>
        <w:tabs>
          <w:tab w:leader="none" w:pos="1540" w:val="left"/>
        </w:tabs>
        <w:numPr>
          <w:ilvl w:val="1"/>
          <w:numId w:val="53"/>
        </w:numPr>
        <w:rPr>
          <w:rFonts w:ascii="Calibri" w:cs="Calibri" w:eastAsia="Calibri" w:hAnsi="Calibri"/>
          <w:sz w:val="18"/>
          <w:szCs w:val="18"/>
          <w:color w:val="auto"/>
        </w:rPr>
      </w:pPr>
      <w:r>
        <w:rPr>
          <w:rFonts w:ascii="Arial" w:cs="Arial" w:eastAsia="Arial" w:hAnsi="Arial"/>
          <w:sz w:val="18"/>
          <w:szCs w:val="18"/>
          <w:color w:val="auto"/>
        </w:rPr>
        <w:t>Trailing three months net product revenue of at least (x) 30% of agreed upon projected net revenues for periods in the calendar year 2024 and 25% for all periods thereafter or (y) $120 million.</w:t>
      </w:r>
    </w:p>
    <w:p>
      <w:pPr>
        <w:spacing w:after="0" w:line="125"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Upon the occurrence of an event of default, subject to any specified cure periods, all amounts owed by the Company may be declared immediately due and payable by Hercules, as collateral agent.</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2025, the Company was in compliance with all applicable covenants under the Loan Agreement.</w:t>
      </w:r>
    </w:p>
    <w:p>
      <w:pPr>
        <w:spacing w:after="0" w:line="17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connection with the entry into the Loan Agreement, the Company issued to Hercules a warrant, or the Warrant, to purchase a number of shares of the Company’s common stock equal to 2.5% of the aggregate amount of the Term Loan advances funded, and will issue to Hercules additional warrants if any future Term Loan advances are funded. On the Closing Date, the Company issued a Warrant for 74,782 shares of common stock. The Warrant will be exercisable for a period of seven years from the date of issuance at a per-share exercise price equal to $33.43, which was the closing price of the Company’s common stock on September 16, 2021. In connection with the entry into the Third Loan Amendment, the Company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the Company drawdown future tranches. In connection with the entry into the Fourth Loan Amendment, the Company eliminated the warrant agreement for all future tranches. The Warrant issued with the initial tranche was not modified as part of this amendment. The exercise price and terms of the outstanding Warrant remain unchanged.</w:t>
      </w:r>
    </w:p>
    <w:p>
      <w:pPr>
        <w:spacing w:after="0" w:line="145"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The initial $1.3 million fair value of the Warrant, the $11.5 million final interest payment fees and $4.6 million of debt issuance costs have been recorded as debt discount and are being amortized to interest expense using the effective interest method over the term of the Loan Agreement.</w:t>
      </w:r>
    </w:p>
    <w:p>
      <w:pPr>
        <w:spacing w:after="0" w:line="14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Future minimum principal payments under the Term Loan, including the final payment fees, as of December 31, 2025 are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420" w:type="dxa"/>
            <w:vAlign w:val="bottom"/>
          </w:tcPr>
          <w:p>
            <w:pPr>
              <w:ind w:left="100"/>
              <w:spacing w:after="0" w:line="202" w:lineRule="exact"/>
              <w:rPr>
                <w:sz w:val="20"/>
                <w:szCs w:val="20"/>
                <w:color w:val="auto"/>
              </w:rPr>
            </w:pPr>
            <w:r>
              <w:rPr>
                <w:rFonts w:ascii="Arial" w:cs="Arial" w:eastAsia="Arial" w:hAnsi="Arial"/>
                <w:sz w:val="18"/>
                <w:szCs w:val="18"/>
                <w:color w:val="auto"/>
              </w:rPr>
              <w:t>2026 (final payment fee on first term loan advance)</w:t>
            </w:r>
          </w:p>
        </w:tc>
        <w:tc>
          <w:tcPr>
            <w:tcW w:w="16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7,500</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4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2027</w:t>
            </w:r>
          </w:p>
        </w:tc>
        <w:tc>
          <w:tcPr>
            <w:tcW w:w="960" w:type="dxa"/>
            <w:vAlign w:val="bottom"/>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229,706</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420" w:type="dxa"/>
            <w:vAlign w:val="bottom"/>
          </w:tcPr>
          <w:p>
            <w:pPr>
              <w:spacing w:after="0" w:line="196" w:lineRule="exact"/>
              <w:rPr>
                <w:sz w:val="20"/>
                <w:szCs w:val="20"/>
                <w:color w:val="auto"/>
              </w:rPr>
            </w:pPr>
            <w:r>
              <w:rPr>
                <w:rFonts w:ascii="Arial" w:cs="Arial" w:eastAsia="Arial" w:hAnsi="Arial"/>
                <w:sz w:val="18"/>
                <w:szCs w:val="18"/>
                <w:color w:val="auto"/>
              </w:rPr>
              <w:t>Total principal and interest payments</w:t>
            </w: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237,206</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4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payment-in-kind and remaining final payment fees</w:t>
            </w:r>
          </w:p>
        </w:tc>
        <w:tc>
          <w:tcPr>
            <w:tcW w:w="9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(37,206)</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420" w:type="dxa"/>
            <w:vAlign w:val="bottom"/>
          </w:tcPr>
          <w:p>
            <w:pPr>
              <w:spacing w:after="0" w:line="196" w:lineRule="exact"/>
              <w:rPr>
                <w:sz w:val="20"/>
                <w:szCs w:val="20"/>
                <w:color w:val="auto"/>
              </w:rPr>
            </w:pPr>
            <w:r>
              <w:rPr>
                <w:rFonts w:ascii="Arial" w:cs="Arial" w:eastAsia="Arial" w:hAnsi="Arial"/>
                <w:sz w:val="18"/>
                <w:szCs w:val="18"/>
                <w:color w:val="auto"/>
              </w:rPr>
              <w:t>Total term loan borrowings</w:t>
            </w:r>
          </w:p>
        </w:tc>
        <w:tc>
          <w:tcPr>
            <w:tcW w:w="166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200,000</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42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color w:val="auto"/>
              </w:rPr>
              <w:t>F-20</w:t>
            </w:r>
          </w:p>
        </w:tc>
        <w:tc>
          <w:tcPr>
            <w:tcW w:w="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2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142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16" w:name="page117"/>
    <w:bookmarkEnd w:id="116"/>
    <w:p>
      <w:pPr>
        <w:ind w:right="120" w:firstLine="509"/>
        <w:spacing w:after="0" w:line="247" w:lineRule="auto"/>
        <w:rPr>
          <w:sz w:val="20"/>
          <w:szCs w:val="20"/>
          <w:color w:val="auto"/>
        </w:rPr>
      </w:pPr>
      <w:r>
        <w:rPr>
          <w:rFonts w:ascii="Arial" w:cs="Arial" w:eastAsia="Arial" w:hAnsi="Arial"/>
          <w:sz w:val="18"/>
          <w:szCs w:val="18"/>
          <w:color w:val="auto"/>
        </w:rPr>
        <w:t>During the years ended December 31, 2025 and 2024, the Company recognized $29.0 million and $23.2 million, respectively, of interest expense, including amortization of the debt discount, in connection with the Loan Agreement. As of December 31, 2025 and 2024, the Company had outstanding loan balance of $216.5 million and $211.8 million, respectively, and accrued interest of $1.8 and $1.7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Interest Financing Liability</w:t>
      </w:r>
    </w:p>
    <w:p>
      <w:pPr>
        <w:spacing w:after="0" w:line="171"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On May 3, 2022, the Company entered into a Revenue Interest Financing Agreement with Initial Investors NovaQuest Capital Management, or NQ, Sagard Holdings Manager LP, or Sagard, and Hercules pursuant to which the Company had the right to receive up to $260 million in funding from the Initial Investors. Under the terms of the Revenue Interest Financing Agreement, the Company received $100 million at the initial closing and received an additional $160 million upon FDA approval of VOQUEZNA for treatment of Erosive GERD during the fourth quarter of 2023.</w:t>
      </w:r>
    </w:p>
    <w:p>
      <w:pPr>
        <w:spacing w:after="0" w:line="136"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Additionally, on October 31, 2022, the Company entered into a Joinder Agreement with the Initial Investors and CO Finance LVS XXXVII LLC, or the Additional Investor, and Hercules, together as the investors. Under the terms of the Joinder Agreement, the Company received $15 million in additional funding upon FDA approval of vonoprazan for Erosive GERD, or Approval Additional Funding, during the fourth quarter of 2023, and provided for $25 million in additional funding for achievement of a sales milestone, or Milestone Additional Funding, and, together with the Approval Additional Funding, or the Additional Investor Funding. The Initial Investors waived their rights of first offer regarding the Additional Investor Funding and the Additional Investor and joined the Revenue Interest Financing Agreement to extend commitments for the Additional Investor Funding. On December 23, 2024, CO Finance LVS XXXVII LLC agreed to assign and transfer to OC III LVS LX LP all of its rights, title and interest as an Additional Investor and in connection therewith, OC III LVS LX LP executed a Joinder Agreement. The total amount funded by the Initial Investors and any subsequent investors is referred to herein as the Investment Amount. As of December 31, 2025, no additional funding is available under the Revenue Interest Financing Agreement.</w:t>
      </w:r>
    </w:p>
    <w:p>
      <w:pPr>
        <w:spacing w:after="0" w:line="15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Under the Revenue Interest Financing Agreement, the investors are entitled to receive a 10% royalty on net sales of products containing vonoprazan. The royalty rate is subject to a step-down on net sales exceeding certain annual thresholds and when the Company received FDA approval for vonoprazan for an indication relating to the treatment of heartburn associated with Non-Erosive GERD, which occurred on July 17, 2024. The investors’ right to receive royalties on net sales will terminate when the investors have aggregate payments equal to 200% of the Investment Amount. In addition, at any time after April 30, 2024, the Company has the right to make a cap payment equal to 200% of the Investment Amount less any royalties already paid, at which time the agreement will terminate.</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w:t>
      </w:r>
    </w:p>
    <w:p>
      <w:pPr>
        <w:spacing w:after="0" w:line="14"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200% of the Investment Amount by December 31, 2037, each a Minimum Amount, then the Company will be obligated to make a cash payment to the investors in an amount sufficient to gross the investors up to the applicable Minimum Amount.</w:t>
      </w:r>
    </w:p>
    <w:p>
      <w:pPr>
        <w:spacing w:after="0" w:line="13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Upon the occurrence of an event of default taking place between April 1, 2025 and April 1, 2028, or after April 1, 2028, the Company is obligated to pay 1.30 times Investment Amount, 1.65 times Investment Amount, and 2.0 times investment amount, respectively, less any amounts the Company previously paid pursuant to the agreement.</w:t>
      </w:r>
    </w:p>
    <w:p>
      <w:pPr>
        <w:spacing w:after="0" w:line="14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Additionally, under the terms of Revenue Interest Financing Agreement, the Company is subject to a minimum cash covenant of at least (a) beginning on the date that the Hercules Loan Agreement is terminated and each day thereafter until September 30, 2026, $30 million, and (b) beginning on October 1, 2026 and on each day thereafter until September 30, 2029, a certain percentage of the minimum cash reference amount defined as the difference between the Investment Amount and the amount of all royalty payments received by the Investors as of each such date as follows: (i) 50% from October 1, 2026 to September 30, 2027 (ii) 75% from October 1, 2027 to September 30, 2028, and (iii) 100% from October 1, 2028 to September 30, 2029. As of December 31, 2025, the Company was in compliance with all applicable covenants under the Revenue Interest Financing Agreement.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bookmarkStart w:id="117" w:name="page118"/>
    <w:bookmarkEnd w:id="117"/>
    <w:p>
      <w:pPr>
        <w:ind w:right="160" w:firstLine="509"/>
        <w:spacing w:after="0"/>
        <w:rPr>
          <w:sz w:val="20"/>
          <w:szCs w:val="20"/>
          <w:color w:val="auto"/>
        </w:rPr>
      </w:pPr>
      <w:r>
        <w:rPr>
          <w:rFonts w:ascii="Arial" w:cs="Arial" w:eastAsia="Arial" w:hAnsi="Arial"/>
          <w:sz w:val="18"/>
          <w:szCs w:val="18"/>
          <w:color w:val="auto"/>
        </w:rPr>
        <w:t>The Company has evaluated the terms of the Revenue Interest Financing Agreement and concluded that the features of the Investment Amount are similar to those of a debt instrument. Accordingly, the Company has accounted for the transaction as a debt obligation with interest expense based on an imputed effective rate derived from the initial carrying value of the obligation and the expected future payments. The Company recalculates the effective interest rate each period based on the current carrying value and the revised estimated future payments. As of December 31, 2025, the effective interest rate of the revenue interest financing liability was approximately 9.67%. Changes in future payments from previous estimates are included in the current and future interest expense. The carrying value of the revenue interest financing liability was $377.4 million and $353.0 million as of December 31, 2025 and 2024, respectively.</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540" w:type="dxa"/>
            <w:vAlign w:val="bottom"/>
            <w:gridSpan w:val="2"/>
          </w:tcPr>
          <w:p>
            <w:pPr>
              <w:spacing w:after="0"/>
              <w:rPr>
                <w:sz w:val="20"/>
                <w:szCs w:val="20"/>
                <w:color w:val="auto"/>
              </w:rPr>
            </w:pPr>
            <w:r>
              <w:rPr>
                <w:rFonts w:ascii="Arial" w:cs="Arial" w:eastAsia="Arial" w:hAnsi="Arial"/>
                <w:sz w:val="18"/>
                <w:szCs w:val="18"/>
                <w:color w:val="auto"/>
              </w:rPr>
              <w:t>Total revenue interest financing liability consists of the following (in thousands):</w:t>
            </w:r>
          </w:p>
        </w:tc>
        <w:tc>
          <w:tcPr>
            <w:tcW w:w="10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5"/>
        </w:trPr>
        <w:tc>
          <w:tcPr>
            <w:tcW w:w="9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balance as of January 1, 2024</w:t>
            </w:r>
          </w:p>
        </w:tc>
        <w:tc>
          <w:tcPr>
            <w:tcW w:w="106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306,927</w:t>
            </w:r>
          </w:p>
        </w:tc>
        <w:tc>
          <w:tcPr>
            <w:tcW w:w="80" w:type="dxa"/>
            <w:vAlign w:val="bottom"/>
            <w:shd w:val="clear" w:color="auto" w:fill="CFF0FC"/>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Proceeds from the Revenue Interest Financing Agreement</w:t>
            </w:r>
          </w:p>
        </w:tc>
        <w:tc>
          <w:tcPr>
            <w:tcW w:w="1060" w:type="dxa"/>
            <w:vAlign w:val="bottom"/>
          </w:tcPr>
          <w:p>
            <w:pPr>
              <w:spacing w:after="0"/>
              <w:rPr>
                <w:sz w:val="17"/>
                <w:szCs w:val="17"/>
                <w:color w:val="auto"/>
              </w:rPr>
            </w:pPr>
          </w:p>
        </w:tc>
        <w:tc>
          <w:tcPr>
            <w:tcW w:w="1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transaction costs</w:t>
            </w:r>
          </w:p>
        </w:tc>
        <w:tc>
          <w:tcPr>
            <w:tcW w:w="10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Less: royalty payments and payables</w:t>
            </w:r>
          </w:p>
        </w:tc>
        <w:tc>
          <w:tcPr>
            <w:tcW w:w="1060" w:type="dxa"/>
            <w:vAlign w:val="bottom"/>
          </w:tcPr>
          <w:p>
            <w:pPr>
              <w:spacing w:after="0"/>
              <w:rPr>
                <w:sz w:val="17"/>
                <w:szCs w:val="17"/>
                <w:color w:val="auto"/>
              </w:rPr>
            </w:pP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(2,627)</w:t>
            </w: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Plus: interest expense</w:t>
            </w:r>
          </w:p>
        </w:tc>
        <w:tc>
          <w:tcPr>
            <w:tcW w:w="10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48,738</w:t>
            </w:r>
          </w:p>
        </w:tc>
      </w:tr>
      <w:tr>
        <w:trPr>
          <w:trHeight w:val="196"/>
        </w:trPr>
        <w:tc>
          <w:tcPr>
            <w:tcW w:w="900" w:type="dxa"/>
            <w:vAlign w:val="bottom"/>
          </w:tcPr>
          <w:p>
            <w:pPr>
              <w:spacing w:after="0"/>
              <w:rPr>
                <w:sz w:val="17"/>
                <w:szCs w:val="17"/>
                <w:color w:val="auto"/>
              </w:rPr>
            </w:pPr>
          </w:p>
        </w:tc>
        <w:tc>
          <w:tcPr>
            <w:tcW w:w="56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Ending liability balance as of December 31, 2024</w:t>
            </w:r>
          </w:p>
        </w:tc>
        <w:tc>
          <w:tcPr>
            <w:tcW w:w="10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353,038</w:t>
            </w:r>
          </w:p>
        </w:tc>
        <w:tc>
          <w:tcPr>
            <w:tcW w:w="80" w:type="dxa"/>
            <w:vAlign w:val="bottom"/>
            <w:tcBorders>
              <w:top w:val="single" w:sz="8" w:color="CFF0FC"/>
            </w:tcBorders>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w:t>
            </w:r>
          </w:p>
        </w:tc>
        <w:tc>
          <w:tcPr>
            <w:tcW w:w="10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(19,777)</w:t>
            </w:r>
          </w:p>
        </w:tc>
      </w:tr>
      <w:tr>
        <w:trPr>
          <w:trHeight w:val="196"/>
        </w:trPr>
        <w:tc>
          <w:tcPr>
            <w:tcW w:w="900" w:type="dxa"/>
            <w:vAlign w:val="bottom"/>
          </w:tcPr>
          <w:p>
            <w:pPr>
              <w:spacing w:after="0"/>
              <w:rPr>
                <w:sz w:val="17"/>
                <w:szCs w:val="17"/>
                <w:color w:val="auto"/>
              </w:rPr>
            </w:pPr>
          </w:p>
        </w:tc>
        <w:tc>
          <w:tcPr>
            <w:tcW w:w="56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Long-term liability balance as of December 31, 2024</w:t>
            </w:r>
          </w:p>
        </w:tc>
        <w:tc>
          <w:tcPr>
            <w:tcW w:w="1060" w:type="dxa"/>
            <w:vAlign w:val="bottom"/>
            <w:tcBorders>
              <w:top w:val="single" w:sz="8" w:color="auto"/>
              <w:bottom w:val="single" w:sz="8" w:color="auto"/>
            </w:tcBorders>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333,261</w:t>
            </w:r>
          </w:p>
        </w:tc>
        <w:tc>
          <w:tcPr>
            <w:tcW w:w="80" w:type="dxa"/>
            <w:vAlign w:val="bottom"/>
            <w:tcBorders>
              <w:top w:val="single" w:sz="8" w:color="CFF0FC"/>
            </w:tcBorders>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balance as of January 1, 2025</w:t>
            </w:r>
          </w:p>
        </w:tc>
        <w:tc>
          <w:tcPr>
            <w:tcW w:w="106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353,038</w:t>
            </w:r>
          </w:p>
        </w:tc>
        <w:tc>
          <w:tcPr>
            <w:tcW w:w="80" w:type="dxa"/>
            <w:vAlign w:val="bottom"/>
            <w:shd w:val="clear" w:color="auto" w:fill="CFF0FC"/>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Proceeds from the Revenue Interest Financing Agreement</w:t>
            </w:r>
          </w:p>
        </w:tc>
        <w:tc>
          <w:tcPr>
            <w:tcW w:w="1060" w:type="dxa"/>
            <w:vAlign w:val="bottom"/>
          </w:tcPr>
          <w:p>
            <w:pPr>
              <w:spacing w:after="0"/>
              <w:rPr>
                <w:sz w:val="17"/>
                <w:szCs w:val="17"/>
                <w:color w:val="auto"/>
              </w:rPr>
            </w:pPr>
          </w:p>
        </w:tc>
        <w:tc>
          <w:tcPr>
            <w:tcW w:w="1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2"/>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transaction costs</w:t>
            </w:r>
          </w:p>
        </w:tc>
        <w:tc>
          <w:tcPr>
            <w:tcW w:w="10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Less: royalty payments and payables</w:t>
            </w:r>
          </w:p>
        </w:tc>
        <w:tc>
          <w:tcPr>
            <w:tcW w:w="1060" w:type="dxa"/>
            <w:vAlign w:val="bottom"/>
          </w:tcPr>
          <w:p>
            <w:pPr>
              <w:spacing w:after="0"/>
              <w:rPr>
                <w:sz w:val="17"/>
                <w:szCs w:val="17"/>
                <w:color w:val="auto"/>
              </w:rPr>
            </w:pP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(14,719)</w:t>
            </w: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Plus: interest expense</w:t>
            </w:r>
          </w:p>
        </w:tc>
        <w:tc>
          <w:tcPr>
            <w:tcW w:w="10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39,052</w:t>
            </w:r>
          </w:p>
        </w:tc>
      </w:tr>
      <w:tr>
        <w:trPr>
          <w:trHeight w:val="196"/>
        </w:trPr>
        <w:tc>
          <w:tcPr>
            <w:tcW w:w="900" w:type="dxa"/>
            <w:vAlign w:val="bottom"/>
          </w:tcPr>
          <w:p>
            <w:pPr>
              <w:spacing w:after="0"/>
              <w:rPr>
                <w:sz w:val="17"/>
                <w:szCs w:val="17"/>
                <w:color w:val="auto"/>
              </w:rPr>
            </w:pPr>
          </w:p>
        </w:tc>
        <w:tc>
          <w:tcPr>
            <w:tcW w:w="56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Ending liability balance as of December 31, 2025</w:t>
            </w:r>
          </w:p>
        </w:tc>
        <w:tc>
          <w:tcPr>
            <w:tcW w:w="10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377,371</w:t>
            </w:r>
          </w:p>
        </w:tc>
        <w:tc>
          <w:tcPr>
            <w:tcW w:w="80" w:type="dxa"/>
            <w:vAlign w:val="bottom"/>
            <w:tcBorders>
              <w:top w:val="single" w:sz="8" w:color="CFF0FC"/>
            </w:tcBorders>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w:t>
            </w:r>
          </w:p>
        </w:tc>
        <w:tc>
          <w:tcPr>
            <w:tcW w:w="10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(27,249)</w:t>
            </w:r>
          </w:p>
        </w:tc>
      </w:tr>
      <w:tr>
        <w:trPr>
          <w:trHeight w:val="196"/>
        </w:trPr>
        <w:tc>
          <w:tcPr>
            <w:tcW w:w="900" w:type="dxa"/>
            <w:vAlign w:val="bottom"/>
          </w:tcPr>
          <w:p>
            <w:pPr>
              <w:spacing w:after="0"/>
              <w:rPr>
                <w:sz w:val="17"/>
                <w:szCs w:val="17"/>
                <w:color w:val="auto"/>
              </w:rPr>
            </w:pPr>
          </w:p>
        </w:tc>
        <w:tc>
          <w:tcPr>
            <w:tcW w:w="56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Long-term liability balance as of December 31, 2025</w:t>
            </w:r>
          </w:p>
        </w:tc>
        <w:tc>
          <w:tcPr>
            <w:tcW w:w="1060" w:type="dxa"/>
            <w:vAlign w:val="bottom"/>
            <w:tcBorders>
              <w:top w:val="single" w:sz="8" w:color="auto"/>
              <w:bottom w:val="single" w:sz="8" w:color="auto"/>
            </w:tcBorders>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350,122</w:t>
            </w:r>
          </w:p>
        </w:tc>
        <w:tc>
          <w:tcPr>
            <w:tcW w:w="80" w:type="dxa"/>
            <w:vAlign w:val="bottom"/>
            <w:tcBorders>
              <w:top w:val="single" w:sz="8" w:color="CFF0FC"/>
            </w:tcBorders>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-1628140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-1362075</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-427990</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-161925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right="560" w:firstLine="509"/>
        <w:spacing w:after="0" w:line="271" w:lineRule="auto"/>
        <w:rPr>
          <w:sz w:val="20"/>
          <w:szCs w:val="20"/>
          <w:color w:val="auto"/>
        </w:rPr>
      </w:pPr>
      <w:r>
        <w:rPr>
          <w:rFonts w:ascii="Arial" w:cs="Arial" w:eastAsia="Arial" w:hAnsi="Arial"/>
          <w:sz w:val="18"/>
          <w:szCs w:val="18"/>
          <w:color w:val="auto"/>
        </w:rPr>
        <w:t>During the years ended December 31, 2025 and 2024, the Company recognized $39.1 million and $48.7 million, respectively, of interest expense in connection with the revenue interest financing liability.</w:t>
      </w:r>
    </w:p>
    <w:p>
      <w:pPr>
        <w:spacing w:after="0" w:line="11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 will record liabilities associated with achievement of the sales milestone when such contingent event occurs. To determine the accretion of the liability related to the Revenue Interest Financing Agreement, the Company is required to estimate the total amount of future royalty payments and estimated timing of such payments based on the Company’s revenue projections. As royalty payments are made, the balance of the debt obligation will be effectively repaid. Based on the Company’s periodic review, the exact timing of repayment is likely to be different in each reporting period as compared to those estimated in the Company’s initial revenue projections. A significant increase or decrease in actual net sales of vonoprazan compared to the Company’s revenue projections could impact the interest expense associated with the revenue interest financing liability. Also, the Company’s total obligation can vary depending on default events and achievement of the sales milestone.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Underwritten Public Offerings</w:t>
      </w:r>
    </w:p>
    <w:p>
      <w:pPr>
        <w:spacing w:after="0" w:line="1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August 2024, the Company sold 8,695,652 shares of common stock at a price of $11.50 per share and pre-funded warrants to purchase 2,608,922 shares of common stock at a price of $11.499 per pre-funded warrant for total gross proceeds of $130.0 million. The net purchase price after deducting the underwriting discounts and commissions and other offering expenses, was $10.77 per share, which generated net proceeds of $121.8 million. Certain affiliates of Frazier Life Sciences IX, L.P., or collectively, Frazier, a significant stockholder and Dr. James Topper, who currently serves on the Company's Board of Directors, share voting and investment power of the securities held by Frazier. Frazier participated in the offering by purchasing pre-funded warrants on the same terms as all other investors at a purchase price of $11.499, which represents the per share public offering price for the common stock less the $0.001 per share exercise price for each pre-funded warrant. Each pre-funded warrant became exercisable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18" w:name="page119"/>
    <w:bookmarkEnd w:id="118"/>
    <w:p>
      <w:pPr>
        <w:ind w:right="220"/>
        <w:spacing w:after="0" w:line="253" w:lineRule="auto"/>
        <w:rPr>
          <w:sz w:val="20"/>
          <w:szCs w:val="20"/>
          <w:color w:val="auto"/>
        </w:rPr>
      </w:pPr>
      <w:r>
        <w:rPr>
          <w:rFonts w:ascii="Arial" w:cs="Arial" w:eastAsia="Arial" w:hAnsi="Arial"/>
          <w:sz w:val="18"/>
          <w:szCs w:val="18"/>
          <w:color w:val="auto"/>
        </w:rPr>
        <w:t>upon issuance and will not expire until exercised in full. The pre-funded warrants may not be exercised if the aggregate number of ordinary shares beneficially owned by the holders thereof immediately following such exercise would exceed a specified beneficial ownership limitation.</w:t>
      </w:r>
    </w:p>
    <w:p>
      <w:pPr>
        <w:spacing w:after="0" w:line="14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The pre-funded warrants were classified as a component of equity in the Company's balance sheets as they are freestanding financial instruments that are immediately exercisable, do not embody an obligation for the Company to repurchase its own shares and permit the holders to receive a fixed number of shares of common stock upon exercise. The Company valued the pre-funded warrants at issuance, concluding that their sales price approximated their fair value, and allocated net proceeds from the sale proportionately to the common stock and pre-funded warrants, of which $28.2 million was allocated to the pre-funded warrants and recorded as a component of additional paid-in capital. As of December 31, 2025, none of the pre-funded warrants have been exercised.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Agreements</w:t>
      </w:r>
    </w:p>
    <w:p>
      <w:pPr>
        <w:spacing w:after="0" w:line="175" w:lineRule="exact"/>
        <w:rPr>
          <w:sz w:val="20"/>
          <w:szCs w:val="20"/>
          <w:color w:val="auto"/>
        </w:rPr>
      </w:pPr>
    </w:p>
    <w:p>
      <w:pPr>
        <w:jc w:val="both"/>
        <w:ind w:right="140" w:firstLine="509"/>
        <w:spacing w:after="0" w:line="226" w:lineRule="auto"/>
        <w:rPr>
          <w:sz w:val="20"/>
          <w:szCs w:val="20"/>
          <w:color w:val="auto"/>
        </w:rPr>
      </w:pPr>
      <w:r>
        <w:rPr>
          <w:rFonts w:ascii="Arial" w:cs="Arial" w:eastAsia="Arial" w:hAnsi="Arial"/>
          <w:sz w:val="18"/>
          <w:szCs w:val="18"/>
          <w:color w:val="auto"/>
        </w:rPr>
        <w:t>In November 2020, the Company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under which the Company may, from time to time, sell shares of common stock having an aggregate offering price of up to an amount registered under an effective registration statement through the Sales Agent.</w:t>
      </w:r>
    </w:p>
    <w:p>
      <w:pPr>
        <w:spacing w:after="0" w:line="15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November 2023, the Company filed a shelf registration statement on Form S-3 which was declared effective by the SEC on November 17, 2023, which included an at-the-market prospectus pursuant to which the Company may, from time to time, sell up to an aggregate of $150 million of the Company's common stock through the Sales Agent, or the 2023 ATM Offering. The Company is not obligated to, and cannot provide any assurances that the Company will, make any sales of the shares under the Sales Agreement. The Sales Agreement may be terminated by the Sales Agent or the Company at any time. No shares were sold under the Sales Agreement during the years ended December 31, 2025 and 2024. As of December 31, 2025, all of the available $150 million under the 2023 ATM Offering remains available.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0" w:type="dxa"/>
            <w:vAlign w:val="bottom"/>
            <w:gridSpan w:val="2"/>
          </w:tcPr>
          <w:p>
            <w:pPr>
              <w:spacing w:after="0"/>
              <w:rPr>
                <w:sz w:val="20"/>
                <w:szCs w:val="20"/>
                <w:color w:val="auto"/>
              </w:rPr>
            </w:pPr>
            <w:r>
              <w:rPr>
                <w:rFonts w:ascii="Arial" w:cs="Arial" w:eastAsia="Arial" w:hAnsi="Arial"/>
                <w:sz w:val="18"/>
                <w:szCs w:val="18"/>
                <w:i w:val="1"/>
                <w:iCs w:val="1"/>
                <w:color w:val="auto"/>
              </w:rPr>
              <w:t>Common Stock Reserves</w:t>
            </w:r>
          </w:p>
        </w:tc>
        <w:tc>
          <w:tcPr>
            <w:tcW w:w="2240" w:type="dxa"/>
            <w:vAlign w:val="bottom"/>
          </w:tcPr>
          <w:p>
            <w:pPr>
              <w:spacing w:after="0"/>
              <w:rPr>
                <w:sz w:val="20"/>
                <w:szCs w:val="20"/>
                <w:color w:val="auto"/>
              </w:rPr>
            </w:pPr>
          </w:p>
        </w:tc>
      </w:tr>
      <w:tr>
        <w:trPr>
          <w:trHeight w:val="378"/>
        </w:trPr>
        <w:tc>
          <w:tcPr>
            <w:tcW w:w="7600" w:type="dxa"/>
            <w:vAlign w:val="bottom"/>
            <w:gridSpan w:val="2"/>
          </w:tcPr>
          <w:p>
            <w:pPr>
              <w:ind w:left="520"/>
              <w:spacing w:after="0"/>
              <w:rPr>
                <w:sz w:val="20"/>
                <w:szCs w:val="20"/>
                <w:color w:val="auto"/>
              </w:rPr>
            </w:pPr>
            <w:r>
              <w:rPr>
                <w:rFonts w:ascii="Arial" w:cs="Arial" w:eastAsia="Arial" w:hAnsi="Arial"/>
                <w:sz w:val="18"/>
                <w:szCs w:val="18"/>
                <w:color w:val="auto"/>
              </w:rPr>
              <w:t>Common stock reserved for future issuance consists of the following:</w:t>
            </w:r>
          </w:p>
        </w:tc>
        <w:tc>
          <w:tcPr>
            <w:tcW w:w="2240" w:type="dxa"/>
            <w:vAlign w:val="bottom"/>
          </w:tcPr>
          <w:p>
            <w:pPr>
              <w:spacing w:after="0"/>
              <w:rPr>
                <w:sz w:val="24"/>
                <w:szCs w:val="24"/>
                <w:color w:val="auto"/>
              </w:rPr>
            </w:pPr>
          </w:p>
        </w:tc>
      </w:tr>
      <w:tr>
        <w:trPr>
          <w:trHeight w:val="388"/>
        </w:trPr>
        <w:tc>
          <w:tcPr>
            <w:tcW w:w="14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December 31, 2025</w:t>
            </w:r>
          </w:p>
        </w:tc>
      </w:tr>
      <w:tr>
        <w:trPr>
          <w:trHeight w:val="196"/>
        </w:trPr>
        <w:tc>
          <w:tcPr>
            <w:tcW w:w="1420" w:type="dxa"/>
            <w:vAlign w:val="bottom"/>
          </w:tcPr>
          <w:p>
            <w:pPr>
              <w:spacing w:after="0"/>
              <w:rPr>
                <w:sz w:val="17"/>
                <w:szCs w:val="17"/>
                <w:color w:val="auto"/>
              </w:rPr>
            </w:pPr>
          </w:p>
        </w:tc>
        <w:tc>
          <w:tcPr>
            <w:tcW w:w="6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 stock warrants including pre-funded warrants</w:t>
            </w:r>
          </w:p>
        </w:tc>
        <w:tc>
          <w:tcPr>
            <w:tcW w:w="22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2,700,150</w:t>
            </w:r>
          </w:p>
        </w:tc>
      </w:tr>
      <w:tr>
        <w:trPr>
          <w:trHeight w:val="184"/>
        </w:trPr>
        <w:tc>
          <w:tcPr>
            <w:tcW w:w="1420" w:type="dxa"/>
            <w:vAlign w:val="bottom"/>
          </w:tcPr>
          <w:p>
            <w:pPr>
              <w:spacing w:after="0"/>
              <w:rPr>
                <w:sz w:val="15"/>
                <w:szCs w:val="15"/>
                <w:color w:val="auto"/>
              </w:rPr>
            </w:pPr>
          </w:p>
        </w:tc>
        <w:tc>
          <w:tcPr>
            <w:tcW w:w="6180" w:type="dxa"/>
            <w:vAlign w:val="bottom"/>
          </w:tcPr>
          <w:p>
            <w:pPr>
              <w:spacing w:after="0" w:line="183" w:lineRule="exact"/>
              <w:rPr>
                <w:sz w:val="20"/>
                <w:szCs w:val="20"/>
                <w:color w:val="auto"/>
              </w:rPr>
            </w:pPr>
            <w:r>
              <w:rPr>
                <w:rFonts w:ascii="Arial" w:cs="Arial" w:eastAsia="Arial" w:hAnsi="Arial"/>
                <w:sz w:val="18"/>
                <w:szCs w:val="18"/>
                <w:color w:val="auto"/>
              </w:rPr>
              <w:t>Stock options, performance stock units and restricted stock units</w:t>
            </w:r>
          </w:p>
        </w:tc>
        <w:tc>
          <w:tcPr>
            <w:tcW w:w="2240" w:type="dxa"/>
            <w:vAlign w:val="bottom"/>
          </w:tcPr>
          <w:p>
            <w:pPr>
              <w:spacing w:after="0"/>
              <w:rPr>
                <w:sz w:val="15"/>
                <w:szCs w:val="15"/>
                <w:color w:val="auto"/>
              </w:rPr>
            </w:pPr>
          </w:p>
        </w:tc>
      </w:tr>
      <w:tr>
        <w:trPr>
          <w:trHeight w:val="221"/>
        </w:trPr>
        <w:tc>
          <w:tcPr>
            <w:tcW w:w="14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outstanding</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12,093,331</w:t>
            </w:r>
          </w:p>
        </w:tc>
      </w:tr>
      <w:tr>
        <w:trPr>
          <w:trHeight w:val="203"/>
        </w:trPr>
        <w:tc>
          <w:tcPr>
            <w:tcW w:w="1420" w:type="dxa"/>
            <w:vAlign w:val="bottom"/>
          </w:tcPr>
          <w:p>
            <w:pPr>
              <w:spacing w:after="0"/>
              <w:rPr>
                <w:sz w:val="17"/>
                <w:szCs w:val="17"/>
                <w:color w:val="auto"/>
              </w:rPr>
            </w:pPr>
          </w:p>
        </w:tc>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issuance under the 2019 Incentive Plan</w:t>
            </w:r>
          </w:p>
        </w:tc>
        <w:tc>
          <w:tcPr>
            <w:tcW w:w="22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1,617,376</w:t>
            </w:r>
          </w:p>
        </w:tc>
      </w:tr>
      <w:tr>
        <w:trPr>
          <w:trHeight w:val="203"/>
        </w:trPr>
        <w:tc>
          <w:tcPr>
            <w:tcW w:w="14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Shares available for issuance under the ESPP Plan</w:t>
            </w:r>
          </w:p>
        </w:tc>
        <w:tc>
          <w:tcPr>
            <w:tcW w:w="2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1,357,508</w:t>
            </w:r>
          </w:p>
        </w:tc>
      </w:tr>
      <w:tr>
        <w:trPr>
          <w:trHeight w:val="203"/>
        </w:trPr>
        <w:tc>
          <w:tcPr>
            <w:tcW w:w="1420" w:type="dxa"/>
            <w:vAlign w:val="bottom"/>
          </w:tcPr>
          <w:p>
            <w:pPr>
              <w:spacing w:after="0"/>
              <w:rPr>
                <w:sz w:val="17"/>
                <w:szCs w:val="17"/>
                <w:color w:val="auto"/>
              </w:rPr>
            </w:pPr>
          </w:p>
        </w:tc>
        <w:tc>
          <w:tcPr>
            <w:tcW w:w="6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issuance under the Inducement Plan</w:t>
            </w:r>
          </w:p>
        </w:tc>
        <w:tc>
          <w:tcPr>
            <w:tcW w:w="22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417,734</w:t>
            </w:r>
          </w:p>
        </w:tc>
      </w:tr>
      <w:tr>
        <w:trPr>
          <w:trHeight w:val="196"/>
        </w:trPr>
        <w:tc>
          <w:tcPr>
            <w:tcW w:w="1420" w:type="dxa"/>
            <w:vAlign w:val="bottom"/>
          </w:tcPr>
          <w:p>
            <w:pPr>
              <w:spacing w:after="0"/>
              <w:rPr>
                <w:sz w:val="17"/>
                <w:szCs w:val="17"/>
                <w:color w:val="auto"/>
              </w:rPr>
            </w:pPr>
          </w:p>
        </w:tc>
        <w:tc>
          <w:tcPr>
            <w:tcW w:w="6180" w:type="dxa"/>
            <w:vAlign w:val="bottom"/>
          </w:tcPr>
          <w:p>
            <w:pPr>
              <w:spacing w:after="0" w:line="196" w:lineRule="exact"/>
              <w:rPr>
                <w:sz w:val="20"/>
                <w:szCs w:val="20"/>
                <w:color w:val="auto"/>
              </w:rPr>
            </w:pPr>
            <w:r>
              <w:rPr>
                <w:rFonts w:ascii="Arial" w:cs="Arial" w:eastAsia="Arial" w:hAnsi="Arial"/>
                <w:sz w:val="18"/>
                <w:szCs w:val="18"/>
                <w:color w:val="auto"/>
              </w:rPr>
              <w:t>Balance at December 31, 2025</w:t>
            </w:r>
          </w:p>
        </w:tc>
        <w:tc>
          <w:tcPr>
            <w:tcW w:w="2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18,186,099</w:t>
            </w:r>
          </w:p>
        </w:tc>
      </w:tr>
      <w:tr>
        <w:trPr>
          <w:trHeight w:val="20"/>
        </w:trPr>
        <w:tc>
          <w:tcPr>
            <w:tcW w:w="14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69"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Company is authorized to issue up to 40 million shares of preferred stock. As of December 31, 2025 and 2024, there were no shares of preferred stock issued or outstanding.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8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Company’s 2019 Equity Incentive Plan, or the Prior Incentive Plan, provided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Prior Incentive Plan, of which, 1,400,528 stock options and 16,260 restricted stock awards were granted in 2019. As a result of the adoption of the 2019 Incentive Award Plan, or the 2019 Plan, in October 2019, no further awards may be available for issuance under the Prior Incentive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8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or RSUs, performance stock units, or PSUs,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Prior Incentive Plan that expire or otherwise terminate without having been exercised in full after the effective date of the 2019 Plan and unvested shares issued pursuant to awards granted under the Prior Incentive Plan that are forfeited to or repurchased by the Company after the effective date of the 2019 Plan, with the maximum number of shares to be added to the 2019 Plan pursuant to clause (i) above or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w:t>
      </w:r>
    </w:p>
    <w:p>
      <w:pPr>
        <w:spacing w:after="0" w:line="13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As of December 31, 2025, 1,617,376 shares remain available for issuance, which reflects 5,889,882 stock options, PSUs and RSUs awards granted, and 2,502,457 of awards cancelled or forfeited, during the year ended December 31, 2025 as well as an annual increase of 3,425,913 shares authorized on January 1, 2025.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Employment Inducement Incentive Award Plan</w:t>
      </w:r>
    </w:p>
    <w:p>
      <w:pPr>
        <w:spacing w:after="0" w:line="18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On March 30, 2025, the Board of Directors adopted the 2025 Employment Inducement Incentive Award Plan, or the Inducement Plan, and reserved 2,500,000 shares of the Company’s common stock for issuance pursuant to equity awards granted under the Inducement Plan to individuals not previously employees or non-employee directors of the Company (or following such individuals’ bona fide period of non-employment with the Company) as an inducement to join the Company. The Inducement Plan provides for the grant of equity-based awards, including nonstatutory stock options, RSUs, restricted stock, stock appreciation rights, performance shares and PSUs, and its terms are substantially similar to the Company’s 2019 Plan, but with such other terms and conditions intended to comply with the Nasdaq inducement award exception or to comply with the Nasdaq acquisition and merger exception. During the year ended December 31, 2025, the Company granted 2,082,266 stock options, RSUs and PSUs under the Inducement Plan. As of December 31, 2025, 417,734 shares remain available for issuance.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Units</w:t>
      </w:r>
    </w:p>
    <w:p>
      <w:pPr>
        <w:spacing w:after="0" w:line="16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In 2025, the Board of Directors approved the grant of PSUs, whereby vesting depends on certain revenue performance milestones each year and over the next three years and stock price hurdle PSUs granted pursuant to the Inducement Plan. The Company estimates the likelihood of achievement of performance milestones for all PSU awards at the end of each reporting period. To the extent those awards or portions thereof are considered probable of being achieved, such awards or portions thereof are expensed over the performance period. Recognition of stock-based compensation expense relating to the stock price hurdle PSU commenced on the date of grant and the expense is recognized ratably over the requisite service period of the award. The stock price hurdle PSUs are considered a market condition under FASB ASC Topic 718 Compensation – Stock Compensation and is estimated on the grant date using Monte Carlo simulations. The key assumptions used in determining this valuation included an expected volatility of 86.84%, a dividend yield of zero, a risk-free interest rate of 3.67%, and an expected term of 3.75 years.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all PSU activity during the year ended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14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3"/>
          </w:tcPr>
          <w:p>
            <w:pPr>
              <w:jc w:val="center"/>
              <w:ind w:right="166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14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3"/>
          </w:tcPr>
          <w:p>
            <w:pPr>
              <w:jc w:val="center"/>
              <w:ind w:right="1620"/>
              <w:spacing w:after="0" w:line="202" w:lineRule="exact"/>
              <w:rPr>
                <w:sz w:val="20"/>
                <w:szCs w:val="20"/>
                <w:color w:val="auto"/>
              </w:rPr>
            </w:pPr>
            <w:r>
              <w:rPr>
                <w:rFonts w:ascii="Arial" w:cs="Arial" w:eastAsia="Arial" w:hAnsi="Arial"/>
                <w:sz w:val="18"/>
                <w:szCs w:val="18"/>
                <w:b w:val="1"/>
                <w:bCs w:val="1"/>
                <w:color w:val="auto"/>
                <w:w w:val="99"/>
              </w:rPr>
              <w:t>Grant</w:t>
            </w:r>
          </w:p>
        </w:tc>
      </w:tr>
      <w:tr>
        <w:trPr>
          <w:trHeight w:val="203"/>
        </w:trPr>
        <w:tc>
          <w:tcPr>
            <w:tcW w:w="14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3"/>
          </w:tcPr>
          <w:p>
            <w:pPr>
              <w:jc w:val="center"/>
              <w:ind w:right="1660"/>
              <w:spacing w:after="0" w:line="202" w:lineRule="exact"/>
              <w:rPr>
                <w:sz w:val="20"/>
                <w:szCs w:val="20"/>
                <w:color w:val="auto"/>
              </w:rPr>
            </w:pPr>
            <w:r>
              <w:rPr>
                <w:rFonts w:ascii="Arial" w:cs="Arial" w:eastAsia="Arial" w:hAnsi="Arial"/>
                <w:sz w:val="18"/>
                <w:szCs w:val="18"/>
                <w:b w:val="1"/>
                <w:bCs w:val="1"/>
                <w:color w:val="auto"/>
                <w:w w:val="98"/>
              </w:rPr>
              <w:t>Date Fair</w:t>
            </w:r>
          </w:p>
        </w:tc>
      </w:tr>
      <w:tr>
        <w:trPr>
          <w:trHeight w:val="203"/>
        </w:trPr>
        <w:tc>
          <w:tcPr>
            <w:tcW w:w="14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3"/>
          </w:tcPr>
          <w:p>
            <w:pPr>
              <w:jc w:val="center"/>
              <w:ind w:right="162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21"/>
        </w:trPr>
        <w:tc>
          <w:tcPr>
            <w:tcW w:w="14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Per Share</w:t>
            </w:r>
          </w:p>
        </w:tc>
        <w:tc>
          <w:tcPr>
            <w:tcW w:w="1480" w:type="dxa"/>
            <w:vAlign w:val="bottom"/>
            <w:gridSpan w:val="2"/>
          </w:tcPr>
          <w:p>
            <w:pPr>
              <w:spacing w:after="0"/>
              <w:rPr>
                <w:sz w:val="19"/>
                <w:szCs w:val="19"/>
                <w:color w:val="auto"/>
              </w:rPr>
            </w:pPr>
          </w:p>
        </w:tc>
      </w:tr>
      <w:tr>
        <w:trPr>
          <w:trHeight w:val="196"/>
        </w:trPr>
        <w:tc>
          <w:tcPr>
            <w:tcW w:w="1420" w:type="dxa"/>
            <w:vAlign w:val="bottom"/>
          </w:tcPr>
          <w:p>
            <w:pPr>
              <w:spacing w:after="0"/>
              <w:rPr>
                <w:sz w:val="17"/>
                <w:szCs w:val="17"/>
                <w:color w:val="auto"/>
              </w:rPr>
            </w:pPr>
          </w:p>
        </w:tc>
        <w:tc>
          <w:tcPr>
            <w:tcW w:w="3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January 1, 2025</w:t>
            </w:r>
          </w:p>
        </w:tc>
        <w:tc>
          <w:tcPr>
            <w:tcW w:w="20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64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3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1,189,893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6.56</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6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Vested</w:t>
            </w:r>
          </w:p>
        </w:tc>
        <w:tc>
          <w:tcPr>
            <w:tcW w:w="344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(269,644)</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6.32</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2"/>
        </w:trPr>
        <w:tc>
          <w:tcPr>
            <w:tcW w:w="1420" w:type="dxa"/>
            <w:vAlign w:val="bottom"/>
          </w:tcPr>
          <w:p>
            <w:pPr>
              <w:spacing w:after="0"/>
              <w:rPr>
                <w:sz w:val="17"/>
                <w:szCs w:val="17"/>
                <w:color w:val="auto"/>
              </w:rPr>
            </w:pPr>
          </w:p>
        </w:tc>
        <w:tc>
          <w:tcPr>
            <w:tcW w:w="364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204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(425,125)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5.76</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6"/>
        </w:trPr>
        <w:tc>
          <w:tcPr>
            <w:tcW w:w="1420" w:type="dxa"/>
            <w:vAlign w:val="bottom"/>
          </w:tcPr>
          <w:p>
            <w:pPr>
              <w:spacing w:after="0"/>
              <w:rPr>
                <w:sz w:val="20"/>
                <w:szCs w:val="20"/>
                <w:color w:val="auto"/>
              </w:rPr>
            </w:pPr>
          </w:p>
        </w:tc>
        <w:tc>
          <w:tcPr>
            <w:tcW w:w="36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December 31, 2025</w:t>
            </w:r>
          </w:p>
        </w:tc>
        <w:tc>
          <w:tcPr>
            <w:tcW w:w="204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495,124</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7.39</w:t>
            </w:r>
          </w:p>
        </w:tc>
        <w:tc>
          <w:tcPr>
            <w:tcW w:w="80" w:type="dxa"/>
            <w:vAlign w:val="bottom"/>
            <w:tcBorders>
              <w:bottom w:val="single" w:sz="8" w:color="CFF0FC"/>
            </w:tcBorders>
            <w:shd w:val="clear" w:color="auto" w:fill="CFF0FC"/>
          </w:tcPr>
          <w:p>
            <w:pPr>
              <w:spacing w:after="0"/>
              <w:rPr>
                <w:sz w:val="20"/>
                <w:szCs w:val="20"/>
                <w:color w:val="auto"/>
              </w:rPr>
            </w:pPr>
          </w:p>
        </w:tc>
        <w:tc>
          <w:tcPr>
            <w:tcW w:w="1400" w:type="dxa"/>
            <w:vAlign w:val="bottom"/>
          </w:tcPr>
          <w:p>
            <w:pPr>
              <w:spacing w:after="0"/>
              <w:rPr>
                <w:sz w:val="20"/>
                <w:szCs w:val="20"/>
                <w:color w:val="auto"/>
              </w:rPr>
            </w:pPr>
          </w:p>
        </w:tc>
      </w:tr>
      <w:tr>
        <w:trPr>
          <w:trHeight w:val="628"/>
        </w:trPr>
        <w:tc>
          <w:tcPr>
            <w:tcW w:w="14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440" w:type="dxa"/>
            <w:vAlign w:val="bottom"/>
            <w:gridSpan w:val="3"/>
          </w:tcPr>
          <w:p>
            <w:pPr>
              <w:jc w:val="right"/>
              <w:ind w:right="2700"/>
              <w:spacing w:after="0"/>
              <w:rPr>
                <w:sz w:val="20"/>
                <w:szCs w:val="20"/>
                <w:color w:val="auto"/>
              </w:rPr>
            </w:pPr>
            <w:r>
              <w:rPr>
                <w:rFonts w:ascii="Times New Roman" w:cs="Times New Roman" w:eastAsia="Times New Roman" w:hAnsi="Times New Roman"/>
                <w:sz w:val="18"/>
                <w:szCs w:val="18"/>
                <w:color w:val="auto"/>
              </w:rPr>
              <w:t>F-24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979"/>
        </w:trPr>
        <w:tc>
          <w:tcPr>
            <w:tcW w:w="14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-1070610</wp:posOffset>
            </wp:positionV>
            <wp:extent cx="51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-1053465</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-1070610</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-1053465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20" w:name="page121"/>
    <w:bookmarkEnd w:id="120"/>
    <w:p>
      <w:pPr>
        <w:ind w:right="80" w:firstLine="509"/>
        <w:spacing w:after="0"/>
        <w:rPr>
          <w:sz w:val="20"/>
          <w:szCs w:val="20"/>
          <w:color w:val="auto"/>
        </w:rPr>
      </w:pPr>
      <w:r>
        <w:rPr>
          <w:rFonts w:ascii="Arial" w:cs="Arial" w:eastAsia="Arial" w:hAnsi="Arial"/>
          <w:sz w:val="18"/>
          <w:szCs w:val="18"/>
          <w:color w:val="auto"/>
        </w:rPr>
        <w:t>For performance milestone PSUs, stock-based compensation expense is recorded based on the market price of the Company's common stock on the grant date and is recognized if and when the achievement of such performance milestones are determined to be probable by the Company. During the year ended December 31, 2025, a revenue performance milestone was considered probable, and the Company recognized stock-based compensation expense related to the probable vesting of PSUs. In addition, during 2025 stock price hurdle milestones were achieved. The fair value of the PSUs that vested was $1.7 million at the vesting date. The Company recognized $3.3 million of stock-based compensation expense related to all PSU awards during the year ended December 31, 2025. As of December 31, 2025, there was approximately $2.5 million of related unrecognized stock-based compensation expense related to PSUs, which is expected to be recognized over a weighted-average period of approximately 2.0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RSU activity under the 2019 Plan during the year ended December 31, 2025:</w:t>
      </w:r>
    </w:p>
    <w:p>
      <w:pPr>
        <w:spacing w:after="0" w:line="194"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4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Average Grant</w:t>
            </w:r>
          </w:p>
        </w:tc>
      </w:tr>
      <w:tr>
        <w:trPr>
          <w:trHeight w:val="203"/>
        </w:trPr>
        <w:tc>
          <w:tcPr>
            <w:tcW w:w="4320" w:type="dxa"/>
            <w:vAlign w:val="bottom"/>
          </w:tcPr>
          <w:p>
            <w:pPr>
              <w:spacing w:after="0"/>
              <w:rPr>
                <w:sz w:val="17"/>
                <w:szCs w:val="17"/>
                <w:color w:val="auto"/>
              </w:rPr>
            </w:pPr>
          </w:p>
        </w:tc>
        <w:tc>
          <w:tcPr>
            <w:tcW w:w="20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Number of</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Date Fair Value</w:t>
            </w:r>
          </w:p>
        </w:tc>
      </w:tr>
      <w:tr>
        <w:trPr>
          <w:trHeight w:val="221"/>
        </w:trPr>
        <w:tc>
          <w:tcPr>
            <w:tcW w:w="432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Per Share</w:t>
            </w:r>
          </w:p>
        </w:tc>
        <w:tc>
          <w:tcPr>
            <w:tcW w:w="80" w:type="dxa"/>
            <w:vAlign w:val="bottom"/>
          </w:tcPr>
          <w:p>
            <w:pPr>
              <w:spacing w:after="0"/>
              <w:rPr>
                <w:sz w:val="19"/>
                <w:szCs w:val="19"/>
                <w:color w:val="auto"/>
              </w:rPr>
            </w:pPr>
          </w:p>
        </w:tc>
      </w:tr>
      <w:tr>
        <w:trPr>
          <w:trHeight w:val="196"/>
        </w:trPr>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January 1, 2025</w:t>
            </w:r>
          </w:p>
        </w:tc>
        <w:tc>
          <w:tcPr>
            <w:tcW w:w="20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2,382,660</w:t>
            </w:r>
          </w:p>
        </w:tc>
        <w:tc>
          <w:tcPr>
            <w:tcW w:w="2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10.32</w:t>
            </w:r>
          </w:p>
        </w:tc>
      </w:tr>
      <w:tr>
        <w:trPr>
          <w:trHeight w:val="203"/>
        </w:trPr>
        <w:tc>
          <w:tcPr>
            <w:tcW w:w="4320" w:type="dxa"/>
            <w:vAlign w:val="bottom"/>
          </w:tcPr>
          <w:p>
            <w:pPr>
              <w:ind w:left="80"/>
              <w:spacing w:after="0" w:line="202" w:lineRule="exact"/>
              <w:rPr>
                <w:sz w:val="20"/>
                <w:szCs w:val="20"/>
                <w:color w:val="auto"/>
              </w:rPr>
            </w:pPr>
            <w:r>
              <w:rPr>
                <w:rFonts w:ascii="Arial" w:cs="Arial" w:eastAsia="Arial" w:hAnsi="Arial"/>
                <w:sz w:val="18"/>
                <w:szCs w:val="18"/>
                <w:color w:val="auto"/>
              </w:rPr>
              <w:t>Granted</w:t>
            </w:r>
          </w:p>
        </w:tc>
        <w:tc>
          <w:tcPr>
            <w:tcW w:w="2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1,958,619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6.32</w:t>
            </w:r>
          </w:p>
        </w:tc>
      </w:tr>
      <w:tr>
        <w:trPr>
          <w:trHeight w:val="203"/>
        </w:trPr>
        <w:tc>
          <w:tcPr>
            <w:tcW w:w="43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Vested</w:t>
            </w:r>
          </w:p>
        </w:tc>
        <w:tc>
          <w:tcPr>
            <w:tcW w:w="20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(1,482,618)</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10.88</w:t>
            </w:r>
          </w:p>
        </w:tc>
      </w:tr>
      <w:tr>
        <w:trPr>
          <w:trHeight w:val="203"/>
        </w:trPr>
        <w:tc>
          <w:tcPr>
            <w:tcW w:w="4320" w:type="dxa"/>
            <w:vAlign w:val="bottom"/>
          </w:tcPr>
          <w:p>
            <w:pPr>
              <w:ind w:left="80"/>
              <w:spacing w:after="0" w:line="202" w:lineRule="exact"/>
              <w:rPr>
                <w:sz w:val="20"/>
                <w:szCs w:val="20"/>
                <w:color w:val="auto"/>
              </w:rPr>
            </w:pPr>
            <w:r>
              <w:rPr>
                <w:rFonts w:ascii="Arial" w:cs="Arial" w:eastAsia="Arial" w:hAnsi="Arial"/>
                <w:sz w:val="18"/>
                <w:szCs w:val="18"/>
                <w:color w:val="auto"/>
              </w:rPr>
              <w:t>Forfeited</w:t>
            </w:r>
          </w:p>
        </w:tc>
        <w:tc>
          <w:tcPr>
            <w:tcW w:w="2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(704,077)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9.00</w:t>
            </w:r>
          </w:p>
        </w:tc>
      </w:tr>
      <w:tr>
        <w:trPr>
          <w:trHeight w:val="20"/>
        </w:trPr>
        <w:tc>
          <w:tcPr>
            <w:tcW w:w="43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December 31, 2025</w:t>
            </w:r>
          </w:p>
        </w:tc>
        <w:tc>
          <w:tcPr>
            <w:tcW w:w="20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2,154,584</w:t>
            </w:r>
          </w:p>
        </w:tc>
        <w:tc>
          <w:tcPr>
            <w:tcW w:w="2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6.73</w:t>
            </w: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-25400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7"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As of December 31, 2025, the Company had $11.2 million of unrecognized stock-based compensation expense related to RSUs, which is expected to be recognized over a weighted-average period of 1.7 years. The total fair value of RSUs vested during the year ended December 31, 2025, was approximately $16.1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In October 2019, the Board of Directors adopted, and the Company’s stockholders approved, the Employee Stock Purchase Plan, or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were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December 31, 2025, 1,357,508 shares of common stock remain available for issuance, which includes the 505,293 shares sold to employees during the year ended December 31, 2025 as well as an annual increase of 685,183 shares authorized on January 1, 2025.</w:t>
      </w:r>
    </w:p>
    <w:p>
      <w:pPr>
        <w:spacing w:after="0" w:line="139"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The ESPP is considered a compensatory plan, and the Company recorded related stock-based compensation of $1.5 million and $1.8 million for the years ended December 31, 2025 and 2024, respectively. The weighted-average assumptions used to estimate the fair value of ESPP awards using the Black-Scholes option valuation model were as follows:</w:t>
      </w:r>
    </w:p>
    <w:p>
      <w:pPr>
        <w:spacing w:after="0" w:line="155"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Years Ended</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December 31,</w:t>
      </w:r>
    </w:p>
    <w:tbl>
      <w:tblPr>
        <w:tblLayout w:type="fixed"/>
        <w:tblInd w:w="0" w:type="dxa"/>
        <w:tblCellMar>
          <w:top w:w="0" w:type="dxa"/>
          <w:left w:w="0" w:type="dxa"/>
          <w:bottom w:w="0" w:type="dxa"/>
          <w:right w:w="0" w:type="dxa"/>
        </w:tblCellMar>
      </w:tblPr>
      <w:tr>
        <w:trPr>
          <w:trHeight w:val="196"/>
        </w:trPr>
        <w:tc>
          <w:tcPr>
            <w:tcW w:w="5760" w:type="dxa"/>
            <w:vAlign w:val="bottom"/>
            <w:gridSpan w:val="2"/>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80" w:type="dxa"/>
            <w:vAlign w:val="bottom"/>
            <w:tcBorders>
              <w:top w:val="single" w:sz="8" w:color="auto"/>
              <w:bottom w:val="single" w:sz="8" w:color="auto"/>
            </w:tcBorders>
          </w:tcPr>
          <w:p>
            <w:pPr>
              <w:jc w:val="right"/>
              <w:ind w:right="790"/>
              <w:spacing w:after="0" w:line="196" w:lineRule="exact"/>
              <w:rPr>
                <w:sz w:val="20"/>
                <w:szCs w:val="20"/>
                <w:color w:val="auto"/>
              </w:rPr>
            </w:pPr>
            <w:r>
              <w:rPr>
                <w:rFonts w:ascii="Arial" w:cs="Arial" w:eastAsia="Arial" w:hAnsi="Arial"/>
                <w:sz w:val="18"/>
                <w:szCs w:val="18"/>
                <w:b w:val="1"/>
                <w:bCs w:val="1"/>
                <w:color w:val="auto"/>
              </w:rPr>
              <w:t>2024</w:t>
            </w:r>
          </w:p>
        </w:tc>
        <w:tc>
          <w:tcPr>
            <w:tcW w:w="1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Assumptions:</w:t>
            </w: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Expected term (in years)</w:t>
            </w:r>
          </w:p>
        </w:tc>
        <w:tc>
          <w:tcPr>
            <w:tcW w:w="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0.49</w:t>
            </w:r>
          </w:p>
        </w:tc>
        <w:tc>
          <w:tcPr>
            <w:tcW w:w="21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0.49</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54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Expected volatility</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112.83%</w:t>
            </w:r>
          </w:p>
        </w:tc>
        <w:tc>
          <w:tcPr>
            <w:tcW w:w="2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105.23%</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Risk free interest rate</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2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5.19%</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54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Dividend yield</w:t>
            </w:r>
          </w:p>
        </w:tc>
        <w:tc>
          <w:tcPr>
            <w:tcW w:w="7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9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7"/>
                <w:szCs w:val="17"/>
                <w:color w:val="auto"/>
              </w:rPr>
            </w:pPr>
          </w:p>
        </w:tc>
      </w:tr>
      <w:tr>
        <w:trPr>
          <w:trHeight w:val="648"/>
        </w:trPr>
        <w:tc>
          <w:tcPr>
            <w:tcW w:w="1420" w:type="dxa"/>
            <w:vAlign w:val="bottom"/>
          </w:tcPr>
          <w:p>
            <w:pPr>
              <w:spacing w:after="0"/>
              <w:rPr>
                <w:sz w:val="24"/>
                <w:szCs w:val="24"/>
                <w:color w:val="auto"/>
              </w:rPr>
            </w:pPr>
          </w:p>
        </w:tc>
        <w:tc>
          <w:tcPr>
            <w:tcW w:w="5540" w:type="dxa"/>
            <w:vAlign w:val="bottom"/>
            <w:gridSpan w:val="2"/>
          </w:tcPr>
          <w:p>
            <w:pPr>
              <w:ind w:left="4040"/>
              <w:spacing w:after="0"/>
              <w:rPr>
                <w:sz w:val="20"/>
                <w:szCs w:val="20"/>
                <w:color w:val="auto"/>
              </w:rPr>
            </w:pPr>
            <w:r>
              <w:rPr>
                <w:rFonts w:ascii="Times New Roman" w:cs="Times New Roman" w:eastAsia="Times New Roman" w:hAnsi="Times New Roman"/>
                <w:sz w:val="18"/>
                <w:szCs w:val="18"/>
                <w:color w:val="auto"/>
              </w:rPr>
              <w:t>F-25</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979"/>
        </w:trPr>
        <w:tc>
          <w:tcPr>
            <w:tcW w:w="14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21" w:name="page122"/>
    <w:bookmarkEnd w:id="121"/>
    <w:p>
      <w:pPr>
        <w:ind w:firstLine="509"/>
        <w:spacing w:after="0" w:line="253" w:lineRule="auto"/>
        <w:rPr>
          <w:sz w:val="20"/>
          <w:szCs w:val="20"/>
          <w:color w:val="auto"/>
        </w:rPr>
      </w:pPr>
      <w:r>
        <w:rPr>
          <w:rFonts w:ascii="Arial" w:cs="Arial" w:eastAsia="Arial" w:hAnsi="Arial"/>
          <w:sz w:val="18"/>
          <w:szCs w:val="18"/>
          <w:color w:val="auto"/>
        </w:rPr>
        <w:t>The estimated weighted-average fair value of ESPP awards during 2025 and 2024 was $3.62 and $4.03, respectively. As of December 31, 2025, the total unrecognized compensation expense related to the ESPP was less than $0.1 million, which is expected to be recognized over a weighted-average period of approximately 0.5 months.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8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During 2020, the Company established a 401(k) savings plan. The Company’s contributions to the plan are discretionary. During the years ended December 31, 2025 and 2024, the Company incurred $5.2 million and $5.1 million, respectively, of expense related to estimated employer contribution liabilities, which was based on a 75% match of employees’ contributions during the periods. During the years ended December 31, 2025 and 2024, the Board of Directors approved employer matching contributions settled by contributing 616,377 and 383,589, respectively, shares of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the Company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Company’s stock option activity and related information is as follows during the year ended December 31, 2025:</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7"/>
                <w:szCs w:val="17"/>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rPr>
              <w:t>Aggregate</w:t>
            </w:r>
          </w:p>
        </w:tc>
      </w:tr>
      <w:tr>
        <w:trPr>
          <w:trHeight w:val="203"/>
        </w:trPr>
        <w:tc>
          <w:tcPr>
            <w:tcW w:w="5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7"/>
                <w:szCs w:val="17"/>
                <w:color w:val="auto"/>
              </w:rPr>
            </w:pPr>
          </w:p>
        </w:tc>
        <w:tc>
          <w:tcPr>
            <w:tcW w:w="13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03"/>
        </w:trPr>
        <w:tc>
          <w:tcPr>
            <w:tcW w:w="5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7"/>
                <w:szCs w:val="17"/>
                <w:color w:val="auto"/>
              </w:rPr>
            </w:pPr>
          </w:p>
        </w:tc>
        <w:tc>
          <w:tcPr>
            <w:tcW w:w="13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03"/>
        </w:trPr>
        <w:tc>
          <w:tcPr>
            <w:tcW w:w="5040" w:type="dxa"/>
            <w:vAlign w:val="bottom"/>
          </w:tcPr>
          <w:p>
            <w:pPr>
              <w:spacing w:after="0"/>
              <w:rPr>
                <w:sz w:val="17"/>
                <w:szCs w:val="17"/>
                <w:color w:val="auto"/>
              </w:rPr>
            </w:pPr>
          </w:p>
        </w:tc>
        <w:tc>
          <w:tcPr>
            <w:tcW w:w="12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Exercise</w:t>
            </w:r>
          </w:p>
        </w:tc>
        <w:tc>
          <w:tcPr>
            <w:tcW w:w="100" w:type="dxa"/>
            <w:vAlign w:val="bottom"/>
          </w:tcPr>
          <w:p>
            <w:pPr>
              <w:spacing w:after="0"/>
              <w:rPr>
                <w:sz w:val="17"/>
                <w:szCs w:val="17"/>
                <w:color w:val="auto"/>
              </w:rPr>
            </w:pPr>
          </w:p>
        </w:tc>
        <w:tc>
          <w:tcPr>
            <w:tcW w:w="13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(in</w:t>
            </w:r>
          </w:p>
        </w:tc>
      </w:tr>
      <w:tr>
        <w:trPr>
          <w:trHeight w:val="221"/>
        </w:trPr>
        <w:tc>
          <w:tcPr>
            <w:tcW w:w="5040" w:type="dxa"/>
            <w:vAlign w:val="bottom"/>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Price</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Term</w:t>
            </w:r>
          </w:p>
        </w:tc>
        <w:tc>
          <w:tcPr>
            <w:tcW w:w="12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January 1, 2025</w:t>
            </w:r>
          </w:p>
        </w:tc>
        <w:tc>
          <w:tcPr>
            <w:tcW w:w="12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6,157,532</w:t>
            </w: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10.29</w:t>
            </w:r>
          </w:p>
        </w:tc>
        <w:tc>
          <w:tcPr>
            <w:tcW w:w="1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7.59</w:t>
            </w:r>
          </w:p>
        </w:tc>
        <w:tc>
          <w:tcPr>
            <w:tcW w:w="24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2,133</w:t>
            </w:r>
          </w:p>
        </w:tc>
      </w:tr>
      <w:tr>
        <w:trPr>
          <w:trHeight w:val="203"/>
        </w:trPr>
        <w:tc>
          <w:tcPr>
            <w:tcW w:w="5040" w:type="dxa"/>
            <w:vAlign w:val="bottom"/>
          </w:tcPr>
          <w:p>
            <w:pPr>
              <w:ind w:left="80"/>
              <w:spacing w:after="0" w:line="202" w:lineRule="exact"/>
              <w:rPr>
                <w:sz w:val="20"/>
                <w:szCs w:val="20"/>
                <w:color w:val="auto"/>
              </w:rPr>
            </w:pPr>
            <w:r>
              <w:rPr>
                <w:rFonts w:ascii="Arial" w:cs="Arial" w:eastAsia="Arial" w:hAnsi="Arial"/>
                <w:sz w:val="18"/>
                <w:szCs w:val="18"/>
                <w:color w:val="auto"/>
              </w:rPr>
              <w:t>Options granted</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4,823,636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5.53</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Options exercised</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(164,290)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9.96</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5040" w:type="dxa"/>
            <w:vAlign w:val="bottom"/>
          </w:tcPr>
          <w:p>
            <w:pPr>
              <w:ind w:left="80"/>
              <w:spacing w:after="0" w:line="202" w:lineRule="exact"/>
              <w:rPr>
                <w:sz w:val="20"/>
                <w:szCs w:val="20"/>
                <w:color w:val="auto"/>
              </w:rPr>
            </w:pPr>
            <w:r>
              <w:rPr>
                <w:rFonts w:ascii="Arial" w:cs="Arial" w:eastAsia="Arial" w:hAnsi="Arial"/>
                <w:sz w:val="18"/>
                <w:szCs w:val="18"/>
                <w:color w:val="auto"/>
              </w:rPr>
              <w:t>Options cancelled</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(1,373,255)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7.17</w:t>
            </w:r>
          </w:p>
        </w:tc>
        <w:tc>
          <w:tcPr>
            <w:tcW w:w="1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2025</w:t>
            </w:r>
          </w:p>
        </w:tc>
        <w:tc>
          <w:tcPr>
            <w:tcW w:w="12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9,443,623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8.32</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6.45</w:t>
            </w:r>
          </w:p>
        </w:tc>
        <w:tc>
          <w:tcPr>
            <w:tcW w:w="24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80,509</w:t>
            </w:r>
          </w:p>
        </w:tc>
      </w:tr>
      <w:tr>
        <w:trPr>
          <w:trHeight w:val="20"/>
        </w:trPr>
        <w:tc>
          <w:tcPr>
            <w:tcW w:w="50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196"/>
        </w:trPr>
        <w:tc>
          <w:tcPr>
            <w:tcW w:w="5040" w:type="dxa"/>
            <w:vAlign w:val="bottom"/>
          </w:tcPr>
          <w:p>
            <w:pPr>
              <w:spacing w:after="0" w:line="196" w:lineRule="exact"/>
              <w:rPr>
                <w:sz w:val="20"/>
                <w:szCs w:val="20"/>
                <w:color w:val="auto"/>
              </w:rPr>
            </w:pPr>
            <w:r>
              <w:rPr>
                <w:rFonts w:ascii="Arial" w:cs="Arial" w:eastAsia="Arial" w:hAnsi="Arial"/>
                <w:sz w:val="18"/>
                <w:szCs w:val="18"/>
                <w:color w:val="auto"/>
              </w:rPr>
              <w:t>Options exercisable as of December 31, 2025</w:t>
            </w:r>
          </w:p>
        </w:tc>
        <w:tc>
          <w:tcPr>
            <w:tcW w:w="12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4,553,458</w:t>
            </w:r>
          </w:p>
        </w:tc>
        <w:tc>
          <w:tcPr>
            <w:tcW w:w="1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10.70</w:t>
            </w:r>
          </w:p>
        </w:tc>
        <w:tc>
          <w:tcPr>
            <w:tcW w:w="10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3.71</w:t>
            </w:r>
          </w:p>
        </w:tc>
        <w:tc>
          <w:tcPr>
            <w:tcW w:w="2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29,213</w:t>
            </w: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 and expected to vest as of December 31, 2025</w:t>
            </w:r>
          </w:p>
        </w:tc>
        <w:tc>
          <w:tcPr>
            <w:tcW w:w="12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9,443,623</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8.32</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6.45</w:t>
            </w:r>
          </w:p>
        </w:tc>
        <w:tc>
          <w:tcPr>
            <w:tcW w:w="24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80,509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-264795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-264795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-264795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at December 31, 2025. The total intrinsic value of stock options exercised for the years ended December 31, 2025 and 2024 was approximately $0.8 million and $0.6 million, respectively.</w:t>
      </w:r>
    </w:p>
    <w:p>
      <w:pPr>
        <w:spacing w:after="0" w:line="133"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The estimated weighted-average fair value of employee and nonemployee director stock options granted during 2025 was $4.09 and during 2024 was $5.61 per option. As of December 31, 2025, the Company had $18.2 million of unrecognized stock-based compensation expense related to stock options, which is expected to be recognized over a weighted-average period of 2.9 years.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22" w:name="page123"/>
    <w:bookmarkEnd w:id="122"/>
    <w:p>
      <w:pPr>
        <w:ind w:right="300" w:firstLine="509"/>
        <w:spacing w:after="0" w:line="271" w:lineRule="auto"/>
        <w:rPr>
          <w:sz w:val="20"/>
          <w:szCs w:val="20"/>
          <w:color w:val="auto"/>
        </w:rPr>
      </w:pPr>
      <w:r>
        <w:rPr>
          <w:rFonts w:ascii="Arial" w:cs="Arial" w:eastAsia="Arial" w:hAnsi="Arial"/>
          <w:sz w:val="18"/>
          <w:szCs w:val="18"/>
          <w:color w:val="auto"/>
        </w:rPr>
        <w:t>The weighted-average assumptions used to estimate the fair value of stock options using the Black-Scholes option valuation model were as follows:</w:t>
      </w:r>
    </w:p>
    <w:p>
      <w:pPr>
        <w:spacing w:after="0" w:line="140"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Years Ended</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December 31,</w:t>
      </w:r>
    </w:p>
    <w:tbl>
      <w:tblPr>
        <w:tblLayout w:type="fixed"/>
        <w:tblInd w:w="1420" w:type="dxa"/>
        <w:tblCellMar>
          <w:top w:w="0" w:type="dxa"/>
          <w:left w:w="0" w:type="dxa"/>
          <w:bottom w:w="0" w:type="dxa"/>
          <w:right w:w="0" w:type="dxa"/>
        </w:tblCellMar>
      </w:tblPr>
      <w:tr>
        <w:trPr>
          <w:trHeight w:val="196"/>
        </w:trPr>
        <w:tc>
          <w:tcPr>
            <w:tcW w:w="43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2025</w:t>
            </w:r>
          </w:p>
        </w:tc>
        <w:tc>
          <w:tcPr>
            <w:tcW w:w="7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80" w:type="dxa"/>
            <w:vAlign w:val="bottom"/>
            <w:tcBorders>
              <w:top w:val="single" w:sz="8" w:color="auto"/>
              <w:bottom w:val="single" w:sz="8" w:color="auto"/>
            </w:tcBorders>
          </w:tcPr>
          <w:p>
            <w:pPr>
              <w:jc w:val="right"/>
              <w:ind w:right="79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5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Assumptions:</w:t>
            </w: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r>
      <w:tr>
        <w:trPr>
          <w:trHeight w:val="203"/>
        </w:trPr>
        <w:tc>
          <w:tcPr>
            <w:tcW w:w="55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Expected term (in years)</w:t>
            </w:r>
          </w:p>
        </w:tc>
        <w:tc>
          <w:tcPr>
            <w:tcW w:w="7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6.07</w:t>
            </w:r>
          </w:p>
        </w:tc>
        <w:tc>
          <w:tcPr>
            <w:tcW w:w="21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6.04</w:t>
            </w:r>
          </w:p>
        </w:tc>
      </w:tr>
      <w:tr>
        <w:trPr>
          <w:trHeight w:val="203"/>
        </w:trPr>
        <w:tc>
          <w:tcPr>
            <w:tcW w:w="558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Expected volatility</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84.68%</w:t>
            </w:r>
          </w:p>
        </w:tc>
        <w:tc>
          <w:tcPr>
            <w:tcW w:w="2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74.78%</w:t>
            </w:r>
          </w:p>
        </w:tc>
      </w:tr>
      <w:tr>
        <w:trPr>
          <w:trHeight w:val="202"/>
        </w:trPr>
        <w:tc>
          <w:tcPr>
            <w:tcW w:w="55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Risk free interest rate</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4.06%</w:t>
            </w:r>
          </w:p>
        </w:tc>
        <w:tc>
          <w:tcPr>
            <w:tcW w:w="2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4.14%</w:t>
            </w:r>
          </w:p>
        </w:tc>
      </w:tr>
      <w:tr>
        <w:trPr>
          <w:trHeight w:val="203"/>
        </w:trPr>
        <w:tc>
          <w:tcPr>
            <w:tcW w:w="558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Dividend yield</w:t>
            </w:r>
          </w:p>
        </w:tc>
        <w:tc>
          <w:tcPr>
            <w:tcW w:w="7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9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9" w:lineRule="exact"/>
        <w:rPr>
          <w:sz w:val="20"/>
          <w:szCs w:val="20"/>
          <w:color w:val="auto"/>
        </w:rPr>
      </w:pPr>
    </w:p>
    <w:p>
      <w:pPr>
        <w:ind w:right="880" w:firstLine="509"/>
        <w:spacing w:after="0" w:line="271" w:lineRule="auto"/>
        <w:rPr>
          <w:sz w:val="20"/>
          <w:szCs w:val="20"/>
          <w:color w:val="auto"/>
        </w:rPr>
      </w:pPr>
      <w:r>
        <w:rPr>
          <w:rFonts w:ascii="Arial" w:cs="Arial" w:eastAsia="Arial" w:hAnsi="Arial"/>
          <w:sz w:val="18"/>
          <w:szCs w:val="18"/>
          <w:color w:val="auto"/>
        </w:rPr>
        <w:t>Stock-based compensation expense recognized for all equity awards has been reported in the statements of operations and comprehensive loss for the years ended December 31, 2025 and 2024 as follows (in thousands):</w:t>
      </w:r>
    </w:p>
    <w:p>
      <w:pPr>
        <w:spacing w:after="0" w:line="311"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Years Ended</w:t>
            </w:r>
          </w:p>
        </w:tc>
        <w:tc>
          <w:tcPr>
            <w:tcW w:w="1040" w:type="dxa"/>
            <w:vAlign w:val="bottom"/>
          </w:tcPr>
          <w:p>
            <w:pPr>
              <w:spacing w:after="0"/>
              <w:rPr>
                <w:sz w:val="17"/>
                <w:szCs w:val="17"/>
                <w:color w:val="auto"/>
              </w:rPr>
            </w:pPr>
          </w:p>
        </w:tc>
      </w:tr>
      <w:tr>
        <w:trPr>
          <w:trHeight w:val="221"/>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196"/>
        </w:trPr>
        <w:tc>
          <w:tcPr>
            <w:tcW w:w="5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w w:val="99"/>
              </w:rPr>
              <w:t>2024</w:t>
            </w:r>
          </w:p>
        </w:tc>
      </w:tr>
      <w:tr>
        <w:trPr>
          <w:trHeight w:val="196"/>
        </w:trPr>
        <w:tc>
          <w:tcPr>
            <w:tcW w:w="5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6,864</w:t>
            </w:r>
          </w:p>
        </w:tc>
        <w:tc>
          <w:tcPr>
            <w:tcW w:w="680" w:type="dxa"/>
            <w:vAlign w:val="bottom"/>
            <w:gridSpan w:val="2"/>
            <w:shd w:val="clear" w:color="auto" w:fill="CFF0FC"/>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5,567</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21,855</w:t>
            </w: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18,480</w:t>
            </w:r>
          </w:p>
        </w:tc>
      </w:tr>
      <w:tr>
        <w:trPr>
          <w:trHeight w:val="216"/>
        </w:trPr>
        <w:tc>
          <w:tcPr>
            <w:tcW w:w="5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28,719</w:t>
            </w:r>
          </w:p>
        </w:tc>
        <w:tc>
          <w:tcPr>
            <w:tcW w:w="680" w:type="dxa"/>
            <w:vAlign w:val="bottom"/>
            <w:gridSpan w:val="2"/>
            <w:shd w:val="clear" w:color="auto" w:fill="CFF0FC"/>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24,047</w:t>
            </w: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1200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1200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 Recognition</w:t>
      </w:r>
    </w:p>
    <w:p>
      <w:pPr>
        <w:spacing w:after="0" w:line="171"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To date, our only source of revenue has been from the U.S. sales of VOQUEZNA products, which the Company began selling during the fourth quarter of 2023. The Company records its best estimate of chargebacks, sales discounts and other reserves to which customers are likely expected to be entitled to as contra accounts receivable charges, and within accrued expenses if payable to a third-party or related to product returns on the balance sheets. During the years ended December 31, 2025 and 2024, the Company recognized $175.1 million and $55.3 million, respectively, of net product revenues related to sales of VOQUEZNA, VOQUEZNA DUAL PAK and VOQUEZNA TRIPLE PAK.</w:t>
      </w:r>
    </w:p>
    <w:p>
      <w:pPr>
        <w:spacing w:after="0" w:line="138"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following table provides a summary of the Company's revenue allowances and related accruals for the year ended December 31, 2025 which have been deducting in arriving at product revenues, net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Customer Credits,</w:t>
            </w:r>
          </w:p>
        </w:tc>
        <w:tc>
          <w:tcPr>
            <w:tcW w:w="17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Rebates, Returns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3"/>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Discounts and</w:t>
            </w:r>
          </w:p>
        </w:tc>
        <w:tc>
          <w:tcPr>
            <w:tcW w:w="120" w:type="dxa"/>
            <w:vAlign w:val="bottom"/>
          </w:tcPr>
          <w:p>
            <w:pPr>
              <w:spacing w:after="0"/>
              <w:rPr>
                <w:sz w:val="17"/>
                <w:szCs w:val="17"/>
                <w:color w:val="auto"/>
              </w:rPr>
            </w:pPr>
          </w:p>
        </w:tc>
        <w:tc>
          <w:tcPr>
            <w:tcW w:w="16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and Co-Pay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rPr>
              <w:t>Allowances</w:t>
            </w: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Assistance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(contra accounts</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receivable)</w:t>
            </w:r>
          </w:p>
        </w:tc>
        <w:tc>
          <w:tcPr>
            <w:tcW w:w="22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(accrued expenses)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January 1, 2025</w:t>
            </w:r>
          </w:p>
        </w:tc>
        <w:tc>
          <w:tcPr>
            <w:tcW w:w="4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5,659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29,987</w:t>
            </w:r>
          </w:p>
        </w:tc>
        <w:tc>
          <w:tcPr>
            <w:tcW w:w="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35,646</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06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65,653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174,330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239,983</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Utilizations</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(60,666)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(138,855)</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(199,521)</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0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as of December 31, 2025</w:t>
            </w:r>
          </w:p>
        </w:tc>
        <w:tc>
          <w:tcPr>
            <w:tcW w:w="34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10,646</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65,462</w:t>
            </w:r>
          </w:p>
        </w:tc>
        <w:tc>
          <w:tcPr>
            <w:tcW w:w="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76,108</w:t>
            </w:r>
          </w:p>
        </w:tc>
        <w:tc>
          <w:tcPr>
            <w:tcW w:w="80" w:type="dxa"/>
            <w:vAlign w:val="bottom"/>
            <w:tcBorders>
              <w:top w:val="single" w:sz="8" w:color="CFF0FC"/>
            </w:tcBorders>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F-27</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14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-1207770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-1207770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-1207770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231F20"/>
        </w:rPr>
        <w:t>9. Income Taxes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For the years ended December 31, 2025 and 2024, the pre-tax net loss from operations by jurisdiction is as follows (in thousands):</w:t>
      </w:r>
    </w:p>
    <w:p>
      <w:pPr>
        <w:spacing w:after="0" w:line="194"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Years Ended</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45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45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7"/>
                <w:szCs w:val="17"/>
                <w:color w:val="auto"/>
              </w:rPr>
            </w:pPr>
          </w:p>
        </w:tc>
      </w:tr>
      <w:tr>
        <w:trPr>
          <w:trHeight w:val="196"/>
        </w:trPr>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(221,247)</w:t>
            </w:r>
          </w:p>
        </w:tc>
        <w:tc>
          <w:tcPr>
            <w:tcW w:w="660" w:type="dxa"/>
            <w:vAlign w:val="bottom"/>
            <w:gridSpan w:val="2"/>
            <w:shd w:val="clear" w:color="auto" w:fill="CFF0FC"/>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(334,326)</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16"/>
        </w:trPr>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(221,247)</w:t>
            </w:r>
          </w:p>
        </w:tc>
        <w:tc>
          <w:tcPr>
            <w:tcW w:w="660" w:type="dxa"/>
            <w:vAlign w:val="bottom"/>
            <w:gridSpan w:val="2"/>
            <w:shd w:val="clear" w:color="auto" w:fill="CFF0FC"/>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(334,326)</w:t>
            </w: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-24765</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231F20"/>
        </w:rPr>
        <w:t>For the years ended December 31, 2025 and 2024, the Company did not record a provision for income taxes due to a full valuation against its deferred taxes. A reconciliation between the provision for income taxes and income taxes computed using the U.S. federal statutory corporate tax rate for the year ended December 31, 2025 is as follows (in thousands):</w:t>
      </w:r>
    </w:p>
    <w:p>
      <w:pPr>
        <w:spacing w:after="0" w:line="155" w:lineRule="exact"/>
        <w:rPr>
          <w:sz w:val="20"/>
          <w:szCs w:val="20"/>
          <w:color w:val="auto"/>
        </w:rPr>
      </w:pPr>
    </w:p>
    <w:tbl>
      <w:tblPr>
        <w:tblLayout w:type="fixed"/>
        <w:tblInd w:w="1420" w:type="dxa"/>
        <w:tblCellMar>
          <w:top w:w="0" w:type="dxa"/>
          <w:left w:w="0" w:type="dxa"/>
          <w:bottom w:w="0" w:type="dxa"/>
          <w:right w:w="0" w:type="dxa"/>
        </w:tblCellMar>
      </w:tblPr>
      <w:tr>
        <w:trPr>
          <w:trHeight w:val="221"/>
        </w:trPr>
        <w:tc>
          <w:tcPr>
            <w:tcW w:w="3320" w:type="dxa"/>
            <w:vAlign w:val="bottom"/>
            <w:vMerge w:val="restart"/>
          </w:tcPr>
          <w:p>
            <w:pPr>
              <w:spacing w:after="0"/>
              <w:rPr>
                <w:sz w:val="20"/>
                <w:szCs w:val="20"/>
                <w:color w:val="auto"/>
              </w:rPr>
            </w:pPr>
            <w:r>
              <w:rPr>
                <w:rFonts w:ascii="Arial" w:cs="Arial" w:eastAsia="Arial" w:hAnsi="Arial"/>
                <w:sz w:val="18"/>
                <w:szCs w:val="18"/>
                <w:color w:val="auto"/>
              </w:rPr>
              <w:t>Tax computed at federal statutory rate</w:t>
            </w:r>
          </w:p>
        </w:tc>
        <w:tc>
          <w:tcPr>
            <w:tcW w:w="1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9"/>
              </w:rPr>
              <w:t>Year Ended December 31, 2025</w:t>
            </w: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320" w:type="dxa"/>
            <w:vAlign w:val="bottom"/>
            <w:vMerge w:val="continue"/>
          </w:tcPr>
          <w:p>
            <w:pPr>
              <w:spacing w:after="0"/>
              <w:rPr>
                <w:sz w:val="15"/>
                <w:szCs w:val="15"/>
                <w:color w:val="auto"/>
              </w:rPr>
            </w:pPr>
          </w:p>
        </w:tc>
        <w:tc>
          <w:tcPr>
            <w:tcW w:w="1140" w:type="dxa"/>
            <w:vAlign w:val="bottom"/>
            <w:vMerge w:val="restart"/>
          </w:tcPr>
          <w:p>
            <w:pPr>
              <w:jc w:val="right"/>
              <w:ind w:right="940"/>
              <w:spacing w:after="0"/>
              <w:rPr>
                <w:sz w:val="20"/>
                <w:szCs w:val="20"/>
                <w:color w:val="auto"/>
              </w:rPr>
            </w:pPr>
            <w:r>
              <w:rPr>
                <w:rFonts w:ascii="Arial" w:cs="Arial" w:eastAsia="Arial" w:hAnsi="Arial"/>
                <w:sz w:val="12"/>
                <w:szCs w:val="12"/>
                <w:color w:val="auto"/>
                <w:w w:val="81"/>
              </w:rPr>
              <w:t>(1)</w:t>
            </w:r>
          </w:p>
        </w:tc>
        <w:tc>
          <w:tcPr>
            <w:tcW w:w="320" w:type="dxa"/>
            <w:vAlign w:val="bottom"/>
          </w:tcPr>
          <w:p>
            <w:pPr>
              <w:jc w:val="right"/>
              <w:ind w:right="130"/>
              <w:spacing w:after="0" w:line="177" w:lineRule="exact"/>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80"/>
              <w:spacing w:after="0" w:line="177" w:lineRule="exact"/>
              <w:rPr>
                <w:sz w:val="20"/>
                <w:szCs w:val="20"/>
                <w:color w:val="auto"/>
              </w:rPr>
            </w:pPr>
            <w:r>
              <w:rPr>
                <w:rFonts w:ascii="Arial" w:cs="Arial" w:eastAsia="Arial" w:hAnsi="Arial"/>
                <w:sz w:val="18"/>
                <w:szCs w:val="18"/>
                <w:color w:val="auto"/>
              </w:rPr>
              <w:t>(46,462)</w:t>
            </w:r>
          </w:p>
        </w:tc>
        <w:tc>
          <w:tcPr>
            <w:tcW w:w="1200" w:type="dxa"/>
            <w:vAlign w:val="bottom"/>
          </w:tcPr>
          <w:p>
            <w:pPr>
              <w:spacing w:after="0"/>
              <w:rPr>
                <w:sz w:val="15"/>
                <w:szCs w:val="15"/>
                <w:color w:val="auto"/>
              </w:rPr>
            </w:pPr>
          </w:p>
        </w:tc>
        <w:tc>
          <w:tcPr>
            <w:tcW w:w="780" w:type="dxa"/>
            <w:vAlign w:val="bottom"/>
            <w:gridSpan w:val="2"/>
          </w:tcPr>
          <w:p>
            <w:pPr>
              <w:jc w:val="right"/>
              <w:ind w:right="80"/>
              <w:spacing w:after="0" w:line="177" w:lineRule="exact"/>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1"/>
        </w:trPr>
        <w:tc>
          <w:tcPr>
            <w:tcW w:w="3320" w:type="dxa"/>
            <w:vAlign w:val="bottom"/>
          </w:tcPr>
          <w:p>
            <w:pPr>
              <w:spacing w:after="0"/>
              <w:rPr>
                <w:sz w:val="20"/>
                <w:szCs w:val="20"/>
                <w:color w:val="auto"/>
              </w:rPr>
            </w:pPr>
            <w:r>
              <w:rPr>
                <w:rFonts w:ascii="Arial" w:cs="Arial" w:eastAsia="Arial" w:hAnsi="Arial"/>
                <w:sz w:val="18"/>
                <w:szCs w:val="18"/>
                <w:color w:val="auto"/>
              </w:rPr>
              <w:t>State tax, net of federal income tax effect</w:t>
            </w:r>
          </w:p>
        </w:tc>
        <w:tc>
          <w:tcPr>
            <w:tcW w:w="11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Non-taxable or nondeductible items:</w:t>
            </w:r>
          </w:p>
        </w:tc>
        <w:tc>
          <w:tcPr>
            <w:tcW w:w="1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line="202" w:lineRule="exact"/>
              <w:rPr>
                <w:sz w:val="20"/>
                <w:szCs w:val="20"/>
                <w:color w:val="auto"/>
              </w:rPr>
            </w:pPr>
            <w:r>
              <w:rPr>
                <w:rFonts w:ascii="Arial" w:cs="Arial" w:eastAsia="Arial" w:hAnsi="Arial"/>
                <w:sz w:val="18"/>
                <w:szCs w:val="18"/>
                <w:color w:val="auto"/>
              </w:rPr>
              <w:t>Permanent items</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3,121</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3,459</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40,994</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 credits</w:t>
            </w:r>
          </w:p>
        </w:tc>
        <w:tc>
          <w:tcPr>
            <w:tcW w:w="1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line="202" w:lineRule="exact"/>
              <w:rPr>
                <w:sz w:val="20"/>
                <w:szCs w:val="20"/>
                <w:color w:val="auto"/>
              </w:rPr>
            </w:pPr>
            <w:r>
              <w:rPr>
                <w:rFonts w:ascii="Arial" w:cs="Arial" w:eastAsia="Arial" w:hAnsi="Arial"/>
                <w:sz w:val="18"/>
                <w:szCs w:val="18"/>
                <w:color w:val="auto"/>
                <w:w w:val="99"/>
              </w:rPr>
              <w:t>Federal research and development credit</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(1,391)</w:t>
            </w:r>
          </w:p>
        </w:tc>
        <w:tc>
          <w:tcPr>
            <w:tcW w:w="120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Changes in unrecognized tax benefits</w:t>
            </w:r>
          </w:p>
        </w:tc>
        <w:tc>
          <w:tcPr>
            <w:tcW w:w="1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33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tcPr>
          <w:p>
            <w:pPr>
              <w:spacing w:after="0" w:line="196" w:lineRule="exact"/>
              <w:rPr>
                <w:sz w:val="20"/>
                <w:szCs w:val="20"/>
                <w:color w:val="auto"/>
              </w:rPr>
            </w:pPr>
            <w:r>
              <w:rPr>
                <w:rFonts w:ascii="Arial" w:cs="Arial" w:eastAsia="Arial" w:hAnsi="Arial"/>
                <w:sz w:val="18"/>
                <w:szCs w:val="18"/>
                <w:color w:val="auto"/>
              </w:rPr>
              <w:t>Provision (benefit) for income taxes</w:t>
            </w:r>
          </w:p>
        </w:tc>
        <w:tc>
          <w:tcPr>
            <w:tcW w:w="11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-1319530</wp:posOffset>
            </wp:positionV>
            <wp:extent cx="5349240"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349240" cy="12890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-162560</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-162560</wp:posOffset>
            </wp:positionV>
            <wp:extent cx="1543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46" w:lineRule="exact"/>
        <w:rPr>
          <w:sz w:val="20"/>
          <w:szCs w:val="20"/>
          <w:color w:val="auto"/>
        </w:rPr>
      </w:pPr>
    </w:p>
    <w:p>
      <w:pPr>
        <w:ind w:right="100" w:firstLine="517"/>
        <w:spacing w:after="0" w:line="285" w:lineRule="auto"/>
        <w:tabs>
          <w:tab w:leader="none" w:pos="725" w:val="left"/>
        </w:tabs>
        <w:numPr>
          <w:ilvl w:val="0"/>
          <w:numId w:val="54"/>
        </w:numPr>
        <w:rPr>
          <w:rFonts w:ascii="Arial" w:cs="Arial" w:eastAsia="Arial" w:hAnsi="Arial"/>
          <w:sz w:val="14"/>
          <w:szCs w:val="14"/>
          <w:color w:val="231F20"/>
        </w:rPr>
      </w:pPr>
      <w:r>
        <w:rPr>
          <w:rFonts w:ascii="Arial" w:cs="Arial" w:eastAsia="Arial" w:hAnsi="Arial"/>
          <w:sz w:val="14"/>
          <w:szCs w:val="14"/>
          <w:color w:val="231F20"/>
        </w:rPr>
        <w:t>The states that contributed to the majority (greater than 50%) of the tax effect in this category are Arizona, California, Massachusetts, New York, and Tennessee for the year ended December 31, 2025.</w:t>
      </w:r>
    </w:p>
    <w:p>
      <w:pPr>
        <w:spacing w:after="0" w:line="108"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231F20"/>
        </w:rPr>
        <w:t>A reconciliation between the provision for income taxes and income taxes computed using the U.S. federal statutory corporate tax rate for the year ended December 31, 2024 is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4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Year Ended December 31, 2024</w:t>
            </w:r>
          </w:p>
        </w:tc>
        <w:tc>
          <w:tcPr>
            <w:tcW w:w="1400" w:type="dxa"/>
            <w:vAlign w:val="bottom"/>
          </w:tcPr>
          <w:p>
            <w:pPr>
              <w:spacing w:after="0"/>
              <w:rPr>
                <w:sz w:val="19"/>
                <w:szCs w:val="19"/>
                <w:color w:val="auto"/>
              </w:rPr>
            </w:pPr>
          </w:p>
        </w:tc>
      </w:tr>
      <w:tr>
        <w:trPr>
          <w:trHeight w:val="196"/>
        </w:trPr>
        <w:tc>
          <w:tcPr>
            <w:tcW w:w="1420" w:type="dxa"/>
            <w:vAlign w:val="bottom"/>
          </w:tcPr>
          <w:p>
            <w:pPr>
              <w:spacing w:after="0"/>
              <w:rPr>
                <w:sz w:val="17"/>
                <w:szCs w:val="17"/>
                <w:color w:val="auto"/>
              </w:rPr>
            </w:pPr>
          </w:p>
        </w:tc>
        <w:tc>
          <w:tcPr>
            <w:tcW w:w="3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taxes computed at the statutory rate</w:t>
            </w:r>
          </w:p>
        </w:tc>
        <w:tc>
          <w:tcPr>
            <w:tcW w:w="110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(70,209)</w:t>
            </w:r>
          </w:p>
        </w:tc>
        <w:tc>
          <w:tcPr>
            <w:tcW w:w="19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21.00%</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(10,540)</w:t>
            </w:r>
          </w:p>
        </w:tc>
        <w:tc>
          <w:tcPr>
            <w:tcW w:w="1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3.15%</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Permanent items</w:t>
            </w: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3,332</w:t>
            </w:r>
          </w:p>
        </w:tc>
        <w:tc>
          <w:tcPr>
            <w:tcW w:w="1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Officers' compensation</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1,637</w:t>
            </w:r>
          </w:p>
        </w:tc>
        <w:tc>
          <w:tcPr>
            <w:tcW w:w="1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(0.49%)</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 credit</w:t>
            </w: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(1,739)</w:t>
            </w:r>
          </w:p>
        </w:tc>
        <w:tc>
          <w:tcPr>
            <w:tcW w:w="1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0.52%</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Change in state rate</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(1,921)</w:t>
            </w:r>
          </w:p>
        </w:tc>
        <w:tc>
          <w:tcPr>
            <w:tcW w:w="1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0.57%</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79,427</w:t>
            </w:r>
          </w:p>
        </w:tc>
        <w:tc>
          <w:tcPr>
            <w:tcW w:w="1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(23.76%)</w:t>
            </w:r>
          </w:p>
        </w:tc>
        <w:tc>
          <w:tcPr>
            <w:tcW w:w="1400" w:type="dxa"/>
            <w:vAlign w:val="bottom"/>
          </w:tcPr>
          <w:p>
            <w:pPr>
              <w:spacing w:after="0"/>
              <w:rPr>
                <w:sz w:val="17"/>
                <w:szCs w:val="17"/>
                <w:color w:val="auto"/>
              </w:rPr>
            </w:pPr>
          </w:p>
        </w:tc>
      </w:tr>
      <w:tr>
        <w:trPr>
          <w:trHeight w:val="202"/>
        </w:trPr>
        <w:tc>
          <w:tcPr>
            <w:tcW w:w="14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140" w:type="dxa"/>
            <w:vAlign w:val="bottom"/>
          </w:tcPr>
          <w:p>
            <w:pPr>
              <w:spacing w:after="0"/>
              <w:rPr>
                <w:sz w:val="17"/>
                <w:szCs w:val="17"/>
                <w:color w:val="auto"/>
              </w:rPr>
            </w:pPr>
          </w:p>
        </w:tc>
        <w:tc>
          <w:tcPr>
            <w:tcW w:w="18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7"/>
                <w:szCs w:val="17"/>
                <w:color w:val="auto"/>
              </w:rPr>
            </w:pPr>
          </w:p>
        </w:tc>
      </w:tr>
      <w:tr>
        <w:trPr>
          <w:trHeight w:val="236"/>
        </w:trPr>
        <w:tc>
          <w:tcPr>
            <w:tcW w:w="1420" w:type="dxa"/>
            <w:vAlign w:val="bottom"/>
          </w:tcPr>
          <w:p>
            <w:pPr>
              <w:spacing w:after="0"/>
              <w:rPr>
                <w:sz w:val="20"/>
                <w:szCs w:val="20"/>
                <w:color w:val="auto"/>
              </w:rPr>
            </w:pPr>
          </w:p>
        </w:tc>
        <w:tc>
          <w:tcPr>
            <w:tcW w:w="3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Provision (benefit) for income taxes</w:t>
            </w:r>
          </w:p>
        </w:tc>
        <w:tc>
          <w:tcPr>
            <w:tcW w:w="8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w:t>
            </w:r>
          </w:p>
        </w:tc>
        <w:tc>
          <w:tcPr>
            <w:tcW w:w="1400" w:type="dxa"/>
            <w:vAlign w:val="bottom"/>
          </w:tcPr>
          <w:p>
            <w:pPr>
              <w:spacing w:after="0"/>
              <w:rPr>
                <w:sz w:val="20"/>
                <w:szCs w:val="20"/>
                <w:color w:val="auto"/>
              </w:rPr>
            </w:pPr>
          </w:p>
        </w:tc>
      </w:tr>
      <w:tr>
        <w:trPr>
          <w:trHeight w:val="629"/>
        </w:trPr>
        <w:tc>
          <w:tcPr>
            <w:tcW w:w="14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F-28</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979"/>
        </w:trPr>
        <w:tc>
          <w:tcPr>
            <w:tcW w:w="14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-1071245</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-1053465</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4" w:name="page125"/>
    <w:bookmarkEnd w:id="124"/>
    <w:p>
      <w:pPr>
        <w:ind w:left="520"/>
        <w:spacing w:after="0"/>
        <w:rPr>
          <w:sz w:val="20"/>
          <w:szCs w:val="20"/>
          <w:color w:val="auto"/>
        </w:rPr>
      </w:pPr>
      <w:r>
        <w:rPr>
          <w:rFonts w:ascii="Arial" w:cs="Arial" w:eastAsia="Arial" w:hAnsi="Arial"/>
          <w:sz w:val="18"/>
          <w:szCs w:val="18"/>
          <w:color w:val="231F20"/>
        </w:rPr>
        <w:t>Significant components of the Company’s net deferred tax assets are as follows (in thousands):</w:t>
      </w:r>
    </w:p>
    <w:p>
      <w:pPr>
        <w:spacing w:after="0" w:line="194"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Years Ended</w:t>
            </w:r>
          </w:p>
        </w:tc>
        <w:tc>
          <w:tcPr>
            <w:tcW w:w="1340" w:type="dxa"/>
            <w:vAlign w:val="bottom"/>
          </w:tcPr>
          <w:p>
            <w:pPr>
              <w:spacing w:after="0"/>
              <w:rPr>
                <w:sz w:val="17"/>
                <w:szCs w:val="17"/>
                <w:color w:val="auto"/>
              </w:rPr>
            </w:pPr>
          </w:p>
        </w:tc>
      </w:tr>
      <w:tr>
        <w:trPr>
          <w:trHeight w:val="221"/>
        </w:trPr>
        <w:tc>
          <w:tcPr>
            <w:tcW w:w="44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tcBorders>
              <w:bottom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44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1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4420" w:type="dxa"/>
            <w:vAlign w:val="bottom"/>
          </w:tcPr>
          <w:p>
            <w:pPr>
              <w:ind w:left="80"/>
              <w:spacing w:after="0" w:line="202" w:lineRule="exact"/>
              <w:rPr>
                <w:sz w:val="20"/>
                <w:szCs w:val="20"/>
                <w:color w:val="auto"/>
              </w:rPr>
            </w:pPr>
            <w:r>
              <w:rPr>
                <w:rFonts w:ascii="Arial" w:cs="Arial" w:eastAsia="Arial" w:hAnsi="Arial"/>
                <w:sz w:val="18"/>
                <w:szCs w:val="18"/>
                <w:color w:val="auto"/>
              </w:rPr>
              <w:t>Net operating loss carryforwards</w:t>
            </w:r>
          </w:p>
        </w:tc>
        <w:tc>
          <w:tcPr>
            <w:tcW w:w="1140" w:type="dxa"/>
            <w:vAlign w:val="bottom"/>
          </w:tcPr>
          <w:p>
            <w:pPr>
              <w:jc w:val="right"/>
              <w:ind w:right="9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240,652</w:t>
            </w:r>
          </w:p>
        </w:tc>
        <w:tc>
          <w:tcPr>
            <w:tcW w:w="72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195,225</w:t>
            </w:r>
          </w:p>
        </w:tc>
      </w:tr>
      <w:tr>
        <w:trPr>
          <w:trHeight w:val="203"/>
        </w:trPr>
        <w:tc>
          <w:tcPr>
            <w:tcW w:w="44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Research credits</w:t>
            </w:r>
          </w:p>
        </w:tc>
        <w:tc>
          <w:tcPr>
            <w:tcW w:w="1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14,491</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13,554</w:t>
            </w:r>
          </w:p>
        </w:tc>
      </w:tr>
      <w:tr>
        <w:trPr>
          <w:trHeight w:val="203"/>
        </w:trPr>
        <w:tc>
          <w:tcPr>
            <w:tcW w:w="4420" w:type="dxa"/>
            <w:vAlign w:val="bottom"/>
          </w:tcPr>
          <w:p>
            <w:pPr>
              <w:ind w:left="80"/>
              <w:spacing w:after="0" w:line="202" w:lineRule="exact"/>
              <w:rPr>
                <w:sz w:val="20"/>
                <w:szCs w:val="20"/>
                <w:color w:val="auto"/>
              </w:rPr>
            </w:pPr>
            <w:r>
              <w:rPr>
                <w:rFonts w:ascii="Arial" w:cs="Arial" w:eastAsia="Arial" w:hAnsi="Arial"/>
                <w:sz w:val="18"/>
                <w:szCs w:val="18"/>
                <w:color w:val="auto"/>
              </w:rPr>
              <w:t>Intangible assets</w:t>
            </w:r>
          </w:p>
        </w:tc>
        <w:tc>
          <w:tcPr>
            <w:tcW w:w="114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33,802</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34,749</w:t>
            </w:r>
          </w:p>
        </w:tc>
      </w:tr>
      <w:tr>
        <w:trPr>
          <w:trHeight w:val="203"/>
        </w:trPr>
        <w:tc>
          <w:tcPr>
            <w:tcW w:w="442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17,333</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11,964</w:t>
            </w:r>
          </w:p>
        </w:tc>
      </w:tr>
      <w:tr>
        <w:trPr>
          <w:trHeight w:val="196"/>
        </w:trPr>
        <w:tc>
          <w:tcPr>
            <w:tcW w:w="4420" w:type="dxa"/>
            <w:vAlign w:val="bottom"/>
          </w:tcPr>
          <w:p>
            <w:pPr>
              <w:spacing w:after="0" w:line="196" w:lineRule="exact"/>
              <w:rPr>
                <w:sz w:val="20"/>
                <w:szCs w:val="20"/>
                <w:color w:val="auto"/>
              </w:rPr>
            </w:pPr>
            <w:r>
              <w:rPr>
                <w:rFonts w:ascii="Arial" w:cs="Arial" w:eastAsia="Arial" w:hAnsi="Arial"/>
                <w:sz w:val="18"/>
                <w:szCs w:val="18"/>
                <w:color w:val="auto"/>
              </w:rPr>
              <w:t>Gross deferred tax assets</w:t>
            </w:r>
          </w:p>
        </w:tc>
        <w:tc>
          <w:tcPr>
            <w:tcW w:w="1140" w:type="dxa"/>
            <w:vAlign w:val="bottom"/>
          </w:tcPr>
          <w:p>
            <w:pPr>
              <w:spacing w:after="0"/>
              <w:rPr>
                <w:sz w:val="17"/>
                <w:szCs w:val="17"/>
                <w:color w:val="auto"/>
              </w:rPr>
            </w:pPr>
          </w:p>
        </w:tc>
        <w:tc>
          <w:tcPr>
            <w:tcW w:w="8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306,278</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255,492</w:t>
            </w:r>
          </w:p>
        </w:tc>
      </w:tr>
      <w:tr>
        <w:trPr>
          <w:trHeight w:val="203"/>
        </w:trPr>
        <w:tc>
          <w:tcPr>
            <w:tcW w:w="44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valuation allowance</w:t>
            </w:r>
          </w:p>
        </w:tc>
        <w:tc>
          <w:tcPr>
            <w:tcW w:w="11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(305,623)</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(255,342)</w:t>
            </w:r>
          </w:p>
        </w:tc>
      </w:tr>
      <w:tr>
        <w:trPr>
          <w:trHeight w:val="196"/>
        </w:trPr>
        <w:tc>
          <w:tcPr>
            <w:tcW w:w="4420" w:type="dxa"/>
            <w:vAlign w:val="bottom"/>
          </w:tcPr>
          <w:p>
            <w:pPr>
              <w:spacing w:after="0" w:line="196" w:lineRule="exact"/>
              <w:rPr>
                <w:sz w:val="20"/>
                <w:szCs w:val="20"/>
                <w:color w:val="auto"/>
              </w:rPr>
            </w:pPr>
            <w:r>
              <w:rPr>
                <w:rFonts w:ascii="Arial" w:cs="Arial" w:eastAsia="Arial" w:hAnsi="Arial"/>
                <w:sz w:val="18"/>
                <w:szCs w:val="18"/>
                <w:color w:val="auto"/>
              </w:rPr>
              <w:t>Deferred tax assets, net of valuation allowance</w:t>
            </w:r>
          </w:p>
        </w:tc>
        <w:tc>
          <w:tcPr>
            <w:tcW w:w="1140" w:type="dxa"/>
            <w:vAlign w:val="bottom"/>
          </w:tcPr>
          <w:p>
            <w:pPr>
              <w:spacing w:after="0"/>
              <w:rPr>
                <w:sz w:val="17"/>
                <w:szCs w:val="17"/>
                <w:color w:val="auto"/>
              </w:rPr>
            </w:pPr>
          </w:p>
        </w:tc>
        <w:tc>
          <w:tcPr>
            <w:tcW w:w="8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655</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203"/>
        </w:trPr>
        <w:tc>
          <w:tcPr>
            <w:tcW w:w="4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liabilities:</w:t>
            </w:r>
          </w:p>
        </w:tc>
        <w:tc>
          <w:tcPr>
            <w:tcW w:w="1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4420" w:type="dxa"/>
            <w:vAlign w:val="bottom"/>
          </w:tcPr>
          <w:p>
            <w:pPr>
              <w:ind w:left="80"/>
              <w:spacing w:after="0" w:line="202" w:lineRule="exact"/>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(655)</w:t>
            </w: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w:t>
            </w:r>
          </w:p>
        </w:tc>
      </w:tr>
      <w:tr>
        <w:trPr>
          <w:trHeight w:val="236"/>
        </w:trPr>
        <w:tc>
          <w:tcPr>
            <w:tcW w:w="44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deferred tax assets</w:t>
            </w:r>
          </w:p>
        </w:tc>
        <w:tc>
          <w:tcPr>
            <w:tcW w:w="1140" w:type="dxa"/>
            <w:vAlign w:val="bottom"/>
            <w:tcBorders>
              <w:bottom w:val="single" w:sz="8" w:color="auto"/>
            </w:tcBorders>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-822325</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-556895</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85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0"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231F20"/>
        </w:rPr>
        <w:t>Based upon the Company’s history of operating losses, the Company is unable to conclude that it is more likely than not that the benefit of its deferred tax assets will be realized. Accordingly, the Company has provided a full valuation allowance for its deferred tax assets as of December 31, 2025 and 2024.</w:t>
      </w:r>
    </w:p>
    <w:p>
      <w:pPr>
        <w:spacing w:after="0" w:line="12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231F20"/>
        </w:rPr>
        <w:t>On July 4, 2025, the One Big Beautiful Bill Act, or OBBBA, was enacted into law. The new tax law contains several key provisions affecting corporations including but are not limited to expensing of domestic specified research or experimental expenditures and one hundred percent bonus depreciation on eligible property after January 19, 2025. In accordance with Accounting Standards Codification (ASC) 740, Income Taxes, the Company is required to recognize the effect of the tax law changes in the period of enactment, such as remeasuring the estimated U.S. deferred tax assets and liabilities. Because of a full valuation allowance, there is no net impact to deferred tax assets and liabilities for the year ended December 31, 2025. The Company will continue to apply OBBBA tax law changes as required or elected in future years.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As of December 31, 2025 and 2024, the Company had federal net operating loss carryforwards of approximately $1.0 billion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$863.2 million, respectively, which are carried over indefinitely. As of December 31, 2025, the Company had approximately $387.1 million of</w:t>
      </w:r>
    </w:p>
    <w:p>
      <w:pPr>
        <w:spacing w:after="0" w:line="234" w:lineRule="auto"/>
        <w:rPr>
          <w:sz w:val="20"/>
          <w:szCs w:val="20"/>
          <w:color w:val="auto"/>
        </w:rPr>
      </w:pPr>
      <w:r>
        <w:rPr>
          <w:rFonts w:ascii="Arial" w:cs="Arial" w:eastAsia="Arial" w:hAnsi="Arial"/>
          <w:sz w:val="18"/>
          <w:szCs w:val="18"/>
          <w:color w:val="231F20"/>
        </w:rPr>
        <w:t>state net operating loss carryforwards that begins to expire in 2033. As of December 31, 2025, the Company has available federal research</w:t>
      </w:r>
    </w:p>
    <w:p>
      <w:pPr>
        <w:spacing w:after="0" w:line="235" w:lineRule="auto"/>
        <w:rPr>
          <w:sz w:val="20"/>
          <w:szCs w:val="20"/>
          <w:color w:val="auto"/>
        </w:rPr>
      </w:pPr>
      <w:r>
        <w:rPr>
          <w:rFonts w:ascii="Arial" w:cs="Arial" w:eastAsia="Arial" w:hAnsi="Arial"/>
          <w:sz w:val="18"/>
          <w:szCs w:val="18"/>
          <w:color w:val="231F20"/>
        </w:rPr>
        <w:t>and development credits of $17.2 million which begin to expire in 2038. The Company has $1.2 million of state research and development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31F20"/>
        </w:rPr>
        <w:t>credits, some of which, begin to expire in 2026.</w:t>
      </w:r>
    </w:p>
    <w:p>
      <w:pPr>
        <w:spacing w:after="0" w:line="16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231F20"/>
        </w:rPr>
        <w:t>The Company has not completed a formal analysis of the potential impact of Section 382 on its deferred tax assets as of December 31, 2025. Until this analysis has been completed, the Company has not adjusted any of its deferred tax assets, including net operating losses or research and development credits. The Company will reassess the amount of net operating losses and credits subject to limitation under Section 382 when a study is complete. Due to the existence of the valuation allowance, future changes in the deferred tax assets related to these tax attributes will not impact the Company’s effective tax rate.</w:t>
      </w:r>
    </w:p>
    <w:p>
      <w:pPr>
        <w:spacing w:after="0" w:line="136"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231F20"/>
        </w:rPr>
        <w:t>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that it has appropriate support for the positions taken on its tax returns, the Company regularly assesses the potential outcome of examinations by tax authorities in determining the adequacy of its provision for income taxes.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25" w:name="page126"/>
    <w:bookmarkEnd w:id="125"/>
    <w:p>
      <w:pPr>
        <w:ind w:left="520"/>
        <w:spacing w:after="0"/>
        <w:rPr>
          <w:sz w:val="20"/>
          <w:szCs w:val="20"/>
          <w:color w:val="auto"/>
        </w:rPr>
      </w:pPr>
      <w:r>
        <w:rPr>
          <w:rFonts w:ascii="Arial" w:cs="Arial" w:eastAsia="Arial" w:hAnsi="Arial"/>
          <w:sz w:val="18"/>
          <w:szCs w:val="18"/>
          <w:color w:val="231F20"/>
        </w:rPr>
        <w:t>The following table summarizes the activity related to the Company's gross unrecognized tax benefits (in thousands):</w:t>
      </w:r>
    </w:p>
    <w:p>
      <w:pPr>
        <w:spacing w:after="0" w:line="194"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Years Ended</w:t>
            </w:r>
          </w:p>
        </w:tc>
      </w:tr>
      <w:tr>
        <w:trPr>
          <w:trHeight w:val="221"/>
        </w:trPr>
        <w:tc>
          <w:tcPr>
            <w:tcW w:w="5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58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3,452</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3,010</w:t>
            </w: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Decreases related to prior year tax positions</w:t>
            </w: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287</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442</w:t>
            </w: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Ending balance</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3,675</w:t>
            </w:r>
          </w:p>
        </w:tc>
        <w:tc>
          <w:tcPr>
            <w:tcW w:w="3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3,452</w:t>
            </w:r>
          </w:p>
        </w:tc>
      </w:tr>
      <w:tr>
        <w:trPr>
          <w:trHeight w:val="20"/>
        </w:trPr>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-161925</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231F20"/>
        </w:rPr>
        <w:t>As of December 31, 2025 and 2024, the Company has gross unrecognized tax benefits of $3.7 million and $3.5 million, respectively, none of which would affect the effective tax rate due to a full valuation allowance. The Company's policy is to recognize the interest expense and/or penalties related to income tax matters as a component of income tax expense. The Company has no accrual for interest or penalties on its balance sheet as of December 31, 2025 and 2024, and has not recognized interest and/or penalties in its statement of operations for the years ended December 31, 2025 and 2024.</w:t>
      </w:r>
    </w:p>
    <w:p>
      <w:pPr>
        <w:spacing w:after="0" w:line="136"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231F20"/>
        </w:rPr>
        <w:t>The Company is subject to taxation in the United States and various states. The Company is not currently under examination by any taxing authorities. Due to the carryover of tax attributes, the statute of limitations is currently open for tax years since inception.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8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Company's chief operating decision maker, or CODM, the Chief Executive Officer, manages the Company’s business activities as a single reportable segment. The segment derives its current revenues from the sale of VOQUEZNA products. Accordingly, the CODM uses net loss to measure segment profit or loss, allocate resources and assess performance. Further, the CODM reviews and utilizes functional expenses (research and development, general and administrative, sales and marketing and stock-based compensation) to manage the Company’s operations. Other segment items included in net loss are interest income, interest expense and other expense, which are reflected in the statements of operations and comprehensive loss. The measure of segment assets is reported on the balance sheets as total assets.</w:t>
      </w:r>
    </w:p>
    <w:p>
      <w:pPr>
        <w:spacing w:after="0" w:line="144"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following table presents selected financial information with respect to the Company’s single operating segment for the years ended December 31, 2025 and 2024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Years Ended</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1"/>
        </w:trPr>
        <w:tc>
          <w:tcPr>
            <w:tcW w:w="14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96"/>
        </w:trPr>
        <w:tc>
          <w:tcPr>
            <w:tcW w:w="14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3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260" w:type="dxa"/>
            <w:vAlign w:val="bottom"/>
            <w:gridSpan w:val="2"/>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175,110</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55,252</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22,599</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7,973</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25,916</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28,515</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2"/>
        </w:trPr>
        <w:tc>
          <w:tcPr>
            <w:tcW w:w="1420" w:type="dxa"/>
            <w:vAlign w:val="bottom"/>
          </w:tcPr>
          <w:p>
            <w:pPr>
              <w:spacing w:after="0"/>
              <w:rPr>
                <w:sz w:val="17"/>
                <w:szCs w:val="17"/>
                <w:color w:val="auto"/>
              </w:rPr>
            </w:pPr>
          </w:p>
        </w:tc>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35,329</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28,192</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222,533</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243,992</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28,719</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24,047</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(7,044)</w:t>
            </w:r>
          </w:p>
        </w:tc>
        <w:tc>
          <w:tcPr>
            <w:tcW w:w="60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(15,158)</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68,115</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72,009</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10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w:t>
            </w:r>
          </w:p>
        </w:tc>
        <w:tc>
          <w:tcPr>
            <w:tcW w:w="2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1420" w:type="dxa"/>
            <w:vAlign w:val="bottom"/>
          </w:tcPr>
          <w:p>
            <w:pPr>
              <w:spacing w:after="0"/>
              <w:rPr>
                <w:sz w:val="18"/>
                <w:szCs w:val="18"/>
                <w:color w:val="auto"/>
              </w:rPr>
            </w:pPr>
          </w:p>
        </w:tc>
        <w:tc>
          <w:tcPr>
            <w:tcW w:w="3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Segment net loss</w:t>
            </w:r>
          </w:p>
        </w:tc>
        <w:tc>
          <w:tcPr>
            <w:tcW w:w="2260" w:type="dxa"/>
            <w:vAlign w:val="bottom"/>
            <w:gridSpan w:val="2"/>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(221,247)</w:t>
            </w:r>
          </w:p>
        </w:tc>
        <w:tc>
          <w:tcPr>
            <w:tcW w:w="600" w:type="dxa"/>
            <w:vAlign w:val="bottom"/>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(334,326)</w:t>
            </w:r>
          </w:p>
        </w:tc>
        <w:tc>
          <w:tcPr>
            <w:tcW w:w="140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628"/>
        </w:trPr>
        <w:tc>
          <w:tcPr>
            <w:tcW w:w="1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6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F-30</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979"/>
        </w:trPr>
        <w:tc>
          <w:tcPr>
            <w:tcW w:w="14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-1070610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-1054100</wp:posOffset>
            </wp:positionV>
            <wp:extent cx="514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-1070610</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-1054100</wp:posOffset>
            </wp:positionV>
            <wp:extent cx="514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11. Restructuring</w:t>
      </w:r>
    </w:p>
    <w:p>
      <w:pPr>
        <w:spacing w:after="0" w:line="185"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In May 2025, the Company implemented a cost reduction and organizational restructuring plan to reduce cash burn and focus resources on commercial execution. In connection with the restructuring, the Company's workforce was reduced by 26 employees, or approximately 6%, including certain leadership changes all designed to right-size the organization. During the year ended December 31, 2025, total restructuring charges incurred were $9.2 million consisting of one-time termination benefits to affected employees for severance, non-cash stock-based compensation costs, healthcare benefits and outplacement assistance. The costs are included in research and development and selling, general, and administrative expenses on the Company’s statements of operations and comprehensive loss for the year ended December 31, 2025.</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activity related to the restructuring accrual during the year ended December 31, 2025 (in thousands):</w:t>
      </w:r>
    </w:p>
    <w:p>
      <w:pPr>
        <w:spacing w:after="0" w:line="171" w:lineRule="exact"/>
        <w:rPr>
          <w:sz w:val="20"/>
          <w:szCs w:val="20"/>
          <w:color w:val="auto"/>
        </w:rPr>
      </w:pPr>
    </w:p>
    <w:tbl>
      <w:tblPr>
        <w:tblLayout w:type="fixed"/>
        <w:tblInd w:w="1420" w:type="dxa"/>
        <w:tblCellMar>
          <w:top w:w="0" w:type="dxa"/>
          <w:left w:w="0" w:type="dxa"/>
          <w:bottom w:w="0" w:type="dxa"/>
          <w:right w:w="0" w:type="dxa"/>
        </w:tblCellMar>
      </w:tblPr>
      <w:tr>
        <w:trPr>
          <w:trHeight w:val="221"/>
        </w:trPr>
        <w:tc>
          <w:tcPr>
            <w:tcW w:w="5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Total</w:t>
            </w:r>
          </w:p>
        </w:tc>
      </w:tr>
      <w:tr>
        <w:trPr>
          <w:trHeight w:val="196"/>
        </w:trPr>
        <w:tc>
          <w:tcPr>
            <w:tcW w:w="5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Restructuring expenses incurred</w:t>
            </w:r>
          </w:p>
        </w:tc>
        <w:tc>
          <w:tcPr>
            <w:tcW w:w="520" w:type="dxa"/>
            <w:vAlign w:val="bottom"/>
            <w:tcBorders>
              <w:top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9,214</w:t>
            </w:r>
          </w:p>
        </w:tc>
        <w:tc>
          <w:tcPr>
            <w:tcW w:w="80" w:type="dxa"/>
            <w:vAlign w:val="bottom"/>
            <w:shd w:val="clear" w:color="auto" w:fill="CFF0FC"/>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Cash paid</w:t>
            </w:r>
          </w:p>
        </w:tc>
        <w:tc>
          <w:tcPr>
            <w:tcW w:w="520" w:type="dxa"/>
            <w:vAlign w:val="bottom"/>
          </w:tcPr>
          <w:p>
            <w:pPr>
              <w:spacing w:after="0"/>
              <w:rPr>
                <w:sz w:val="17"/>
                <w:szCs w:val="17"/>
                <w:color w:val="auto"/>
              </w:rPr>
            </w:pPr>
          </w:p>
        </w:tc>
        <w:tc>
          <w:tcPr>
            <w:tcW w:w="1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(4,125)</w:t>
            </w:r>
          </w:p>
        </w:tc>
      </w:tr>
      <w:tr>
        <w:trPr>
          <w:trHeight w:val="203"/>
        </w:trPr>
        <w:tc>
          <w:tcPr>
            <w:tcW w:w="5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Non-cash expenses</w:t>
            </w:r>
          </w:p>
        </w:tc>
        <w:tc>
          <w:tcPr>
            <w:tcW w:w="52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(4,597)</w:t>
            </w:r>
          </w:p>
        </w:tc>
      </w:tr>
      <w:tr>
        <w:trPr>
          <w:trHeight w:val="196"/>
        </w:trPr>
        <w:tc>
          <w:tcPr>
            <w:tcW w:w="59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as of December 31, 2025</w:t>
            </w:r>
          </w:p>
        </w:tc>
        <w:tc>
          <w:tcPr>
            <w:tcW w:w="52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492</w:t>
            </w:r>
          </w:p>
        </w:tc>
        <w:tc>
          <w:tcPr>
            <w:tcW w:w="80" w:type="dxa"/>
            <w:vAlign w:val="bottom"/>
            <w:tcBorders>
              <w:top w:val="single" w:sz="8" w:color="CFF0FC"/>
            </w:tcBorders>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-162560</wp:posOffset>
            </wp:positionV>
            <wp:extent cx="51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71"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In January 2026, the Company sold 6,875,000 shares of common stock at a price of $16.00 per share and pre-funded warrants to purchase 1,250,078 shares of common stock at a price of $15.999 per pre-funded warrant, which represents the per share price for the common stock less the $0.001 per share exercise price for each such pre-funded warrant. The Company received gross proceeds of $130 million, before deducting underwriting discounts and commissions. The net purchase price after deducting the underwriting discounts and commissions and other offering expenses, was $15.04 per share or net proceeds of $122.2 million.</w:t>
      </w:r>
    </w:p>
    <w:p>
      <w:pPr>
        <w:spacing w:after="0" w:line="136"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On February 25, 2026, or the Fifth Amendment Closing Date, the Company entered into the Fifth Amendment to the Loan and Security Agreement, or the Fifth Loan Amendment, with the lenders, which, among other things, (i) provides for a new term loan tranche of $175 million, the proceeds of which, along with cash on our balance sheet, were used to repay in full the existing secured obligations outstanding under the Loan Agreement, including principal, capitalized payment-in-kind interest, existing final fee payments, and any applicable prepayment fees, (ii) provides for an additional loan tranche of up to $25 million which shall be available to the Company in the lenders’ discretion, (iii) extends the maturity date from December 1, 2027 to February 1, 2029, subject to further extension to December 1, 2030 upon the achievement of a specified revenue milestone and subject to a certain pro forma liquidity test; (iv) extends the interest only period from October 2026 to December 2027, thereafter, monthly payment of interest and 2.5% of the original principal amount advanced through the maturity date, with any remaining payments to be repaid in full on the maturity date, (v) changes the cash interest rate to 9.85% (floating rate based on the greater of (a) US WSJ Prime + 3.10% or (b) 9.85%, (vi) eliminates the payment-in-kind interest rate of 2.15% per annum, (vii) amends the prepayment charge, which is a percentage of the principal amount actually advanced under the Term Loans under the Fifth Loan Amendment, or each a Term Loan Advance and together, the Term Loan Advances, as follows: (a) if the Term Loan Advances are prepaid after the Fifth Amendment Closing Date but prior to the twelfth month anniversary of the Fifth Amendment Closing Date, 2.50%; (b) if the Term Loan Advances are prepaid on or after the twelfth month anniversary of the Fifth Amendment Closing Date but prior to the twenty-fourth month anniversary of the Fifth Amendment Closing Date, 2.00%; (c) if the Term Loan Advances are prepaid on or after the twenty-fourth month anniversary of the Fifth Amendment Closing Date but prior to the thirty-sixth month anniversary of the Fifth Amendment Closing Date, 1.50%; (d) thereafter, 1.00%; and (viii) provides for a new final payment fee which is as a percentage of the Term Loan Advances so prepaid, as follows: (a) if the Term Loan Advances are repaid prior to September 2027, 1.25%; (b) if the Term Loan Advances are repaid after September 1, 2027 but on or prior to February 1, 2029, 2.00%; (c) if the Term Loan Advances are repaid after February 1, 2029 but on or prior to January 1, 2030, 3.00%, and (d) if the Term Loan Advances are repaid after January 1, 2030, 3.50%.</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27" w:name="page128"/>
    <w:bookmarkEnd w:id="127"/>
    <w:p>
      <w:pPr>
        <w:ind w:right="500" w:firstLine="509"/>
        <w:spacing w:after="0" w:line="271" w:lineRule="auto"/>
        <w:rPr>
          <w:sz w:val="20"/>
          <w:szCs w:val="20"/>
          <w:color w:val="auto"/>
        </w:rPr>
      </w:pPr>
      <w:r>
        <w:rPr>
          <w:rFonts w:ascii="Arial" w:cs="Arial" w:eastAsia="Arial" w:hAnsi="Arial"/>
          <w:sz w:val="18"/>
          <w:szCs w:val="18"/>
          <w:color w:val="auto"/>
        </w:rPr>
        <w:t>In addition, the financial covenants under the Fifth Loan Amendment include (i) a minimum cash covenant and (ii) a performance covenant, as follows:</w:t>
      </w:r>
    </w:p>
    <w:p>
      <w:pPr>
        <w:spacing w:after="0" w:line="46" w:lineRule="exact"/>
        <w:rPr>
          <w:sz w:val="20"/>
          <w:szCs w:val="20"/>
          <w:color w:val="auto"/>
        </w:rPr>
      </w:pPr>
    </w:p>
    <w:p>
      <w:pPr>
        <w:ind w:left="1780" w:right="140" w:hanging="515"/>
        <w:spacing w:after="0" w:line="245" w:lineRule="auto"/>
        <w:tabs>
          <w:tab w:leader="none" w:pos="1780" w:val="left"/>
        </w:tabs>
        <w:numPr>
          <w:ilvl w:val="0"/>
          <w:numId w:val="55"/>
        </w:numPr>
        <w:rPr>
          <w:rFonts w:ascii="Calibri" w:cs="Calibri" w:eastAsia="Calibri" w:hAnsi="Calibri"/>
          <w:sz w:val="18"/>
          <w:szCs w:val="18"/>
          <w:color w:val="auto"/>
        </w:rPr>
      </w:pPr>
      <w:r>
        <w:rPr>
          <w:rFonts w:ascii="Arial" w:cs="Arial" w:eastAsia="Arial" w:hAnsi="Arial"/>
          <w:sz w:val="18"/>
          <w:szCs w:val="18"/>
          <w:color w:val="auto"/>
        </w:rPr>
        <w:t>Minimum cash covenant - The Company must maintain a minimum cash balance of 20% of the outstanding principal balance at all times, which will decrease to 15% of the outstanding principal amount upon the Company reporting and maintaining $75 million of trailing three months net product revenue.</w:t>
      </w:r>
    </w:p>
    <w:p>
      <w:pPr>
        <w:spacing w:after="0" w:line="68" w:lineRule="exact"/>
        <w:rPr>
          <w:rFonts w:ascii="Calibri" w:cs="Calibri" w:eastAsia="Calibri" w:hAnsi="Calibri"/>
          <w:sz w:val="18"/>
          <w:szCs w:val="18"/>
          <w:color w:val="auto"/>
        </w:rPr>
      </w:pPr>
    </w:p>
    <w:p>
      <w:pPr>
        <w:ind w:left="1780" w:right="160" w:hanging="515"/>
        <w:spacing w:after="0" w:line="256" w:lineRule="auto"/>
        <w:tabs>
          <w:tab w:leader="none" w:pos="1780" w:val="left"/>
        </w:tabs>
        <w:numPr>
          <w:ilvl w:val="0"/>
          <w:numId w:val="55"/>
        </w:numPr>
        <w:rPr>
          <w:rFonts w:ascii="Calibri" w:cs="Calibri" w:eastAsia="Calibri" w:hAnsi="Calibri"/>
          <w:sz w:val="18"/>
          <w:szCs w:val="18"/>
          <w:color w:val="auto"/>
        </w:rPr>
      </w:pPr>
      <w:r>
        <w:rPr>
          <w:rFonts w:ascii="Arial" w:cs="Arial" w:eastAsia="Arial" w:hAnsi="Arial"/>
          <w:sz w:val="18"/>
          <w:szCs w:val="18"/>
          <w:color w:val="auto"/>
        </w:rPr>
        <w:t>Performance covenant - Beginning on the Fifth Amendment Closing Date and all times there after the Company must satisfy any one of the following:</w:t>
      </w:r>
    </w:p>
    <w:p>
      <w:pPr>
        <w:spacing w:after="0" w:line="57" w:lineRule="exact"/>
        <w:rPr>
          <w:rFonts w:ascii="Calibri" w:cs="Calibri" w:eastAsia="Calibri" w:hAnsi="Calibri"/>
          <w:sz w:val="18"/>
          <w:szCs w:val="18"/>
          <w:color w:val="auto"/>
        </w:rPr>
      </w:pPr>
    </w:p>
    <w:p>
      <w:pPr>
        <w:ind w:left="2280" w:hanging="505"/>
        <w:spacing w:after="0"/>
        <w:tabs>
          <w:tab w:leader="none" w:pos="2280" w:val="left"/>
        </w:tabs>
        <w:numPr>
          <w:ilvl w:val="1"/>
          <w:numId w:val="55"/>
        </w:numPr>
        <w:rPr>
          <w:rFonts w:ascii="Calibri" w:cs="Calibri" w:eastAsia="Calibri" w:hAnsi="Calibri"/>
          <w:sz w:val="18"/>
          <w:szCs w:val="18"/>
          <w:color w:val="auto"/>
        </w:rPr>
      </w:pPr>
      <w:r>
        <w:rPr>
          <w:rFonts w:ascii="Arial" w:cs="Arial" w:eastAsia="Arial" w:hAnsi="Arial"/>
          <w:sz w:val="18"/>
          <w:szCs w:val="18"/>
          <w:color w:val="auto"/>
        </w:rPr>
        <w:t>Market capitalization exceeding $900 million;</w:t>
      </w:r>
    </w:p>
    <w:p>
      <w:pPr>
        <w:spacing w:after="0" w:line="117" w:lineRule="exact"/>
        <w:rPr>
          <w:rFonts w:ascii="Calibri" w:cs="Calibri" w:eastAsia="Calibri" w:hAnsi="Calibri"/>
          <w:sz w:val="18"/>
          <w:szCs w:val="18"/>
          <w:color w:val="auto"/>
        </w:rPr>
      </w:pPr>
    </w:p>
    <w:p>
      <w:pPr>
        <w:ind w:left="2280" w:right="300" w:hanging="505"/>
        <w:spacing w:after="0" w:line="245" w:lineRule="auto"/>
        <w:tabs>
          <w:tab w:leader="none" w:pos="2280" w:val="left"/>
        </w:tabs>
        <w:numPr>
          <w:ilvl w:val="1"/>
          <w:numId w:val="55"/>
        </w:numPr>
        <w:rPr>
          <w:rFonts w:ascii="Calibri" w:cs="Calibri" w:eastAsia="Calibri" w:hAnsi="Calibri"/>
          <w:sz w:val="18"/>
          <w:szCs w:val="18"/>
          <w:color w:val="auto"/>
        </w:rPr>
      </w:pPr>
      <w:r>
        <w:rPr>
          <w:rFonts w:ascii="Arial" w:cs="Arial" w:eastAsia="Arial" w:hAnsi="Arial"/>
          <w:sz w:val="18"/>
          <w:szCs w:val="18"/>
          <w:color w:val="auto"/>
        </w:rPr>
        <w:t>Minimum cash balance of 50% of the outstanding principal amount of term loans, which will decrease to 40% upon achieving $65 million of trailing three months nets product revenue, and to 30% upon achieving $85 million, of trailing three months net product revenue; or</w:t>
      </w:r>
    </w:p>
    <w:p>
      <w:pPr>
        <w:spacing w:after="0" w:line="68" w:lineRule="exact"/>
        <w:rPr>
          <w:rFonts w:ascii="Calibri" w:cs="Calibri" w:eastAsia="Calibri" w:hAnsi="Calibri"/>
          <w:sz w:val="18"/>
          <w:szCs w:val="18"/>
          <w:color w:val="auto"/>
        </w:rPr>
      </w:pPr>
    </w:p>
    <w:p>
      <w:pPr>
        <w:ind w:left="2280" w:right="440" w:hanging="505"/>
        <w:spacing w:after="0" w:line="256" w:lineRule="auto"/>
        <w:tabs>
          <w:tab w:leader="none" w:pos="2280" w:val="left"/>
        </w:tabs>
        <w:numPr>
          <w:ilvl w:val="1"/>
          <w:numId w:val="55"/>
        </w:numPr>
        <w:rPr>
          <w:rFonts w:ascii="Calibri" w:cs="Calibri" w:eastAsia="Calibri" w:hAnsi="Calibri"/>
          <w:sz w:val="18"/>
          <w:szCs w:val="18"/>
          <w:color w:val="auto"/>
        </w:rPr>
      </w:pPr>
      <w:r>
        <w:rPr>
          <w:rFonts w:ascii="Arial" w:cs="Arial" w:eastAsia="Arial" w:hAnsi="Arial"/>
          <w:sz w:val="18"/>
          <w:szCs w:val="18"/>
          <w:color w:val="auto"/>
        </w:rPr>
        <w:t>Trailing three months net product revenue equal to 75% of projected revenue in 2026 and 70% of projected revenue in 2027 and beyond, tested on a quarterly basis.</w:t>
      </w:r>
    </w:p>
    <w:p>
      <w:pPr>
        <w:spacing w:after="0" w:line="13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 connection with the Fifth Loan Amendment, the existing final fee payments under the Loan and Security Agreement in the aggregate amount of $11.5 million were fully paid to Agent and a facility fee of $1.8 million was also paid to the Agent.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47"/>
        </w:trPr>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19"/>
          </w:tcPr>
          <w:p>
            <w:pPr>
              <w:jc w:val="center"/>
              <w:ind w:left="55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46"/>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25"/>
          </w:tcPr>
          <w:p>
            <w:pPr>
              <w:ind w:left="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4040" w:type="dxa"/>
            <w:vAlign w:val="bottom"/>
            <w:tcBorders>
              <w:bottom w:val="single" w:sz="8" w:color="0000FF"/>
            </w:tcBorders>
            <w:gridSpan w:val="17"/>
          </w:tcPr>
          <w:p>
            <w:pPr>
              <w:spacing w:after="0" w:line="169" w:lineRule="exact"/>
              <w:rPr>
                <w:rFonts w:ascii="Arial" w:cs="Arial" w:eastAsia="Arial" w:hAnsi="Arial"/>
                <w:sz w:val="18"/>
                <w:szCs w:val="18"/>
                <w:color w:val="0000FF"/>
                <w:w w:val="99"/>
              </w:rPr>
            </w:pPr>
            <w:hyperlink r:id="rId245">
              <w:r>
                <w:rPr>
                  <w:rFonts w:ascii="Arial" w:cs="Arial" w:eastAsia="Arial" w:hAnsi="Arial"/>
                  <w:sz w:val="18"/>
                  <w:szCs w:val="18"/>
                  <w:color w:val="0000FF"/>
                  <w:w w:val="99"/>
                </w:rPr>
                <w:t>Amended and Restated Certificate of Incorporation</w:t>
              </w:r>
            </w:hyperlink>
          </w:p>
        </w:tc>
        <w:tc>
          <w:tcPr>
            <w:tcW w:w="20" w:type="dxa"/>
            <w:vAlign w:val="bottom"/>
            <w:tcBorders>
              <w:bottom w:val="single" w:sz="8" w:color="0000EE"/>
            </w:tcBorders>
          </w:tcPr>
          <w:p>
            <w:pPr>
              <w:spacing w:after="0"/>
              <w:rPr>
                <w:sz w:val="14"/>
                <w:szCs w:val="14"/>
                <w:color w:val="auto"/>
              </w:rPr>
            </w:pPr>
          </w:p>
        </w:tc>
        <w:tc>
          <w:tcPr>
            <w:tcW w:w="128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4060" w:type="dxa"/>
            <w:vAlign w:val="bottom"/>
            <w:gridSpan w:val="18"/>
          </w:tcPr>
          <w:p>
            <w:pPr>
              <w:spacing w:after="0" w:line="182" w:lineRule="exact"/>
              <w:rPr>
                <w:rFonts w:ascii="Arial" w:cs="Arial" w:eastAsia="Arial" w:hAnsi="Arial"/>
                <w:sz w:val="18"/>
                <w:szCs w:val="18"/>
                <w:color w:val="0000FF"/>
                <w:w w:val="96"/>
              </w:rPr>
            </w:pPr>
            <w:hyperlink r:id="rId246">
              <w:r>
                <w:rPr>
                  <w:rFonts w:ascii="Arial" w:cs="Arial" w:eastAsia="Arial" w:hAnsi="Arial"/>
                  <w:sz w:val="18"/>
                  <w:szCs w:val="18"/>
                  <w:color w:val="0000FF"/>
                  <w:w w:val="96"/>
                </w:rPr>
                <w:t>Certificate of Amendment to Amended and Restated</w:t>
              </w:r>
            </w:hyperlink>
          </w:p>
        </w:tc>
        <w:tc>
          <w:tcPr>
            <w:tcW w:w="1280" w:type="dxa"/>
            <w:vAlign w:val="bottom"/>
            <w:gridSpan w:val="17"/>
          </w:tcPr>
          <w:p>
            <w:pPr>
              <w:ind w:left="140"/>
              <w:spacing w:after="0" w:line="182" w:lineRule="exact"/>
              <w:rPr>
                <w:rFonts w:ascii="Arial" w:cs="Arial" w:eastAsia="Arial" w:hAnsi="Arial"/>
                <w:sz w:val="18"/>
                <w:szCs w:val="18"/>
                <w:color w:val="0000FF"/>
              </w:rPr>
            </w:pPr>
            <w:hyperlink r:id="rId246">
              <w:r>
                <w:rPr>
                  <w:rFonts w:ascii="Arial" w:cs="Arial" w:eastAsia="Arial" w:hAnsi="Arial"/>
                  <w:sz w:val="18"/>
                  <w:szCs w:val="18"/>
                  <w:color w:val="0000FF"/>
                </w:rPr>
                <w:t>Certificate of</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60" w:type="dxa"/>
            <w:vAlign w:val="bottom"/>
            <w:gridSpan w:val="33"/>
          </w:tcPr>
          <w:p>
            <w:pPr>
              <w:spacing w:after="0" w:line="182" w:lineRule="exact"/>
              <w:rPr>
                <w:rFonts w:ascii="Arial" w:cs="Arial" w:eastAsia="Arial" w:hAnsi="Arial"/>
                <w:sz w:val="18"/>
                <w:szCs w:val="18"/>
                <w:color w:val="0000FF"/>
              </w:rPr>
            </w:pPr>
            <w:hyperlink r:id="rId246">
              <w:r>
                <w:rPr>
                  <w:rFonts w:ascii="Arial" w:cs="Arial" w:eastAsia="Arial" w:hAnsi="Arial"/>
                  <w:sz w:val="18"/>
                  <w:szCs w:val="18"/>
                  <w:color w:val="0000FF"/>
                </w:rPr>
                <w:t>Incorporation, as filed with the Secretary of the State of Delaware</w:t>
              </w:r>
            </w:hyperlink>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5"/>
                <w:szCs w:val="15"/>
                <w:color w:val="auto"/>
              </w:rPr>
            </w:pPr>
          </w:p>
        </w:tc>
        <w:tc>
          <w:tcPr>
            <w:tcW w:w="5260" w:type="dxa"/>
            <w:vAlign w:val="bottom"/>
            <w:tcBorders>
              <w:top w:val="single" w:sz="8" w:color="0000FF"/>
            </w:tcBorders>
            <w:gridSpan w:val="33"/>
          </w:tcPr>
          <w:p>
            <w:pPr>
              <w:spacing w:after="0" w:line="182" w:lineRule="exact"/>
              <w:rPr>
                <w:rFonts w:ascii="Arial" w:cs="Arial" w:eastAsia="Arial" w:hAnsi="Arial"/>
                <w:sz w:val="18"/>
                <w:szCs w:val="18"/>
                <w:color w:val="0000FF"/>
              </w:rPr>
            </w:pPr>
            <w:hyperlink r:id="rId246">
              <w:r>
                <w:rPr>
                  <w:rFonts w:ascii="Arial" w:cs="Arial" w:eastAsia="Arial" w:hAnsi="Arial"/>
                  <w:sz w:val="18"/>
                  <w:szCs w:val="18"/>
                  <w:color w:val="0000FF"/>
                </w:rPr>
                <w:t>on May 26, 2023</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00" w:type="dxa"/>
            <w:vAlign w:val="bottom"/>
            <w:gridSpan w:val="27"/>
            <w:vMerge w:val="restart"/>
          </w:tcPr>
          <w:p>
            <w:pPr>
              <w:spacing w:after="0" w:line="202" w:lineRule="exact"/>
              <w:rPr>
                <w:rFonts w:ascii="Arial" w:cs="Arial" w:eastAsia="Arial" w:hAnsi="Arial"/>
                <w:sz w:val="18"/>
                <w:szCs w:val="18"/>
                <w:color w:val="0000FF"/>
              </w:rPr>
            </w:pPr>
            <w:hyperlink r:id="rId247">
              <w:r>
                <w:rPr>
                  <w:rFonts w:ascii="Arial" w:cs="Arial" w:eastAsia="Arial" w:hAnsi="Arial"/>
                  <w:sz w:val="18"/>
                  <w:szCs w:val="18"/>
                  <w:color w:val="0000FF"/>
                </w:rPr>
                <w:t>Restated Bylaws, effective as of December 13,</w:t>
              </w:r>
            </w:hyperlink>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8"/>
          </w:tcPr>
          <w:p>
            <w:pPr>
              <w:spacing w:after="0" w:line="182" w:lineRule="exact"/>
              <w:rPr>
                <w:rFonts w:ascii="Arial" w:cs="Arial" w:eastAsia="Arial" w:hAnsi="Arial"/>
                <w:sz w:val="18"/>
                <w:szCs w:val="18"/>
                <w:color w:val="0000FF"/>
              </w:rPr>
            </w:pPr>
            <w:hyperlink r:id="rId247">
              <w:r>
                <w:rPr>
                  <w:rFonts w:ascii="Arial" w:cs="Arial" w:eastAsia="Arial" w:hAnsi="Arial"/>
                  <w:sz w:val="18"/>
                  <w:szCs w:val="18"/>
                  <w:color w:val="0000FF"/>
                </w:rPr>
                <w:t>Amended and</w:t>
              </w:r>
            </w:hyperlink>
          </w:p>
        </w:tc>
        <w:tc>
          <w:tcPr>
            <w:tcW w:w="4000" w:type="dxa"/>
            <w:vAlign w:val="bottom"/>
            <w:gridSpan w:val="2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44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247">
              <w:r>
                <w:rPr>
                  <w:rFonts w:ascii="Arial" w:cs="Arial" w:eastAsia="Arial" w:hAnsi="Arial"/>
                  <w:sz w:val="18"/>
                  <w:szCs w:val="18"/>
                  <w:color w:val="0000FF"/>
                </w:rPr>
                <w:t>2023</w:t>
              </w:r>
            </w:hyperlink>
          </w:p>
        </w:tc>
        <w:tc>
          <w:tcPr>
            <w:tcW w:w="2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900" w:type="dxa"/>
            <w:vAlign w:val="bottom"/>
            <w:gridSpan w:val="33"/>
            <w:vMerge w:val="restart"/>
          </w:tcPr>
          <w:p>
            <w:pPr>
              <w:ind w:left="20"/>
              <w:spacing w:after="0" w:line="202" w:lineRule="exact"/>
              <w:rPr>
                <w:rFonts w:ascii="Arial" w:cs="Arial" w:eastAsia="Arial" w:hAnsi="Arial"/>
                <w:sz w:val="18"/>
                <w:szCs w:val="18"/>
                <w:color w:val="0000FF"/>
              </w:rPr>
            </w:pPr>
            <w:hyperlink r:id="rId248">
              <w:r>
                <w:rPr>
                  <w:rFonts w:ascii="Arial" w:cs="Arial" w:eastAsia="Arial" w:hAnsi="Arial"/>
                  <w:sz w:val="18"/>
                  <w:szCs w:val="18"/>
                  <w:color w:val="0000FF"/>
                </w:rPr>
                <w:t>of Common Stock Certificate</w:t>
              </w:r>
            </w:hyperlink>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spacing w:after="0" w:line="182" w:lineRule="exact"/>
              <w:rPr>
                <w:rFonts w:ascii="Arial" w:cs="Arial" w:eastAsia="Arial" w:hAnsi="Arial"/>
                <w:sz w:val="18"/>
                <w:szCs w:val="18"/>
                <w:color w:val="0000FF"/>
                <w:w w:val="99"/>
              </w:rPr>
            </w:pPr>
            <w:hyperlink r:id="rId248">
              <w:r>
                <w:rPr>
                  <w:rFonts w:ascii="Arial" w:cs="Arial" w:eastAsia="Arial" w:hAnsi="Arial"/>
                  <w:sz w:val="18"/>
                  <w:szCs w:val="18"/>
                  <w:color w:val="0000FF"/>
                  <w:w w:val="99"/>
                </w:rPr>
                <w:t>Form</w:t>
              </w:r>
            </w:hyperlink>
          </w:p>
        </w:tc>
        <w:tc>
          <w:tcPr>
            <w:tcW w:w="4900" w:type="dxa"/>
            <w:vAlign w:val="bottom"/>
            <w:gridSpan w:val="3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4.2</w:t>
            </w: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35"/>
          </w:tcPr>
          <w:p>
            <w:pPr>
              <w:spacing w:after="0" w:line="182" w:lineRule="exact"/>
              <w:rPr>
                <w:rFonts w:ascii="Arial" w:cs="Arial" w:eastAsia="Arial" w:hAnsi="Arial"/>
                <w:sz w:val="18"/>
                <w:szCs w:val="18"/>
                <w:color w:val="0000FF"/>
              </w:rPr>
            </w:pPr>
            <w:hyperlink r:id="rId249">
              <w:r>
                <w:rPr>
                  <w:rFonts w:ascii="Arial" w:cs="Arial" w:eastAsia="Arial" w:hAnsi="Arial"/>
                  <w:sz w:val="18"/>
                  <w:szCs w:val="18"/>
                  <w:color w:val="0000FF"/>
                </w:rPr>
                <w:t>Warrant to purchase stock issued to Silicon Valley Bank, dated</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108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7"/>
              </w:rPr>
            </w:pPr>
            <w:hyperlink r:id="rId249">
              <w:r>
                <w:rPr>
                  <w:rFonts w:ascii="Arial" w:cs="Arial" w:eastAsia="Arial" w:hAnsi="Arial"/>
                  <w:sz w:val="18"/>
                  <w:szCs w:val="18"/>
                  <w:color w:val="0000FF"/>
                  <w:w w:val="97"/>
                </w:rPr>
                <w:t>May 14, 2019</w:t>
              </w:r>
            </w:hyperlink>
          </w:p>
        </w:tc>
        <w:tc>
          <w:tcPr>
            <w:tcW w:w="20" w:type="dxa"/>
            <w:vAlign w:val="bottom"/>
            <w:tcBorders>
              <w:top w:val="single" w:sz="8" w:color="0000FF"/>
              <w:bottom w:val="single" w:sz="8" w:color="0000EE"/>
            </w:tcBorders>
          </w:tcPr>
          <w:p>
            <w:pPr>
              <w:spacing w:after="0"/>
              <w:rPr>
                <w:sz w:val="15"/>
                <w:szCs w:val="15"/>
                <w:color w:val="auto"/>
              </w:rPr>
            </w:pPr>
          </w:p>
        </w:tc>
        <w:tc>
          <w:tcPr>
            <w:tcW w:w="3940" w:type="dxa"/>
            <w:vAlign w:val="bottom"/>
            <w:tcBorders>
              <w:top w:val="single" w:sz="8" w:color="0000FF"/>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35"/>
          </w:tcPr>
          <w:p>
            <w:pPr>
              <w:spacing w:after="0" w:line="182" w:lineRule="exact"/>
              <w:rPr>
                <w:rFonts w:ascii="Arial" w:cs="Arial" w:eastAsia="Arial" w:hAnsi="Arial"/>
                <w:sz w:val="18"/>
                <w:szCs w:val="18"/>
                <w:color w:val="0000FF"/>
                <w:w w:val="99"/>
              </w:rPr>
            </w:pPr>
            <w:hyperlink r:id="rId250">
              <w:r>
                <w:rPr>
                  <w:rFonts w:ascii="Arial" w:cs="Arial" w:eastAsia="Arial" w:hAnsi="Arial"/>
                  <w:sz w:val="18"/>
                  <w:szCs w:val="18"/>
                  <w:color w:val="0000FF"/>
                  <w:w w:val="99"/>
                </w:rPr>
                <w:t>Warrant to purchase stock issued to WestRiver Innovation Lending</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tcBorders>
              <w:top w:val="single" w:sz="8" w:color="0000FF"/>
            </w:tcBorders>
            <w:gridSpan w:val="35"/>
          </w:tcPr>
          <w:p>
            <w:pPr>
              <w:spacing w:after="0" w:line="182" w:lineRule="exact"/>
              <w:rPr>
                <w:rFonts w:ascii="Arial" w:cs="Arial" w:eastAsia="Arial" w:hAnsi="Arial"/>
                <w:sz w:val="18"/>
                <w:szCs w:val="18"/>
                <w:color w:val="0000FF"/>
              </w:rPr>
            </w:pPr>
            <w:hyperlink r:id="rId250">
              <w:r>
                <w:rPr>
                  <w:rFonts w:ascii="Arial" w:cs="Arial" w:eastAsia="Arial" w:hAnsi="Arial"/>
                  <w:sz w:val="18"/>
                  <w:szCs w:val="18"/>
                  <w:color w:val="0000FF"/>
                </w:rPr>
                <w:t>Fund VIII, L.P., dated May 14, 2019</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4.4</w:t>
            </w: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80" w:type="dxa"/>
            <w:vAlign w:val="bottom"/>
            <w:gridSpan w:val="21"/>
            <w:vMerge w:val="restart"/>
          </w:tcPr>
          <w:p>
            <w:pPr>
              <w:ind w:left="40"/>
              <w:spacing w:after="0" w:line="202" w:lineRule="exact"/>
              <w:rPr>
                <w:rFonts w:ascii="Arial" w:cs="Arial" w:eastAsia="Arial" w:hAnsi="Arial"/>
                <w:sz w:val="18"/>
                <w:szCs w:val="18"/>
                <w:color w:val="0000FF"/>
              </w:rPr>
            </w:pPr>
            <w:hyperlink r:id="rId251">
              <w:r>
                <w:rPr>
                  <w:rFonts w:ascii="Arial" w:cs="Arial" w:eastAsia="Arial" w:hAnsi="Arial"/>
                  <w:sz w:val="18"/>
                  <w:szCs w:val="18"/>
                  <w:color w:val="0000FF"/>
                </w:rPr>
                <w:t>Hercules Capital, dated</w:t>
              </w:r>
            </w:hyperlink>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13"/>
          </w:tcPr>
          <w:p>
            <w:pPr>
              <w:spacing w:after="0" w:line="182" w:lineRule="exact"/>
              <w:rPr>
                <w:rFonts w:ascii="Arial" w:cs="Arial" w:eastAsia="Arial" w:hAnsi="Arial"/>
                <w:sz w:val="18"/>
                <w:szCs w:val="18"/>
                <w:color w:val="0000FF"/>
                <w:w w:val="97"/>
              </w:rPr>
            </w:pPr>
            <w:hyperlink r:id="rId251">
              <w:r>
                <w:rPr>
                  <w:rFonts w:ascii="Arial" w:cs="Arial" w:eastAsia="Arial" w:hAnsi="Arial"/>
                  <w:sz w:val="18"/>
                  <w:szCs w:val="18"/>
                  <w:color w:val="0000FF"/>
                  <w:w w:val="97"/>
                </w:rPr>
                <w:t>Warrant to purchase stock issued to</w:t>
              </w:r>
            </w:hyperlink>
          </w:p>
        </w:tc>
        <w:tc>
          <w:tcPr>
            <w:tcW w:w="20" w:type="dxa"/>
            <w:vAlign w:val="bottom"/>
            <w:vMerge w:val="continue"/>
          </w:tcPr>
          <w:p>
            <w:pPr>
              <w:spacing w:after="0"/>
              <w:rPr>
                <w:sz w:val="15"/>
                <w:szCs w:val="15"/>
                <w:color w:val="auto"/>
              </w:rPr>
            </w:pPr>
          </w:p>
        </w:tc>
        <w:tc>
          <w:tcPr>
            <w:tcW w:w="2480" w:type="dxa"/>
            <w:vAlign w:val="bottom"/>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5"/>
                <w:szCs w:val="15"/>
                <w:color w:val="auto"/>
              </w:rPr>
            </w:pPr>
          </w:p>
        </w:tc>
        <w:tc>
          <w:tcPr>
            <w:tcW w:w="16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8"/>
              </w:rPr>
            </w:pPr>
            <w:hyperlink r:id="rId251">
              <w:r>
                <w:rPr>
                  <w:rFonts w:ascii="Arial" w:cs="Arial" w:eastAsia="Arial" w:hAnsi="Arial"/>
                  <w:sz w:val="18"/>
                  <w:szCs w:val="18"/>
                  <w:color w:val="0000FF"/>
                  <w:w w:val="98"/>
                </w:rPr>
                <w:t>September 17,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3180" w:type="dxa"/>
            <w:vAlign w:val="bottom"/>
            <w:tcBorders>
              <w:top w:val="single" w:sz="8" w:color="0000FF"/>
            </w:tcBorders>
            <w:gridSpan w:val="13"/>
          </w:tcPr>
          <w:p>
            <w:pPr>
              <w:spacing w:after="0"/>
              <w:rPr>
                <w:sz w:val="15"/>
                <w:szCs w:val="15"/>
                <w:color w:val="auto"/>
              </w:rPr>
            </w:pPr>
          </w:p>
        </w:tc>
        <w:tc>
          <w:tcPr>
            <w:tcW w:w="1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10"/>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Form of Warrant to</w:t>
              </w:r>
            </w:hyperlink>
          </w:p>
        </w:tc>
        <w:tc>
          <w:tcPr>
            <w:tcW w:w="3700" w:type="dxa"/>
            <w:vAlign w:val="bottom"/>
            <w:gridSpan w:val="25"/>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purchase stock issuable pursuant to the Loan</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2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and Security Agreement, as amended, by and between the</w:t>
              </w:r>
            </w:hyperlink>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5"/>
                <w:szCs w:val="15"/>
                <w:color w:val="auto"/>
              </w:rPr>
            </w:pPr>
          </w:p>
        </w:tc>
        <w:tc>
          <w:tcPr>
            <w:tcW w:w="292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8"/>
              </w:rPr>
            </w:pPr>
            <w:hyperlink r:id="rId252">
              <w:r>
                <w:rPr>
                  <w:rFonts w:ascii="Arial" w:cs="Arial" w:eastAsia="Arial" w:hAnsi="Arial"/>
                  <w:sz w:val="18"/>
                  <w:szCs w:val="18"/>
                  <w:color w:val="0000FF"/>
                  <w:w w:val="98"/>
                </w:rPr>
                <w:t>Registrant and Hercules Capital, Inc.</w:t>
              </w:r>
            </w:hyperlink>
          </w:p>
        </w:tc>
        <w:tc>
          <w:tcPr>
            <w:tcW w:w="20" w:type="dxa"/>
            <w:vAlign w:val="bottom"/>
            <w:tcBorders>
              <w:top w:val="single" w:sz="8" w:color="0000FF"/>
              <w:bottom w:val="single" w:sz="8" w:color="0000EE"/>
            </w:tcBorders>
          </w:tcPr>
          <w:p>
            <w:pPr>
              <w:spacing w:after="0"/>
              <w:rPr>
                <w:sz w:val="15"/>
                <w:szCs w:val="15"/>
                <w:color w:val="auto"/>
              </w:rPr>
            </w:pPr>
          </w:p>
        </w:tc>
        <w:tc>
          <w:tcPr>
            <w:tcW w:w="1800" w:type="dxa"/>
            <w:vAlign w:val="bottom"/>
            <w:tcBorders>
              <w:top w:val="single" w:sz="8" w:color="0000FF"/>
            </w:tcBorders>
            <w:gridSpan w:val="5"/>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35"/>
          </w:tcPr>
          <w:p>
            <w:pPr>
              <w:spacing w:after="0" w:line="182" w:lineRule="exact"/>
              <w:rPr>
                <w:rFonts w:ascii="Arial" w:cs="Arial" w:eastAsia="Arial" w:hAnsi="Arial"/>
                <w:sz w:val="18"/>
                <w:szCs w:val="18"/>
                <w:color w:val="0000FF"/>
              </w:rPr>
            </w:pPr>
            <w:hyperlink r:id="rId253">
              <w:r>
                <w:rPr>
                  <w:rFonts w:ascii="Arial" w:cs="Arial" w:eastAsia="Arial" w:hAnsi="Arial"/>
                  <w:sz w:val="18"/>
                  <w:szCs w:val="18"/>
                  <w:color w:val="0000FF"/>
                </w:rPr>
                <w:t>First Amendment to Warrant to purchase stock issued to Hercules</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5"/>
                <w:szCs w:val="15"/>
                <w:color w:val="auto"/>
              </w:rPr>
            </w:pPr>
          </w:p>
        </w:tc>
        <w:tc>
          <w:tcPr>
            <w:tcW w:w="214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8"/>
              </w:rPr>
            </w:pPr>
            <w:hyperlink r:id="rId253">
              <w:r>
                <w:rPr>
                  <w:rFonts w:ascii="Arial" w:cs="Arial" w:eastAsia="Arial" w:hAnsi="Arial"/>
                  <w:sz w:val="18"/>
                  <w:szCs w:val="18"/>
                  <w:color w:val="0000FF"/>
                  <w:w w:val="98"/>
                </w:rPr>
                <w:t>Capital, dated May 9, 2023</w:t>
              </w:r>
            </w:hyperlink>
          </w:p>
        </w:tc>
        <w:tc>
          <w:tcPr>
            <w:tcW w:w="3140" w:type="dxa"/>
            <w:vAlign w:val="bottom"/>
            <w:tcBorders>
              <w:top w:val="single" w:sz="8" w:color="0000FF"/>
            </w:tcBorders>
            <w:gridSpan w:val="23"/>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11"/>
          </w:tcPr>
          <w:p>
            <w:pPr>
              <w:spacing w:after="0" w:line="182" w:lineRule="exact"/>
              <w:rPr>
                <w:sz w:val="20"/>
                <w:szCs w:val="20"/>
                <w:color w:val="auto"/>
              </w:rPr>
            </w:pPr>
            <w:r>
              <w:rPr>
                <w:rFonts w:ascii="Arial" w:cs="Arial" w:eastAsia="Arial" w:hAnsi="Arial"/>
                <w:sz w:val="18"/>
                <w:szCs w:val="18"/>
                <w:color w:val="0000FF"/>
              </w:rPr>
              <w:t>Description of Registered</w:t>
            </w:r>
          </w:p>
        </w:tc>
        <w:tc>
          <w:tcPr>
            <w:tcW w:w="3200" w:type="dxa"/>
            <w:vAlign w:val="bottom"/>
            <w:gridSpan w:val="24"/>
          </w:tcPr>
          <w:p>
            <w:pPr>
              <w:spacing w:after="0" w:line="182" w:lineRule="exact"/>
              <w:rPr>
                <w:sz w:val="20"/>
                <w:szCs w:val="20"/>
                <w:color w:val="auto"/>
              </w:rPr>
            </w:pPr>
            <w:r>
              <w:rPr>
                <w:rFonts w:ascii="Arial" w:cs="Arial" w:eastAsia="Arial" w:hAnsi="Arial"/>
                <w:sz w:val="18"/>
                <w:szCs w:val="18"/>
                <w:color w:val="0000FF"/>
              </w:rPr>
              <w:t>Securities</w:t>
            </w: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4.8</w:t>
            </w: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35"/>
          </w:tcPr>
          <w:p>
            <w:pPr>
              <w:spacing w:after="0" w:line="182" w:lineRule="exact"/>
              <w:rPr>
                <w:rFonts w:ascii="Arial" w:cs="Arial" w:eastAsia="Arial" w:hAnsi="Arial"/>
                <w:sz w:val="18"/>
                <w:szCs w:val="18"/>
                <w:color w:val="0000FF"/>
              </w:rPr>
            </w:pPr>
            <w:hyperlink r:id="rId254">
              <w:r>
                <w:rPr>
                  <w:rFonts w:ascii="Arial" w:cs="Arial" w:eastAsia="Arial" w:hAnsi="Arial"/>
                  <w:sz w:val="18"/>
                  <w:szCs w:val="18"/>
                  <w:color w:val="0000FF"/>
                </w:rPr>
                <w:t>Form of Pre-Funded Warrant to purchase common stock</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4.9</w:t>
            </w: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360" w:type="dxa"/>
            <w:vAlign w:val="bottom"/>
            <w:tcBorders>
              <w:right w:val="single" w:sz="8" w:color="0000EE"/>
            </w:tcBorders>
            <w:gridSpan w:val="12"/>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80" w:type="dxa"/>
            <w:vAlign w:val="bottom"/>
            <w:gridSpan w:val="3"/>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520" w:type="dxa"/>
            <w:vAlign w:val="bottom"/>
            <w:gridSpan w:val="19"/>
          </w:tcPr>
          <w:p>
            <w:pPr>
              <w:spacing w:after="0" w:line="182" w:lineRule="exact"/>
              <w:rPr>
                <w:rFonts w:ascii="Arial" w:cs="Arial" w:eastAsia="Arial" w:hAnsi="Arial"/>
                <w:sz w:val="18"/>
                <w:szCs w:val="18"/>
                <w:color w:val="0000FF"/>
                <w:w w:val="99"/>
              </w:rPr>
            </w:pPr>
            <w:hyperlink r:id="rId255">
              <w:r>
                <w:rPr>
                  <w:rFonts w:ascii="Arial" w:cs="Arial" w:eastAsia="Arial" w:hAnsi="Arial"/>
                  <w:sz w:val="18"/>
                  <w:szCs w:val="18"/>
                  <w:color w:val="0000FF"/>
                  <w:w w:val="99"/>
                </w:rPr>
                <w:t>Form of Pre-Funded Warrant to purchase common stock</w:t>
              </w:r>
            </w:hyperlink>
          </w:p>
        </w:tc>
        <w:tc>
          <w:tcPr>
            <w:tcW w:w="14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10.1#</w:t>
            </w: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360" w:type="dxa"/>
            <w:vAlign w:val="bottom"/>
            <w:tcBorders>
              <w:right w:val="single" w:sz="8" w:color="0000EE"/>
            </w:tcBorders>
            <w:gridSpan w:val="1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35"/>
          </w:tcPr>
          <w:p>
            <w:pPr>
              <w:spacing w:after="0" w:line="182" w:lineRule="exact"/>
              <w:rPr>
                <w:rFonts w:ascii="Arial" w:cs="Arial" w:eastAsia="Arial" w:hAnsi="Arial"/>
                <w:sz w:val="18"/>
                <w:szCs w:val="18"/>
                <w:color w:val="0000FF"/>
              </w:rPr>
            </w:pPr>
            <w:hyperlink r:id="rId256">
              <w:r>
                <w:rPr>
                  <w:rFonts w:ascii="Arial" w:cs="Arial" w:eastAsia="Arial" w:hAnsi="Arial"/>
                  <w:sz w:val="18"/>
                  <w:szCs w:val="18"/>
                  <w:color w:val="0000FF"/>
                </w:rPr>
                <w:t>Phathom Pharmaceuticals, Inc. 2019 Equity Incentive Plan</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10.2#</w:t>
            </w: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500" w:type="dxa"/>
            <w:vAlign w:val="bottom"/>
            <w:gridSpan w:val="1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35"/>
          </w:tcPr>
          <w:p>
            <w:pPr>
              <w:spacing w:after="0" w:line="182" w:lineRule="exact"/>
              <w:rPr>
                <w:rFonts w:ascii="Arial" w:cs="Arial" w:eastAsia="Arial" w:hAnsi="Arial"/>
                <w:sz w:val="18"/>
                <w:szCs w:val="18"/>
                <w:color w:val="0000FF"/>
              </w:rPr>
            </w:pPr>
            <w:hyperlink r:id="rId257">
              <w:r>
                <w:rPr>
                  <w:rFonts w:ascii="Arial" w:cs="Arial" w:eastAsia="Arial" w:hAnsi="Arial"/>
                  <w:sz w:val="18"/>
                  <w:szCs w:val="18"/>
                  <w:color w:val="0000FF"/>
                </w:rPr>
                <w:t>Form of Stock Option Grant Notice and Stock Option Agreement</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257">
              <w:r>
                <w:rPr>
                  <w:rFonts w:ascii="Arial" w:cs="Arial" w:eastAsia="Arial" w:hAnsi="Arial"/>
                  <w:sz w:val="18"/>
                  <w:szCs w:val="18"/>
                  <w:color w:val="0000FF"/>
                </w:rPr>
                <w:t>under the Phathom Pharmaceuticals, Inc. 2019 Equity Incentive</w:t>
              </w:r>
            </w:hyperlink>
          </w:p>
        </w:tc>
        <w:tc>
          <w:tcPr>
            <w:tcW w:w="1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510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257">
              <w:r>
                <w:rPr>
                  <w:rFonts w:ascii="Arial" w:cs="Arial" w:eastAsia="Arial" w:hAnsi="Arial"/>
                  <w:sz w:val="18"/>
                  <w:szCs w:val="18"/>
                  <w:color w:val="0000FF"/>
                </w:rPr>
                <w:t>Plan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980" w:type="dxa"/>
            <w:vAlign w:val="bottom"/>
            <w:gridSpan w:val="34"/>
            <w:vMerge w:val="restart"/>
          </w:tcPr>
          <w:p>
            <w:pPr>
              <w:ind w:left="100"/>
              <w:spacing w:after="0" w:line="202" w:lineRule="exact"/>
              <w:rPr>
                <w:rFonts w:ascii="Arial" w:cs="Arial" w:eastAsia="Arial" w:hAnsi="Arial"/>
                <w:sz w:val="18"/>
                <w:szCs w:val="18"/>
                <w:color w:val="0000FF"/>
              </w:rPr>
            </w:pPr>
            <w:hyperlink r:id="rId258">
              <w:r>
                <w:rPr>
                  <w:rFonts w:ascii="Arial" w:cs="Arial" w:eastAsia="Arial" w:hAnsi="Arial"/>
                  <w:sz w:val="18"/>
                  <w:szCs w:val="18"/>
                  <w:color w:val="0000FF"/>
                </w:rPr>
                <w:t>of Restricted Stock Grant Notice and Restricted Stock</w:t>
              </w:r>
            </w:hyperlink>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line="182" w:lineRule="exact"/>
              <w:rPr>
                <w:rFonts w:ascii="Arial" w:cs="Arial" w:eastAsia="Arial" w:hAnsi="Arial"/>
                <w:sz w:val="18"/>
                <w:szCs w:val="18"/>
                <w:color w:val="0000FF"/>
                <w:w w:val="76"/>
              </w:rPr>
            </w:pPr>
            <w:hyperlink r:id="rId258">
              <w:r>
                <w:rPr>
                  <w:rFonts w:ascii="Arial" w:cs="Arial" w:eastAsia="Arial" w:hAnsi="Arial"/>
                  <w:sz w:val="18"/>
                  <w:szCs w:val="18"/>
                  <w:color w:val="0000FF"/>
                  <w:w w:val="76"/>
                </w:rPr>
                <w:t>Form</w:t>
              </w:r>
            </w:hyperlink>
          </w:p>
        </w:tc>
        <w:tc>
          <w:tcPr>
            <w:tcW w:w="4980" w:type="dxa"/>
            <w:vAlign w:val="bottom"/>
            <w:gridSpan w:val="3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500" w:type="dxa"/>
            <w:vAlign w:val="bottom"/>
            <w:gridSpan w:val="1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35"/>
          </w:tcPr>
          <w:p>
            <w:pPr>
              <w:spacing w:after="0" w:line="182" w:lineRule="exact"/>
              <w:rPr>
                <w:rFonts w:ascii="Arial" w:cs="Arial" w:eastAsia="Arial" w:hAnsi="Arial"/>
                <w:sz w:val="18"/>
                <w:szCs w:val="18"/>
                <w:color w:val="0000FF"/>
              </w:rPr>
            </w:pPr>
            <w:hyperlink r:id="rId258">
              <w:r>
                <w:rPr>
                  <w:rFonts w:ascii="Arial" w:cs="Arial" w:eastAsia="Arial" w:hAnsi="Arial"/>
                  <w:sz w:val="18"/>
                  <w:szCs w:val="18"/>
                  <w:color w:val="0000FF"/>
                </w:rPr>
                <w:t>Agreement under Phathom Pharmaceuticals, Inc. 2019 Equity</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112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7"/>
              </w:rPr>
            </w:pPr>
            <w:hyperlink r:id="rId258">
              <w:r>
                <w:rPr>
                  <w:rFonts w:ascii="Arial" w:cs="Arial" w:eastAsia="Arial" w:hAnsi="Arial"/>
                  <w:sz w:val="18"/>
                  <w:szCs w:val="18"/>
                  <w:color w:val="0000FF"/>
                  <w:w w:val="97"/>
                </w:rPr>
                <w:t>Incentive Plan</w:t>
              </w:r>
            </w:hyperlink>
          </w:p>
        </w:tc>
        <w:tc>
          <w:tcPr>
            <w:tcW w:w="40" w:type="dxa"/>
            <w:vAlign w:val="bottom"/>
            <w:tcBorders>
              <w:top w:val="single" w:sz="8" w:color="0000FF"/>
              <w:bottom w:val="single" w:sz="8" w:color="0000EE"/>
            </w:tcBorders>
          </w:tcPr>
          <w:p>
            <w:pPr>
              <w:spacing w:after="0"/>
              <w:rPr>
                <w:sz w:val="15"/>
                <w:szCs w:val="15"/>
                <w:color w:val="auto"/>
              </w:rPr>
            </w:pPr>
          </w:p>
        </w:tc>
        <w:tc>
          <w:tcPr>
            <w:tcW w:w="3800" w:type="dxa"/>
            <w:vAlign w:val="bottom"/>
            <w:tcBorders>
              <w:top w:val="single" w:sz="8" w:color="0000FF"/>
            </w:tcBorders>
            <w:gridSpan w:val="18"/>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35"/>
          </w:tcPr>
          <w:p>
            <w:pPr>
              <w:spacing w:after="0" w:line="182" w:lineRule="exact"/>
              <w:rPr>
                <w:rFonts w:ascii="Arial" w:cs="Arial" w:eastAsia="Arial" w:hAnsi="Arial"/>
                <w:sz w:val="18"/>
                <w:szCs w:val="18"/>
                <w:color w:val="0000FF"/>
              </w:rPr>
            </w:pPr>
            <w:hyperlink r:id="rId259">
              <w:r>
                <w:rPr>
                  <w:rFonts w:ascii="Arial" w:cs="Arial" w:eastAsia="Arial" w:hAnsi="Arial"/>
                  <w:sz w:val="18"/>
                  <w:szCs w:val="18"/>
                  <w:color w:val="0000FF"/>
                </w:rPr>
                <w:t>Phathom Pharmaceuticals, Inc. 2019 Incentive Award Plan</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10.5#</w:t>
            </w:r>
          </w:p>
        </w:tc>
        <w:tc>
          <w:tcPr>
            <w:tcW w:w="12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980" w:type="dxa"/>
            <w:vAlign w:val="bottom"/>
            <w:gridSpan w:val="17"/>
            <w:shd w:val="clear" w:color="auto" w:fill="0000EE"/>
          </w:tcPr>
          <w:p>
            <w:pPr>
              <w:spacing w:after="0" w:line="20" w:lineRule="exact"/>
              <w:rPr>
                <w:sz w:val="1"/>
                <w:szCs w:val="1"/>
                <w:color w:val="auto"/>
              </w:rPr>
            </w:pPr>
          </w:p>
        </w:tc>
        <w:tc>
          <w:tcPr>
            <w:tcW w:w="400" w:type="dxa"/>
            <w:vAlign w:val="bottom"/>
            <w:tcBorders>
              <w:left w:val="single" w:sz="8" w:color="0000EE"/>
            </w:tcBorders>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35"/>
          </w:tcPr>
          <w:p>
            <w:pPr>
              <w:spacing w:after="0" w:line="182" w:lineRule="exact"/>
              <w:rPr>
                <w:rFonts w:ascii="Arial" w:cs="Arial" w:eastAsia="Arial" w:hAnsi="Arial"/>
                <w:sz w:val="18"/>
                <w:szCs w:val="18"/>
                <w:color w:val="0000FF"/>
              </w:rPr>
            </w:pPr>
            <w:hyperlink r:id="rId260">
              <w:r>
                <w:rPr>
                  <w:rFonts w:ascii="Arial" w:cs="Arial" w:eastAsia="Arial" w:hAnsi="Arial"/>
                  <w:sz w:val="18"/>
                  <w:szCs w:val="18"/>
                  <w:color w:val="0000FF"/>
                </w:rPr>
                <w:t>Form of Stock Option Grant Notice and Stock Option Agreement</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260">
              <w:r>
                <w:rPr>
                  <w:rFonts w:ascii="Arial" w:cs="Arial" w:eastAsia="Arial" w:hAnsi="Arial"/>
                  <w:sz w:val="18"/>
                  <w:szCs w:val="18"/>
                  <w:color w:val="0000FF"/>
                </w:rPr>
                <w:t>under the Phathom Pharmaceuticals, Inc. 2019 Incentive Award</w:t>
              </w:r>
            </w:hyperlink>
          </w:p>
        </w:tc>
        <w:tc>
          <w:tcPr>
            <w:tcW w:w="1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5"/>
                <w:szCs w:val="15"/>
                <w:color w:val="auto"/>
              </w:rPr>
            </w:pPr>
          </w:p>
        </w:tc>
        <w:tc>
          <w:tcPr>
            <w:tcW w:w="512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260">
              <w:r>
                <w:rPr>
                  <w:rFonts w:ascii="Arial" w:cs="Arial" w:eastAsia="Arial" w:hAnsi="Arial"/>
                  <w:sz w:val="18"/>
                  <w:szCs w:val="18"/>
                  <w:color w:val="0000FF"/>
                </w:rPr>
                <w:t>Plan</w:t>
              </w:r>
            </w:hyperlink>
          </w:p>
        </w:tc>
        <w:tc>
          <w:tcPr>
            <w:tcW w:w="20" w:type="dxa"/>
            <w:vAlign w:val="bottom"/>
          </w:tcPr>
          <w:p>
            <w:pPr>
              <w:spacing w:after="0"/>
              <w:rPr>
                <w:sz w:val="15"/>
                <w:szCs w:val="15"/>
                <w:color w:val="auto"/>
              </w:rPr>
            </w:pPr>
          </w:p>
        </w:tc>
        <w:tc>
          <w:tcPr>
            <w:tcW w:w="2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380" w:type="dxa"/>
            <w:vAlign w:val="bottom"/>
            <w:gridSpan w:val="2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35"/>
          </w:tcPr>
          <w:p>
            <w:pPr>
              <w:spacing w:after="0" w:line="182" w:lineRule="exact"/>
              <w:rPr>
                <w:rFonts w:ascii="Arial" w:cs="Arial" w:eastAsia="Arial" w:hAnsi="Arial"/>
                <w:sz w:val="18"/>
                <w:szCs w:val="18"/>
                <w:color w:val="0000FF"/>
              </w:rPr>
            </w:pPr>
            <w:hyperlink r:id="rId261">
              <w:r>
                <w:rPr>
                  <w:rFonts w:ascii="Arial" w:cs="Arial" w:eastAsia="Arial" w:hAnsi="Arial"/>
                  <w:sz w:val="18"/>
                  <w:szCs w:val="18"/>
                  <w:color w:val="0000FF"/>
                </w:rPr>
                <w:t>Phathom Pharmaceuticals, Inc. 2019 Employee Stock Purchase</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514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261">
              <w:r>
                <w:rPr>
                  <w:rFonts w:ascii="Arial" w:cs="Arial" w:eastAsia="Arial" w:hAnsi="Arial"/>
                  <w:sz w:val="18"/>
                  <w:szCs w:val="18"/>
                  <w:color w:val="0000FF"/>
                </w:rPr>
                <w:t>Plan</w:t>
              </w:r>
            </w:hyperlink>
          </w:p>
        </w:tc>
        <w:tc>
          <w:tcPr>
            <w:tcW w:w="2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380" w:type="dxa"/>
            <w:vAlign w:val="bottom"/>
            <w:gridSpan w:val="24"/>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35"/>
          </w:tcPr>
          <w:p>
            <w:pPr>
              <w:spacing w:after="0" w:line="182" w:lineRule="exact"/>
              <w:rPr>
                <w:rFonts w:ascii="Arial" w:cs="Arial" w:eastAsia="Arial" w:hAnsi="Arial"/>
                <w:sz w:val="18"/>
                <w:szCs w:val="18"/>
                <w:color w:val="0000FF"/>
              </w:rPr>
            </w:pPr>
            <w:hyperlink r:id="rId262">
              <w:r>
                <w:rPr>
                  <w:rFonts w:ascii="Arial" w:cs="Arial" w:eastAsia="Arial" w:hAnsi="Arial"/>
                  <w:sz w:val="18"/>
                  <w:szCs w:val="18"/>
                  <w:color w:val="0000FF"/>
                </w:rPr>
                <w:t>Amended and Restated Non-Employee Director Compensation</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5"/>
              </w:rPr>
            </w:pPr>
            <w:hyperlink r:id="rId262">
              <w:r>
                <w:rPr>
                  <w:rFonts w:ascii="Arial" w:cs="Arial" w:eastAsia="Arial" w:hAnsi="Arial"/>
                  <w:sz w:val="18"/>
                  <w:szCs w:val="18"/>
                  <w:color w:val="0000FF"/>
                  <w:w w:val="95"/>
                </w:rPr>
                <w:t>Program</w:t>
              </w:r>
            </w:hyperlink>
          </w:p>
        </w:tc>
        <w:tc>
          <w:tcPr>
            <w:tcW w:w="4380" w:type="dxa"/>
            <w:vAlign w:val="bottom"/>
            <w:tcBorders>
              <w:top w:val="single" w:sz="8" w:color="0000FF"/>
            </w:tcBorders>
            <w:gridSpan w:val="24"/>
          </w:tcPr>
          <w:p>
            <w:pPr>
              <w:spacing w:after="0"/>
              <w:rPr>
                <w:sz w:val="15"/>
                <w:szCs w:val="15"/>
                <w:color w:val="auto"/>
              </w:rPr>
            </w:pPr>
          </w:p>
        </w:tc>
        <w:tc>
          <w:tcPr>
            <w:tcW w:w="2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4780" w:type="dxa"/>
            <w:vAlign w:val="bottom"/>
            <w:gridSpan w:val="21"/>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2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46"/>
        </w:trPr>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Form</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77"/>
        </w:trPr>
        <w:tc>
          <w:tcPr>
            <w:tcW w:w="720" w:type="dxa"/>
            <w:vAlign w:val="bottom"/>
          </w:tcPr>
          <w:p>
            <w:pPr>
              <w:jc w:val="center"/>
              <w:ind w:left="31"/>
              <w:spacing w:after="0" w:line="177" w:lineRule="exact"/>
              <w:rPr>
                <w:sz w:val="20"/>
                <w:szCs w:val="20"/>
                <w:color w:val="auto"/>
              </w:rPr>
            </w:pPr>
            <w:r>
              <w:rPr>
                <w:rFonts w:ascii="Arial" w:cs="Arial" w:eastAsia="Arial" w:hAnsi="Arial"/>
                <w:sz w:val="18"/>
                <w:szCs w:val="18"/>
                <w:color w:val="auto"/>
                <w:w w:val="99"/>
              </w:rPr>
              <w:t>8-K</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spacing w:after="0" w:line="177" w:lineRule="exact"/>
              <w:rPr>
                <w:sz w:val="20"/>
                <w:szCs w:val="20"/>
                <w:color w:val="auto"/>
              </w:rPr>
            </w:pPr>
            <w:r>
              <w:rPr>
                <w:rFonts w:ascii="Arial" w:cs="Arial" w:eastAsia="Arial" w:hAnsi="Arial"/>
                <w:sz w:val="18"/>
                <w:szCs w:val="18"/>
                <w:color w:val="auto"/>
                <w:w w:val="99"/>
              </w:rPr>
              <w:t>10-29-2019</w:t>
            </w:r>
          </w:p>
        </w:tc>
        <w:tc>
          <w:tcPr>
            <w:tcW w:w="120" w:type="dxa"/>
            <w:vAlign w:val="bottom"/>
          </w:tcPr>
          <w:p>
            <w:pPr>
              <w:spacing w:after="0"/>
              <w:rPr>
                <w:sz w:val="15"/>
                <w:szCs w:val="15"/>
                <w:color w:val="auto"/>
              </w:rPr>
            </w:pPr>
          </w:p>
        </w:tc>
        <w:tc>
          <w:tcPr>
            <w:tcW w:w="1140" w:type="dxa"/>
            <w:vAlign w:val="bottom"/>
          </w:tcPr>
          <w:p>
            <w:pPr>
              <w:jc w:val="center"/>
              <w:spacing w:after="0" w:line="177"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20" w:type="dxa"/>
            <w:vAlign w:val="bottom"/>
          </w:tcPr>
          <w:p>
            <w:pPr>
              <w:jc w:val="center"/>
              <w:ind w:left="31"/>
              <w:spacing w:after="0"/>
              <w:rPr>
                <w:sz w:val="20"/>
                <w:szCs w:val="20"/>
                <w:color w:val="auto"/>
              </w:rPr>
            </w:pPr>
            <w:r>
              <w:rPr>
                <w:rFonts w:ascii="Arial" w:cs="Arial" w:eastAsia="Arial" w:hAnsi="Arial"/>
                <w:sz w:val="18"/>
                <w:szCs w:val="18"/>
                <w:color w:val="231F20"/>
                <w:w w:val="99"/>
              </w:rPr>
              <w:t>8-K</w:t>
            </w:r>
          </w:p>
        </w:tc>
        <w:tc>
          <w:tcPr>
            <w:tcW w:w="1420" w:type="dxa"/>
            <w:vAlign w:val="bottom"/>
            <w:gridSpan w:val="3"/>
          </w:tcPr>
          <w:p>
            <w:pPr>
              <w:jc w:val="center"/>
              <w:ind w:left="151"/>
              <w:spacing w:after="0"/>
              <w:rPr>
                <w:sz w:val="20"/>
                <w:szCs w:val="20"/>
                <w:color w:val="auto"/>
              </w:rPr>
            </w:pPr>
            <w:r>
              <w:rPr>
                <w:rFonts w:ascii="Arial" w:cs="Arial" w:eastAsia="Arial" w:hAnsi="Arial"/>
                <w:sz w:val="18"/>
                <w:szCs w:val="18"/>
                <w:color w:val="auto"/>
                <w:w w:val="99"/>
              </w:rPr>
              <w:t>5-30-2023</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20" w:type="dxa"/>
            <w:vAlign w:val="bottom"/>
          </w:tcPr>
          <w:p>
            <w:pPr>
              <w:jc w:val="center"/>
              <w:ind w:left="31"/>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171"/>
              <w:spacing w:after="0"/>
              <w:rPr>
                <w:sz w:val="20"/>
                <w:szCs w:val="20"/>
                <w:color w:val="auto"/>
              </w:rPr>
            </w:pPr>
            <w:r>
              <w:rPr>
                <w:rFonts w:ascii="Arial" w:cs="Arial" w:eastAsia="Arial" w:hAnsi="Arial"/>
                <w:sz w:val="18"/>
                <w:szCs w:val="18"/>
                <w:color w:val="auto"/>
                <w:w w:val="99"/>
              </w:rPr>
              <w:t>12-15-2023</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20" w:type="dxa"/>
            <w:vAlign w:val="bottom"/>
          </w:tcPr>
          <w:p>
            <w:pPr>
              <w:jc w:val="center"/>
              <w:ind w:left="51"/>
              <w:spacing w:after="0"/>
              <w:rPr>
                <w:sz w:val="20"/>
                <w:szCs w:val="20"/>
                <w:color w:val="auto"/>
              </w:rPr>
            </w:pPr>
            <w:r>
              <w:rPr>
                <w:rFonts w:ascii="Arial" w:cs="Arial" w:eastAsia="Arial" w:hAnsi="Arial"/>
                <w:sz w:val="18"/>
                <w:szCs w:val="18"/>
                <w:color w:val="auto"/>
              </w:rPr>
              <w:t>S-1/A</w:t>
            </w:r>
          </w:p>
        </w:tc>
        <w:tc>
          <w:tcPr>
            <w:tcW w:w="1420" w:type="dxa"/>
            <w:vAlign w:val="bottom"/>
            <w:gridSpan w:val="3"/>
          </w:tcPr>
          <w:p>
            <w:pPr>
              <w:jc w:val="center"/>
              <w:ind w:left="171"/>
              <w:spacing w:after="0"/>
              <w:rPr>
                <w:sz w:val="20"/>
                <w:szCs w:val="20"/>
                <w:color w:val="auto"/>
              </w:rPr>
            </w:pPr>
            <w:r>
              <w:rPr>
                <w:rFonts w:ascii="Arial" w:cs="Arial" w:eastAsia="Arial" w:hAnsi="Arial"/>
                <w:sz w:val="18"/>
                <w:szCs w:val="18"/>
                <w:color w:val="auto"/>
                <w:w w:val="99"/>
              </w:rPr>
              <w:t>10-15-2019</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20" w:type="dxa"/>
            <w:vAlign w:val="bottom"/>
          </w:tcPr>
          <w:p>
            <w:pPr>
              <w:jc w:val="center"/>
              <w:ind w:left="31"/>
              <w:spacing w:after="0"/>
              <w:rPr>
                <w:sz w:val="20"/>
                <w:szCs w:val="20"/>
                <w:color w:val="auto"/>
              </w:rPr>
            </w:pPr>
            <w:r>
              <w:rPr>
                <w:rFonts w:ascii="Arial" w:cs="Arial" w:eastAsia="Arial" w:hAnsi="Arial"/>
                <w:sz w:val="18"/>
                <w:szCs w:val="18"/>
                <w:color w:val="auto"/>
                <w:w w:val="99"/>
              </w:rPr>
              <w:t>S-1</w:t>
            </w:r>
          </w:p>
        </w:tc>
        <w:tc>
          <w:tcPr>
            <w:tcW w:w="1420" w:type="dxa"/>
            <w:vAlign w:val="bottom"/>
            <w:gridSpan w:val="3"/>
          </w:tcPr>
          <w:p>
            <w:pPr>
              <w:jc w:val="center"/>
              <w:ind w:left="151"/>
              <w:spacing w:after="0"/>
              <w:rPr>
                <w:sz w:val="20"/>
                <w:szCs w:val="20"/>
                <w:color w:val="auto"/>
              </w:rPr>
            </w:pPr>
            <w:r>
              <w:rPr>
                <w:rFonts w:ascii="Arial" w:cs="Arial" w:eastAsia="Arial" w:hAnsi="Arial"/>
                <w:sz w:val="18"/>
                <w:szCs w:val="18"/>
                <w:color w:val="auto"/>
                <w:w w:val="99"/>
              </w:rPr>
              <w:t>9-30-2019</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20" w:type="dxa"/>
            <w:vAlign w:val="bottom"/>
          </w:tcPr>
          <w:p>
            <w:pPr>
              <w:jc w:val="center"/>
              <w:ind w:left="31"/>
              <w:spacing w:after="0"/>
              <w:rPr>
                <w:sz w:val="20"/>
                <w:szCs w:val="20"/>
                <w:color w:val="auto"/>
              </w:rPr>
            </w:pPr>
            <w:r>
              <w:rPr>
                <w:rFonts w:ascii="Arial" w:cs="Arial" w:eastAsia="Arial" w:hAnsi="Arial"/>
                <w:sz w:val="18"/>
                <w:szCs w:val="18"/>
                <w:color w:val="auto"/>
                <w:w w:val="99"/>
              </w:rPr>
              <w:t>S-1</w:t>
            </w:r>
          </w:p>
        </w:tc>
        <w:tc>
          <w:tcPr>
            <w:tcW w:w="1420" w:type="dxa"/>
            <w:vAlign w:val="bottom"/>
            <w:gridSpan w:val="3"/>
          </w:tcPr>
          <w:p>
            <w:pPr>
              <w:jc w:val="center"/>
              <w:ind w:left="151"/>
              <w:spacing w:after="0"/>
              <w:rPr>
                <w:sz w:val="20"/>
                <w:szCs w:val="20"/>
                <w:color w:val="auto"/>
              </w:rPr>
            </w:pPr>
            <w:r>
              <w:rPr>
                <w:rFonts w:ascii="Arial" w:cs="Arial" w:eastAsia="Arial" w:hAnsi="Arial"/>
                <w:sz w:val="18"/>
                <w:szCs w:val="18"/>
                <w:color w:val="auto"/>
                <w:w w:val="99"/>
              </w:rPr>
              <w:t>9-30-2019</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0" w:type="dxa"/>
            <w:vAlign w:val="bottom"/>
          </w:tcPr>
          <w:p>
            <w:pPr>
              <w:jc w:val="center"/>
              <w:ind w:left="31"/>
              <w:spacing w:after="0"/>
              <w:rPr>
                <w:sz w:val="20"/>
                <w:szCs w:val="20"/>
                <w:color w:val="auto"/>
              </w:rPr>
            </w:pPr>
            <w:r>
              <w:rPr>
                <w:rFonts w:ascii="Arial" w:cs="Arial" w:eastAsia="Arial" w:hAnsi="Arial"/>
                <w:sz w:val="18"/>
                <w:szCs w:val="18"/>
                <w:color w:val="auto"/>
                <w:w w:val="99"/>
              </w:rPr>
              <w:t>10-Q</w:t>
            </w:r>
          </w:p>
        </w:tc>
        <w:tc>
          <w:tcPr>
            <w:tcW w:w="1420" w:type="dxa"/>
            <w:vAlign w:val="bottom"/>
            <w:gridSpan w:val="3"/>
          </w:tcPr>
          <w:p>
            <w:pPr>
              <w:jc w:val="center"/>
              <w:ind w:left="151"/>
              <w:spacing w:after="0"/>
              <w:rPr>
                <w:sz w:val="20"/>
                <w:szCs w:val="20"/>
                <w:color w:val="auto"/>
              </w:rPr>
            </w:pPr>
            <w:r>
              <w:rPr>
                <w:rFonts w:ascii="Arial" w:cs="Arial" w:eastAsia="Arial" w:hAnsi="Arial"/>
                <w:sz w:val="18"/>
                <w:szCs w:val="18"/>
                <w:color w:val="auto"/>
                <w:w w:val="99"/>
              </w:rPr>
              <w:t>11-8-2021</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10.2</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0" w:type="dxa"/>
            <w:vAlign w:val="bottom"/>
          </w:tcPr>
          <w:p>
            <w:pPr>
              <w:jc w:val="center"/>
              <w:ind w:left="31"/>
              <w:spacing w:after="0"/>
              <w:rPr>
                <w:sz w:val="20"/>
                <w:szCs w:val="20"/>
                <w:color w:val="auto"/>
              </w:rPr>
            </w:pPr>
            <w:r>
              <w:rPr>
                <w:rFonts w:ascii="Arial" w:cs="Arial" w:eastAsia="Arial" w:hAnsi="Arial"/>
                <w:sz w:val="18"/>
                <w:szCs w:val="18"/>
                <w:color w:val="auto"/>
                <w:w w:val="99"/>
              </w:rPr>
              <w:t>10-Q</w:t>
            </w:r>
          </w:p>
        </w:tc>
        <w:tc>
          <w:tcPr>
            <w:tcW w:w="1420" w:type="dxa"/>
            <w:vAlign w:val="bottom"/>
            <w:gridSpan w:val="3"/>
          </w:tcPr>
          <w:p>
            <w:pPr>
              <w:jc w:val="center"/>
              <w:ind w:left="151"/>
              <w:spacing w:after="0"/>
              <w:rPr>
                <w:sz w:val="20"/>
                <w:szCs w:val="20"/>
                <w:color w:val="auto"/>
              </w:rPr>
            </w:pPr>
            <w:r>
              <w:rPr>
                <w:rFonts w:ascii="Arial" w:cs="Arial" w:eastAsia="Arial" w:hAnsi="Arial"/>
                <w:sz w:val="18"/>
                <w:szCs w:val="18"/>
                <w:color w:val="auto"/>
                <w:w w:val="99"/>
              </w:rPr>
              <w:t>5-10-2023</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20" w:type="dxa"/>
            <w:vAlign w:val="bottom"/>
          </w:tcPr>
          <w:p>
            <w:pPr>
              <w:jc w:val="center"/>
              <w:ind w:left="31"/>
              <w:spacing w:after="0"/>
              <w:rPr>
                <w:sz w:val="20"/>
                <w:szCs w:val="20"/>
                <w:color w:val="auto"/>
              </w:rPr>
            </w:pPr>
            <w:r>
              <w:rPr>
                <w:rFonts w:ascii="Arial" w:cs="Arial" w:eastAsia="Arial" w:hAnsi="Arial"/>
                <w:sz w:val="18"/>
                <w:szCs w:val="18"/>
                <w:color w:val="auto"/>
                <w:w w:val="99"/>
              </w:rPr>
              <w:t>10-Q</w:t>
            </w:r>
          </w:p>
        </w:tc>
        <w:tc>
          <w:tcPr>
            <w:tcW w:w="1420" w:type="dxa"/>
            <w:vAlign w:val="bottom"/>
            <w:gridSpan w:val="3"/>
          </w:tcPr>
          <w:p>
            <w:pPr>
              <w:jc w:val="center"/>
              <w:ind w:left="151"/>
              <w:spacing w:after="0"/>
              <w:rPr>
                <w:sz w:val="20"/>
                <w:szCs w:val="20"/>
                <w:color w:val="auto"/>
              </w:rPr>
            </w:pPr>
            <w:r>
              <w:rPr>
                <w:rFonts w:ascii="Arial" w:cs="Arial" w:eastAsia="Arial" w:hAnsi="Arial"/>
                <w:sz w:val="18"/>
                <w:szCs w:val="18"/>
                <w:color w:val="auto"/>
                <w:w w:val="99"/>
              </w:rPr>
              <w:t>5-10-2023</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0" w:type="dxa"/>
            <w:vAlign w:val="bottom"/>
            <w:vMerge w:val="restart"/>
          </w:tcPr>
          <w:p>
            <w:pPr>
              <w:jc w:val="center"/>
              <w:ind w:left="31"/>
              <w:spacing w:after="0"/>
              <w:rPr>
                <w:sz w:val="20"/>
                <w:szCs w:val="20"/>
                <w:color w:val="auto"/>
              </w:rPr>
            </w:pPr>
            <w:r>
              <w:rPr>
                <w:rFonts w:ascii="Arial" w:cs="Arial" w:eastAsia="Arial" w:hAnsi="Arial"/>
                <w:sz w:val="18"/>
                <w:szCs w:val="18"/>
                <w:color w:val="auto"/>
                <w:w w:val="99"/>
              </w:rPr>
              <w:t>8-K</w:t>
            </w:r>
          </w:p>
        </w:tc>
        <w:tc>
          <w:tcPr>
            <w:tcW w:w="1420" w:type="dxa"/>
            <w:vAlign w:val="bottom"/>
            <w:gridSpan w:val="3"/>
            <w:vMerge w:val="restart"/>
          </w:tcPr>
          <w:p>
            <w:pPr>
              <w:jc w:val="center"/>
              <w:ind w:left="151"/>
              <w:spacing w:after="0"/>
              <w:rPr>
                <w:sz w:val="20"/>
                <w:szCs w:val="20"/>
                <w:color w:val="auto"/>
              </w:rPr>
            </w:pPr>
            <w:r>
              <w:rPr>
                <w:rFonts w:ascii="Arial" w:cs="Arial" w:eastAsia="Arial" w:hAnsi="Arial"/>
                <w:sz w:val="18"/>
                <w:szCs w:val="18"/>
                <w:color w:val="auto"/>
                <w:w w:val="99"/>
              </w:rPr>
              <w:t>8-19-2024</w:t>
            </w:r>
          </w:p>
        </w:tc>
        <w:tc>
          <w:tcPr>
            <w:tcW w:w="126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6"/>
        </w:trPr>
        <w:tc>
          <w:tcPr>
            <w:tcW w:w="720" w:type="dxa"/>
            <w:vAlign w:val="bottom"/>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20" w:type="dxa"/>
            <w:vAlign w:val="bottom"/>
          </w:tcPr>
          <w:p>
            <w:pPr>
              <w:jc w:val="center"/>
              <w:ind w:left="31"/>
              <w:spacing w:after="0" w:line="202" w:lineRule="exact"/>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171"/>
              <w:spacing w:after="0" w:line="202" w:lineRule="exact"/>
              <w:rPr>
                <w:sz w:val="20"/>
                <w:szCs w:val="20"/>
                <w:color w:val="auto"/>
              </w:rPr>
            </w:pPr>
            <w:r>
              <w:rPr>
                <w:rFonts w:ascii="Arial" w:cs="Arial" w:eastAsia="Arial" w:hAnsi="Arial"/>
                <w:sz w:val="18"/>
                <w:szCs w:val="18"/>
                <w:color w:val="auto"/>
                <w:w w:val="99"/>
              </w:rPr>
              <w:t>1-8-2026</w:t>
            </w:r>
          </w:p>
        </w:tc>
        <w:tc>
          <w:tcPr>
            <w:tcW w:w="126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jc w:val="center"/>
              <w:ind w:left="31"/>
              <w:spacing w:after="0" w:line="202" w:lineRule="exact"/>
              <w:rPr>
                <w:sz w:val="20"/>
                <w:szCs w:val="20"/>
                <w:color w:val="auto"/>
              </w:rPr>
            </w:pPr>
            <w:r>
              <w:rPr>
                <w:rFonts w:ascii="Arial" w:cs="Arial" w:eastAsia="Arial" w:hAnsi="Arial"/>
                <w:sz w:val="18"/>
                <w:szCs w:val="18"/>
                <w:color w:val="auto"/>
                <w:w w:val="99"/>
              </w:rPr>
              <w:t>S-1</w:t>
            </w:r>
          </w:p>
        </w:tc>
        <w:tc>
          <w:tcPr>
            <w:tcW w:w="1420" w:type="dxa"/>
            <w:vAlign w:val="bottom"/>
            <w:gridSpan w:val="3"/>
          </w:tcPr>
          <w:p>
            <w:pPr>
              <w:jc w:val="center"/>
              <w:ind w:left="151"/>
              <w:spacing w:after="0" w:line="202" w:lineRule="exact"/>
              <w:rPr>
                <w:sz w:val="20"/>
                <w:szCs w:val="20"/>
                <w:color w:val="auto"/>
              </w:rPr>
            </w:pPr>
            <w:r>
              <w:rPr>
                <w:rFonts w:ascii="Arial" w:cs="Arial" w:eastAsia="Arial" w:hAnsi="Arial"/>
                <w:sz w:val="18"/>
                <w:szCs w:val="18"/>
                <w:color w:val="auto"/>
                <w:w w:val="99"/>
              </w:rPr>
              <w:t>9-30-2019</w:t>
            </w:r>
          </w:p>
        </w:tc>
        <w:tc>
          <w:tcPr>
            <w:tcW w:w="126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w w:val="96"/>
              </w:rPr>
              <w:t>10.1</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20" w:type="dxa"/>
            <w:vAlign w:val="bottom"/>
          </w:tcPr>
          <w:p>
            <w:pPr>
              <w:jc w:val="center"/>
              <w:ind w:left="31"/>
              <w:spacing w:after="0"/>
              <w:rPr>
                <w:sz w:val="20"/>
                <w:szCs w:val="20"/>
                <w:color w:val="auto"/>
              </w:rPr>
            </w:pPr>
            <w:r>
              <w:rPr>
                <w:rFonts w:ascii="Arial" w:cs="Arial" w:eastAsia="Arial" w:hAnsi="Arial"/>
                <w:sz w:val="18"/>
                <w:szCs w:val="18"/>
                <w:color w:val="auto"/>
                <w:w w:val="99"/>
              </w:rPr>
              <w:t>S-1</w:t>
            </w:r>
          </w:p>
        </w:tc>
        <w:tc>
          <w:tcPr>
            <w:tcW w:w="1420" w:type="dxa"/>
            <w:vAlign w:val="bottom"/>
            <w:gridSpan w:val="3"/>
          </w:tcPr>
          <w:p>
            <w:pPr>
              <w:jc w:val="center"/>
              <w:ind w:left="151"/>
              <w:spacing w:after="0"/>
              <w:rPr>
                <w:sz w:val="20"/>
                <w:szCs w:val="20"/>
                <w:color w:val="auto"/>
              </w:rPr>
            </w:pPr>
            <w:r>
              <w:rPr>
                <w:rFonts w:ascii="Arial" w:cs="Arial" w:eastAsia="Arial" w:hAnsi="Arial"/>
                <w:sz w:val="18"/>
                <w:szCs w:val="18"/>
                <w:color w:val="auto"/>
                <w:w w:val="99"/>
              </w:rPr>
              <w:t>9-30-2019</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10.2</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20" w:type="dxa"/>
            <w:vAlign w:val="bottom"/>
          </w:tcPr>
          <w:p>
            <w:pPr>
              <w:jc w:val="center"/>
              <w:ind w:left="31"/>
              <w:spacing w:after="0"/>
              <w:rPr>
                <w:sz w:val="20"/>
                <w:szCs w:val="20"/>
                <w:color w:val="auto"/>
              </w:rPr>
            </w:pPr>
            <w:r>
              <w:rPr>
                <w:rFonts w:ascii="Arial" w:cs="Arial" w:eastAsia="Arial" w:hAnsi="Arial"/>
                <w:sz w:val="18"/>
                <w:szCs w:val="18"/>
                <w:color w:val="auto"/>
                <w:w w:val="99"/>
              </w:rPr>
              <w:t>S-1</w:t>
            </w:r>
          </w:p>
        </w:tc>
        <w:tc>
          <w:tcPr>
            <w:tcW w:w="1420" w:type="dxa"/>
            <w:vAlign w:val="bottom"/>
            <w:gridSpan w:val="3"/>
          </w:tcPr>
          <w:p>
            <w:pPr>
              <w:jc w:val="center"/>
              <w:ind w:left="151"/>
              <w:spacing w:after="0"/>
              <w:rPr>
                <w:sz w:val="20"/>
                <w:szCs w:val="20"/>
                <w:color w:val="auto"/>
              </w:rPr>
            </w:pPr>
            <w:r>
              <w:rPr>
                <w:rFonts w:ascii="Arial" w:cs="Arial" w:eastAsia="Arial" w:hAnsi="Arial"/>
                <w:sz w:val="18"/>
                <w:szCs w:val="18"/>
                <w:color w:val="auto"/>
                <w:w w:val="99"/>
              </w:rPr>
              <w:t>9-30-2019</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10.3</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720" w:type="dxa"/>
            <w:vAlign w:val="bottom"/>
          </w:tcPr>
          <w:p>
            <w:pPr>
              <w:jc w:val="center"/>
              <w:ind w:left="51"/>
              <w:spacing w:after="0"/>
              <w:rPr>
                <w:sz w:val="20"/>
                <w:szCs w:val="20"/>
                <w:color w:val="auto"/>
              </w:rPr>
            </w:pPr>
            <w:r>
              <w:rPr>
                <w:rFonts w:ascii="Arial" w:cs="Arial" w:eastAsia="Arial" w:hAnsi="Arial"/>
                <w:sz w:val="18"/>
                <w:szCs w:val="18"/>
                <w:color w:val="auto"/>
              </w:rPr>
              <w:t>S-1/A</w:t>
            </w:r>
          </w:p>
        </w:tc>
        <w:tc>
          <w:tcPr>
            <w:tcW w:w="1420" w:type="dxa"/>
            <w:vAlign w:val="bottom"/>
            <w:gridSpan w:val="3"/>
          </w:tcPr>
          <w:p>
            <w:pPr>
              <w:jc w:val="center"/>
              <w:ind w:left="171"/>
              <w:spacing w:after="0"/>
              <w:rPr>
                <w:sz w:val="20"/>
                <w:szCs w:val="20"/>
                <w:color w:val="auto"/>
              </w:rPr>
            </w:pPr>
            <w:r>
              <w:rPr>
                <w:rFonts w:ascii="Arial" w:cs="Arial" w:eastAsia="Arial" w:hAnsi="Arial"/>
                <w:sz w:val="18"/>
                <w:szCs w:val="18"/>
                <w:color w:val="auto"/>
                <w:w w:val="99"/>
              </w:rPr>
              <w:t>10-15-2019</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10.4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20" w:type="dxa"/>
            <w:vAlign w:val="bottom"/>
          </w:tcPr>
          <w:p>
            <w:pPr>
              <w:jc w:val="center"/>
              <w:ind w:left="31"/>
              <w:spacing w:after="0"/>
              <w:rPr>
                <w:sz w:val="20"/>
                <w:szCs w:val="20"/>
                <w:color w:val="auto"/>
              </w:rPr>
            </w:pPr>
            <w:r>
              <w:rPr>
                <w:rFonts w:ascii="Arial" w:cs="Arial" w:eastAsia="Arial" w:hAnsi="Arial"/>
                <w:sz w:val="18"/>
                <w:szCs w:val="18"/>
                <w:color w:val="auto"/>
                <w:w w:val="99"/>
              </w:rPr>
              <w:t>10-Q</w:t>
            </w:r>
          </w:p>
        </w:tc>
        <w:tc>
          <w:tcPr>
            <w:tcW w:w="1420" w:type="dxa"/>
            <w:vAlign w:val="bottom"/>
            <w:gridSpan w:val="3"/>
          </w:tcPr>
          <w:p>
            <w:pPr>
              <w:jc w:val="center"/>
              <w:ind w:left="171"/>
              <w:spacing w:after="0"/>
              <w:rPr>
                <w:sz w:val="20"/>
                <w:szCs w:val="20"/>
                <w:color w:val="auto"/>
              </w:rPr>
            </w:pPr>
            <w:r>
              <w:rPr>
                <w:rFonts w:ascii="Arial" w:cs="Arial" w:eastAsia="Arial" w:hAnsi="Arial"/>
                <w:sz w:val="18"/>
                <w:szCs w:val="18"/>
                <w:color w:val="auto"/>
                <w:w w:val="99"/>
              </w:rPr>
              <w:t>8-6-2020</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10.3</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20" w:type="dxa"/>
            <w:vAlign w:val="bottom"/>
          </w:tcPr>
          <w:p>
            <w:pPr>
              <w:jc w:val="center"/>
              <w:ind w:left="51"/>
              <w:spacing w:after="0"/>
              <w:rPr>
                <w:sz w:val="20"/>
                <w:szCs w:val="20"/>
                <w:color w:val="auto"/>
              </w:rPr>
            </w:pPr>
            <w:r>
              <w:rPr>
                <w:rFonts w:ascii="Arial" w:cs="Arial" w:eastAsia="Arial" w:hAnsi="Arial"/>
                <w:sz w:val="18"/>
                <w:szCs w:val="18"/>
                <w:color w:val="auto"/>
              </w:rPr>
              <w:t>S-1/A</w:t>
            </w:r>
          </w:p>
        </w:tc>
        <w:tc>
          <w:tcPr>
            <w:tcW w:w="1420" w:type="dxa"/>
            <w:vAlign w:val="bottom"/>
            <w:gridSpan w:val="3"/>
          </w:tcPr>
          <w:p>
            <w:pPr>
              <w:jc w:val="center"/>
              <w:ind w:left="171"/>
              <w:spacing w:after="0"/>
              <w:rPr>
                <w:sz w:val="20"/>
                <w:szCs w:val="20"/>
                <w:color w:val="auto"/>
              </w:rPr>
            </w:pPr>
            <w:r>
              <w:rPr>
                <w:rFonts w:ascii="Arial" w:cs="Arial" w:eastAsia="Arial" w:hAnsi="Arial"/>
                <w:sz w:val="18"/>
                <w:szCs w:val="18"/>
                <w:color w:val="auto"/>
                <w:w w:val="99"/>
              </w:rPr>
              <w:t>10-15-2019</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10.5</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0" w:type="dxa"/>
            <w:vAlign w:val="bottom"/>
          </w:tcPr>
          <w:p>
            <w:pPr>
              <w:jc w:val="center"/>
              <w:ind w:left="31"/>
              <w:spacing w:after="0"/>
              <w:rPr>
                <w:sz w:val="20"/>
                <w:szCs w:val="20"/>
                <w:color w:val="auto"/>
              </w:rPr>
            </w:pPr>
            <w:r>
              <w:rPr>
                <w:rFonts w:ascii="Arial" w:cs="Arial" w:eastAsia="Arial" w:hAnsi="Arial"/>
                <w:sz w:val="18"/>
                <w:szCs w:val="18"/>
                <w:color w:val="auto"/>
                <w:w w:val="99"/>
              </w:rPr>
              <w:t>10-Q</w:t>
            </w:r>
          </w:p>
        </w:tc>
        <w:tc>
          <w:tcPr>
            <w:tcW w:w="1420" w:type="dxa"/>
            <w:vAlign w:val="bottom"/>
            <w:gridSpan w:val="3"/>
          </w:tcPr>
          <w:p>
            <w:pPr>
              <w:jc w:val="center"/>
              <w:ind w:left="171"/>
              <w:spacing w:after="0"/>
              <w:rPr>
                <w:sz w:val="20"/>
                <w:szCs w:val="20"/>
                <w:color w:val="auto"/>
              </w:rPr>
            </w:pPr>
            <w:r>
              <w:rPr>
                <w:rFonts w:ascii="Arial" w:cs="Arial" w:eastAsia="Arial" w:hAnsi="Arial"/>
                <w:sz w:val="18"/>
                <w:szCs w:val="18"/>
                <w:color w:val="auto"/>
                <w:w w:val="99"/>
              </w:rPr>
              <w:t>8-8-2024</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10.1</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480" w:space="100"/>
            <w:col w:w="4660"/>
          </w:cols>
          <w:pgMar w:left="320" w:top="985" w:right="339" w:bottom="1440" w:gutter="0" w:footer="0" w:header="0"/>
        </w:sectPr>
      </w:pPr>
    </w:p>
    <w:bookmarkStart w:id="129" w:name="page130"/>
    <w:bookmarkEnd w:id="129"/>
    <w:p>
      <w:pPr>
        <w:ind w:left="880" w:right="60" w:hanging="838"/>
        <w:spacing w:after="0" w:line="241"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264">
        <w:r>
          <w:rPr>
            <w:rFonts w:ascii="Arial" w:cs="Arial" w:eastAsia="Arial" w:hAnsi="Arial"/>
            <w:sz w:val="18"/>
            <w:szCs w:val="18"/>
            <w:u w:val="single" w:color="auto"/>
            <w:color w:val="0000FF"/>
          </w:rPr>
          <w:t>Amended and Restated Employment Letter Agreement, dated</w:t>
        </w:r>
      </w:hyperlink>
      <w:r>
        <w:rPr>
          <w:rFonts w:ascii="Arial" w:cs="Arial" w:eastAsia="Arial" w:hAnsi="Arial"/>
          <w:sz w:val="18"/>
          <w:szCs w:val="18"/>
          <w:u w:val="single" w:color="auto"/>
          <w:color w:val="0000FF"/>
        </w:rPr>
        <w:t xml:space="preserve"> </w:t>
      </w:r>
      <w:hyperlink r:id="rId264">
        <w:r>
          <w:rPr>
            <w:rFonts w:ascii="Arial" w:cs="Arial" w:eastAsia="Arial" w:hAnsi="Arial"/>
            <w:sz w:val="18"/>
            <w:szCs w:val="18"/>
            <w:u w:val="single" w:color="auto"/>
            <w:color w:val="0000FF"/>
          </w:rPr>
          <w:t>September 25, 2019, by and between Azmi Nabulsi, M.D., M.P.H.</w:t>
        </w:r>
      </w:hyperlink>
      <w:r>
        <w:rPr>
          <w:rFonts w:ascii="Arial" w:cs="Arial" w:eastAsia="Arial" w:hAnsi="Arial"/>
          <w:sz w:val="18"/>
          <w:szCs w:val="18"/>
          <w:u w:val="single" w:color="auto"/>
          <w:color w:val="0000FF"/>
        </w:rPr>
        <w:t xml:space="preserve"> </w:t>
      </w:r>
      <w:hyperlink r:id="rId264">
        <w:r>
          <w:rPr>
            <w:rFonts w:ascii="Arial" w:cs="Arial" w:eastAsia="Arial" w:hAnsi="Arial"/>
            <w:sz w:val="18"/>
            <w:szCs w:val="18"/>
            <w:u w:val="single" w:color="auto"/>
            <w:color w:val="0000FF"/>
          </w:rPr>
          <w:t>and the Registrant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-271780</wp:posOffset>
            </wp:positionV>
            <wp:extent cx="31629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31629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-143510</wp:posOffset>
            </wp:positionV>
            <wp:extent cx="33528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335280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-14605</wp:posOffset>
            </wp:positionV>
            <wp:extent cx="93345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ind w:left="40"/>
        <w:spacing w:after="0"/>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10.9#</w:t>
      </w:r>
      <w:r>
        <w:rPr>
          <w:sz w:val="20"/>
          <w:szCs w:val="20"/>
          <w:color w:val="auto"/>
        </w:rPr>
        <w:tab/>
      </w:r>
      <w:hyperlink r:id="rId268">
        <w:r>
          <w:rPr>
            <w:rFonts w:ascii="Arial" w:cs="Arial" w:eastAsia="Arial" w:hAnsi="Arial"/>
            <w:sz w:val="17"/>
            <w:szCs w:val="17"/>
            <w:u w:val="single" w:color="auto"/>
            <w:color w:val="0000FF"/>
          </w:rPr>
          <w:t>Form of Indemnification Agreement for Directors and Officers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-19050</wp:posOffset>
            </wp:positionV>
            <wp:extent cx="30861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jc w:val="center"/>
        <w:ind w:right="140"/>
        <w:spacing w:after="0" w:line="24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10.10†    </w:t>
      </w:r>
      <w:hyperlink r:id="rId270">
        <w:r>
          <w:rPr>
            <w:rFonts w:ascii="Arial" w:cs="Arial" w:eastAsia="Arial" w:hAnsi="Arial"/>
            <w:sz w:val="18"/>
            <w:szCs w:val="18"/>
            <w:u w:val="single" w:color="auto"/>
            <w:color w:val="0000FF"/>
          </w:rPr>
          <w:t>License Agreement, dated May 7, 2019, by and between Takeda</w:t>
        </w:r>
      </w:hyperlink>
      <w:r>
        <w:rPr>
          <w:rFonts w:ascii="Arial" w:cs="Arial" w:eastAsia="Arial" w:hAnsi="Arial"/>
          <w:sz w:val="18"/>
          <w:szCs w:val="18"/>
          <w:color w:val="auto"/>
        </w:rPr>
        <w:t xml:space="preserve"> </w:t>
      </w:r>
      <w:hyperlink r:id="rId270">
        <w:r>
          <w:rPr>
            <w:rFonts w:ascii="Arial" w:cs="Arial" w:eastAsia="Arial" w:hAnsi="Arial"/>
            <w:sz w:val="18"/>
            <w:szCs w:val="18"/>
            <w:u w:val="single" w:color="auto"/>
            <w:color w:val="0000FF"/>
          </w:rPr>
          <w:t>Pharmaceuticals Company Limited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-144145</wp:posOffset>
            </wp:positionV>
            <wp:extent cx="330898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3308985"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-15875</wp:posOffset>
            </wp:positionV>
            <wp:extent cx="2730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2730500" cy="8255"/>
                    </a:xfrm>
                    <a:prstGeom prst="rect">
                      <a:avLst/>
                    </a:prstGeom>
                    <a:noFill/>
                  </pic:spPr>
                </pic:pic>
              </a:graphicData>
            </a:graphic>
          </wp:anchor>
        </w:drawing>
      </w:r>
    </w:p>
    <w:p>
      <w:pPr>
        <w:ind w:left="880" w:right="300" w:hanging="901"/>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273">
        <w:r>
          <w:rPr>
            <w:rFonts w:ascii="Arial" w:cs="Arial" w:eastAsia="Arial" w:hAnsi="Arial"/>
            <w:sz w:val="18"/>
            <w:szCs w:val="18"/>
            <w:u w:val="single" w:color="auto"/>
            <w:color w:val="0000FF"/>
          </w:rPr>
          <w:t>Employment Letter Agreement, dated August 29, 2019, by and</w:t>
        </w:r>
      </w:hyperlink>
      <w:r>
        <w:rPr>
          <w:rFonts w:ascii="Arial" w:cs="Arial" w:eastAsia="Arial" w:hAnsi="Arial"/>
          <w:sz w:val="18"/>
          <w:szCs w:val="18"/>
          <w:u w:val="single" w:color="auto"/>
          <w:color w:val="0000FF"/>
        </w:rPr>
        <w:t xml:space="preserve"> </w:t>
      </w:r>
      <w:hyperlink r:id="rId273">
        <w:r>
          <w:rPr>
            <w:rFonts w:ascii="Arial" w:cs="Arial" w:eastAsia="Arial" w:hAnsi="Arial"/>
            <w:sz w:val="18"/>
            <w:szCs w:val="18"/>
            <w:u w:val="single" w:color="auto"/>
            <w:color w:val="0000FF"/>
          </w:rPr>
          <w:t>between Terrie Curran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-143510</wp:posOffset>
            </wp:positionV>
            <wp:extent cx="32010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3201035"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-15240</wp:posOffset>
            </wp:positionV>
            <wp:extent cx="21082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2108200" cy="8255"/>
                    </a:xfrm>
                    <a:prstGeom prst="rect">
                      <a:avLst/>
                    </a:prstGeom>
                    <a:noFill/>
                  </pic:spPr>
                </pic:pic>
              </a:graphicData>
            </a:graphic>
          </wp:anchor>
        </w:drawing>
      </w:r>
    </w:p>
    <w:p>
      <w:pPr>
        <w:ind w:left="880" w:right="840" w:hanging="888"/>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276">
        <w:r>
          <w:rPr>
            <w:rFonts w:ascii="Arial" w:cs="Arial" w:eastAsia="Arial" w:hAnsi="Arial"/>
            <w:sz w:val="18"/>
            <w:szCs w:val="18"/>
            <w:u w:val="single" w:color="auto"/>
            <w:color w:val="0000FF"/>
          </w:rPr>
          <w:t>Amendment No. 1 to Takeda License Agreement, dated</w:t>
        </w:r>
      </w:hyperlink>
      <w:r>
        <w:rPr>
          <w:rFonts w:ascii="Arial" w:cs="Arial" w:eastAsia="Arial" w:hAnsi="Arial"/>
          <w:sz w:val="18"/>
          <w:szCs w:val="18"/>
          <w:u w:val="single" w:color="auto"/>
          <w:color w:val="0000FF"/>
        </w:rPr>
        <w:t xml:space="preserve"> </w:t>
      </w:r>
      <w:hyperlink r:id="rId276">
        <w:r>
          <w:rPr>
            <w:rFonts w:ascii="Arial" w:cs="Arial" w:eastAsia="Arial" w:hAnsi="Arial"/>
            <w:sz w:val="18"/>
            <w:szCs w:val="18"/>
            <w:u w:val="single" w:color="auto"/>
            <w:color w:val="0000FF"/>
          </w:rPr>
          <w:t>September 21,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-143510</wp:posOffset>
            </wp:positionV>
            <wp:extent cx="28581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28581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-15240</wp:posOffset>
            </wp:positionV>
            <wp:extent cx="10350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jc w:val="right"/>
        <w:ind w:right="42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279">
        <w:r>
          <w:rPr>
            <w:rFonts w:ascii="Arial" w:cs="Arial" w:eastAsia="Arial" w:hAnsi="Arial"/>
            <w:sz w:val="18"/>
            <w:szCs w:val="18"/>
            <w:u w:val="single" w:color="auto"/>
            <w:color w:val="0000FF"/>
          </w:rPr>
          <w:t>Supply and Packaging Services Agreement, by and between</w:t>
        </w:r>
      </w:hyperlink>
      <w:r>
        <w:rPr>
          <w:rFonts w:ascii="Arial" w:cs="Arial" w:eastAsia="Arial" w:hAnsi="Arial"/>
          <w:sz w:val="18"/>
          <w:szCs w:val="18"/>
          <w:color w:val="auto"/>
        </w:rPr>
        <w:t xml:space="preserve"> </w:t>
      </w:r>
      <w:hyperlink r:id="rId279">
        <w:r>
          <w:rPr>
            <w:rFonts w:ascii="Arial" w:cs="Arial" w:eastAsia="Arial" w:hAnsi="Arial"/>
            <w:sz w:val="18"/>
            <w:szCs w:val="18"/>
            <w:u w:val="single" w:color="auto"/>
            <w:color w:val="0000FF"/>
          </w:rPr>
          <w:t>Sandoz GmbH and the Registrant, dated December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-143510</wp:posOffset>
            </wp:positionV>
            <wp:extent cx="3099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30994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-15240</wp:posOffset>
            </wp:positionV>
            <wp:extent cx="3099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3099435" cy="8255"/>
                    </a:xfrm>
                    <a:prstGeom prst="rect">
                      <a:avLst/>
                    </a:prstGeom>
                    <a:noFill/>
                  </pic:spPr>
                </pic:pic>
              </a:graphicData>
            </a:graphic>
          </wp:anchor>
        </w:drawing>
      </w:r>
    </w:p>
    <w:p>
      <w:pPr>
        <w:ind w:left="880" w:right="200" w:hanging="888"/>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282">
        <w:r>
          <w:rPr>
            <w:rFonts w:ascii="Arial" w:cs="Arial" w:eastAsia="Arial" w:hAnsi="Arial"/>
            <w:sz w:val="18"/>
            <w:szCs w:val="18"/>
            <w:u w:val="single" w:color="auto"/>
            <w:color w:val="0000FF"/>
          </w:rPr>
          <w:t>Commercial Supply Agreement with Catalent Pharma Solutions,</w:t>
        </w:r>
      </w:hyperlink>
      <w:r>
        <w:rPr>
          <w:rFonts w:ascii="Arial" w:cs="Arial" w:eastAsia="Arial" w:hAnsi="Arial"/>
          <w:sz w:val="18"/>
          <w:szCs w:val="18"/>
          <w:u w:val="single" w:color="auto"/>
          <w:color w:val="0000FF"/>
        </w:rPr>
        <w:t xml:space="preserve"> </w:t>
      </w:r>
      <w:hyperlink r:id="rId282">
        <w:r>
          <w:rPr>
            <w:rFonts w:ascii="Arial" w:cs="Arial" w:eastAsia="Arial" w:hAnsi="Arial"/>
            <w:sz w:val="18"/>
            <w:szCs w:val="18"/>
            <w:u w:val="single" w:color="auto"/>
            <w:color w:val="0000FF"/>
          </w:rPr>
          <w:t>LLC entered into on July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-143510</wp:posOffset>
            </wp:positionV>
            <wp:extent cx="32702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327025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-15240</wp:posOffset>
            </wp:positionV>
            <wp:extent cx="16516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1651635" cy="8255"/>
                    </a:xfrm>
                    <a:prstGeom prst="rect">
                      <a:avLst/>
                    </a:prstGeom>
                    <a:noFill/>
                  </pic:spPr>
                </pic:pic>
              </a:graphicData>
            </a:graphic>
          </wp:anchor>
        </w:drawing>
      </w:r>
    </w:p>
    <w:p>
      <w:pPr>
        <w:ind w:left="880" w:right="40" w:hanging="838"/>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285">
        <w:r>
          <w:rPr>
            <w:rFonts w:ascii="Arial" w:cs="Arial" w:eastAsia="Arial" w:hAnsi="Arial"/>
            <w:sz w:val="18"/>
            <w:szCs w:val="18"/>
            <w:u w:val="single" w:color="auto"/>
            <w:color w:val="0000FF"/>
          </w:rPr>
          <w:t>Loan and Security Agreement, dated September 17, 2021, by and</w:t>
        </w:r>
      </w:hyperlink>
      <w:r>
        <w:rPr>
          <w:rFonts w:ascii="Arial" w:cs="Arial" w:eastAsia="Arial" w:hAnsi="Arial"/>
          <w:sz w:val="18"/>
          <w:szCs w:val="18"/>
          <w:u w:val="single" w:color="auto"/>
          <w:color w:val="0000FF"/>
        </w:rPr>
        <w:t xml:space="preserve"> </w:t>
      </w:r>
      <w:hyperlink r:id="rId285">
        <w:r>
          <w:rPr>
            <w:rFonts w:ascii="Arial" w:cs="Arial" w:eastAsia="Arial" w:hAnsi="Arial"/>
            <w:sz w:val="18"/>
            <w:szCs w:val="18"/>
            <w:u w:val="single" w:color="auto"/>
            <w:color w:val="0000FF"/>
          </w:rPr>
          <w:t>among Hercules Capital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-143510</wp:posOffset>
            </wp:positionV>
            <wp:extent cx="33661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33661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-15240</wp:posOffset>
            </wp:positionV>
            <wp:extent cx="21844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2184400" cy="8255"/>
                    </a:xfrm>
                    <a:prstGeom prst="rect">
                      <a:avLst/>
                    </a:prstGeom>
                    <a:noFill/>
                  </pic:spPr>
                </pic:pic>
              </a:graphicData>
            </a:graphic>
          </wp:anchor>
        </w:drawing>
      </w:r>
    </w:p>
    <w:p>
      <w:pPr>
        <w:ind w:left="880" w:right="240" w:hanging="888"/>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288">
        <w:r>
          <w:rPr>
            <w:rFonts w:ascii="Arial" w:cs="Arial" w:eastAsia="Arial" w:hAnsi="Arial"/>
            <w:sz w:val="18"/>
            <w:szCs w:val="18"/>
            <w:u w:val="single" w:color="auto"/>
            <w:color w:val="0000FF"/>
          </w:rPr>
          <w:t>First Amendment to the Supply and Packaging Services</w:t>
        </w:r>
      </w:hyperlink>
      <w:r>
        <w:rPr>
          <w:rFonts w:ascii="Arial" w:cs="Arial" w:eastAsia="Arial" w:hAnsi="Arial"/>
          <w:sz w:val="18"/>
          <w:szCs w:val="18"/>
          <w:u w:val="single" w:color="auto"/>
          <w:color w:val="0000FF"/>
        </w:rPr>
        <w:t xml:space="preserve"> </w:t>
      </w:r>
      <w:hyperlink r:id="rId288">
        <w:r>
          <w:rPr>
            <w:rFonts w:ascii="Arial" w:cs="Arial" w:eastAsia="Arial" w:hAnsi="Arial"/>
            <w:sz w:val="18"/>
            <w:szCs w:val="18"/>
            <w:u w:val="single" w:color="auto"/>
            <w:color w:val="0000FF"/>
          </w:rPr>
          <w:t>Agreement, by and between Sandoz GmbH and the Registrant,</w:t>
        </w:r>
      </w:hyperlink>
      <w:r>
        <w:rPr>
          <w:rFonts w:ascii="Arial" w:cs="Arial" w:eastAsia="Arial" w:hAnsi="Arial"/>
          <w:sz w:val="18"/>
          <w:szCs w:val="18"/>
          <w:u w:val="single" w:color="auto"/>
          <w:color w:val="0000FF"/>
        </w:rPr>
        <w:t xml:space="preserve"> </w:t>
      </w:r>
      <w:hyperlink r:id="rId288">
        <w:r>
          <w:rPr>
            <w:rFonts w:ascii="Arial" w:cs="Arial" w:eastAsia="Arial" w:hAnsi="Arial"/>
            <w:sz w:val="18"/>
            <w:szCs w:val="18"/>
            <w:u w:val="single" w:color="auto"/>
            <w:color w:val="0000FF"/>
          </w:rPr>
          <w:t>dated December 4,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-271780</wp:posOffset>
            </wp:positionV>
            <wp:extent cx="28575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285750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-143510</wp:posOffset>
            </wp:positionV>
            <wp:extent cx="32391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32391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-14605</wp:posOffset>
            </wp:positionV>
            <wp:extent cx="12573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ind w:left="880" w:right="360" w:hanging="888"/>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292">
        <w:r>
          <w:rPr>
            <w:rFonts w:ascii="Arial" w:cs="Arial" w:eastAsia="Arial" w:hAnsi="Arial"/>
            <w:sz w:val="18"/>
            <w:szCs w:val="18"/>
            <w:u w:val="single" w:color="auto"/>
            <w:color w:val="0000FF"/>
          </w:rPr>
          <w:t>Employment Letter Agreement, dated March 22, 2022, by and</w:t>
        </w:r>
      </w:hyperlink>
      <w:r>
        <w:rPr>
          <w:rFonts w:ascii="Arial" w:cs="Arial" w:eastAsia="Arial" w:hAnsi="Arial"/>
          <w:sz w:val="18"/>
          <w:szCs w:val="18"/>
          <w:u w:val="single" w:color="auto"/>
          <w:color w:val="0000FF"/>
        </w:rPr>
        <w:t xml:space="preserve"> </w:t>
      </w:r>
      <w:hyperlink r:id="rId292">
        <w:r>
          <w:rPr>
            <w:rFonts w:ascii="Arial" w:cs="Arial" w:eastAsia="Arial" w:hAnsi="Arial"/>
            <w:sz w:val="18"/>
            <w:szCs w:val="18"/>
            <w:u w:val="single" w:color="auto"/>
            <w:color w:val="0000FF"/>
          </w:rPr>
          <w:t>between Molly Henderson and the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-143510</wp:posOffset>
            </wp:positionV>
            <wp:extent cx="31629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3">
                      <a:extLst>
                        <a:ext uri="{28A0092B-C50C-407E-A947-70E740481C1C}"/>
                      </a:extLst>
                    </a:blip>
                    <a:srcRect/>
                    <a:stretch>
                      <a:fillRect/>
                    </a:stretch>
                  </pic:blipFill>
                  <pic:spPr bwMode="auto">
                    <a:xfrm>
                      <a:off x="0" y="0"/>
                      <a:ext cx="31629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-15240</wp:posOffset>
            </wp:positionV>
            <wp:extent cx="225488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4">
                      <a:extLst>
                        <a:ext uri="{28A0092B-C50C-407E-A947-70E740481C1C}"/>
                      </a:extLst>
                    </a:blip>
                    <a:srcRect/>
                    <a:stretch>
                      <a:fillRect/>
                    </a:stretch>
                  </pic:blipFill>
                  <pic:spPr bwMode="auto">
                    <a:xfrm>
                      <a:off x="0" y="0"/>
                      <a:ext cx="2254885" cy="8255"/>
                    </a:xfrm>
                    <a:prstGeom prst="rect">
                      <a:avLst/>
                    </a:prstGeom>
                    <a:noFill/>
                  </pic:spPr>
                </pic:pic>
              </a:graphicData>
            </a:graphic>
          </wp:anchor>
        </w:drawing>
      </w:r>
    </w:p>
    <w:p>
      <w:pPr>
        <w:ind w:left="880" w:hanging="888"/>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295">
        <w:r>
          <w:rPr>
            <w:rFonts w:ascii="Arial" w:cs="Arial" w:eastAsia="Arial" w:hAnsi="Arial"/>
            <w:sz w:val="18"/>
            <w:szCs w:val="18"/>
            <w:u w:val="single" w:color="auto"/>
            <w:color w:val="0000FF"/>
          </w:rPr>
          <w:t>Form of Restricted Stock Unit Grant Notice and Restricted Stock</w:t>
        </w:r>
      </w:hyperlink>
      <w:r>
        <w:rPr>
          <w:rFonts w:ascii="Arial" w:cs="Arial" w:eastAsia="Arial" w:hAnsi="Arial"/>
          <w:sz w:val="18"/>
          <w:szCs w:val="18"/>
          <w:u w:val="single" w:color="auto"/>
          <w:color w:val="0000FF"/>
        </w:rPr>
        <w:t xml:space="preserve"> </w:t>
      </w:r>
      <w:hyperlink r:id="rId295">
        <w:r>
          <w:rPr>
            <w:rFonts w:ascii="Arial" w:cs="Arial" w:eastAsia="Arial" w:hAnsi="Arial"/>
            <w:sz w:val="18"/>
            <w:szCs w:val="18"/>
            <w:u w:val="single" w:color="auto"/>
            <w:color w:val="0000FF"/>
          </w:rPr>
          <w:t>Unit Agreement under Phathom Pharmaceuticals, Inc. 2019 Equity</w:t>
        </w:r>
      </w:hyperlink>
      <w:r>
        <w:rPr>
          <w:rFonts w:ascii="Arial" w:cs="Arial" w:eastAsia="Arial" w:hAnsi="Arial"/>
          <w:sz w:val="18"/>
          <w:szCs w:val="18"/>
          <w:u w:val="single" w:color="auto"/>
          <w:color w:val="0000FF"/>
        </w:rPr>
        <w:t xml:space="preserve"> </w:t>
      </w:r>
      <w:hyperlink r:id="rId295">
        <w:r>
          <w:rPr>
            <w:rFonts w:ascii="Arial" w:cs="Arial" w:eastAsia="Arial" w:hAnsi="Arial"/>
            <w:sz w:val="18"/>
            <w:szCs w:val="18"/>
            <w:u w:val="single" w:color="auto"/>
            <w:color w:val="0000FF"/>
          </w:rPr>
          <w:t>Incentive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-271780</wp:posOffset>
            </wp:positionV>
            <wp:extent cx="32823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6">
                      <a:extLst>
                        <a:ext uri="{28A0092B-C50C-407E-A947-70E740481C1C}"/>
                      </a:extLst>
                    </a:blip>
                    <a:srcRect/>
                    <a:stretch>
                      <a:fillRect/>
                    </a:stretch>
                  </pic:blipFill>
                  <pic:spPr bwMode="auto">
                    <a:xfrm>
                      <a:off x="0" y="0"/>
                      <a:ext cx="328231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-143510</wp:posOffset>
            </wp:positionV>
            <wp:extent cx="33972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7">
                      <a:extLst>
                        <a:ext uri="{28A0092B-C50C-407E-A947-70E740481C1C}"/>
                      </a:extLst>
                    </a:blip>
                    <a:srcRect/>
                    <a:stretch>
                      <a:fillRect/>
                    </a:stretch>
                  </pic:blipFill>
                  <pic:spPr bwMode="auto">
                    <a:xfrm>
                      <a:off x="0" y="0"/>
                      <a:ext cx="339725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-14605</wp:posOffset>
            </wp:positionV>
            <wp:extent cx="7175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8">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ind w:left="880" w:right="280" w:hanging="888"/>
        <w:spacing w:after="0" w:line="234" w:lineRule="auto"/>
        <w:tabs>
          <w:tab w:leader="none" w:pos="8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u w:val="single" w:color="auto"/>
          <w:color w:val="0000FF"/>
        </w:rPr>
        <w:t>Revenue Interest Financing Agreement, dated May 3, 2022, by and among NovaQuest Capital Management, Sagard Holding Manager, Hercules Capital and the Registrant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-271780</wp:posOffset>
            </wp:positionV>
            <wp:extent cx="32137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9">
                      <a:extLst>
                        <a:ext uri="{28A0092B-C50C-407E-A947-70E740481C1C}"/>
                      </a:extLst>
                    </a:blip>
                    <a:srcRect/>
                    <a:stretch>
                      <a:fillRect/>
                    </a:stretch>
                  </pic:blipFill>
                  <pic:spPr bwMode="auto">
                    <a:xfrm>
                      <a:off x="0" y="0"/>
                      <a:ext cx="32137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-143510</wp:posOffset>
            </wp:positionV>
            <wp:extent cx="314388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0">
                      <a:extLst>
                        <a:ext uri="{28A0092B-C50C-407E-A947-70E740481C1C}"/>
                      </a:extLst>
                    </a:blip>
                    <a:srcRect/>
                    <a:stretch>
                      <a:fillRect/>
                    </a:stretch>
                  </pic:blipFill>
                  <pic:spPr bwMode="auto">
                    <a:xfrm>
                      <a:off x="0" y="0"/>
                      <a:ext cx="314388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-14605</wp:posOffset>
            </wp:positionV>
            <wp:extent cx="23177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1">
                      <a:extLst>
                        <a:ext uri="{28A0092B-C50C-407E-A947-70E740481C1C}"/>
                      </a:extLst>
                    </a:blip>
                    <a:srcRect/>
                    <a:stretch>
                      <a:fillRect/>
                    </a:stretch>
                  </pic:blipFill>
                  <pic:spPr bwMode="auto">
                    <a:xfrm>
                      <a:off x="0" y="0"/>
                      <a:ext cx="2317750" cy="8255"/>
                    </a:xfrm>
                    <a:prstGeom prst="rect">
                      <a:avLst/>
                    </a:prstGeom>
                    <a:noFill/>
                  </pic:spPr>
                </pic:pic>
              </a:graphicData>
            </a:graphic>
          </wp:anchor>
        </w:drawing>
      </w:r>
    </w:p>
    <w:p>
      <w:pPr>
        <w:jc w:val="both"/>
        <w:ind w:left="880" w:right="400" w:hanging="838"/>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302">
        <w:r>
          <w:rPr>
            <w:rFonts w:ascii="Arial" w:cs="Arial" w:eastAsia="Arial" w:hAnsi="Arial"/>
            <w:sz w:val="18"/>
            <w:szCs w:val="18"/>
            <w:u w:val="single" w:color="auto"/>
            <w:color w:val="0000FF"/>
          </w:rPr>
          <w:t>First Amendment to the Loan and Security Agreement, dated</w:t>
        </w:r>
      </w:hyperlink>
      <w:r>
        <w:rPr>
          <w:rFonts w:ascii="Arial" w:cs="Arial" w:eastAsia="Arial" w:hAnsi="Arial"/>
          <w:sz w:val="18"/>
          <w:szCs w:val="18"/>
          <w:u w:val="single" w:color="auto"/>
          <w:color w:val="0000FF"/>
        </w:rPr>
        <w:t xml:space="preserve"> </w:t>
      </w:r>
      <w:hyperlink r:id="rId302">
        <w:r>
          <w:rPr>
            <w:rFonts w:ascii="Arial" w:cs="Arial" w:eastAsia="Arial" w:hAnsi="Arial"/>
            <w:sz w:val="18"/>
            <w:szCs w:val="18"/>
            <w:u w:val="single" w:color="auto"/>
            <w:color w:val="0000FF"/>
          </w:rPr>
          <w:t>September 17, 2021, by and among Hercules Capital and the</w:t>
        </w:r>
      </w:hyperlink>
      <w:r>
        <w:rPr>
          <w:rFonts w:ascii="Arial" w:cs="Arial" w:eastAsia="Arial" w:hAnsi="Arial"/>
          <w:sz w:val="18"/>
          <w:szCs w:val="18"/>
          <w:u w:val="single" w:color="auto"/>
          <w:color w:val="0000FF"/>
        </w:rPr>
        <w:t xml:space="preserve"> </w:t>
      </w:r>
      <w:hyperlink r:id="rId302">
        <w:r>
          <w:rPr>
            <w:rFonts w:ascii="Arial" w:cs="Arial" w:eastAsia="Arial" w:hAnsi="Arial"/>
            <w:sz w:val="18"/>
            <w:szCs w:val="18"/>
            <w:u w:val="single" w:color="auto"/>
            <w:color w:val="0000FF"/>
          </w:rPr>
          <w:t>Registrant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-271780</wp:posOffset>
            </wp:positionV>
            <wp:extent cx="3111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3">
                      <a:extLst>
                        <a:ext uri="{28A0092B-C50C-407E-A947-70E740481C1C}"/>
                      </a:extLst>
                    </a:blip>
                    <a:srcRect/>
                    <a:stretch>
                      <a:fillRect/>
                    </a:stretch>
                  </pic:blipFill>
                  <pic:spPr bwMode="auto">
                    <a:xfrm>
                      <a:off x="0" y="0"/>
                      <a:ext cx="311150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-143510</wp:posOffset>
            </wp:positionV>
            <wp:extent cx="31375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4">
                      <a:extLst>
                        <a:ext uri="{28A0092B-C50C-407E-A947-70E740481C1C}"/>
                      </a:extLst>
                    </a:blip>
                    <a:srcRect/>
                    <a:stretch>
                      <a:fillRect/>
                    </a:stretch>
                  </pic:blipFill>
                  <pic:spPr bwMode="auto">
                    <a:xfrm>
                      <a:off x="0" y="0"/>
                      <a:ext cx="3137535"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-14605</wp:posOffset>
            </wp:positionV>
            <wp:extent cx="520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5">
                      <a:extLst>
                        <a:ext uri="{28A0092B-C50C-407E-A947-70E740481C1C}"/>
                      </a:extLst>
                    </a:blip>
                    <a:srcRect/>
                    <a:stretch>
                      <a:fillRect/>
                    </a:stretch>
                  </pic:blipFill>
                  <pic:spPr bwMode="auto">
                    <a:xfrm>
                      <a:off x="0" y="0"/>
                      <a:ext cx="520700" cy="8890"/>
                    </a:xfrm>
                    <a:prstGeom prst="rect">
                      <a:avLst/>
                    </a:prstGeom>
                    <a:noFill/>
                  </pic:spPr>
                </pic:pic>
              </a:graphicData>
            </a:graphic>
          </wp:anchor>
        </w:drawing>
      </w:r>
    </w:p>
    <w:p>
      <w:pPr>
        <w:ind w:left="880" w:right="340" w:hanging="888"/>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306">
        <w:r>
          <w:rPr>
            <w:rFonts w:ascii="Arial" w:cs="Arial" w:eastAsia="Arial" w:hAnsi="Arial"/>
            <w:sz w:val="18"/>
            <w:szCs w:val="18"/>
            <w:u w:val="single" w:color="auto"/>
            <w:color w:val="0000FF"/>
          </w:rPr>
          <w:t>Commercial Supply Agreement with Evonik Operations GmbH</w:t>
        </w:r>
      </w:hyperlink>
      <w:r>
        <w:rPr>
          <w:rFonts w:ascii="Arial" w:cs="Arial" w:eastAsia="Arial" w:hAnsi="Arial"/>
          <w:sz w:val="18"/>
          <w:szCs w:val="18"/>
          <w:u w:val="single" w:color="auto"/>
          <w:color w:val="0000FF"/>
        </w:rPr>
        <w:t xml:space="preserve"> </w:t>
      </w:r>
      <w:hyperlink r:id="rId306">
        <w:r>
          <w:rPr>
            <w:rFonts w:ascii="Arial" w:cs="Arial" w:eastAsia="Arial" w:hAnsi="Arial"/>
            <w:sz w:val="18"/>
            <w:szCs w:val="18"/>
            <w:u w:val="single" w:color="auto"/>
            <w:color w:val="0000FF"/>
          </w:rPr>
          <w:t>entered into on August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-143510</wp:posOffset>
            </wp:positionV>
            <wp:extent cx="31750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317500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-15240</wp:posOffset>
            </wp:positionV>
            <wp:extent cx="15627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1562735" cy="8255"/>
                    </a:xfrm>
                    <a:prstGeom prst="rect">
                      <a:avLst/>
                    </a:prstGeom>
                    <a:noFill/>
                  </pic:spPr>
                </pic:pic>
              </a:graphicData>
            </a:graphic>
          </wp:anchor>
        </w:drawing>
      </w:r>
    </w:p>
    <w:p>
      <w:pPr>
        <w:ind w:left="880" w:right="180" w:hanging="838"/>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309">
        <w:r>
          <w:rPr>
            <w:rFonts w:ascii="Arial" w:cs="Arial" w:eastAsia="Arial" w:hAnsi="Arial"/>
            <w:sz w:val="18"/>
            <w:szCs w:val="18"/>
            <w:u w:val="single" w:color="auto"/>
            <w:color w:val="0000FF"/>
          </w:rPr>
          <w:t>Second Amendment to the Loan and Security Agreement, dated</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September 17, 2021, by and among Hercules Capital and the</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Registrant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-271780</wp:posOffset>
            </wp:positionV>
            <wp:extent cx="32772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32772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-143510</wp:posOffset>
            </wp:positionV>
            <wp:extent cx="31375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-14605</wp:posOffset>
            </wp:positionV>
            <wp:extent cx="5207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520700" cy="8255"/>
                    </a:xfrm>
                    <a:prstGeom prst="rect">
                      <a:avLst/>
                    </a:prstGeom>
                    <a:noFill/>
                  </pic:spPr>
                </pic:pic>
              </a:graphicData>
            </a:graphic>
          </wp:anchor>
        </w:drawing>
      </w:r>
    </w:p>
    <w:p>
      <w:pPr>
        <w:jc w:val="both"/>
        <w:ind w:left="880" w:right="260" w:hanging="888"/>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313">
        <w:r>
          <w:rPr>
            <w:rFonts w:ascii="Arial" w:cs="Arial" w:eastAsia="Arial" w:hAnsi="Arial"/>
            <w:sz w:val="18"/>
            <w:szCs w:val="18"/>
            <w:u w:val="single" w:color="auto"/>
            <w:color w:val="0000FF"/>
          </w:rPr>
          <w:t>Joinder and Waiver Agreement dated October 31, 2022 by and</w:t>
        </w:r>
      </w:hyperlink>
      <w:r>
        <w:rPr>
          <w:rFonts w:ascii="Arial" w:cs="Arial" w:eastAsia="Arial" w:hAnsi="Arial"/>
          <w:sz w:val="18"/>
          <w:szCs w:val="18"/>
          <w:u w:val="single" w:color="auto"/>
          <w:color w:val="0000FF"/>
        </w:rPr>
        <w:t xml:space="preserve"> </w:t>
      </w:r>
      <w:hyperlink r:id="rId313">
        <w:r>
          <w:rPr>
            <w:rFonts w:ascii="Arial" w:cs="Arial" w:eastAsia="Arial" w:hAnsi="Arial"/>
            <w:sz w:val="18"/>
            <w:szCs w:val="18"/>
            <w:u w:val="single" w:color="auto"/>
            <w:color w:val="0000FF"/>
          </w:rPr>
          <w:t>among Hercules Capital, CO Finance LVS XXXVII LLC and the</w:t>
        </w:r>
      </w:hyperlink>
      <w:r>
        <w:rPr>
          <w:rFonts w:ascii="Arial" w:cs="Arial" w:eastAsia="Arial" w:hAnsi="Arial"/>
          <w:sz w:val="18"/>
          <w:szCs w:val="18"/>
          <w:u w:val="single" w:color="auto"/>
          <w:color w:val="0000FF"/>
        </w:rPr>
        <w:t xml:space="preserve"> </w:t>
      </w:r>
      <w:hyperlink r:id="rId313">
        <w:r>
          <w:rPr>
            <w:rFonts w:ascii="Arial" w:cs="Arial" w:eastAsia="Arial" w:hAnsi="Arial"/>
            <w:sz w:val="18"/>
            <w:szCs w:val="18"/>
            <w:u w:val="single" w:color="auto"/>
            <w:color w:val="0000FF"/>
          </w:rPr>
          <w:t>Registrant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-271780</wp:posOffset>
            </wp:positionV>
            <wp:extent cx="32137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32137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-143510</wp:posOffset>
            </wp:positionV>
            <wp:extent cx="32258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322580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-14605</wp:posOffset>
            </wp:positionV>
            <wp:extent cx="5207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520700" cy="8255"/>
                    </a:xfrm>
                    <a:prstGeom prst="rect">
                      <a:avLst/>
                    </a:prstGeom>
                    <a:noFill/>
                  </pic:spPr>
                </pic:pic>
              </a:graphicData>
            </a:graphic>
          </wp:anchor>
        </w:drawing>
      </w:r>
    </w:p>
    <w:p>
      <w:pPr>
        <w:spacing w:after="0"/>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10.24^</w:t>
      </w:r>
      <w:r>
        <w:rPr>
          <w:sz w:val="20"/>
          <w:szCs w:val="20"/>
          <w:color w:val="auto"/>
        </w:rPr>
        <w:tab/>
      </w:r>
      <w:hyperlink r:id="rId317">
        <w:r>
          <w:rPr>
            <w:rFonts w:ascii="Arial" w:cs="Arial" w:eastAsia="Arial" w:hAnsi="Arial"/>
            <w:sz w:val="17"/>
            <w:szCs w:val="17"/>
            <w:u w:val="single" w:color="auto"/>
            <w:color w:val="0000FF"/>
          </w:rPr>
          <w:t>Third Amendment to the Loan and Security Agreement, dated May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-15875</wp:posOffset>
            </wp:positionV>
            <wp:extent cx="339788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3397885" cy="8255"/>
                    </a:xfrm>
                    <a:prstGeom prst="rect">
                      <a:avLst/>
                    </a:prstGeom>
                    <a:noFill/>
                  </pic:spPr>
                </pic:pic>
              </a:graphicData>
            </a:graphic>
          </wp:anchor>
        </w:drawing>
      </w:r>
    </w:p>
    <w:p>
      <w:pPr>
        <w:ind w:left="880"/>
        <w:spacing w:after="0" w:line="235" w:lineRule="auto"/>
        <w:rPr>
          <w:rFonts w:ascii="Arial" w:cs="Arial" w:eastAsia="Arial" w:hAnsi="Arial"/>
          <w:sz w:val="18"/>
          <w:szCs w:val="18"/>
          <w:u w:val="single" w:color="auto"/>
          <w:color w:val="0000FF"/>
        </w:rPr>
      </w:pPr>
      <w:hyperlink r:id="rId317">
        <w:r>
          <w:rPr>
            <w:rFonts w:ascii="Arial" w:cs="Arial" w:eastAsia="Arial" w:hAnsi="Arial"/>
            <w:sz w:val="18"/>
            <w:szCs w:val="18"/>
            <w:u w:val="single" w:color="auto"/>
            <w:color w:val="0000FF"/>
          </w:rPr>
          <w:t>9, 2023, by and among Hercules Capital and the Registrant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-15875</wp:posOffset>
            </wp:positionV>
            <wp:extent cx="30041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3004185" cy="8255"/>
                    </a:xfrm>
                    <a:prstGeom prst="rect">
                      <a:avLst/>
                    </a:prstGeom>
                    <a:noFill/>
                  </pic:spPr>
                </pic:pic>
              </a:graphicData>
            </a:graphic>
          </wp:anchor>
        </w:drawing>
      </w:r>
    </w:p>
    <w:p>
      <w:pPr>
        <w:ind w:left="880" w:right="120" w:hanging="880"/>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320">
        <w:r>
          <w:rPr>
            <w:rFonts w:ascii="Arial" w:cs="Arial" w:eastAsia="Arial" w:hAnsi="Arial"/>
            <w:sz w:val="18"/>
            <w:szCs w:val="18"/>
            <w:u w:val="single" w:color="auto"/>
            <w:color w:val="0000FF"/>
          </w:rPr>
          <w:t>First Amendment to Vonoprazan Commercial Supply Agreement,</w:t>
        </w:r>
      </w:hyperlink>
      <w:r>
        <w:rPr>
          <w:rFonts w:ascii="Arial" w:cs="Arial" w:eastAsia="Arial" w:hAnsi="Arial"/>
          <w:sz w:val="18"/>
          <w:szCs w:val="18"/>
          <w:u w:val="single" w:color="auto"/>
          <w:color w:val="0000FF"/>
        </w:rPr>
        <w:t xml:space="preserve"> </w:t>
      </w:r>
      <w:hyperlink r:id="rId320">
        <w:r>
          <w:rPr>
            <w:rFonts w:ascii="Arial" w:cs="Arial" w:eastAsia="Arial" w:hAnsi="Arial"/>
            <w:sz w:val="18"/>
            <w:szCs w:val="18"/>
            <w:u w:val="single" w:color="auto"/>
            <w:color w:val="0000FF"/>
          </w:rPr>
          <w:t>dated August 1, 2022, by and among Evonik Operations GmbH</w:t>
        </w:r>
      </w:hyperlink>
      <w:r>
        <w:rPr>
          <w:rFonts w:ascii="Arial" w:cs="Arial" w:eastAsia="Arial" w:hAnsi="Arial"/>
          <w:sz w:val="18"/>
          <w:szCs w:val="18"/>
          <w:u w:val="single" w:color="auto"/>
          <w:color w:val="0000FF"/>
        </w:rPr>
        <w:t xml:space="preserve"> </w:t>
      </w:r>
      <w:hyperlink r:id="rId320">
        <w:r>
          <w:rPr>
            <w:rFonts w:ascii="Arial" w:cs="Arial" w:eastAsia="Arial" w:hAnsi="Arial"/>
            <w:sz w:val="18"/>
            <w:szCs w:val="18"/>
            <w:u w:val="single" w:color="auto"/>
            <w:color w:val="0000FF"/>
          </w:rPr>
          <w:t>and the Registrant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-271780</wp:posOffset>
            </wp:positionV>
            <wp:extent cx="33210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1">
                      <a:extLst>
                        <a:ext uri="{28A0092B-C50C-407E-A947-70E740481C1C}"/>
                      </a:extLst>
                    </a:blip>
                    <a:srcRect/>
                    <a:stretch>
                      <a:fillRect/>
                    </a:stretch>
                  </pic:blipFill>
                  <pic:spPr bwMode="auto">
                    <a:xfrm>
                      <a:off x="0" y="0"/>
                      <a:ext cx="332105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-143510</wp:posOffset>
            </wp:positionV>
            <wp:extent cx="32327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2">
                      <a:extLst>
                        <a:ext uri="{28A0092B-C50C-407E-A947-70E740481C1C}"/>
                      </a:extLst>
                    </a:blip>
                    <a:srcRect/>
                    <a:stretch>
                      <a:fillRect/>
                    </a:stretch>
                  </pic:blipFill>
                  <pic:spPr bwMode="auto">
                    <a:xfrm>
                      <a:off x="0" y="0"/>
                      <a:ext cx="323278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-14605</wp:posOffset>
            </wp:positionV>
            <wp:extent cx="9334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jc w:val="both"/>
        <w:ind w:left="880" w:right="100" w:hanging="888"/>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324">
        <w:r>
          <w:rPr>
            <w:rFonts w:ascii="Arial" w:cs="Arial" w:eastAsia="Arial" w:hAnsi="Arial"/>
            <w:sz w:val="18"/>
            <w:szCs w:val="18"/>
            <w:u w:val="single" w:color="auto"/>
            <w:color w:val="0000FF"/>
          </w:rPr>
          <w:t>First Amendment to the Commercial Supply Agreement, dated as</w:t>
        </w:r>
      </w:hyperlink>
      <w:r>
        <w:rPr>
          <w:rFonts w:ascii="Arial" w:cs="Arial" w:eastAsia="Arial" w:hAnsi="Arial"/>
          <w:sz w:val="18"/>
          <w:szCs w:val="18"/>
          <w:u w:val="single" w:color="auto"/>
          <w:color w:val="0000FF"/>
        </w:rPr>
        <w:t xml:space="preserve"> </w:t>
      </w:r>
      <w:hyperlink r:id="rId324">
        <w:r>
          <w:rPr>
            <w:rFonts w:ascii="Arial" w:cs="Arial" w:eastAsia="Arial" w:hAnsi="Arial"/>
            <w:sz w:val="18"/>
            <w:szCs w:val="18"/>
            <w:u w:val="single" w:color="auto"/>
            <w:color w:val="0000FF"/>
          </w:rPr>
          <w:t>of December 6, 2023, by and among Catalent Pharma Solutions,</w:t>
        </w:r>
      </w:hyperlink>
      <w:r>
        <w:rPr>
          <w:rFonts w:ascii="Arial" w:cs="Arial" w:eastAsia="Arial" w:hAnsi="Arial"/>
          <w:sz w:val="18"/>
          <w:szCs w:val="18"/>
          <w:u w:val="single" w:color="auto"/>
          <w:color w:val="0000FF"/>
        </w:rPr>
        <w:t xml:space="preserve"> </w:t>
      </w:r>
      <w:hyperlink r:id="rId324">
        <w:r>
          <w:rPr>
            <w:rFonts w:ascii="Arial" w:cs="Arial" w:eastAsia="Arial" w:hAnsi="Arial"/>
            <w:sz w:val="18"/>
            <w:szCs w:val="18"/>
            <w:u w:val="single" w:color="auto"/>
            <w:color w:val="0000FF"/>
          </w:rPr>
          <w:t>LLC and the Registrant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-271780</wp:posOffset>
            </wp:positionV>
            <wp:extent cx="333375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5">
                      <a:extLst>
                        <a:ext uri="{28A0092B-C50C-407E-A947-70E740481C1C}"/>
                      </a:extLst>
                    </a:blip>
                    <a:srcRect/>
                    <a:stretch>
                      <a:fillRect/>
                    </a:stretch>
                  </pic:blipFill>
                  <pic:spPr bwMode="auto">
                    <a:xfrm>
                      <a:off x="0" y="0"/>
                      <a:ext cx="333375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-143510</wp:posOffset>
            </wp:positionV>
            <wp:extent cx="330898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6">
                      <a:extLst>
                        <a:ext uri="{28A0092B-C50C-407E-A947-70E740481C1C}"/>
                      </a:extLst>
                    </a:blip>
                    <a:srcRect/>
                    <a:stretch>
                      <a:fillRect/>
                    </a:stretch>
                  </pic:blipFill>
                  <pic:spPr bwMode="auto">
                    <a:xfrm>
                      <a:off x="0" y="0"/>
                      <a:ext cx="330898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-14605</wp:posOffset>
            </wp:positionV>
            <wp:extent cx="11747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7">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ind w:left="880" w:right="280" w:hanging="880"/>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328">
        <w:r>
          <w:rPr>
            <w:rFonts w:ascii="Arial" w:cs="Arial" w:eastAsia="Arial" w:hAnsi="Arial"/>
            <w:sz w:val="18"/>
            <w:szCs w:val="18"/>
            <w:u w:val="single" w:color="auto"/>
            <w:color w:val="0000FF"/>
          </w:rPr>
          <w:t>Fourth Amendment to the Loan and Security Agreement, dated</w:t>
        </w:r>
      </w:hyperlink>
      <w:r>
        <w:rPr>
          <w:rFonts w:ascii="Arial" w:cs="Arial" w:eastAsia="Arial" w:hAnsi="Arial"/>
          <w:sz w:val="18"/>
          <w:szCs w:val="18"/>
          <w:u w:val="single" w:color="auto"/>
          <w:color w:val="0000FF"/>
        </w:rPr>
        <w:t xml:space="preserve"> </w:t>
      </w:r>
      <w:hyperlink r:id="rId328">
        <w:r>
          <w:rPr>
            <w:rFonts w:ascii="Arial" w:cs="Arial" w:eastAsia="Arial" w:hAnsi="Arial"/>
            <w:sz w:val="18"/>
            <w:szCs w:val="18"/>
            <w:u w:val="single" w:color="auto"/>
            <w:color w:val="0000FF"/>
          </w:rPr>
          <w:t>December 14, 2023, by and among Hercules Capital and the</w:t>
        </w:r>
      </w:hyperlink>
      <w:r>
        <w:rPr>
          <w:rFonts w:ascii="Arial" w:cs="Arial" w:eastAsia="Arial" w:hAnsi="Arial"/>
          <w:sz w:val="18"/>
          <w:szCs w:val="18"/>
          <w:u w:val="single" w:color="auto"/>
          <w:color w:val="0000FF"/>
        </w:rPr>
        <w:t xml:space="preserve"> </w:t>
      </w:r>
      <w:hyperlink r:id="rId328">
        <w:r>
          <w:rPr>
            <w:rFonts w:ascii="Arial" w:cs="Arial" w:eastAsia="Arial" w:hAnsi="Arial"/>
            <w:sz w:val="18"/>
            <w:szCs w:val="18"/>
            <w:u w:val="single" w:color="auto"/>
            <w:color w:val="0000FF"/>
          </w:rPr>
          <w:t>Registrant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-271780</wp:posOffset>
            </wp:positionV>
            <wp:extent cx="322008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9">
                      <a:extLst>
                        <a:ext uri="{28A0092B-C50C-407E-A947-70E740481C1C}"/>
                      </a:extLst>
                    </a:blip>
                    <a:srcRect/>
                    <a:stretch>
                      <a:fillRect/>
                    </a:stretch>
                  </pic:blipFill>
                  <pic:spPr bwMode="auto">
                    <a:xfrm>
                      <a:off x="0" y="0"/>
                      <a:ext cx="322008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-143510</wp:posOffset>
            </wp:positionV>
            <wp:extent cx="310578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3105785"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-14605</wp:posOffset>
            </wp:positionV>
            <wp:extent cx="520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520700" cy="8890"/>
                    </a:xfrm>
                    <a:prstGeom prst="rect">
                      <a:avLst/>
                    </a:prstGeom>
                    <a:noFill/>
                  </pic:spPr>
                </pic:pic>
              </a:graphicData>
            </a:graphic>
          </wp:anchor>
        </w:drawing>
      </w:r>
    </w:p>
    <w:p>
      <w:pPr>
        <w:spacing w:after="0"/>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10.28#</w:t>
      </w:r>
      <w:r>
        <w:rPr>
          <w:sz w:val="20"/>
          <w:szCs w:val="20"/>
          <w:color w:val="auto"/>
        </w:rPr>
        <w:tab/>
      </w:r>
      <w:hyperlink r:id="rId332">
        <w:r>
          <w:rPr>
            <w:rFonts w:ascii="Arial" w:cs="Arial" w:eastAsia="Arial" w:hAnsi="Arial"/>
            <w:sz w:val="17"/>
            <w:szCs w:val="17"/>
            <w:u w:val="single" w:color="auto"/>
            <w:color w:val="0000FF"/>
          </w:rPr>
          <w:t>Phathom Pharmaceuticals Inc. 2024 Bonus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-15875</wp:posOffset>
            </wp:positionV>
            <wp:extent cx="24517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ind w:left="880" w:right="100" w:hanging="888"/>
        <w:spacing w:after="0" w:line="242"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334">
        <w:r>
          <w:rPr>
            <w:rFonts w:ascii="Arial" w:cs="Arial" w:eastAsia="Arial" w:hAnsi="Arial"/>
            <w:sz w:val="18"/>
            <w:szCs w:val="18"/>
            <w:u w:val="single" w:color="auto"/>
            <w:color w:val="0000FF"/>
          </w:rPr>
          <w:t>Letter Agreement to Vonoprazan Commercial Supply Agreement,</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dated September 4, 2024, by and among Evonik Operations</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GmbH and the Registrant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-285115</wp:posOffset>
            </wp:positionV>
            <wp:extent cx="33337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5">
                      <a:extLst>
                        <a:ext uri="{28A0092B-C50C-407E-A947-70E740481C1C}"/>
                      </a:extLst>
                    </a:blip>
                    <a:srcRect/>
                    <a:stretch>
                      <a:fillRect/>
                    </a:stretch>
                  </pic:blipFill>
                  <pic:spPr bwMode="auto">
                    <a:xfrm>
                      <a:off x="0" y="0"/>
                      <a:ext cx="333375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-156210</wp:posOffset>
            </wp:positionV>
            <wp:extent cx="30740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6">
                      <a:extLst>
                        <a:ext uri="{28A0092B-C50C-407E-A947-70E740481C1C}"/>
                      </a:extLst>
                    </a:blip>
                    <a:srcRect/>
                    <a:stretch>
                      <a:fillRect/>
                    </a:stretch>
                  </pic:blipFill>
                  <pic:spPr bwMode="auto">
                    <a:xfrm>
                      <a:off x="0" y="0"/>
                      <a:ext cx="3074035"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-27940</wp:posOffset>
            </wp:positionV>
            <wp:extent cx="12954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7">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60" w:lineRule="exact"/>
        <w:rPr>
          <w:rFonts w:ascii="Arial" w:cs="Arial" w:eastAsia="Arial" w:hAnsi="Arial"/>
          <w:sz w:val="18"/>
          <w:szCs w:val="18"/>
          <w:u w:val="single" w:color="auto"/>
          <w:color w:val="0000FF"/>
        </w:rPr>
      </w:pPr>
    </w:p>
    <w:p>
      <w:pPr>
        <w:ind w:left="524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-159385</wp:posOffset>
            </wp:positionH>
            <wp:positionV relativeFrom="paragraph">
              <wp:posOffset>621665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9"/>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9-30-2019</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6"/>
              </w:rPr>
              <w:t>10.9</w:t>
            </w:r>
          </w:p>
        </w:tc>
      </w:tr>
      <w:tr>
        <w:trPr>
          <w:trHeight w:val="608"/>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9-30-2019</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rPr>
              <w:t>10.11</w:t>
            </w:r>
          </w:p>
        </w:tc>
      </w:tr>
      <w:tr>
        <w:trPr>
          <w:trHeight w:val="243"/>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9-30-2019</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rPr>
              <w:t>10.12</w:t>
            </w:r>
          </w:p>
        </w:tc>
      </w:tr>
      <w:tr>
        <w:trPr>
          <w:trHeight w:val="405"/>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9-30-2019</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rPr>
              <w:t>10.14</w:t>
            </w:r>
          </w:p>
        </w:tc>
      </w:tr>
      <w:tr>
        <w:trPr>
          <w:trHeight w:val="405"/>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3-30-2021</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rPr>
              <w:t>10.20</w:t>
            </w:r>
          </w:p>
        </w:tc>
      </w:tr>
      <w:tr>
        <w:trPr>
          <w:trHeight w:val="405"/>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3-30-2021</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rPr>
              <w:t>10.21</w:t>
            </w:r>
          </w:p>
        </w:tc>
      </w:tr>
      <w:tr>
        <w:trPr>
          <w:trHeight w:val="405"/>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8-10-2021</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6"/>
              </w:rPr>
              <w:t>10.4</w:t>
            </w:r>
          </w:p>
        </w:tc>
      </w:tr>
      <w:tr>
        <w:trPr>
          <w:trHeight w:val="405"/>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11-8-2021</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6"/>
              </w:rPr>
              <w:t>10.1</w:t>
            </w:r>
          </w:p>
        </w:tc>
      </w:tr>
      <w:tr>
        <w:trPr>
          <w:trHeight w:val="405"/>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3-1-2022</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rPr>
              <w:t>10.30</w:t>
            </w:r>
          </w:p>
        </w:tc>
      </w:tr>
      <w:tr>
        <w:trPr>
          <w:trHeight w:val="608"/>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5-10-2022</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6"/>
              </w:rPr>
              <w:t>10.1</w:t>
            </w:r>
          </w:p>
        </w:tc>
      </w:tr>
      <w:tr>
        <w:trPr>
          <w:trHeight w:val="405"/>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8-1-2022</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6"/>
              </w:rPr>
              <w:t>10.2</w:t>
            </w:r>
          </w:p>
        </w:tc>
      </w:tr>
    </w:tbl>
    <w:p>
      <w:pPr>
        <w:spacing w:after="0" w:line="369"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39"/>
        </w:trPr>
        <w:tc>
          <w:tcPr>
            <w:tcW w:w="660" w:type="dxa"/>
            <w:vAlign w:val="bottom"/>
          </w:tcPr>
          <w:p>
            <w:pPr>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8-1-2022</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6"/>
              </w:rPr>
              <w:t>10.4</w:t>
            </w:r>
          </w:p>
        </w:tc>
      </w:tr>
      <w:tr>
        <w:trPr>
          <w:trHeight w:val="608"/>
        </w:trPr>
        <w:tc>
          <w:tcPr>
            <w:tcW w:w="660" w:type="dxa"/>
            <w:vAlign w:val="bottom"/>
          </w:tcPr>
          <w:p>
            <w:pPr>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11-9-2022</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6"/>
              </w:rPr>
              <w:t>10.1</w:t>
            </w:r>
          </w:p>
        </w:tc>
      </w:tr>
      <w:tr>
        <w:trPr>
          <w:trHeight w:val="405"/>
        </w:trPr>
        <w:tc>
          <w:tcPr>
            <w:tcW w:w="660" w:type="dxa"/>
            <w:vAlign w:val="bottom"/>
          </w:tcPr>
          <w:p>
            <w:pPr>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11-9-2022</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6"/>
              </w:rPr>
              <w:t>10.2</w:t>
            </w:r>
          </w:p>
        </w:tc>
      </w:tr>
      <w:tr>
        <w:trPr>
          <w:trHeight w:val="608"/>
        </w:trPr>
        <w:tc>
          <w:tcPr>
            <w:tcW w:w="660" w:type="dxa"/>
            <w:vAlign w:val="bottom"/>
          </w:tcPr>
          <w:p>
            <w:pPr>
              <w:ind w:left="20"/>
              <w:spacing w:after="0"/>
              <w:rPr>
                <w:sz w:val="20"/>
                <w:szCs w:val="20"/>
                <w:color w:val="auto"/>
              </w:rPr>
            </w:pPr>
            <w:r>
              <w:rPr>
                <w:rFonts w:ascii="Arial" w:cs="Arial" w:eastAsia="Arial" w:hAnsi="Arial"/>
                <w:sz w:val="18"/>
                <w:szCs w:val="18"/>
                <w:color w:val="auto"/>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2-28-2023</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rPr>
              <w:t>10.37</w:t>
            </w:r>
          </w:p>
        </w:tc>
      </w:tr>
      <w:tr>
        <w:trPr>
          <w:trHeight w:val="607"/>
        </w:trPr>
        <w:tc>
          <w:tcPr>
            <w:tcW w:w="660" w:type="dxa"/>
            <w:vAlign w:val="bottom"/>
          </w:tcPr>
          <w:p>
            <w:pPr>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5-10-2023</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6"/>
              </w:rPr>
              <w:t>10.1</w:t>
            </w:r>
          </w:p>
        </w:tc>
      </w:tr>
      <w:tr>
        <w:trPr>
          <w:trHeight w:val="405"/>
        </w:trPr>
        <w:tc>
          <w:tcPr>
            <w:tcW w:w="660" w:type="dxa"/>
            <w:vAlign w:val="bottom"/>
          </w:tcPr>
          <w:p>
            <w:pPr>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8-10-2023</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6"/>
              </w:rPr>
              <w:t>10.1</w:t>
            </w:r>
          </w:p>
        </w:tc>
      </w:tr>
      <w:tr>
        <w:trPr>
          <w:trHeight w:val="608"/>
        </w:trPr>
        <w:tc>
          <w:tcPr>
            <w:tcW w:w="660" w:type="dxa"/>
            <w:vAlign w:val="bottom"/>
          </w:tcPr>
          <w:p>
            <w:pPr>
              <w:ind w:left="20"/>
              <w:spacing w:after="0"/>
              <w:rPr>
                <w:sz w:val="20"/>
                <w:szCs w:val="20"/>
                <w:color w:val="auto"/>
              </w:rPr>
            </w:pPr>
            <w:r>
              <w:rPr>
                <w:rFonts w:ascii="Arial" w:cs="Arial" w:eastAsia="Arial" w:hAnsi="Arial"/>
                <w:sz w:val="18"/>
                <w:szCs w:val="18"/>
                <w:color w:val="auto"/>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3-7-2024</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rPr>
              <w:t>10.26</w:t>
            </w:r>
          </w:p>
        </w:tc>
      </w:tr>
      <w:tr>
        <w:trPr>
          <w:trHeight w:val="608"/>
        </w:trPr>
        <w:tc>
          <w:tcPr>
            <w:tcW w:w="660" w:type="dxa"/>
            <w:vAlign w:val="bottom"/>
          </w:tcPr>
          <w:p>
            <w:pPr>
              <w:ind w:left="20"/>
              <w:spacing w:after="0"/>
              <w:rPr>
                <w:sz w:val="20"/>
                <w:szCs w:val="20"/>
                <w:color w:val="auto"/>
              </w:rPr>
            </w:pPr>
            <w:r>
              <w:rPr>
                <w:rFonts w:ascii="Arial" w:cs="Arial" w:eastAsia="Arial" w:hAnsi="Arial"/>
                <w:sz w:val="18"/>
                <w:szCs w:val="18"/>
                <w:color w:val="auto"/>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3-7-2024</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rPr>
              <w:t>10.27</w:t>
            </w:r>
          </w:p>
        </w:tc>
      </w:tr>
      <w:tr>
        <w:trPr>
          <w:trHeight w:val="571"/>
        </w:trPr>
        <w:tc>
          <w:tcPr>
            <w:tcW w:w="660" w:type="dxa"/>
            <w:vAlign w:val="bottom"/>
          </w:tcPr>
          <w:p>
            <w:pPr>
              <w:ind w:left="20"/>
              <w:spacing w:after="0"/>
              <w:rPr>
                <w:sz w:val="20"/>
                <w:szCs w:val="20"/>
                <w:color w:val="auto"/>
              </w:rPr>
            </w:pPr>
            <w:r>
              <w:rPr>
                <w:rFonts w:ascii="Arial" w:cs="Arial" w:eastAsia="Arial" w:hAnsi="Arial"/>
                <w:sz w:val="18"/>
                <w:szCs w:val="18"/>
                <w:color w:val="auto"/>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3-7-2024</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rPr>
              <w:t>10.28</w:t>
            </w:r>
          </w:p>
        </w:tc>
      </w:tr>
      <w:tr>
        <w:trPr>
          <w:trHeight w:val="239"/>
        </w:trPr>
        <w:tc>
          <w:tcPr>
            <w:tcW w:w="660" w:type="dxa"/>
            <w:vAlign w:val="bottom"/>
          </w:tcPr>
          <w:p>
            <w:pPr>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11-7-2024</w:t>
            </w: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96"/>
              </w:rPr>
              <w:t>10.1</w:t>
            </w:r>
          </w:p>
        </w:tc>
      </w:tr>
    </w:tbl>
    <w:p>
      <w:pPr>
        <w:sectPr>
          <w:pgSz w:w="11900" w:h="16838" w:orient="portrait"/>
          <w:cols w:equalWidth="0" w:num="2">
            <w:col w:w="6180" w:space="400"/>
            <w:col w:w="3960"/>
          </w:cols>
          <w:pgMar w:left="560" w:top="985" w:right="799" w:bottom="1440" w:gutter="0" w:footer="0" w:header="0"/>
        </w:sectPr>
      </w:pPr>
    </w:p>
    <w:bookmarkStart w:id="130" w:name="page131"/>
    <w:bookmarkEnd w:id="130"/>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860" w:type="dxa"/>
            <w:vAlign w:val="bottom"/>
          </w:tcPr>
          <w:p>
            <w:pPr>
              <w:jc w:val="center"/>
              <w:ind w:right="3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7"/>
                <w:szCs w:val="17"/>
                <w:color w:val="auto"/>
              </w:rPr>
            </w:pPr>
          </w:p>
        </w:tc>
        <w:tc>
          <w:tcPr>
            <w:tcW w:w="5340" w:type="dxa"/>
            <w:vAlign w:val="bottom"/>
            <w:gridSpan w:val="33"/>
          </w:tcPr>
          <w:p>
            <w:pPr>
              <w:spacing w:after="0"/>
              <w:rPr>
                <w:rFonts w:ascii="Arial" w:cs="Arial" w:eastAsia="Arial" w:hAnsi="Arial"/>
                <w:sz w:val="18"/>
                <w:szCs w:val="18"/>
                <w:color w:val="0000FF"/>
              </w:rPr>
            </w:pPr>
            <w:hyperlink r:id="rId339">
              <w:r>
                <w:rPr>
                  <w:rFonts w:ascii="Arial" w:cs="Arial" w:eastAsia="Arial" w:hAnsi="Arial"/>
                  <w:sz w:val="18"/>
                  <w:szCs w:val="18"/>
                  <w:color w:val="0000FF"/>
                </w:rPr>
                <w:t>Joinder Agreement dated December 23, 2024 by and among CO</w:t>
              </w:r>
            </w:hyperlink>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3-6-2025</w:t>
            </w:r>
          </w:p>
        </w:tc>
        <w:tc>
          <w:tcPr>
            <w:tcW w:w="1880" w:type="dxa"/>
            <w:vAlign w:val="bottom"/>
          </w:tcPr>
          <w:p>
            <w:pPr>
              <w:jc w:val="center"/>
              <w:ind w:right="772"/>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183"/>
        </w:trPr>
        <w:tc>
          <w:tcPr>
            <w:tcW w:w="860" w:type="dxa"/>
            <w:vAlign w:val="bottom"/>
            <w:vMerge w:val="restart"/>
          </w:tcPr>
          <w:p>
            <w:pPr>
              <w:jc w:val="center"/>
              <w:ind w:right="30"/>
              <w:spacing w:after="0"/>
              <w:rPr>
                <w:sz w:val="20"/>
                <w:szCs w:val="20"/>
                <w:color w:val="auto"/>
              </w:rPr>
            </w:pPr>
            <w:r>
              <w:rPr>
                <w:rFonts w:ascii="Arial" w:cs="Arial" w:eastAsia="Arial" w:hAnsi="Arial"/>
                <w:sz w:val="18"/>
                <w:szCs w:val="18"/>
                <w:color w:val="auto"/>
                <w:w w:val="98"/>
              </w:rPr>
              <w:t>10.31#</w:t>
            </w:r>
          </w:p>
        </w:tc>
        <w:tc>
          <w:tcPr>
            <w:tcW w:w="140" w:type="dxa"/>
            <w:vAlign w:val="bottom"/>
          </w:tcPr>
          <w:p>
            <w:pPr>
              <w:spacing w:after="0"/>
              <w:rPr>
                <w:sz w:val="15"/>
                <w:szCs w:val="15"/>
                <w:color w:val="auto"/>
              </w:rPr>
            </w:pPr>
          </w:p>
        </w:tc>
        <w:tc>
          <w:tcPr>
            <w:tcW w:w="328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339">
              <w:r>
                <w:rPr>
                  <w:rFonts w:ascii="Arial" w:cs="Arial" w:eastAsia="Arial" w:hAnsi="Arial"/>
                  <w:sz w:val="18"/>
                  <w:szCs w:val="18"/>
                  <w:color w:val="0000FF"/>
                  <w:w w:val="99"/>
                </w:rPr>
                <w:t>Finance III LVS LX LP and the Registrant</w:t>
              </w:r>
            </w:hyperlink>
          </w:p>
        </w:tc>
        <w:tc>
          <w:tcPr>
            <w:tcW w:w="40" w:type="dxa"/>
            <w:vAlign w:val="bottom"/>
            <w:tcBorders>
              <w:top w:val="single" w:sz="8" w:color="0000FF"/>
              <w:bottom w:val="single" w:sz="8" w:color="0000EE"/>
            </w:tcBorders>
          </w:tcPr>
          <w:p>
            <w:pPr>
              <w:spacing w:after="0"/>
              <w:rPr>
                <w:sz w:val="15"/>
                <w:szCs w:val="15"/>
                <w:color w:val="auto"/>
              </w:rPr>
            </w:pPr>
          </w:p>
        </w:tc>
        <w:tc>
          <w:tcPr>
            <w:tcW w:w="196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vMerge w:val="restart"/>
          </w:tcPr>
          <w:p>
            <w:pPr>
              <w:jc w:val="center"/>
              <w:ind w:left="10"/>
              <w:spacing w:after="0"/>
              <w:rPr>
                <w:sz w:val="20"/>
                <w:szCs w:val="20"/>
                <w:color w:val="auto"/>
              </w:rPr>
            </w:pPr>
            <w:r>
              <w:rPr>
                <w:rFonts w:ascii="Arial" w:cs="Arial" w:eastAsia="Arial" w:hAnsi="Arial"/>
                <w:sz w:val="18"/>
                <w:szCs w:val="18"/>
                <w:color w:val="auto"/>
                <w:w w:val="99"/>
              </w:rPr>
              <w:t>S-8</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4-3-2025</w:t>
            </w:r>
          </w:p>
        </w:tc>
        <w:tc>
          <w:tcPr>
            <w:tcW w:w="1880" w:type="dxa"/>
            <w:vAlign w:val="bottom"/>
            <w:vMerge w:val="restart"/>
          </w:tcPr>
          <w:p>
            <w:pPr>
              <w:jc w:val="center"/>
              <w:ind w:right="772"/>
              <w:spacing w:after="0"/>
              <w:rPr>
                <w:sz w:val="20"/>
                <w:szCs w:val="20"/>
                <w:color w:val="auto"/>
              </w:rPr>
            </w:pPr>
            <w:r>
              <w:rPr>
                <w:rFonts w:ascii="Arial" w:cs="Arial" w:eastAsia="Arial" w:hAnsi="Arial"/>
                <w:sz w:val="18"/>
                <w:szCs w:val="18"/>
                <w:color w:val="auto"/>
                <w:w w:val="96"/>
              </w:rPr>
              <w:t>10.1</w:t>
            </w: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340" w:type="dxa"/>
            <w:vAlign w:val="bottom"/>
            <w:gridSpan w:val="33"/>
          </w:tcPr>
          <w:p>
            <w:pPr>
              <w:spacing w:after="0" w:line="182" w:lineRule="exact"/>
              <w:rPr>
                <w:rFonts w:ascii="Arial" w:cs="Arial" w:eastAsia="Arial" w:hAnsi="Arial"/>
                <w:sz w:val="18"/>
                <w:szCs w:val="18"/>
                <w:color w:val="0000FF"/>
              </w:rPr>
            </w:pPr>
            <w:hyperlink r:id="rId340">
              <w:r>
                <w:rPr>
                  <w:rFonts w:ascii="Arial" w:cs="Arial" w:eastAsia="Arial" w:hAnsi="Arial"/>
                  <w:sz w:val="18"/>
                  <w:szCs w:val="18"/>
                  <w:color w:val="0000FF"/>
                </w:rPr>
                <w:t>Phathom Pharmaceuticals, Inc. 2025 Employment Inducement</w:t>
              </w:r>
            </w:hyperlink>
          </w:p>
        </w:tc>
        <w:tc>
          <w:tcPr>
            <w:tcW w:w="9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20" w:type="dxa"/>
            <w:vAlign w:val="bottom"/>
            <w:tcBorders>
              <w:top w:val="single" w:sz="8" w:color="0000FF"/>
              <w:bottom w:val="single" w:sz="8" w:color="0000FF"/>
            </w:tcBorders>
            <w:gridSpan w:val="27"/>
          </w:tcPr>
          <w:p>
            <w:pPr>
              <w:spacing w:after="0" w:line="182" w:lineRule="exact"/>
              <w:rPr>
                <w:rFonts w:ascii="Arial" w:cs="Arial" w:eastAsia="Arial" w:hAnsi="Arial"/>
                <w:sz w:val="18"/>
                <w:szCs w:val="18"/>
                <w:color w:val="0000FF"/>
                <w:w w:val="96"/>
              </w:rPr>
            </w:pPr>
            <w:hyperlink r:id="rId340">
              <w:r>
                <w:rPr>
                  <w:rFonts w:ascii="Arial" w:cs="Arial" w:eastAsia="Arial" w:hAnsi="Arial"/>
                  <w:sz w:val="18"/>
                  <w:szCs w:val="18"/>
                  <w:color w:val="0000FF"/>
                  <w:w w:val="96"/>
                </w:rPr>
                <w:t>Incentive Award Plan and related forms of stock option, restricted</w:t>
              </w:r>
            </w:hyperlink>
          </w:p>
        </w:tc>
        <w:tc>
          <w:tcPr>
            <w:tcW w:w="20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jc w:val="center"/>
              <w:ind w:right="30"/>
              <w:spacing w:after="0"/>
              <w:rPr>
                <w:sz w:val="20"/>
                <w:szCs w:val="20"/>
                <w:color w:val="auto"/>
              </w:rPr>
            </w:pPr>
            <w:r>
              <w:rPr>
                <w:rFonts w:ascii="Arial" w:cs="Arial" w:eastAsia="Arial" w:hAnsi="Arial"/>
                <w:sz w:val="18"/>
                <w:szCs w:val="18"/>
                <w:color w:val="auto"/>
                <w:w w:val="98"/>
              </w:rPr>
              <w:t>10.32#</w:t>
            </w:r>
          </w:p>
        </w:tc>
        <w:tc>
          <w:tcPr>
            <w:tcW w:w="140" w:type="dxa"/>
            <w:vAlign w:val="bottom"/>
          </w:tcPr>
          <w:p>
            <w:pPr>
              <w:spacing w:after="0"/>
              <w:rPr>
                <w:sz w:val="15"/>
                <w:szCs w:val="15"/>
                <w:color w:val="auto"/>
              </w:rPr>
            </w:pPr>
          </w:p>
        </w:tc>
        <w:tc>
          <w:tcPr>
            <w:tcW w:w="5240" w:type="dxa"/>
            <w:vAlign w:val="bottom"/>
            <w:gridSpan w:val="29"/>
          </w:tcPr>
          <w:p>
            <w:pPr>
              <w:spacing w:after="0" w:line="182" w:lineRule="exact"/>
              <w:rPr>
                <w:rFonts w:ascii="Arial" w:cs="Arial" w:eastAsia="Arial" w:hAnsi="Arial"/>
                <w:sz w:val="18"/>
                <w:szCs w:val="18"/>
                <w:color w:val="0000FF"/>
              </w:rPr>
            </w:pPr>
            <w:hyperlink r:id="rId340">
              <w:r>
                <w:rPr>
                  <w:rFonts w:ascii="Arial" w:cs="Arial" w:eastAsia="Arial" w:hAnsi="Arial"/>
                  <w:sz w:val="18"/>
                  <w:szCs w:val="18"/>
                  <w:color w:val="0000FF"/>
                </w:rPr>
                <w:t>stock unit and performance stock unit agreements thereunder</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vMerge w:val="restart"/>
          </w:tcPr>
          <w:p>
            <w:pPr>
              <w:jc w:val="center"/>
              <w:ind w:left="10"/>
              <w:spacing w:after="0"/>
              <w:rPr>
                <w:sz w:val="20"/>
                <w:szCs w:val="20"/>
                <w:color w:val="auto"/>
              </w:rPr>
            </w:pPr>
            <w:r>
              <w:rPr>
                <w:rFonts w:ascii="Arial" w:cs="Arial" w:eastAsia="Arial" w:hAnsi="Arial"/>
                <w:sz w:val="18"/>
                <w:szCs w:val="18"/>
                <w:color w:val="auto"/>
                <w:w w:val="99"/>
              </w:rPr>
              <w:t>10-Q</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5-1-2025</w:t>
            </w:r>
          </w:p>
        </w:tc>
        <w:tc>
          <w:tcPr>
            <w:tcW w:w="1880" w:type="dxa"/>
            <w:vAlign w:val="bottom"/>
            <w:vMerge w:val="restart"/>
          </w:tcPr>
          <w:p>
            <w:pPr>
              <w:jc w:val="center"/>
              <w:ind w:right="772"/>
              <w:spacing w:after="0"/>
              <w:rPr>
                <w:sz w:val="20"/>
                <w:szCs w:val="20"/>
                <w:color w:val="auto"/>
              </w:rPr>
            </w:pPr>
            <w:r>
              <w:rPr>
                <w:rFonts w:ascii="Arial" w:cs="Arial" w:eastAsia="Arial" w:hAnsi="Arial"/>
                <w:sz w:val="18"/>
                <w:szCs w:val="18"/>
                <w:color w:val="auto"/>
                <w:w w:val="96"/>
              </w:rPr>
              <w:t>10.1</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w w:val="98"/>
              </w:rPr>
            </w:pPr>
            <w:hyperlink r:id="rId341">
              <w:r>
                <w:rPr>
                  <w:rFonts w:ascii="Arial" w:cs="Arial" w:eastAsia="Arial" w:hAnsi="Arial"/>
                  <w:sz w:val="18"/>
                  <w:szCs w:val="18"/>
                  <w:color w:val="0000FF"/>
                  <w:w w:val="98"/>
                </w:rPr>
                <w:t>Employment Letter Agreement, dated March 31, 2025, by and</w:t>
              </w:r>
            </w:hyperlink>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jc w:val="center"/>
              <w:ind w:right="30"/>
              <w:spacing w:after="0"/>
              <w:rPr>
                <w:sz w:val="20"/>
                <w:szCs w:val="20"/>
                <w:color w:val="auto"/>
              </w:rPr>
            </w:pPr>
            <w:r>
              <w:rPr>
                <w:rFonts w:ascii="Arial" w:cs="Arial" w:eastAsia="Arial" w:hAnsi="Arial"/>
                <w:sz w:val="18"/>
                <w:szCs w:val="18"/>
                <w:color w:val="auto"/>
                <w:w w:val="98"/>
              </w:rPr>
              <w:t>10.33#</w:t>
            </w:r>
          </w:p>
        </w:tc>
        <w:tc>
          <w:tcPr>
            <w:tcW w:w="140" w:type="dxa"/>
            <w:vAlign w:val="bottom"/>
          </w:tcPr>
          <w:p>
            <w:pPr>
              <w:spacing w:after="0"/>
              <w:rPr>
                <w:sz w:val="15"/>
                <w:szCs w:val="15"/>
                <w:color w:val="auto"/>
              </w:rPr>
            </w:pPr>
          </w:p>
        </w:tc>
        <w:tc>
          <w:tcPr>
            <w:tcW w:w="498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341">
              <w:r>
                <w:rPr>
                  <w:rFonts w:ascii="Arial" w:cs="Arial" w:eastAsia="Arial" w:hAnsi="Arial"/>
                  <w:sz w:val="18"/>
                  <w:szCs w:val="18"/>
                  <w:color w:val="0000FF"/>
                </w:rPr>
                <w:t>between Steven Basta and the Registrant</w:t>
              </w:r>
            </w:hyperlink>
          </w:p>
        </w:tc>
        <w:tc>
          <w:tcPr>
            <w:tcW w:w="2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vMerge w:val="restart"/>
          </w:tcPr>
          <w:p>
            <w:pPr>
              <w:jc w:val="center"/>
              <w:ind w:left="10"/>
              <w:spacing w:after="0"/>
              <w:rPr>
                <w:sz w:val="20"/>
                <w:szCs w:val="20"/>
                <w:color w:val="auto"/>
              </w:rPr>
            </w:pPr>
            <w:r>
              <w:rPr>
                <w:rFonts w:ascii="Arial" w:cs="Arial" w:eastAsia="Arial" w:hAnsi="Arial"/>
                <w:sz w:val="18"/>
                <w:szCs w:val="18"/>
                <w:color w:val="auto"/>
                <w:w w:val="99"/>
              </w:rPr>
              <w:t>10-Q</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5-1-2025</w:t>
            </w:r>
          </w:p>
        </w:tc>
        <w:tc>
          <w:tcPr>
            <w:tcW w:w="1880" w:type="dxa"/>
            <w:vAlign w:val="bottom"/>
            <w:vMerge w:val="restart"/>
          </w:tcPr>
          <w:p>
            <w:pPr>
              <w:jc w:val="center"/>
              <w:ind w:right="772"/>
              <w:spacing w:after="0"/>
              <w:rPr>
                <w:sz w:val="20"/>
                <w:szCs w:val="20"/>
                <w:color w:val="auto"/>
              </w:rPr>
            </w:pPr>
            <w:r>
              <w:rPr>
                <w:rFonts w:ascii="Arial" w:cs="Arial" w:eastAsia="Arial" w:hAnsi="Arial"/>
                <w:sz w:val="16"/>
                <w:szCs w:val="16"/>
                <w:color w:val="auto"/>
                <w:w w:val="96"/>
              </w:rPr>
              <w:t>10.2</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340" w:type="dxa"/>
            <w:vAlign w:val="bottom"/>
            <w:gridSpan w:val="33"/>
          </w:tcPr>
          <w:p>
            <w:pPr>
              <w:spacing w:after="0" w:line="182" w:lineRule="exact"/>
              <w:rPr>
                <w:rFonts w:ascii="Arial" w:cs="Arial" w:eastAsia="Arial" w:hAnsi="Arial"/>
                <w:sz w:val="18"/>
                <w:szCs w:val="18"/>
                <w:color w:val="0000FF"/>
              </w:rPr>
            </w:pPr>
            <w:hyperlink r:id="rId342">
              <w:r>
                <w:rPr>
                  <w:rFonts w:ascii="Arial" w:cs="Arial" w:eastAsia="Arial" w:hAnsi="Arial"/>
                  <w:sz w:val="18"/>
                  <w:szCs w:val="18"/>
                  <w:color w:val="0000FF"/>
                </w:rPr>
                <w:t>Separation Agreement, dated April 2, 2025, by and between Terrie</w:t>
              </w:r>
            </w:hyperlink>
          </w:p>
        </w:tc>
        <w:tc>
          <w:tcPr>
            <w:tcW w:w="9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jc w:val="center"/>
              <w:ind w:right="30"/>
              <w:spacing w:after="0"/>
              <w:rPr>
                <w:sz w:val="20"/>
                <w:szCs w:val="20"/>
                <w:color w:val="auto"/>
              </w:rPr>
            </w:pPr>
            <w:r>
              <w:rPr>
                <w:rFonts w:ascii="Arial" w:cs="Arial" w:eastAsia="Arial" w:hAnsi="Arial"/>
                <w:sz w:val="18"/>
                <w:szCs w:val="18"/>
                <w:color w:val="auto"/>
                <w:w w:val="98"/>
              </w:rPr>
              <w:t>10.34#</w:t>
            </w:r>
          </w:p>
        </w:tc>
        <w:tc>
          <w:tcPr>
            <w:tcW w:w="140" w:type="dxa"/>
            <w:vAlign w:val="bottom"/>
          </w:tcPr>
          <w:p>
            <w:pPr>
              <w:spacing w:after="0"/>
              <w:rPr>
                <w:sz w:val="15"/>
                <w:szCs w:val="15"/>
                <w:color w:val="auto"/>
              </w:rPr>
            </w:pPr>
          </w:p>
        </w:tc>
        <w:tc>
          <w:tcPr>
            <w:tcW w:w="206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8"/>
              </w:rPr>
            </w:pPr>
            <w:hyperlink r:id="rId342">
              <w:r>
                <w:rPr>
                  <w:rFonts w:ascii="Arial" w:cs="Arial" w:eastAsia="Arial" w:hAnsi="Arial"/>
                  <w:sz w:val="18"/>
                  <w:szCs w:val="18"/>
                  <w:color w:val="0000FF"/>
                  <w:w w:val="98"/>
                </w:rPr>
                <w:t>Curran and the Registrant</w:t>
              </w:r>
            </w:hyperlink>
          </w:p>
        </w:tc>
        <w:tc>
          <w:tcPr>
            <w:tcW w:w="20" w:type="dxa"/>
            <w:vAlign w:val="bottom"/>
            <w:tcBorders>
              <w:top w:val="single" w:sz="8" w:color="0000FF"/>
              <w:bottom w:val="single" w:sz="8" w:color="0000EE"/>
            </w:tcBorders>
          </w:tcPr>
          <w:p>
            <w:pPr>
              <w:spacing w:after="0"/>
              <w:rPr>
                <w:sz w:val="15"/>
                <w:szCs w:val="15"/>
                <w:color w:val="auto"/>
              </w:rPr>
            </w:pPr>
          </w:p>
        </w:tc>
        <w:tc>
          <w:tcPr>
            <w:tcW w:w="3260" w:type="dxa"/>
            <w:vAlign w:val="bottom"/>
            <w:tcBorders>
              <w:top w:val="single" w:sz="8" w:color="0000FF"/>
            </w:tcBorders>
            <w:gridSpan w:val="27"/>
          </w:tcPr>
          <w:p>
            <w:pPr>
              <w:spacing w:after="0"/>
              <w:rPr>
                <w:sz w:val="15"/>
                <w:szCs w:val="15"/>
                <w:color w:val="auto"/>
              </w:rPr>
            </w:pPr>
          </w:p>
        </w:tc>
        <w:tc>
          <w:tcPr>
            <w:tcW w:w="980" w:type="dxa"/>
            <w:vAlign w:val="bottom"/>
            <w:vMerge w:val="restart"/>
          </w:tcPr>
          <w:p>
            <w:pPr>
              <w:jc w:val="center"/>
              <w:ind w:left="10"/>
              <w:spacing w:after="0"/>
              <w:rPr>
                <w:sz w:val="20"/>
                <w:szCs w:val="20"/>
                <w:color w:val="auto"/>
              </w:rPr>
            </w:pPr>
            <w:r>
              <w:rPr>
                <w:rFonts w:ascii="Arial" w:cs="Arial" w:eastAsia="Arial" w:hAnsi="Arial"/>
                <w:sz w:val="18"/>
                <w:szCs w:val="18"/>
                <w:color w:val="auto"/>
                <w:w w:val="99"/>
              </w:rPr>
              <w:t>10-Q</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8-7-2025</w:t>
            </w:r>
          </w:p>
        </w:tc>
        <w:tc>
          <w:tcPr>
            <w:tcW w:w="1880" w:type="dxa"/>
            <w:vAlign w:val="bottom"/>
            <w:vMerge w:val="restart"/>
          </w:tcPr>
          <w:p>
            <w:pPr>
              <w:jc w:val="center"/>
              <w:ind w:right="772"/>
              <w:spacing w:after="0"/>
              <w:rPr>
                <w:sz w:val="20"/>
                <w:szCs w:val="20"/>
                <w:color w:val="auto"/>
              </w:rPr>
            </w:pPr>
            <w:r>
              <w:rPr>
                <w:rFonts w:ascii="Arial" w:cs="Arial" w:eastAsia="Arial" w:hAnsi="Arial"/>
                <w:sz w:val="18"/>
                <w:szCs w:val="18"/>
                <w:color w:val="auto"/>
                <w:w w:val="96"/>
              </w:rPr>
              <w:t>10.1</w:t>
            </w:r>
          </w:p>
        </w:tc>
        <w:tc>
          <w:tcPr>
            <w:tcW w:w="0" w:type="dxa"/>
            <w:vAlign w:val="bottom"/>
          </w:tcPr>
          <w:p>
            <w:pPr>
              <w:spacing w:after="0"/>
              <w:rPr>
                <w:sz w:val="1"/>
                <w:szCs w:val="1"/>
                <w:color w:val="auto"/>
              </w:rPr>
            </w:pPr>
          </w:p>
        </w:tc>
      </w:tr>
      <w:tr>
        <w:trPr>
          <w:trHeight w:val="196"/>
        </w:trPr>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340" w:type="dxa"/>
            <w:vAlign w:val="bottom"/>
            <w:gridSpan w:val="33"/>
          </w:tcPr>
          <w:p>
            <w:pPr>
              <w:spacing w:after="0" w:line="196" w:lineRule="exact"/>
              <w:rPr>
                <w:rFonts w:ascii="Arial" w:cs="Arial" w:eastAsia="Arial" w:hAnsi="Arial"/>
                <w:sz w:val="18"/>
                <w:szCs w:val="18"/>
                <w:color w:val="0000FF"/>
              </w:rPr>
            </w:pPr>
            <w:hyperlink r:id="rId343">
              <w:r>
                <w:rPr>
                  <w:rFonts w:ascii="Arial" w:cs="Arial" w:eastAsia="Arial" w:hAnsi="Arial"/>
                  <w:sz w:val="18"/>
                  <w:szCs w:val="18"/>
                  <w:color w:val="0000FF"/>
                </w:rPr>
                <w:t>Separation Agreement and Release of Claims, dated May 18,</w:t>
              </w:r>
            </w:hyperlink>
          </w:p>
        </w:tc>
        <w:tc>
          <w:tcPr>
            <w:tcW w:w="9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4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343">
              <w:r>
                <w:rPr>
                  <w:rFonts w:ascii="Arial" w:cs="Arial" w:eastAsia="Arial" w:hAnsi="Arial"/>
                  <w:sz w:val="18"/>
                  <w:szCs w:val="18"/>
                  <w:color w:val="0000FF"/>
                </w:rPr>
                <w:t>2025, by and between Azmi Nabulsi, M.D., M.P.H. and the</w:t>
              </w:r>
            </w:hyperlink>
          </w:p>
        </w:tc>
        <w:tc>
          <w:tcPr>
            <w:tcW w:w="2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top w:val="single" w:sz="8" w:color="0000FF"/>
              <w:bottom w:val="single" w:sz="8" w:color="0000EE"/>
            </w:tcBorders>
            <w:gridSpan w:val="2"/>
          </w:tcPr>
          <w:p>
            <w:pPr>
              <w:spacing w:after="0" w:line="182" w:lineRule="exact"/>
              <w:rPr>
                <w:rFonts w:ascii="Arial" w:cs="Arial" w:eastAsia="Arial" w:hAnsi="Arial"/>
                <w:sz w:val="18"/>
                <w:szCs w:val="18"/>
                <w:color w:val="0000FF"/>
              </w:rPr>
            </w:pPr>
            <w:hyperlink r:id="rId343">
              <w:r>
                <w:rPr>
                  <w:rFonts w:ascii="Arial" w:cs="Arial" w:eastAsia="Arial" w:hAnsi="Arial"/>
                  <w:sz w:val="18"/>
                  <w:szCs w:val="18"/>
                  <w:color w:val="0000FF"/>
                </w:rPr>
                <w:t>Registrant</w:t>
              </w:r>
            </w:hyperlink>
          </w:p>
        </w:tc>
        <w:tc>
          <w:tcPr>
            <w:tcW w:w="3820" w:type="dxa"/>
            <w:vAlign w:val="bottom"/>
            <w:tcBorders>
              <w:top w:val="single" w:sz="8" w:color="0000FF"/>
            </w:tcBorders>
            <w:gridSpan w:val="16"/>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2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98"/>
              </w:rPr>
              <w:t>10.35#</w:t>
            </w:r>
          </w:p>
        </w:tc>
        <w:tc>
          <w:tcPr>
            <w:tcW w:w="140" w:type="dxa"/>
            <w:vAlign w:val="bottom"/>
          </w:tcPr>
          <w:p>
            <w:pPr>
              <w:spacing w:after="0"/>
              <w:rPr>
                <w:sz w:val="15"/>
                <w:szCs w:val="15"/>
                <w:color w:val="auto"/>
              </w:rPr>
            </w:pPr>
          </w:p>
        </w:tc>
        <w:tc>
          <w:tcPr>
            <w:tcW w:w="820" w:type="dxa"/>
            <w:vAlign w:val="bottom"/>
          </w:tcPr>
          <w:p>
            <w:pPr>
              <w:spacing w:after="0" w:line="182" w:lineRule="exact"/>
              <w:rPr>
                <w:rFonts w:ascii="Arial" w:cs="Arial" w:eastAsia="Arial" w:hAnsi="Arial"/>
                <w:sz w:val="18"/>
                <w:szCs w:val="18"/>
                <w:color w:val="0000FF"/>
                <w:w w:val="89"/>
              </w:rPr>
            </w:pPr>
            <w:hyperlink r:id="rId344">
              <w:r>
                <w:rPr>
                  <w:rFonts w:ascii="Arial" w:cs="Arial" w:eastAsia="Arial" w:hAnsi="Arial"/>
                  <w:sz w:val="18"/>
                  <w:szCs w:val="18"/>
                  <w:color w:val="0000FF"/>
                  <w:w w:val="89"/>
                </w:rPr>
                <w:t>Separation</w:t>
              </w:r>
            </w:hyperlink>
          </w:p>
        </w:tc>
        <w:tc>
          <w:tcPr>
            <w:tcW w:w="40" w:type="dxa"/>
            <w:vAlign w:val="bottom"/>
          </w:tcPr>
          <w:p>
            <w:pPr>
              <w:spacing w:after="0"/>
              <w:rPr>
                <w:sz w:val="15"/>
                <w:szCs w:val="15"/>
                <w:color w:val="auto"/>
              </w:rPr>
            </w:pPr>
          </w:p>
        </w:tc>
        <w:tc>
          <w:tcPr>
            <w:tcW w:w="4480" w:type="dxa"/>
            <w:vAlign w:val="bottom"/>
            <w:gridSpan w:val="31"/>
          </w:tcPr>
          <w:p>
            <w:pPr>
              <w:ind w:left="40"/>
              <w:spacing w:after="0" w:line="182" w:lineRule="exact"/>
              <w:rPr>
                <w:rFonts w:ascii="Arial" w:cs="Arial" w:eastAsia="Arial" w:hAnsi="Arial"/>
                <w:sz w:val="18"/>
                <w:szCs w:val="18"/>
                <w:color w:val="0000FF"/>
              </w:rPr>
            </w:pPr>
            <w:hyperlink r:id="rId344">
              <w:r>
                <w:rPr>
                  <w:rFonts w:ascii="Arial" w:cs="Arial" w:eastAsia="Arial" w:hAnsi="Arial"/>
                  <w:sz w:val="18"/>
                  <w:szCs w:val="18"/>
                  <w:color w:val="0000FF"/>
                </w:rPr>
                <w:t>Agreement and Release of Claims, dated May 20,</w:t>
              </w:r>
            </w:hyperlink>
          </w:p>
        </w:tc>
        <w:tc>
          <w:tcPr>
            <w:tcW w:w="980" w:type="dxa"/>
            <w:vAlign w:val="bottom"/>
          </w:tcPr>
          <w:p>
            <w:pPr>
              <w:jc w:val="center"/>
              <w:ind w:left="10"/>
              <w:spacing w:after="0" w:line="182" w:lineRule="exact"/>
              <w:rPr>
                <w:sz w:val="20"/>
                <w:szCs w:val="20"/>
                <w:color w:val="auto"/>
              </w:rPr>
            </w:pPr>
            <w:r>
              <w:rPr>
                <w:rFonts w:ascii="Arial" w:cs="Arial" w:eastAsia="Arial" w:hAnsi="Arial"/>
                <w:sz w:val="18"/>
                <w:szCs w:val="18"/>
                <w:color w:val="auto"/>
                <w:w w:val="99"/>
              </w:rPr>
              <w:t>10-Q</w:t>
            </w: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9"/>
              </w:rPr>
              <w:t>8-7-2025</w:t>
            </w:r>
          </w:p>
        </w:tc>
        <w:tc>
          <w:tcPr>
            <w:tcW w:w="1880" w:type="dxa"/>
            <w:vAlign w:val="bottom"/>
          </w:tcPr>
          <w:p>
            <w:pPr>
              <w:jc w:val="center"/>
              <w:ind w:right="772"/>
              <w:spacing w:after="0" w:line="182" w:lineRule="exact"/>
              <w:rPr>
                <w:sz w:val="20"/>
                <w:szCs w:val="20"/>
                <w:color w:val="auto"/>
              </w:rPr>
            </w:pPr>
            <w:r>
              <w:rPr>
                <w:rFonts w:ascii="Arial" w:cs="Arial" w:eastAsia="Arial" w:hAnsi="Arial"/>
                <w:sz w:val="18"/>
                <w:szCs w:val="18"/>
                <w:color w:val="auto"/>
                <w:w w:val="96"/>
              </w:rPr>
              <w:t>10.2</w:t>
            </w:r>
          </w:p>
        </w:tc>
        <w:tc>
          <w:tcPr>
            <w:tcW w:w="0" w:type="dxa"/>
            <w:vAlign w:val="bottom"/>
          </w:tcPr>
          <w:p>
            <w:pPr>
              <w:spacing w:after="0"/>
              <w:rPr>
                <w:sz w:val="1"/>
                <w:szCs w:val="1"/>
                <w:color w:val="auto"/>
              </w:rPr>
            </w:pPr>
          </w:p>
        </w:tc>
      </w:tr>
      <w:tr>
        <w:trPr>
          <w:trHeight w:val="183"/>
        </w:trPr>
        <w:tc>
          <w:tcPr>
            <w:tcW w:w="860" w:type="dxa"/>
            <w:vAlign w:val="bottom"/>
            <w:vMerge w:val="restart"/>
          </w:tcPr>
          <w:p>
            <w:pPr>
              <w:jc w:val="center"/>
              <w:ind w:right="30"/>
              <w:spacing w:after="0"/>
              <w:rPr>
                <w:sz w:val="20"/>
                <w:szCs w:val="20"/>
                <w:color w:val="auto"/>
              </w:rPr>
            </w:pPr>
            <w:r>
              <w:rPr>
                <w:rFonts w:ascii="Arial" w:cs="Arial" w:eastAsia="Arial" w:hAnsi="Arial"/>
                <w:sz w:val="18"/>
                <w:szCs w:val="18"/>
                <w:color w:val="auto"/>
                <w:w w:val="98"/>
              </w:rPr>
              <w:t>10.36#</w:t>
            </w:r>
          </w:p>
        </w:tc>
        <w:tc>
          <w:tcPr>
            <w:tcW w:w="140" w:type="dxa"/>
            <w:vAlign w:val="bottom"/>
          </w:tcPr>
          <w:p>
            <w:pPr>
              <w:spacing w:after="0"/>
              <w:rPr>
                <w:sz w:val="15"/>
                <w:szCs w:val="15"/>
                <w:color w:val="auto"/>
              </w:rPr>
            </w:pPr>
          </w:p>
        </w:tc>
        <w:tc>
          <w:tcPr>
            <w:tcW w:w="468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9"/>
              </w:rPr>
            </w:pPr>
            <w:hyperlink r:id="rId344">
              <w:r>
                <w:rPr>
                  <w:rFonts w:ascii="Arial" w:cs="Arial" w:eastAsia="Arial" w:hAnsi="Arial"/>
                  <w:sz w:val="18"/>
                  <w:szCs w:val="18"/>
                  <w:color w:val="0000FF"/>
                  <w:w w:val="99"/>
                </w:rPr>
                <w:t>2025, by and between Molly Henderson and the Registrant</w:t>
              </w:r>
            </w:hyperlink>
          </w:p>
        </w:tc>
        <w:tc>
          <w:tcPr>
            <w:tcW w:w="0" w:type="dxa"/>
            <w:vAlign w:val="bottom"/>
            <w:tcBorders>
              <w:top w:val="single" w:sz="8" w:color="0000FF"/>
              <w:bottom w:val="single" w:sz="8" w:color="0000EE"/>
            </w:tcBorders>
          </w:tcPr>
          <w:p>
            <w:pPr>
              <w:spacing w:after="0"/>
              <w:rPr>
                <w:sz w:val="15"/>
                <w:szCs w:val="15"/>
                <w:color w:val="auto"/>
              </w:rPr>
            </w:pPr>
          </w:p>
        </w:tc>
        <w:tc>
          <w:tcPr>
            <w:tcW w:w="26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vMerge w:val="restart"/>
          </w:tcPr>
          <w:p>
            <w:pPr>
              <w:jc w:val="center"/>
              <w:ind w:left="10"/>
              <w:spacing w:after="0"/>
              <w:rPr>
                <w:sz w:val="20"/>
                <w:szCs w:val="20"/>
                <w:color w:val="auto"/>
              </w:rPr>
            </w:pPr>
            <w:r>
              <w:rPr>
                <w:rFonts w:ascii="Arial" w:cs="Arial" w:eastAsia="Arial" w:hAnsi="Arial"/>
                <w:sz w:val="18"/>
                <w:szCs w:val="18"/>
                <w:color w:val="auto"/>
                <w:w w:val="99"/>
              </w:rPr>
              <w:t>10-Q</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8-7-2025</w:t>
            </w:r>
          </w:p>
        </w:tc>
        <w:tc>
          <w:tcPr>
            <w:tcW w:w="1880" w:type="dxa"/>
            <w:vAlign w:val="bottom"/>
            <w:vMerge w:val="restart"/>
          </w:tcPr>
          <w:p>
            <w:pPr>
              <w:jc w:val="center"/>
              <w:ind w:right="772"/>
              <w:spacing w:after="0"/>
              <w:rPr>
                <w:sz w:val="20"/>
                <w:szCs w:val="20"/>
                <w:color w:val="auto"/>
              </w:rPr>
            </w:pPr>
            <w:r>
              <w:rPr>
                <w:rFonts w:ascii="Arial" w:cs="Arial" w:eastAsia="Arial" w:hAnsi="Arial"/>
                <w:sz w:val="18"/>
                <w:szCs w:val="18"/>
                <w:color w:val="auto"/>
                <w:w w:val="96"/>
              </w:rPr>
              <w:t>10.3</w:t>
            </w:r>
          </w:p>
        </w:tc>
        <w:tc>
          <w:tcPr>
            <w:tcW w:w="0" w:type="dxa"/>
            <w:vAlign w:val="bottom"/>
          </w:tcPr>
          <w:p>
            <w:pPr>
              <w:spacing w:after="0"/>
              <w:rPr>
                <w:sz w:val="1"/>
                <w:szCs w:val="1"/>
                <w:color w:val="auto"/>
              </w:rPr>
            </w:pPr>
          </w:p>
        </w:tc>
      </w:tr>
      <w:tr>
        <w:trPr>
          <w:trHeight w:val="196"/>
        </w:trPr>
        <w:tc>
          <w:tcPr>
            <w:tcW w:w="860" w:type="dxa"/>
            <w:vAlign w:val="bottom"/>
            <w:vMerge w:val="continue"/>
          </w:tcPr>
          <w:p>
            <w:pPr>
              <w:spacing w:after="0"/>
              <w:rPr>
                <w:sz w:val="17"/>
                <w:szCs w:val="17"/>
                <w:color w:val="auto"/>
              </w:rPr>
            </w:pPr>
          </w:p>
        </w:tc>
        <w:tc>
          <w:tcPr>
            <w:tcW w:w="5480" w:type="dxa"/>
            <w:vAlign w:val="bottom"/>
            <w:gridSpan w:val="34"/>
          </w:tcPr>
          <w:p>
            <w:pPr>
              <w:ind w:left="120"/>
              <w:spacing w:after="0" w:line="196" w:lineRule="exact"/>
              <w:rPr>
                <w:rFonts w:ascii="Arial" w:cs="Arial" w:eastAsia="Arial" w:hAnsi="Arial"/>
                <w:sz w:val="18"/>
                <w:szCs w:val="18"/>
                <w:color w:val="0000FF"/>
              </w:rPr>
            </w:pPr>
            <w:hyperlink r:id="rId345">
              <w:r>
                <w:rPr>
                  <w:rFonts w:ascii="Arial" w:cs="Arial" w:eastAsia="Arial" w:hAnsi="Arial"/>
                  <w:sz w:val="18"/>
                  <w:szCs w:val="18"/>
                  <w:color w:val="0000FF"/>
                </w:rPr>
                <w:t>Employment Letter Agreement, dated June 4, 2025, by and</w:t>
              </w:r>
            </w:hyperlink>
          </w:p>
        </w:tc>
        <w:tc>
          <w:tcPr>
            <w:tcW w:w="9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jc w:val="center"/>
              <w:ind w:right="30"/>
              <w:spacing w:after="0"/>
              <w:rPr>
                <w:sz w:val="20"/>
                <w:szCs w:val="20"/>
                <w:color w:val="auto"/>
              </w:rPr>
            </w:pPr>
            <w:r>
              <w:rPr>
                <w:rFonts w:ascii="Arial" w:cs="Arial" w:eastAsia="Arial" w:hAnsi="Arial"/>
                <w:sz w:val="18"/>
                <w:szCs w:val="18"/>
                <w:color w:val="auto"/>
                <w:w w:val="98"/>
              </w:rPr>
              <w:t>10.37#</w:t>
            </w:r>
          </w:p>
        </w:tc>
        <w:tc>
          <w:tcPr>
            <w:tcW w:w="140" w:type="dxa"/>
            <w:vAlign w:val="bottom"/>
          </w:tcPr>
          <w:p>
            <w:pPr>
              <w:spacing w:after="0"/>
              <w:rPr>
                <w:sz w:val="15"/>
                <w:szCs w:val="15"/>
                <w:color w:val="auto"/>
              </w:rPr>
            </w:pPr>
          </w:p>
        </w:tc>
        <w:tc>
          <w:tcPr>
            <w:tcW w:w="476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345">
              <w:r>
                <w:rPr>
                  <w:rFonts w:ascii="Arial" w:cs="Arial" w:eastAsia="Arial" w:hAnsi="Arial"/>
                  <w:sz w:val="18"/>
                  <w:szCs w:val="18"/>
                  <w:color w:val="0000FF"/>
                </w:rPr>
                <w:t>between Anne Marie Cook and the Registrant</w:t>
              </w:r>
            </w:hyperlink>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2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vMerge w:val="restart"/>
          </w:tcPr>
          <w:p>
            <w:pPr>
              <w:jc w:val="center"/>
              <w:ind w:left="10"/>
              <w:spacing w:after="0"/>
              <w:rPr>
                <w:sz w:val="20"/>
                <w:szCs w:val="20"/>
                <w:color w:val="auto"/>
              </w:rPr>
            </w:pPr>
            <w:r>
              <w:rPr>
                <w:rFonts w:ascii="Arial" w:cs="Arial" w:eastAsia="Arial" w:hAnsi="Arial"/>
                <w:sz w:val="18"/>
                <w:szCs w:val="18"/>
                <w:color w:val="auto"/>
                <w:w w:val="99"/>
              </w:rPr>
              <w:t>10-Q</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10-30-2025</w:t>
            </w:r>
          </w:p>
        </w:tc>
        <w:tc>
          <w:tcPr>
            <w:tcW w:w="1880" w:type="dxa"/>
            <w:vAlign w:val="bottom"/>
            <w:vMerge w:val="restart"/>
          </w:tcPr>
          <w:p>
            <w:pPr>
              <w:jc w:val="center"/>
              <w:ind w:right="772"/>
              <w:spacing w:after="0"/>
              <w:rPr>
                <w:sz w:val="20"/>
                <w:szCs w:val="20"/>
                <w:color w:val="auto"/>
              </w:rPr>
            </w:pPr>
            <w:r>
              <w:rPr>
                <w:rFonts w:ascii="Arial" w:cs="Arial" w:eastAsia="Arial" w:hAnsi="Arial"/>
                <w:sz w:val="18"/>
                <w:szCs w:val="18"/>
                <w:color w:val="auto"/>
                <w:w w:val="96"/>
              </w:rPr>
              <w:t>10.1</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340" w:type="dxa"/>
            <w:vAlign w:val="bottom"/>
            <w:gridSpan w:val="33"/>
          </w:tcPr>
          <w:p>
            <w:pPr>
              <w:spacing w:after="0" w:line="196" w:lineRule="exact"/>
              <w:rPr>
                <w:rFonts w:ascii="Arial" w:cs="Arial" w:eastAsia="Arial" w:hAnsi="Arial"/>
                <w:sz w:val="18"/>
                <w:szCs w:val="18"/>
                <w:color w:val="0000FF"/>
              </w:rPr>
            </w:pPr>
            <w:hyperlink r:id="rId346">
              <w:r>
                <w:rPr>
                  <w:rFonts w:ascii="Arial" w:cs="Arial" w:eastAsia="Arial" w:hAnsi="Arial"/>
                  <w:sz w:val="18"/>
                  <w:szCs w:val="18"/>
                  <w:color w:val="0000FF"/>
                </w:rPr>
                <w:t>Employment Letter Agreement, dated September 29, 2025, by and</w:t>
              </w:r>
            </w:hyperlink>
          </w:p>
        </w:tc>
        <w:tc>
          <w:tcPr>
            <w:tcW w:w="9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jc w:val="center"/>
              <w:ind w:right="30"/>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15"/>
                <w:szCs w:val="15"/>
                <w:color w:val="auto"/>
              </w:rPr>
            </w:pPr>
          </w:p>
        </w:tc>
        <w:tc>
          <w:tcPr>
            <w:tcW w:w="5340" w:type="dxa"/>
            <w:vAlign w:val="bottom"/>
            <w:tcBorders>
              <w:top w:val="single" w:sz="8" w:color="0000FF"/>
            </w:tcBorders>
            <w:gridSpan w:val="33"/>
          </w:tcPr>
          <w:p>
            <w:pPr>
              <w:spacing w:after="0" w:line="182" w:lineRule="exact"/>
              <w:rPr>
                <w:rFonts w:ascii="Arial" w:cs="Arial" w:eastAsia="Arial" w:hAnsi="Arial"/>
                <w:sz w:val="18"/>
                <w:szCs w:val="18"/>
                <w:color w:val="0000FF"/>
              </w:rPr>
            </w:pPr>
            <w:hyperlink r:id="rId346">
              <w:r>
                <w:rPr>
                  <w:rFonts w:ascii="Arial" w:cs="Arial" w:eastAsia="Arial" w:hAnsi="Arial"/>
                  <w:sz w:val="18"/>
                  <w:szCs w:val="18"/>
                  <w:color w:val="0000FF"/>
                </w:rPr>
                <w:t>between Sanjeev Narula and the Registrant</w:t>
              </w:r>
            </w:hyperlink>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vMerge w:val="restart"/>
          </w:tcPr>
          <w:p>
            <w:pPr>
              <w:ind w:left="17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340" w:type="dxa"/>
            <w:vAlign w:val="bottom"/>
            <w:gridSpan w:val="33"/>
          </w:tcPr>
          <w:p>
            <w:pPr>
              <w:spacing w:after="0" w:line="196" w:lineRule="exact"/>
              <w:rPr>
                <w:sz w:val="20"/>
                <w:szCs w:val="20"/>
                <w:color w:val="auto"/>
              </w:rPr>
            </w:pPr>
            <w:r>
              <w:rPr>
                <w:rFonts w:ascii="Arial" w:cs="Arial" w:eastAsia="Arial" w:hAnsi="Arial"/>
                <w:sz w:val="18"/>
                <w:szCs w:val="18"/>
                <w:color w:val="0000FF"/>
              </w:rPr>
              <w:t>Fifth Amendment to the Loan and Security Agreement, dated</w:t>
            </w: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0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February 25, 2026, by and among Hercules Capital and the</w:t>
            </w:r>
          </w:p>
        </w:tc>
        <w:tc>
          <w:tcPr>
            <w:tcW w:w="60" w:type="dxa"/>
            <w:vAlign w:val="bottom"/>
            <w:gridSpan w:val="2"/>
          </w:tcPr>
          <w:p>
            <w:pPr>
              <w:spacing w:after="0"/>
              <w:rPr>
                <w:sz w:val="15"/>
                <w:szCs w:val="15"/>
                <w:color w:val="auto"/>
              </w:rPr>
            </w:pPr>
          </w:p>
        </w:tc>
        <w:tc>
          <w:tcPr>
            <w:tcW w:w="2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19</w:t>
            </w:r>
          </w:p>
        </w:tc>
        <w:tc>
          <w:tcPr>
            <w:tcW w:w="140" w:type="dxa"/>
            <w:vAlign w:val="bottom"/>
          </w:tcPr>
          <w:p>
            <w:pPr>
              <w:spacing w:after="0"/>
              <w:rPr>
                <w:sz w:val="15"/>
                <w:szCs w:val="15"/>
                <w:color w:val="auto"/>
              </w:rPr>
            </w:pPr>
          </w:p>
        </w:tc>
        <w:tc>
          <w:tcPr>
            <w:tcW w:w="478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Registrant</w:t>
            </w:r>
          </w:p>
        </w:tc>
        <w:tc>
          <w:tcPr>
            <w:tcW w:w="180" w:type="dxa"/>
            <w:vAlign w:val="bottom"/>
            <w:gridSpan w:val="3"/>
          </w:tcPr>
          <w:p>
            <w:pPr>
              <w:spacing w:after="0"/>
              <w:rPr>
                <w:sz w:val="15"/>
                <w:szCs w:val="15"/>
                <w:color w:val="auto"/>
              </w:rPr>
            </w:pPr>
          </w:p>
        </w:tc>
        <w:tc>
          <w:tcPr>
            <w:tcW w:w="2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vMerge w:val="restart"/>
          </w:tcPr>
          <w:p>
            <w:pPr>
              <w:jc w:val="center"/>
              <w:ind w:left="30"/>
              <w:spacing w:after="0"/>
              <w:rPr>
                <w:sz w:val="20"/>
                <w:szCs w:val="20"/>
                <w:color w:val="auto"/>
              </w:rPr>
            </w:pPr>
            <w:r>
              <w:rPr>
                <w:rFonts w:ascii="Arial" w:cs="Arial" w:eastAsia="Arial" w:hAnsi="Arial"/>
                <w:sz w:val="18"/>
                <w:szCs w:val="18"/>
                <w:color w:val="auto"/>
                <w:w w:val="99"/>
              </w:rPr>
              <w:t>10-K</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3-6-2025</w:t>
            </w:r>
          </w:p>
        </w:tc>
        <w:tc>
          <w:tcPr>
            <w:tcW w:w="1880" w:type="dxa"/>
            <w:vAlign w:val="bottom"/>
            <w:vMerge w:val="restart"/>
          </w:tcPr>
          <w:p>
            <w:pPr>
              <w:jc w:val="center"/>
              <w:ind w:right="752"/>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4520" w:type="dxa"/>
            <w:vAlign w:val="bottom"/>
            <w:gridSpan w:val="32"/>
            <w:vMerge w:val="restart"/>
          </w:tcPr>
          <w:p>
            <w:pPr>
              <w:spacing w:after="0" w:line="202" w:lineRule="exact"/>
              <w:rPr>
                <w:rFonts w:ascii="Arial" w:cs="Arial" w:eastAsia="Arial" w:hAnsi="Arial"/>
                <w:sz w:val="18"/>
                <w:szCs w:val="18"/>
                <w:color w:val="0000FF"/>
                <w:w w:val="99"/>
              </w:rPr>
            </w:pPr>
            <w:hyperlink r:id="rId347">
              <w:r>
                <w:rPr>
                  <w:rFonts w:ascii="Arial" w:cs="Arial" w:eastAsia="Arial" w:hAnsi="Arial"/>
                  <w:sz w:val="18"/>
                  <w:szCs w:val="18"/>
                  <w:color w:val="0000FF"/>
                  <w:w w:val="99"/>
                </w:rPr>
                <w:t>Pharmaceuticals, Inc. Insider Trading Compliance Policy</w:t>
              </w:r>
            </w:hyperlink>
          </w:p>
        </w:tc>
        <w:tc>
          <w:tcPr>
            <w:tcW w:w="98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line="182" w:lineRule="exact"/>
              <w:rPr>
                <w:rFonts w:ascii="Arial" w:cs="Arial" w:eastAsia="Arial" w:hAnsi="Arial"/>
                <w:sz w:val="18"/>
                <w:szCs w:val="18"/>
                <w:color w:val="0000FF"/>
              </w:rPr>
            </w:pPr>
            <w:hyperlink r:id="rId347">
              <w:r>
                <w:rPr>
                  <w:rFonts w:ascii="Arial" w:cs="Arial" w:eastAsia="Arial" w:hAnsi="Arial"/>
                  <w:sz w:val="18"/>
                  <w:szCs w:val="18"/>
                  <w:color w:val="0000FF"/>
                </w:rPr>
                <w:t>Phathom</w:t>
              </w:r>
            </w:hyperlink>
          </w:p>
        </w:tc>
        <w:tc>
          <w:tcPr>
            <w:tcW w:w="4520" w:type="dxa"/>
            <w:vAlign w:val="bottom"/>
            <w:gridSpan w:val="3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jc w:val="center"/>
              <w:ind w:right="30"/>
              <w:spacing w:after="0"/>
              <w:rPr>
                <w:sz w:val="20"/>
                <w:szCs w:val="20"/>
                <w:color w:val="auto"/>
              </w:rPr>
            </w:pPr>
            <w:r>
              <w:rPr>
                <w:rFonts w:ascii="Arial" w:cs="Arial" w:eastAsia="Arial" w:hAnsi="Arial"/>
                <w:sz w:val="18"/>
                <w:szCs w:val="18"/>
                <w:color w:val="auto"/>
                <w:w w:val="96"/>
              </w:rPr>
              <w:t>23.1</w:t>
            </w:r>
          </w:p>
        </w:tc>
        <w:tc>
          <w:tcPr>
            <w:tcW w:w="14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7"/>
              </w:rPr>
            </w:pPr>
            <w:hyperlink r:id="rId347">
              <w:r>
                <w:rPr>
                  <w:rFonts w:ascii="Arial" w:cs="Arial" w:eastAsia="Arial" w:hAnsi="Arial"/>
                  <w:sz w:val="18"/>
                  <w:szCs w:val="18"/>
                  <w:color w:val="0000FF"/>
                  <w:w w:val="97"/>
                </w:rPr>
                <w:t>and Procedures</w:t>
              </w:r>
            </w:hyperlink>
          </w:p>
        </w:tc>
        <w:tc>
          <w:tcPr>
            <w:tcW w:w="20" w:type="dxa"/>
            <w:vAlign w:val="bottom"/>
            <w:tcBorders>
              <w:top w:val="single" w:sz="8" w:color="0000FF"/>
              <w:bottom w:val="single" w:sz="8" w:color="0000EE"/>
            </w:tcBorders>
          </w:tcPr>
          <w:p>
            <w:pPr>
              <w:spacing w:after="0"/>
              <w:rPr>
                <w:sz w:val="15"/>
                <w:szCs w:val="15"/>
                <w:color w:val="auto"/>
              </w:rPr>
            </w:pPr>
          </w:p>
        </w:tc>
        <w:tc>
          <w:tcPr>
            <w:tcW w:w="4020" w:type="dxa"/>
            <w:vAlign w:val="bottom"/>
            <w:tcBorders>
              <w:top w:val="single" w:sz="8" w:color="0000FF"/>
            </w:tcBorders>
            <w:gridSpan w:val="28"/>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vMerge w:val="restart"/>
          </w:tcPr>
          <w:p>
            <w:pPr>
              <w:ind w:left="17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340" w:type="dxa"/>
            <w:vAlign w:val="bottom"/>
            <w:gridSpan w:val="33"/>
          </w:tcPr>
          <w:p>
            <w:pPr>
              <w:spacing w:after="0" w:line="182" w:lineRule="exact"/>
              <w:rPr>
                <w:sz w:val="20"/>
                <w:szCs w:val="20"/>
                <w:color w:val="auto"/>
              </w:rPr>
            </w:pPr>
            <w:r>
              <w:rPr>
                <w:rFonts w:ascii="Arial" w:cs="Arial" w:eastAsia="Arial" w:hAnsi="Arial"/>
                <w:sz w:val="18"/>
                <w:szCs w:val="18"/>
                <w:color w:val="0000FF"/>
              </w:rPr>
              <w:t>Consent of Independent Registered Public Accounting Firm</w:t>
            </w: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jc w:val="center"/>
              <w:ind w:right="30"/>
              <w:spacing w:after="0" w:line="202" w:lineRule="exact"/>
              <w:rPr>
                <w:sz w:val="20"/>
                <w:szCs w:val="20"/>
                <w:color w:val="auto"/>
              </w:rPr>
            </w:pPr>
            <w:r>
              <w:rPr>
                <w:rFonts w:ascii="Arial" w:cs="Arial" w:eastAsia="Arial" w:hAnsi="Arial"/>
                <w:sz w:val="18"/>
                <w:szCs w:val="18"/>
                <w:color w:val="auto"/>
                <w:w w:val="96"/>
              </w:rPr>
              <w:t>31.1</w:t>
            </w:r>
          </w:p>
        </w:tc>
        <w:tc>
          <w:tcPr>
            <w:tcW w:w="140" w:type="dxa"/>
            <w:vAlign w:val="bottom"/>
            <w:tcBorders>
              <w:right w:val="single" w:sz="8" w:color="0000EE"/>
            </w:tcBorders>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5"/>
            <w:vMerge w:val="restart"/>
          </w:tcPr>
          <w:p>
            <w:pPr>
              <w:spacing w:after="0" w:line="20" w:lineRule="exact"/>
              <w:rPr>
                <w:sz w:val="1"/>
                <w:szCs w:val="1"/>
                <w:color w:val="auto"/>
              </w:rPr>
            </w:pPr>
          </w:p>
        </w:tc>
        <w:tc>
          <w:tcPr>
            <w:tcW w:w="2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vMerge w:val="restart"/>
          </w:tcPr>
          <w:p>
            <w:pPr>
              <w:ind w:left="1760"/>
              <w:spacing w:after="0" w:line="202"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line="20" w:lineRule="exact"/>
              <w:rPr>
                <w:sz w:val="1"/>
                <w:szCs w:val="1"/>
                <w:color w:val="auto"/>
              </w:rPr>
            </w:pPr>
          </w:p>
        </w:tc>
      </w:tr>
      <w:tr>
        <w:trPr>
          <w:trHeight w:val="183"/>
        </w:trPr>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740" w:type="dxa"/>
            <w:vAlign w:val="bottom"/>
            <w:gridSpan w:val="20"/>
          </w:tcPr>
          <w:p>
            <w:pPr>
              <w:spacing w:after="0" w:line="182" w:lineRule="exact"/>
              <w:rPr>
                <w:sz w:val="20"/>
                <w:szCs w:val="20"/>
                <w:color w:val="auto"/>
              </w:rPr>
            </w:pPr>
            <w:r>
              <w:rPr>
                <w:rFonts w:ascii="Arial" w:cs="Arial" w:eastAsia="Arial" w:hAnsi="Arial"/>
                <w:sz w:val="18"/>
                <w:szCs w:val="18"/>
                <w:color w:val="0000FF"/>
              </w:rPr>
              <w:t>Certification of Chief Executive Officer of Phathom</w:t>
            </w:r>
          </w:p>
        </w:tc>
        <w:tc>
          <w:tcPr>
            <w:tcW w:w="220" w:type="dxa"/>
            <w:vAlign w:val="bottom"/>
            <w:gridSpan w:val="5"/>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80" w:type="dxa"/>
            <w:vAlign w:val="bottom"/>
            <w:gridSpan w:val="3"/>
            <w:vMerge w:val="continue"/>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340" w:type="dxa"/>
            <w:vAlign w:val="bottom"/>
            <w:gridSpan w:val="33"/>
          </w:tcPr>
          <w:p>
            <w:pPr>
              <w:spacing w:after="0" w:line="182" w:lineRule="exact"/>
              <w:rPr>
                <w:sz w:val="20"/>
                <w:szCs w:val="20"/>
                <w:color w:val="auto"/>
              </w:rPr>
            </w:pPr>
            <w:r>
              <w:rPr>
                <w:rFonts w:ascii="Arial" w:cs="Arial" w:eastAsia="Arial" w:hAnsi="Arial"/>
                <w:sz w:val="18"/>
                <w:szCs w:val="18"/>
                <w:color w:val="0000FF"/>
              </w:rPr>
              <w:t>Pharmaceuticals, Inc., as required by Rule 13a-14(a) or Rule 15d-</w:t>
            </w: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vMerge w:val="restart"/>
          </w:tcPr>
          <w:p>
            <w:pPr>
              <w:jc w:val="center"/>
              <w:ind w:right="30"/>
              <w:spacing w:after="0"/>
              <w:rPr>
                <w:sz w:val="20"/>
                <w:szCs w:val="20"/>
                <w:color w:val="auto"/>
              </w:rPr>
            </w:pPr>
            <w:r>
              <w:rPr>
                <w:rFonts w:ascii="Arial" w:cs="Arial" w:eastAsia="Arial" w:hAnsi="Arial"/>
                <w:sz w:val="18"/>
                <w:szCs w:val="18"/>
                <w:color w:val="auto"/>
                <w:w w:val="96"/>
              </w:rPr>
              <w:t>31.2</w:t>
            </w:r>
          </w:p>
        </w:tc>
        <w:tc>
          <w:tcPr>
            <w:tcW w:w="140" w:type="dxa"/>
            <w:vAlign w:val="bottom"/>
          </w:tcPr>
          <w:p>
            <w:pPr>
              <w:spacing w:after="0"/>
              <w:rPr>
                <w:sz w:val="15"/>
                <w:szCs w:val="15"/>
                <w:color w:val="auto"/>
              </w:rPr>
            </w:pPr>
          </w:p>
        </w:tc>
        <w:tc>
          <w:tcPr>
            <w:tcW w:w="5260" w:type="dxa"/>
            <w:vAlign w:val="bottom"/>
            <w:gridSpan w:val="30"/>
          </w:tcPr>
          <w:p>
            <w:pPr>
              <w:spacing w:after="0" w:line="182" w:lineRule="exact"/>
              <w:rPr>
                <w:sz w:val="20"/>
                <w:szCs w:val="20"/>
                <w:color w:val="auto"/>
              </w:rPr>
            </w:pPr>
            <w:r>
              <w:rPr>
                <w:rFonts w:ascii="Arial" w:cs="Arial" w:eastAsia="Arial" w:hAnsi="Arial"/>
                <w:sz w:val="18"/>
                <w:szCs w:val="18"/>
                <w:color w:val="0000FF"/>
              </w:rPr>
              <w:t>14(a) under the Securities Exchange Act of 1934, as amended</w:t>
            </w:r>
          </w:p>
        </w:tc>
        <w:tc>
          <w:tcPr>
            <w:tcW w:w="80" w:type="dxa"/>
            <w:vAlign w:val="bottom"/>
            <w:gridSpan w:val="3"/>
            <w:vMerge w:val="continue"/>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vMerge w:val="restart"/>
          </w:tcPr>
          <w:p>
            <w:pPr>
              <w:ind w:left="17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260" w:type="dxa"/>
            <w:vAlign w:val="bottom"/>
            <w:gridSpan w:val="3"/>
            <w:vMerge w:val="restart"/>
          </w:tcPr>
          <w:p>
            <w:pPr>
              <w:spacing w:after="0" w:line="20" w:lineRule="exact"/>
              <w:rPr>
                <w:sz w:val="1"/>
                <w:szCs w:val="1"/>
                <w:color w:val="auto"/>
              </w:rPr>
            </w:pPr>
          </w:p>
        </w:tc>
        <w:tc>
          <w:tcPr>
            <w:tcW w:w="120" w:type="dxa"/>
            <w:vAlign w:val="bottom"/>
            <w:gridSpan w:val="5"/>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960" w:type="dxa"/>
            <w:vAlign w:val="bottom"/>
            <w:gridSpan w:val="25"/>
          </w:tcPr>
          <w:p>
            <w:pPr>
              <w:spacing w:after="0" w:line="182" w:lineRule="exact"/>
              <w:rPr>
                <w:sz w:val="20"/>
                <w:szCs w:val="20"/>
                <w:color w:val="auto"/>
              </w:rPr>
            </w:pPr>
            <w:r>
              <w:rPr>
                <w:rFonts w:ascii="Arial" w:cs="Arial" w:eastAsia="Arial" w:hAnsi="Arial"/>
                <w:sz w:val="18"/>
                <w:szCs w:val="18"/>
                <w:color w:val="0000FF"/>
              </w:rPr>
              <w:t>Certification of Principal Financial Officer of Phathom</w:t>
            </w:r>
          </w:p>
        </w:tc>
        <w:tc>
          <w:tcPr>
            <w:tcW w:w="260" w:type="dxa"/>
            <w:vAlign w:val="bottom"/>
            <w:gridSpan w:val="3"/>
            <w:vMerge w:val="continue"/>
          </w:tcPr>
          <w:p>
            <w:pPr>
              <w:spacing w:after="0"/>
              <w:rPr>
                <w:sz w:val="15"/>
                <w:szCs w:val="15"/>
                <w:color w:val="auto"/>
              </w:rPr>
            </w:pPr>
          </w:p>
        </w:tc>
        <w:tc>
          <w:tcPr>
            <w:tcW w:w="120" w:type="dxa"/>
            <w:vAlign w:val="bottom"/>
            <w:gridSpan w:val="5"/>
            <w:vMerge w:val="continue"/>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40" w:type="dxa"/>
            <w:vAlign w:val="bottom"/>
            <w:tcBorders>
              <w:top w:val="single" w:sz="8" w:color="0000FF"/>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Pharmaceuticals, Inc., as required by Rule 13a-14(a)</w:t>
            </w:r>
          </w:p>
        </w:tc>
        <w:tc>
          <w:tcPr>
            <w:tcW w:w="1020" w:type="dxa"/>
            <w:vAlign w:val="bottom"/>
            <w:tcBorders>
              <w:bottom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or Rule 15d-</w:t>
            </w:r>
          </w:p>
        </w:tc>
        <w:tc>
          <w:tcPr>
            <w:tcW w:w="80" w:type="dxa"/>
            <w:vAlign w:val="bottom"/>
            <w:gridSpan w:val="3"/>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32.1*</w:t>
            </w:r>
          </w:p>
        </w:tc>
        <w:tc>
          <w:tcPr>
            <w:tcW w:w="140" w:type="dxa"/>
            <w:vAlign w:val="bottom"/>
          </w:tcPr>
          <w:p>
            <w:pPr>
              <w:spacing w:after="0"/>
              <w:rPr>
                <w:sz w:val="15"/>
                <w:szCs w:val="15"/>
                <w:color w:val="auto"/>
              </w:rPr>
            </w:pPr>
          </w:p>
        </w:tc>
        <w:tc>
          <w:tcPr>
            <w:tcW w:w="5260" w:type="dxa"/>
            <w:vAlign w:val="bottom"/>
            <w:gridSpan w:val="30"/>
          </w:tcPr>
          <w:p>
            <w:pPr>
              <w:spacing w:after="0" w:line="182" w:lineRule="exact"/>
              <w:rPr>
                <w:sz w:val="20"/>
                <w:szCs w:val="20"/>
                <w:color w:val="auto"/>
              </w:rPr>
            </w:pPr>
            <w:r>
              <w:rPr>
                <w:rFonts w:ascii="Arial" w:cs="Arial" w:eastAsia="Arial" w:hAnsi="Arial"/>
                <w:sz w:val="18"/>
                <w:szCs w:val="18"/>
                <w:color w:val="0000FF"/>
              </w:rPr>
              <w:t>14(a) under the Securities Exchange Act of 1934, as amended</w:t>
            </w:r>
          </w:p>
        </w:tc>
        <w:tc>
          <w:tcPr>
            <w:tcW w:w="80" w:type="dxa"/>
            <w:vAlign w:val="bottom"/>
            <w:gridSpan w:val="3"/>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vMerge w:val="restart"/>
          </w:tcPr>
          <w:p>
            <w:pPr>
              <w:ind w:left="17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9"/>
            <w:shd w:val="clear" w:color="auto" w:fill="0000FF"/>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380" w:type="dxa"/>
            <w:vAlign w:val="bottom"/>
            <w:gridSpan w:val="8"/>
            <w:vMerge w:val="restart"/>
          </w:tcPr>
          <w:p>
            <w:pPr>
              <w:ind w:left="60"/>
              <w:spacing w:after="0" w:line="202" w:lineRule="exact"/>
              <w:rPr>
                <w:sz w:val="20"/>
                <w:szCs w:val="20"/>
                <w:color w:val="auto"/>
              </w:rPr>
            </w:pPr>
            <w:r>
              <w:rPr>
                <w:rFonts w:ascii="Arial" w:cs="Arial" w:eastAsia="Arial" w:hAnsi="Arial"/>
                <w:sz w:val="18"/>
                <w:szCs w:val="18"/>
                <w:color w:val="0000FF"/>
              </w:rPr>
              <w:t>of</w:t>
            </w: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960" w:type="dxa"/>
            <w:vAlign w:val="bottom"/>
            <w:gridSpan w:val="25"/>
          </w:tcPr>
          <w:p>
            <w:pPr>
              <w:spacing w:after="0" w:line="182" w:lineRule="exact"/>
              <w:rPr>
                <w:sz w:val="20"/>
                <w:szCs w:val="20"/>
                <w:color w:val="auto"/>
              </w:rPr>
            </w:pPr>
            <w:r>
              <w:rPr>
                <w:rFonts w:ascii="Arial" w:cs="Arial" w:eastAsia="Arial" w:hAnsi="Arial"/>
                <w:sz w:val="18"/>
                <w:szCs w:val="18"/>
                <w:color w:val="0000FF"/>
                <w:w w:val="99"/>
              </w:rPr>
              <w:t>Certification of Chief Executive Officer pursuant to Section 906</w:t>
            </w:r>
          </w:p>
        </w:tc>
        <w:tc>
          <w:tcPr>
            <w:tcW w:w="380" w:type="dxa"/>
            <w:vAlign w:val="bottom"/>
            <w:gridSpan w:val="8"/>
            <w:vMerge w:val="continue"/>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32.2*</w:t>
            </w:r>
          </w:p>
        </w:tc>
        <w:tc>
          <w:tcPr>
            <w:tcW w:w="140" w:type="dxa"/>
            <w:vAlign w:val="bottom"/>
          </w:tcPr>
          <w:p>
            <w:pPr>
              <w:spacing w:after="0"/>
              <w:rPr>
                <w:sz w:val="15"/>
                <w:szCs w:val="15"/>
                <w:color w:val="auto"/>
              </w:rPr>
            </w:pPr>
          </w:p>
        </w:tc>
        <w:tc>
          <w:tcPr>
            <w:tcW w:w="2540" w:type="dxa"/>
            <w:vAlign w:val="bottom"/>
            <w:tcBorders>
              <w:top w:val="single" w:sz="8" w:color="0000FF"/>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8"/>
              </w:rPr>
              <w:t>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2660" w:type="dxa"/>
            <w:vAlign w:val="bottom"/>
            <w:tcBorders>
              <w:top w:val="single" w:sz="8" w:color="0000FF"/>
            </w:tcBorders>
            <w:gridSpan w:val="20"/>
          </w:tcPr>
          <w:p>
            <w:pPr>
              <w:spacing w:after="0"/>
              <w:rPr>
                <w:sz w:val="15"/>
                <w:szCs w:val="15"/>
                <w:color w:val="auto"/>
              </w:rPr>
            </w:pPr>
          </w:p>
        </w:tc>
        <w:tc>
          <w:tcPr>
            <w:tcW w:w="120" w:type="dxa"/>
            <w:vAlign w:val="bottom"/>
            <w:gridSpan w:val="5"/>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vMerge w:val="restart"/>
          </w:tcPr>
          <w:p>
            <w:pPr>
              <w:ind w:left="17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2"/>
        </w:trPr>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8"/>
          </w:tcPr>
          <w:p>
            <w:pPr>
              <w:spacing w:after="0" w:line="182" w:lineRule="exact"/>
              <w:rPr>
                <w:sz w:val="20"/>
                <w:szCs w:val="20"/>
                <w:color w:val="auto"/>
              </w:rPr>
            </w:pPr>
            <w:r>
              <w:rPr>
                <w:rFonts w:ascii="Arial" w:cs="Arial" w:eastAsia="Arial" w:hAnsi="Arial"/>
                <w:sz w:val="18"/>
                <w:szCs w:val="18"/>
                <w:color w:val="0000FF"/>
                <w:w w:val="95"/>
              </w:rPr>
              <w:t>Certification of Principal Financial</w:t>
            </w:r>
          </w:p>
        </w:tc>
        <w:tc>
          <w:tcPr>
            <w:tcW w:w="2780" w:type="dxa"/>
            <w:vAlign w:val="bottom"/>
            <w:gridSpan w:val="25"/>
          </w:tcPr>
          <w:p>
            <w:pPr>
              <w:ind w:left="140"/>
              <w:spacing w:after="0" w:line="182" w:lineRule="exact"/>
              <w:rPr>
                <w:sz w:val="20"/>
                <w:szCs w:val="20"/>
                <w:color w:val="auto"/>
              </w:rPr>
            </w:pPr>
            <w:r>
              <w:rPr>
                <w:rFonts w:ascii="Arial" w:cs="Arial" w:eastAsia="Arial" w:hAnsi="Arial"/>
                <w:sz w:val="18"/>
                <w:szCs w:val="18"/>
                <w:color w:val="0000FF"/>
              </w:rPr>
              <w:t>Officer pursuant to Section 906</w:t>
            </w: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97#</w:t>
            </w:r>
          </w:p>
        </w:tc>
        <w:tc>
          <w:tcPr>
            <w:tcW w:w="140" w:type="dxa"/>
            <w:vAlign w:val="bottom"/>
          </w:tcPr>
          <w:p>
            <w:pPr>
              <w:spacing w:after="0"/>
              <w:rPr>
                <w:sz w:val="15"/>
                <w:szCs w:val="15"/>
                <w:color w:val="auto"/>
              </w:rPr>
            </w:pPr>
          </w:p>
        </w:tc>
        <w:tc>
          <w:tcPr>
            <w:tcW w:w="274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8"/>
              </w:rPr>
              <w:t>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2480" w:type="dxa"/>
            <w:vAlign w:val="bottom"/>
            <w:tcBorders>
              <w:top w:val="single" w:sz="8" w:color="0000FF"/>
            </w:tcBorders>
            <w:gridSpan w:val="19"/>
          </w:tcPr>
          <w:p>
            <w:pPr>
              <w:spacing w:after="0"/>
              <w:rPr>
                <w:sz w:val="15"/>
                <w:szCs w:val="15"/>
                <w:color w:val="auto"/>
              </w:rPr>
            </w:pPr>
          </w:p>
        </w:tc>
        <w:tc>
          <w:tcPr>
            <w:tcW w:w="100" w:type="dxa"/>
            <w:vAlign w:val="bottom"/>
            <w:gridSpan w:val="4"/>
          </w:tcPr>
          <w:p>
            <w:pPr>
              <w:spacing w:after="0"/>
              <w:rPr>
                <w:sz w:val="15"/>
                <w:szCs w:val="15"/>
                <w:color w:val="auto"/>
              </w:rPr>
            </w:pPr>
          </w:p>
        </w:tc>
        <w:tc>
          <w:tcPr>
            <w:tcW w:w="980" w:type="dxa"/>
            <w:vAlign w:val="bottom"/>
            <w:vMerge w:val="restart"/>
          </w:tcPr>
          <w:p>
            <w:pPr>
              <w:jc w:val="center"/>
              <w:ind w:left="30"/>
              <w:spacing w:after="0"/>
              <w:rPr>
                <w:sz w:val="20"/>
                <w:szCs w:val="20"/>
                <w:color w:val="auto"/>
              </w:rPr>
            </w:pPr>
            <w:r>
              <w:rPr>
                <w:rFonts w:ascii="Arial" w:cs="Arial" w:eastAsia="Arial" w:hAnsi="Arial"/>
                <w:sz w:val="18"/>
                <w:szCs w:val="18"/>
                <w:color w:val="auto"/>
                <w:w w:val="99"/>
              </w:rPr>
              <w:t>10-K</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3-7-2024</w:t>
            </w:r>
          </w:p>
        </w:tc>
        <w:tc>
          <w:tcPr>
            <w:tcW w:w="1880" w:type="dxa"/>
            <w:vAlign w:val="bottom"/>
            <w:vMerge w:val="restart"/>
          </w:tcPr>
          <w:p>
            <w:pPr>
              <w:jc w:val="center"/>
              <w:ind w:right="752"/>
              <w:spacing w:after="0"/>
              <w:rPr>
                <w:sz w:val="20"/>
                <w:szCs w:val="20"/>
                <w:color w:val="auto"/>
              </w:rPr>
            </w:pPr>
            <w:r>
              <w:rPr>
                <w:rFonts w:ascii="Arial" w:cs="Arial" w:eastAsia="Arial" w:hAnsi="Arial"/>
                <w:sz w:val="18"/>
                <w:szCs w:val="18"/>
                <w:color w:val="auto"/>
                <w:w w:val="99"/>
              </w:rPr>
              <w:t>97</w:t>
            </w: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10"/>
          </w:tcPr>
          <w:p>
            <w:pPr>
              <w:spacing w:after="0" w:line="182" w:lineRule="exact"/>
              <w:rPr>
                <w:rFonts w:ascii="Arial" w:cs="Arial" w:eastAsia="Arial" w:hAnsi="Arial"/>
                <w:sz w:val="18"/>
                <w:szCs w:val="18"/>
                <w:color w:val="0000FF"/>
                <w:w w:val="99"/>
              </w:rPr>
            </w:pPr>
            <w:hyperlink r:id="rId348">
              <w:r>
                <w:rPr>
                  <w:rFonts w:ascii="Arial" w:cs="Arial" w:eastAsia="Arial" w:hAnsi="Arial"/>
                  <w:sz w:val="18"/>
                  <w:szCs w:val="18"/>
                  <w:color w:val="0000FF"/>
                  <w:w w:val="99"/>
                </w:rPr>
                <w:t>Policy for Recovery of Erroneously</w:t>
              </w:r>
            </w:hyperlink>
          </w:p>
        </w:tc>
        <w:tc>
          <w:tcPr>
            <w:tcW w:w="2580" w:type="dxa"/>
            <w:vAlign w:val="bottom"/>
            <w:gridSpan w:val="23"/>
          </w:tcPr>
          <w:p>
            <w:pPr>
              <w:ind w:left="40"/>
              <w:spacing w:after="0" w:line="182" w:lineRule="exact"/>
              <w:rPr>
                <w:rFonts w:ascii="Arial" w:cs="Arial" w:eastAsia="Arial" w:hAnsi="Arial"/>
                <w:sz w:val="18"/>
                <w:szCs w:val="18"/>
                <w:color w:val="0000FF"/>
              </w:rPr>
            </w:pPr>
            <w:hyperlink r:id="rId348">
              <w:r>
                <w:rPr>
                  <w:rFonts w:ascii="Arial" w:cs="Arial" w:eastAsia="Arial" w:hAnsi="Arial"/>
                  <w:sz w:val="18"/>
                  <w:szCs w:val="18"/>
                  <w:color w:val="0000FF"/>
                </w:rPr>
                <w:t>Awarded Compensation</w:t>
              </w:r>
            </w:hyperlink>
          </w:p>
        </w:tc>
        <w:tc>
          <w:tcPr>
            <w:tcW w:w="9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jc w:val="center"/>
              <w:ind w:right="30"/>
              <w:spacing w:after="0"/>
              <w:rPr>
                <w:sz w:val="20"/>
                <w:szCs w:val="20"/>
                <w:color w:val="auto"/>
              </w:rPr>
            </w:pPr>
            <w:r>
              <w:rPr>
                <w:rFonts w:ascii="Arial" w:cs="Arial" w:eastAsia="Arial" w:hAnsi="Arial"/>
                <w:sz w:val="18"/>
                <w:szCs w:val="18"/>
                <w:color w:val="auto"/>
              </w:rPr>
              <w:t>101.INS</w:t>
            </w:r>
          </w:p>
        </w:tc>
        <w:tc>
          <w:tcPr>
            <w:tcW w:w="140" w:type="dxa"/>
            <w:vAlign w:val="bottom"/>
            <w:tcBorders>
              <w:right w:val="single" w:sz="8" w:color="0000EE"/>
            </w:tcBorders>
          </w:tcPr>
          <w:p>
            <w:pPr>
              <w:spacing w:after="0" w:line="20" w:lineRule="exact"/>
              <w:rPr>
                <w:sz w:val="1"/>
                <w:szCs w:val="1"/>
                <w:color w:val="auto"/>
              </w:rPr>
            </w:pPr>
          </w:p>
        </w:tc>
        <w:tc>
          <w:tcPr>
            <w:tcW w:w="4720" w:type="dxa"/>
            <w:vAlign w:val="bottom"/>
            <w:gridSpan w:val="19"/>
            <w:shd w:val="clear" w:color="auto" w:fill="0000FF"/>
          </w:tcPr>
          <w:p>
            <w:pPr>
              <w:spacing w:after="0" w:line="20" w:lineRule="exact"/>
              <w:rPr>
                <w:sz w:val="1"/>
                <w:szCs w:val="1"/>
                <w:color w:val="auto"/>
              </w:rPr>
            </w:pPr>
          </w:p>
        </w:tc>
        <w:tc>
          <w:tcPr>
            <w:tcW w:w="620" w:type="dxa"/>
            <w:vAlign w:val="bottom"/>
            <w:gridSpan w:val="1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vMerge w:val="restart"/>
          </w:tcPr>
          <w:p>
            <w:pPr>
              <w:ind w:left="17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line="20" w:lineRule="exact"/>
              <w:rPr>
                <w:sz w:val="1"/>
                <w:szCs w:val="1"/>
                <w:color w:val="auto"/>
              </w:rPr>
            </w:pPr>
          </w:p>
        </w:tc>
      </w:tr>
      <w:tr>
        <w:trPr>
          <w:trHeight w:val="191"/>
        </w:trPr>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340" w:type="dxa"/>
            <w:vAlign w:val="bottom"/>
            <w:gridSpan w:val="33"/>
          </w:tcPr>
          <w:p>
            <w:pPr>
              <w:spacing w:after="0" w:line="191" w:lineRule="exact"/>
              <w:rPr>
                <w:sz w:val="20"/>
                <w:szCs w:val="20"/>
                <w:color w:val="auto"/>
              </w:rPr>
            </w:pPr>
            <w:r>
              <w:rPr>
                <w:rFonts w:ascii="Arial" w:cs="Arial" w:eastAsia="Arial" w:hAnsi="Arial"/>
                <w:sz w:val="18"/>
                <w:szCs w:val="18"/>
                <w:color w:val="auto"/>
              </w:rPr>
              <w:t>Inline XBRL Instance Document – the instance document does not</w:t>
            </w: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40" w:type="dxa"/>
            <w:vAlign w:val="bottom"/>
            <w:gridSpan w:val="33"/>
          </w:tcPr>
          <w:p>
            <w:pPr>
              <w:spacing w:after="0" w:line="202" w:lineRule="exact"/>
              <w:rPr>
                <w:sz w:val="20"/>
                <w:szCs w:val="20"/>
                <w:color w:val="auto"/>
              </w:rPr>
            </w:pPr>
            <w:r>
              <w:rPr>
                <w:rFonts w:ascii="Arial" w:cs="Arial" w:eastAsia="Arial" w:hAnsi="Arial"/>
                <w:sz w:val="18"/>
                <w:szCs w:val="18"/>
                <w:color w:val="auto"/>
              </w:rPr>
              <w:t>appear in the Interactive Data File as its XBRL tags are embedded</w:t>
            </w: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40" w:type="dxa"/>
            <w:vAlign w:val="bottom"/>
            <w:gridSpan w:val="33"/>
          </w:tcPr>
          <w:p>
            <w:pPr>
              <w:spacing w:after="0" w:line="202" w:lineRule="exact"/>
              <w:rPr>
                <w:sz w:val="20"/>
                <w:szCs w:val="20"/>
                <w:color w:val="auto"/>
              </w:rPr>
            </w:pPr>
            <w:r>
              <w:rPr>
                <w:rFonts w:ascii="Arial" w:cs="Arial" w:eastAsia="Arial" w:hAnsi="Arial"/>
                <w:sz w:val="18"/>
                <w:szCs w:val="18"/>
                <w:color w:val="auto"/>
              </w:rPr>
              <w:t>within the Inline XBRL document</w:t>
            </w: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jc w:val="center"/>
              <w:ind w:right="30"/>
              <w:spacing w:after="0" w:line="202" w:lineRule="exact"/>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7"/>
                <w:szCs w:val="17"/>
                <w:color w:val="auto"/>
              </w:rPr>
            </w:pPr>
          </w:p>
        </w:tc>
        <w:tc>
          <w:tcPr>
            <w:tcW w:w="5340" w:type="dxa"/>
            <w:vAlign w:val="bottom"/>
            <w:gridSpan w:val="33"/>
          </w:tcPr>
          <w:p>
            <w:pPr>
              <w:spacing w:after="0" w:line="202" w:lineRule="exact"/>
              <w:rPr>
                <w:sz w:val="20"/>
                <w:szCs w:val="20"/>
                <w:color w:val="auto"/>
              </w:rPr>
            </w:pPr>
            <w:r>
              <w:rPr>
                <w:rFonts w:ascii="Arial" w:cs="Arial" w:eastAsia="Arial" w:hAnsi="Arial"/>
                <w:sz w:val="18"/>
                <w:szCs w:val="18"/>
                <w:color w:val="auto"/>
              </w:rPr>
              <w:t>Inline XBRL Taxonomy Extension Schema With Embedded</w:t>
            </w: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80" w:type="dxa"/>
            <w:vAlign w:val="bottom"/>
          </w:tcPr>
          <w:p>
            <w:pPr>
              <w:ind w:left="17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40" w:type="dxa"/>
            <w:vAlign w:val="bottom"/>
            <w:gridSpan w:val="33"/>
          </w:tcPr>
          <w:p>
            <w:pPr>
              <w:spacing w:after="0" w:line="202" w:lineRule="exact"/>
              <w:rPr>
                <w:sz w:val="20"/>
                <w:szCs w:val="20"/>
                <w:color w:val="auto"/>
              </w:rPr>
            </w:pPr>
            <w:r>
              <w:rPr>
                <w:rFonts w:ascii="Arial" w:cs="Arial" w:eastAsia="Arial" w:hAnsi="Arial"/>
                <w:sz w:val="18"/>
                <w:szCs w:val="18"/>
                <w:color w:val="auto"/>
              </w:rPr>
              <w:t>Linkbase Documents</w:t>
            </w: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60" w:type="dxa"/>
            <w:vAlign w:val="bottom"/>
          </w:tcPr>
          <w:p>
            <w:pPr>
              <w:jc w:val="center"/>
              <w:ind w:right="30"/>
              <w:spacing w:after="0"/>
              <w:rPr>
                <w:sz w:val="20"/>
                <w:szCs w:val="20"/>
                <w:color w:val="auto"/>
              </w:rPr>
            </w:pPr>
            <w:r>
              <w:rPr>
                <w:rFonts w:ascii="Arial" w:cs="Arial" w:eastAsia="Arial" w:hAnsi="Arial"/>
                <w:sz w:val="18"/>
                <w:szCs w:val="18"/>
                <w:color w:val="auto"/>
                <w:w w:val="99"/>
              </w:rPr>
              <w:t>104</w:t>
            </w:r>
          </w:p>
        </w:tc>
        <w:tc>
          <w:tcPr>
            <w:tcW w:w="140" w:type="dxa"/>
            <w:vAlign w:val="bottom"/>
          </w:tcPr>
          <w:p>
            <w:pPr>
              <w:spacing w:after="0"/>
              <w:rPr>
                <w:sz w:val="20"/>
                <w:szCs w:val="20"/>
                <w:color w:val="auto"/>
              </w:rPr>
            </w:pPr>
          </w:p>
        </w:tc>
        <w:tc>
          <w:tcPr>
            <w:tcW w:w="5340" w:type="dxa"/>
            <w:vAlign w:val="bottom"/>
            <w:gridSpan w:val="33"/>
          </w:tcPr>
          <w:p>
            <w:pPr>
              <w:spacing w:after="0"/>
              <w:rPr>
                <w:sz w:val="20"/>
                <w:szCs w:val="20"/>
                <w:color w:val="auto"/>
              </w:rPr>
            </w:pPr>
            <w:r>
              <w:rPr>
                <w:rFonts w:ascii="Arial" w:cs="Arial" w:eastAsia="Arial" w:hAnsi="Arial"/>
                <w:sz w:val="18"/>
                <w:szCs w:val="18"/>
                <w:color w:val="auto"/>
              </w:rPr>
              <w:t>Cover Page formatted as Inline XBRL and contained in Exhibit 101</w:t>
            </w:r>
          </w:p>
        </w:tc>
        <w:tc>
          <w:tcPr>
            <w:tcW w:w="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80" w:type="dxa"/>
            <w:vAlign w:val="bottom"/>
          </w:tcPr>
          <w:p>
            <w:pPr>
              <w:ind w:left="17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this exhibit have been omitted for confidentiality purposes.</w:t>
      </w:r>
    </w:p>
    <w:p>
      <w:pPr>
        <w:spacing w:after="0" w:line="42" w:lineRule="exact"/>
        <w:rPr>
          <w:sz w:val="20"/>
          <w:szCs w:val="20"/>
          <w:color w:val="auto"/>
        </w:rPr>
      </w:pPr>
    </w:p>
    <w:p>
      <w:pPr>
        <w:jc w:val="both"/>
        <w:ind w:firstLine="8"/>
        <w:spacing w:after="0" w:line="261" w:lineRule="auto"/>
        <w:tabs>
          <w:tab w:leader="none" w:pos="96"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ind w:right="140" w:firstLine="8"/>
        <w:spacing w:after="0" w:line="285" w:lineRule="auto"/>
        <w:tabs>
          <w:tab w:leader="none" w:pos="107" w:val="left"/>
        </w:tabs>
        <w:numPr>
          <w:ilvl w:val="0"/>
          <w:numId w:val="57"/>
        </w:numPr>
        <w:rPr>
          <w:rFonts w:ascii="Arial" w:cs="Arial" w:eastAsia="Arial" w:hAnsi="Arial"/>
          <w:sz w:val="14"/>
          <w:szCs w:val="14"/>
          <w:color w:val="auto"/>
        </w:rPr>
      </w:pPr>
      <w:r>
        <w:rPr>
          <w:rFonts w:ascii="Arial" w:cs="Arial" w:eastAsia="Arial" w:hAnsi="Arial"/>
          <w:sz w:val="14"/>
          <w:szCs w:val="14"/>
          <w:color w:val="auto"/>
        </w:rPr>
        <w:t>Certain exhibits and schedules have been omitted pursuant to Item 601(a)(5) of Regulation S-K. The registrant hereby undertakes to furnish supplementally a copy of any omitted exhibit or schedule upon request by the SEC.</w:t>
      </w: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72" w:right="539" w:bottom="1440" w:gutter="0" w:footer="0" w:header="0"/>
        </w:sectPr>
      </w:pPr>
    </w:p>
    <w:bookmarkStart w:id="131" w:name="page132"/>
    <w:bookmarkEnd w:id="13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22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/s/ Steven Basta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color w:val="auto"/>
        </w:rPr>
        <w:t>Steven Basta</w:t>
      </w:r>
    </w:p>
    <w:p>
      <w:pPr>
        <w:spacing w:after="0" w:line="23"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19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55" w:lineRule="exact"/>
        <w:rPr>
          <w:sz w:val="20"/>
          <w:szCs w:val="20"/>
          <w:color w:val="auto"/>
        </w:rPr>
      </w:pPr>
    </w:p>
    <w:p>
      <w:pPr>
        <w:ind w:left="1360"/>
        <w:spacing w:after="0"/>
        <w:tabs>
          <w:tab w:leader="none" w:pos="5480" w:val="left"/>
          <w:tab w:leader="none" w:pos="94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p>
      <w:pPr>
        <w:spacing w:after="0" w:line="22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 Steven Basta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91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Steven Basta</w:t>
      </w:r>
    </w:p>
    <w:p>
      <w:pPr>
        <w:spacing w:after="0" w:line="23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916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Sanjeev Narula</w:t>
      </w:r>
    </w:p>
    <w:p>
      <w:pPr>
        <w:spacing w:after="0" w:line="23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 Michael F. Cola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916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Michael F. Cola</w:t>
      </w:r>
    </w:p>
    <w:p>
      <w:pPr>
        <w:spacing w:after="0" w:line="23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 Frank Karbe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916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Frank Karbe</w:t>
      </w:r>
    </w:p>
    <w:p>
      <w:pPr>
        <w:spacing w:after="0" w:line="23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 Heidi Kunz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916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Heidi Kunz</w:t>
      </w:r>
    </w:p>
    <w:p>
      <w:pPr>
        <w:spacing w:after="0" w:line="23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 Asit Parikh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916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7">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Asit Parikh, M.D., Ph.D.</w:t>
      </w:r>
    </w:p>
    <w:p>
      <w:pPr>
        <w:spacing w:after="0" w:line="22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 Ted Schroeder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916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Ted Schroeder</w:t>
      </w:r>
    </w:p>
    <w:p>
      <w:pPr>
        <w:spacing w:after="0" w:line="2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 Mark Stenhouse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916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9">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Mark Stenhouse</w:t>
      </w:r>
    </w:p>
    <w:p>
      <w:pPr>
        <w:spacing w:after="0" w:line="22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 James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916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James Topper, M.D., Ph.D.</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2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February 26, 2026</w:t>
            </w:r>
          </w:p>
        </w:tc>
      </w:tr>
      <w:tr>
        <w:trPr>
          <w:trHeight w:val="234"/>
        </w:trPr>
        <w:tc>
          <w:tcPr>
            <w:tcW w:w="37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Director (Principal Executive Officer)</w:t>
            </w:r>
          </w:p>
        </w:tc>
        <w:tc>
          <w:tcPr>
            <w:tcW w:w="2280" w:type="dxa"/>
            <w:vAlign w:val="bottom"/>
          </w:tcPr>
          <w:p>
            <w:pPr>
              <w:spacing w:after="0"/>
              <w:rPr>
                <w:sz w:val="20"/>
                <w:szCs w:val="20"/>
                <w:color w:val="auto"/>
              </w:rPr>
            </w:pPr>
          </w:p>
        </w:tc>
      </w:tr>
      <w:tr>
        <w:trPr>
          <w:trHeight w:val="441"/>
        </w:trPr>
        <w:tc>
          <w:tcPr>
            <w:tcW w:w="374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Chief Financial and Business Officer</w:t>
            </w:r>
          </w:p>
        </w:tc>
        <w:tc>
          <w:tcPr>
            <w:tcW w:w="22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February 26, 2026</w:t>
            </w:r>
          </w:p>
        </w:tc>
      </w:tr>
      <w:tr>
        <w:trPr>
          <w:trHeight w:val="234"/>
        </w:trPr>
        <w:tc>
          <w:tcPr>
            <w:tcW w:w="37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280" w:type="dxa"/>
            <w:vAlign w:val="bottom"/>
          </w:tcPr>
          <w:p>
            <w:pPr>
              <w:spacing w:after="0"/>
              <w:rPr>
                <w:sz w:val="20"/>
                <w:szCs w:val="20"/>
                <w:color w:val="auto"/>
              </w:rPr>
            </w:pPr>
          </w:p>
        </w:tc>
      </w:tr>
      <w:tr>
        <w:trPr>
          <w:trHeight w:val="459"/>
        </w:trPr>
        <w:tc>
          <w:tcPr>
            <w:tcW w:w="37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Director</w:t>
            </w:r>
          </w:p>
        </w:tc>
        <w:tc>
          <w:tcPr>
            <w:tcW w:w="22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February 26, 2026</w:t>
            </w:r>
          </w:p>
        </w:tc>
      </w:tr>
      <w:tr>
        <w:trPr>
          <w:trHeight w:val="797"/>
        </w:trPr>
        <w:tc>
          <w:tcPr>
            <w:tcW w:w="37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Director</w:t>
            </w:r>
          </w:p>
        </w:tc>
        <w:tc>
          <w:tcPr>
            <w:tcW w:w="22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February 26, 2026</w:t>
            </w:r>
          </w:p>
        </w:tc>
      </w:tr>
      <w:tr>
        <w:trPr>
          <w:trHeight w:val="553"/>
        </w:trPr>
        <w:tc>
          <w:tcPr>
            <w:tcW w:w="37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Director</w:t>
            </w:r>
          </w:p>
        </w:tc>
        <w:tc>
          <w:tcPr>
            <w:tcW w:w="22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February 26, 2026</w:t>
            </w:r>
          </w:p>
        </w:tc>
      </w:tr>
      <w:tr>
        <w:trPr>
          <w:trHeight w:val="675"/>
        </w:trPr>
        <w:tc>
          <w:tcPr>
            <w:tcW w:w="37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Director</w:t>
            </w:r>
          </w:p>
        </w:tc>
        <w:tc>
          <w:tcPr>
            <w:tcW w:w="22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February 26, 2026</w:t>
            </w:r>
          </w:p>
        </w:tc>
      </w:tr>
      <w:tr>
        <w:trPr>
          <w:trHeight w:val="661"/>
        </w:trPr>
        <w:tc>
          <w:tcPr>
            <w:tcW w:w="37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Director</w:t>
            </w:r>
          </w:p>
        </w:tc>
        <w:tc>
          <w:tcPr>
            <w:tcW w:w="22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February 26, 2026</w:t>
            </w:r>
          </w:p>
        </w:tc>
      </w:tr>
      <w:tr>
        <w:trPr>
          <w:trHeight w:val="662"/>
        </w:trPr>
        <w:tc>
          <w:tcPr>
            <w:tcW w:w="37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Director</w:t>
            </w:r>
          </w:p>
        </w:tc>
        <w:tc>
          <w:tcPr>
            <w:tcW w:w="22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February 26, 2026</w:t>
            </w:r>
          </w:p>
        </w:tc>
      </w:tr>
      <w:tr>
        <w:trPr>
          <w:trHeight w:val="661"/>
        </w:trPr>
        <w:tc>
          <w:tcPr>
            <w:tcW w:w="37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Director</w:t>
            </w:r>
          </w:p>
        </w:tc>
        <w:tc>
          <w:tcPr>
            <w:tcW w:w="22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February 26, 2026</w:t>
            </w:r>
          </w:p>
        </w:tc>
      </w:tr>
    </w:tbl>
    <w:p>
      <w:pPr>
        <w:spacing w:after="0" w:line="406" w:lineRule="exact"/>
        <w:rPr>
          <w:sz w:val="20"/>
          <w:szCs w:val="20"/>
          <w:color w:val="auto"/>
        </w:rPr>
      </w:pPr>
    </w:p>
    <w:p>
      <w:pPr>
        <w:sectPr>
          <w:pgSz w:w="11900" w:h="16838" w:orient="portrait"/>
          <w:cols w:equalWidth="0" w:num="2">
            <w:col w:w="3520" w:space="720"/>
            <w:col w:w="6980"/>
          </w:cols>
          <w:pgMar w:left="320" w:top="98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132" w:name="page133"/>
    <w:bookmarkEnd w:id="132"/>
    <w:p>
      <w:pPr>
        <w:ind w:left="10320"/>
        <w:spacing w:after="0"/>
        <w:rPr>
          <w:sz w:val="20"/>
          <w:szCs w:val="20"/>
          <w:color w:val="auto"/>
        </w:rPr>
      </w:pPr>
      <w:r>
        <w:rPr>
          <w:rFonts w:ascii="Times New Roman" w:cs="Times New Roman" w:eastAsia="Times New Roman" w:hAnsi="Times New Roman"/>
          <w:sz w:val="19"/>
          <w:szCs w:val="19"/>
          <w:b w:val="1"/>
          <w:bCs w:val="1"/>
          <w:color w:val="auto"/>
        </w:rPr>
        <w:t>Exhibit 4.8</w:t>
      </w:r>
    </w:p>
    <w:p>
      <w:pPr>
        <w:spacing w:after="0" w:line="295"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DESCRIPTION OF THE REGISTRANT’S SECURITIES REGISTERED PURSUANT TO SECTION 12 OF THE SECURITIES EXCHANGE ACT OF 1934</w:t>
      </w:r>
    </w:p>
    <w:p>
      <w:pPr>
        <w:spacing w:after="0" w:line="4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As of December 31, 2025, Phathom Pharmaceuticals, Inc. (“we,” “us” and “our”) had one class of securities registered pursuant to Section 12 of the Securities Exchange Act of 1934, as amended: our common stock.</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11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following description summarizes some of the terms of our common stock. Because it is only a summary, it does not contain all the information that may be important to you and is subject to and qualified in its entirety by reference to our amended and restated certificate of incorporation (the “certificate of incorporation”), and amended and restated Bylaws (“bylaws”), which are filed as exhibits to our most recent Annual Report on Form 10-K and are incorporated by reference herein. We encourage you to read our certificate of incorporation and our bylaws for additional information.</w:t>
      </w:r>
    </w:p>
    <w:p>
      <w:pPr>
        <w:spacing w:after="0" w:line="77"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As of December 31, 2025, our authorized capital stock consisted of 400,000,000 shares of common stock, $0.0001 par value per share, and 40,000,000 shares of preferred stock, $0.0001 par value per share.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Rights</w:t>
      </w:r>
    </w:p>
    <w:p>
      <w:pPr>
        <w:spacing w:after="0" w:line="11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 Rights</w:t>
      </w:r>
    </w:p>
    <w:p>
      <w:pPr>
        <w:spacing w:after="0" w:line="11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Subject to preferences that may be applicable to any then outstanding preferred stock, holders of common stock are entitled to receive ratably those dividends, if any, as may be declared by the board of directors out of legally available funds.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Liquidation Rights</w:t>
      </w:r>
    </w:p>
    <w:p>
      <w:pPr>
        <w:spacing w:after="0" w:line="112"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20"/>
          <w:szCs w:val="20"/>
          <w:color w:val="auto"/>
        </w:rPr>
        <w:t>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Rights and Preferences</w:t>
      </w:r>
    </w:p>
    <w:p>
      <w:pPr>
        <w:spacing w:after="0" w:line="11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Holders of common stock have no preemptive or conversion rights or other subscription rights and there are no redemption or sinking funds provisions applicable to the common stock.</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Fully paid and nonassessable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outstanding shares of common stock are duly authorized, validly issued, fully paid and nonassessable.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Transfer Agent and Registrar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transfer agent and registrar for our common stock is Computershare Trust Company, N.A.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Nasdaq Global Market Listing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and traded on the Nasdaq Global Select Market under the ticker symbol “PHAT.”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Delaware Law and Our Certificate of Incorporation and Bylaws</w:t>
      </w:r>
    </w:p>
    <w:p>
      <w:pPr>
        <w:spacing w:after="0" w:line="11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These provisions, summarized below, are intended to discourage coercive takeover practices and inadequate takeover bids.</w:t>
      </w:r>
    </w:p>
    <w:p>
      <w:pPr>
        <w:spacing w:after="0" w:line="7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Undesignated Preferred Stock</w:t>
      </w:r>
    </w:p>
    <w:p>
      <w:pPr>
        <w:spacing w:after="0" w:line="11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ability of our board of directors, without action by the stockholders, to issue up to 40,000,000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Stockholder Meetings</w:t>
      </w:r>
    </w:p>
    <w:p>
      <w:pPr>
        <w:spacing w:after="0" w:line="112" w:lineRule="exact"/>
        <w:rPr>
          <w:sz w:val="20"/>
          <w:szCs w:val="20"/>
          <w:color w:val="auto"/>
        </w:rPr>
      </w:pPr>
    </w:p>
    <w:p>
      <w:pPr>
        <w:ind w:right="720"/>
        <w:spacing w:after="0" w:line="269" w:lineRule="auto"/>
        <w:rPr>
          <w:sz w:val="20"/>
          <w:szCs w:val="20"/>
          <w:color w:val="auto"/>
        </w:rPr>
      </w:pPr>
      <w:r>
        <w:rPr>
          <w:rFonts w:ascii="Times New Roman" w:cs="Times New Roman" w:eastAsia="Times New Roman" w:hAnsi="Times New Roman"/>
          <w:sz w:val="20"/>
          <w:szCs w:val="20"/>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Requirements for Advance Notification of Stockholder Nominations and Proposals</w:t>
      </w:r>
    </w:p>
    <w:p>
      <w:pPr>
        <w:spacing w:after="0" w:line="112" w:lineRule="exact"/>
        <w:rPr>
          <w:sz w:val="20"/>
          <w:szCs w:val="20"/>
          <w:color w:val="auto"/>
        </w:rPr>
      </w:pPr>
    </w:p>
    <w:p>
      <w:pPr>
        <w:ind w:right="400"/>
        <w:spacing w:after="0" w:line="254" w:lineRule="auto"/>
        <w:rPr>
          <w:sz w:val="20"/>
          <w:szCs w:val="20"/>
          <w:color w:val="auto"/>
        </w:rPr>
      </w:pPr>
      <w:r>
        <w:rPr>
          <w:rFonts w:ascii="Times New Roman" w:cs="Times New Roman" w:eastAsia="Times New Roman" w:hAnsi="Times New Roman"/>
          <w:sz w:val="20"/>
          <w:szCs w:val="20"/>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Elimination of Stockholder Action by Written Consent</w:t>
      </w:r>
    </w:p>
    <w:p>
      <w:pPr>
        <w:spacing w:after="0" w:line="11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eliminate the right of stockholders to act by written consent without a meeting.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Staggered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4" w:name="page135"/>
    <w:bookmarkEnd w:id="134"/>
    <w:p>
      <w:pPr>
        <w:ind w:right="180"/>
        <w:spacing w:after="0" w:line="254" w:lineRule="auto"/>
        <w:rPr>
          <w:sz w:val="20"/>
          <w:szCs w:val="20"/>
          <w:color w:val="auto"/>
        </w:rPr>
      </w:pPr>
      <w:r>
        <w:rPr>
          <w:rFonts w:ascii="Times New Roman" w:cs="Times New Roman" w:eastAsia="Times New Roman" w:hAnsi="Times New Roman"/>
          <w:sz w:val="20"/>
          <w:szCs w:val="20"/>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attempting to obtain control of us, because it generally makes it more difficult for stockholders to replace a majority of the directors.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Removal of Directors</w:t>
      </w:r>
    </w:p>
    <w:p>
      <w:pPr>
        <w:spacing w:after="0" w:line="11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Stockholders Not Entitled to Cumulative Voting</w:t>
      </w:r>
    </w:p>
    <w:p>
      <w:pPr>
        <w:spacing w:after="0" w:line="1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Delaware Anti-Takeover Statute</w:t>
      </w:r>
    </w:p>
    <w:p>
      <w:pPr>
        <w:spacing w:after="0" w:line="11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Choice of Forum</w:t>
      </w:r>
    </w:p>
    <w:p>
      <w:pPr>
        <w:spacing w:after="0" w:line="11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consent in writing to the selection of an alternative form, the Court of Chancery of the State of Delaware will be the sole and exclusive forum under Delaware statutory or common law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This provision would not apply to suits brought to enforce a duty or liability created by the Securities Exchange Act of 1934 (the “Exchange Act”), or any other claim for which the federal courts have exclusive jurisdiction.</w:t>
      </w:r>
    </w:p>
    <w:p>
      <w:pPr>
        <w:spacing w:after="0" w:line="7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In addition, our bylaws provide that unless we consent in writing to the selection of an alternative forum, the federal district courts of the United States shall be the exclusive forum for the resolution of any complaint asserting a cause of action arising under the Securities Act of 1933, as amended (the “Securities Act”). Our certificate of incorporation and bylaws each provide that any person or entity purchasing or otherwise acquiring any interest in shares of our capital stock will be deemed to have notice of and to have consented to this choice of forum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5" w:name="page136"/>
    <w:bookmarkEnd w:id="135"/>
    <w:p>
      <w:pPr>
        <w:ind w:right="160"/>
        <w:spacing w:after="0" w:line="249" w:lineRule="auto"/>
        <w:rPr>
          <w:sz w:val="20"/>
          <w:szCs w:val="20"/>
          <w:color w:val="auto"/>
        </w:rPr>
      </w:pPr>
      <w:r>
        <w:rPr>
          <w:rFonts w:ascii="Times New Roman" w:cs="Times New Roman" w:eastAsia="Times New Roman" w:hAnsi="Times New Roman"/>
          <w:sz w:val="20"/>
          <w:szCs w:val="20"/>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Amendment of Charter Provisions</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51"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3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2"/>
          <w:szCs w:val="22"/>
          <w:b w:val="1"/>
          <w:bCs w:val="1"/>
          <w:color w:val="auto"/>
        </w:rPr>
        <w:t>CERTAIN CONFIDENTIAL INFORMATION CONTAINED IN THIS DOCUMENT, MARKED BY [***], HAS BEEN OMITTED BECAUSE PHATHOM PHARMACEUTICALS, INC. HAS DETERMINED THE INFORMATION (I) IS NOT MATERIAL AND (II) WOULD LIKELY CAUSE COMPETITIVE HARM TO PHATHOM PHARMACEUTICALS, INC. IF PUBLICLY DISCLOSED.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REVENUE INTEREST FINANCING AGREEMENT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REVENUE INTEREST FINANCING AGREEMENT, dated as of May 3, 2022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by and among Phathom Pharmaceuticals,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the entities set forth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Initial Investors</w:t>
      </w:r>
      <w:r>
        <w:rPr>
          <w:rFonts w:ascii="Times New Roman" w:cs="Times New Roman" w:eastAsia="Times New Roman" w:hAnsi="Times New Roman"/>
          <w:sz w:val="22"/>
          <w:szCs w:val="22"/>
          <w:color w:val="auto"/>
        </w:rPr>
        <w:t xml:space="preserve">”) and any other entity or entities that become party hereto pursuant to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(together with the Initial Investors, the “</w:t>
      </w:r>
      <w:r>
        <w:rPr>
          <w:rFonts w:ascii="Times New Roman" w:cs="Times New Roman" w:eastAsia="Times New Roman" w:hAnsi="Times New Roman"/>
          <w:sz w:val="22"/>
          <w:szCs w:val="22"/>
          <w:u w:val="single" w:color="auto"/>
          <w:color w:val="auto"/>
        </w:rPr>
        <w:t>Investors</w:t>
      </w:r>
      <w:r>
        <w:rPr>
          <w:rFonts w:ascii="Times New Roman" w:cs="Times New Roman" w:eastAsia="Times New Roman" w:hAnsi="Times New Roman"/>
          <w:sz w:val="22"/>
          <w:szCs w:val="22"/>
          <w:color w:val="auto"/>
        </w:rPr>
        <w:t>”, and each, individually, an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WHEREAS, the Company is in the business of, among other things, developing and commercializing the Products; and</w:t>
      </w:r>
    </w:p>
    <w:p>
      <w:pPr>
        <w:spacing w:after="0" w:line="21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Company desires additional funding to, among other things, develop and commercialize the Products in the Territory, and the Investors desire, on the terms and conditions set forth herein, to provide the Company with such additional funding on a several, but not joint, basis;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representations, warranties, covenants and agreements set forth herein and for good and valuable consideration, the receipt and adequacy of which are hereby acknowledged, the Company and the Investors hereby agree as follows: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DEFINITIONS</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The following terms, as used herein, shall have the following meanings: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Investor</w:t>
      </w:r>
      <w:r>
        <w:rPr>
          <w:rFonts w:ascii="Times New Roman" w:cs="Times New Roman" w:eastAsia="Times New Roman" w:hAnsi="Times New Roman"/>
          <w:sz w:val="22"/>
          <w:szCs w:val="22"/>
          <w:color w:val="auto"/>
        </w:rPr>
        <w:t>” means an Additional Regulatory Milestone Investor or an Additional Sales Milestone Investor.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Regulatory Milestone Investor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Regulatory Milestone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Sales Milestone Investor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particular Person, any other Person directly or indirectly controlling, controlled by or under common control with such particular Person. For purposes of the foregoing sentence, the term “control” means direct or indirect ownership of (x)</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50.0% or more, including ownership by trusts with substantially the same beneficial interests, of the voting and equity rights of such Person or (y) the power to direct the management or policies of such Person, whether through ownership of voting securities, by contract or otherwise.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the Company or any of its Affiliates from time to time concerning or relating to bribery or corruption, including the United States Foreign Corrupt Practices Act of 1977, the UK Bribery Act 2010 and other similar legislation in any other jurisdictions.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means all laws, rules, regulations and orders relating to terrorism or money laundering, including Executive Order No. 13224, the USA PATRIOT Act, the laws comprising or implementing the Bank Secrecy Act, and the laws administered by OFAC.</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Survival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Withholding Certificate</w:t>
      </w:r>
      <w:r>
        <w:rPr>
          <w:rFonts w:ascii="Times New Roman" w:cs="Times New Roman" w:eastAsia="Times New Roman" w:hAnsi="Times New Roman"/>
          <w:sz w:val="22"/>
          <w:szCs w:val="22"/>
          <w:color w:val="auto"/>
        </w:rPr>
        <w:t>” means, with respect to each Investor (i) that is a “United States person” (within the meaning of Section 7701(a)(30) of the Code), a valid, true and properly executed IRS Form W-9 (or any applicable successor form) stating the taxpayer identification number of such Investor and certifying under penalties of perjury that such Investor is a “United States person” (within the meaning of Section 7701(a)(30) of the Code) and is exempt from United States federal backup withholding and (ii) that is not a “United States person” (within the meaning of Section 7701(a)(30) of the Code) a valid, true and properly executed applicable IRS Form W-8 (or any applicable successor form).</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 of Default</w:t>
      </w:r>
      <w:r>
        <w:rPr>
          <w:rFonts w:ascii="Times New Roman" w:cs="Times New Roman" w:eastAsia="Times New Roman" w:hAnsi="Times New Roman"/>
          <w:sz w:val="22"/>
          <w:szCs w:val="22"/>
          <w:color w:val="auto"/>
        </w:rPr>
        <w:t>” means any of (i) the liquidation or dissolution of the Company, (ii) a Voluntary Bankruptcy or (iii) an Involuntary Bankruptcy.</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Laws</w:t>
      </w:r>
      <w:r>
        <w:rPr>
          <w:rFonts w:ascii="Times New Roman" w:cs="Times New Roman" w:eastAsia="Times New Roman" w:hAnsi="Times New Roman"/>
          <w:sz w:val="22"/>
          <w:szCs w:val="22"/>
          <w:color w:val="auto"/>
        </w:rPr>
        <w:t>” means, collectively, bankruptcy, insolvency, reorganization, moratorium, fraudulent conveyance, fraudulent transfer or other similar laws affecting the enforcement of creditors’ rights generally.</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Blocked Person</w:t>
      </w:r>
      <w:r>
        <w:rPr>
          <w:rFonts w:ascii="Times New Roman" w:cs="Times New Roman" w:eastAsia="Times New Roman" w:hAnsi="Times New Roman"/>
          <w:sz w:val="22"/>
          <w:szCs w:val="22"/>
          <w:color w:val="auto"/>
        </w:rPr>
        <w:t>” means any Person: (a) listed in the annex to, or who is otherwise subject to the provisions of, Executive Order No. 13224; (b) owned or controlled by, or acting for or on behalf of, any Person that is listed in the annex to, or who is otherwise subject to the provisions of, Executive Order No. 13224; (c) with which any Investor is prohibited from dealing or otherwise engaging in any transaction by any Anti-Terrorism Law; (d) that commits, threatens or conspires to commit or supports “terrorism” as defined in Executive Order No. 13224; or (e) that is named a “specially designated national” or “blocked person” on the most current list published by OFAC or other similar list.</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a Saturday or Sunday or (b) a day on which banking institutions located in New York, New York are permitted or required by applicable law or regulation to remain closed.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8" w:name="page139"/>
    <w:bookmarkEnd w:id="138"/>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 Amount</w:t>
      </w:r>
      <w:r>
        <w:rPr>
          <w:rFonts w:ascii="Times New Roman" w:cs="Times New Roman" w:eastAsia="Times New Roman" w:hAnsi="Times New Roman"/>
          <w:sz w:val="22"/>
          <w:szCs w:val="22"/>
          <w:color w:val="auto"/>
        </w:rPr>
        <w:t>” means, as of any date of determination, (A) the product of (x) the Investment Amount and (y) two, (B) less any amounts creditable to the Cap Amount specifically provided for in this Agreement (but in no event less than zero).</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 Payment</w:t>
      </w:r>
      <w:r>
        <w:rPr>
          <w:rFonts w:ascii="Times New Roman" w:cs="Times New Roman" w:eastAsia="Times New Roman" w:hAnsi="Times New Roman"/>
          <w:sz w:val="22"/>
          <w:szCs w:val="22"/>
          <w:color w:val="auto"/>
        </w:rPr>
        <w:t>” means, as of any date of determination, the difference between the Cap Amount as of such date and the amount of all Royalty Payments received by the Investors pursuant to this Agreement as of such date.</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(w) reorganization, recapitalization, consolidation or merger (or similar transaction or series of related transactions) of the Company or issuance, sale or exchange of shares (or similar transaction or series of related transactions) of the Company in which the holders of the Company’s outstanding shares immediately before consummation of such transaction or series of related transactions do not, immediately after consummation of such transaction or series of related transactions, retain shares representing more than 50.0% of the voting power of the surviving entity of such transaction or series of related transactions (or the parent of such surviving entity if such surviving entity is wholly owned by such parent), in each case without regard to whether the Company is the surviving entity, (x) Disposition of all or substantially all of the properties or assets of the Company, (y) Disposition of all or substantially all of the Product Rights or (z) “Change in Control” or any comparable term as defined in the Hercules Loan Documents.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Combination Product</w:t>
      </w:r>
      <w:r>
        <w:rPr>
          <w:rFonts w:ascii="Times New Roman" w:cs="Times New Roman" w:eastAsia="Times New Roman" w:hAnsi="Times New Roman"/>
          <w:sz w:val="22"/>
          <w:szCs w:val="22"/>
          <w:color w:val="auto"/>
        </w:rPr>
        <w:t>” has the meaning set forth in the definition of Net Sales.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means all activities undertaken in support of the promotion, marketing, sale and distribution (including importing, exporting, transporting, customs clearance, warehousing, invoicing, handling and delivering the Products to customers) of the Products for human therapeutic uses. “</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means to engage in Commercialization activities.</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means, with respect to the efforts to be expended, or considerations to be undertaken, by the Company or its Affiliate with respect to any objective, activity or decision to be undertaken hereunder, reasonable, good faith efforts to accomplish such objective, activity or decision as a similarly situated pharmaceutical company would normally use to accomplish a similar objective, activity or decision under similar circumstances, it being understood and agreed that with respect to the development, manufacture, seeking and obtaining regulatory approval (including Marketing Approval), or Commercialization of the Compound or a Product in the United States, the Company may take into account: (a) issues of efficacy, safety, and expected and actual approved labeling, (b) the expected and actual competitiveness of alternative products sold by third parties in the marketplace, (c) the expected and actual product profile of the Compound or Product, (d) the expected and actual patent and other proprietary position of the Product, (e) the likelihood of regulatory approval (including Marketing Approval) and/or pricing approval given the regulatory structure involved, including regulatory or data exclusivity, (f) the expected and actual profitability and return on investment of the Compound or Product, taking into consideration amounts owed hereunder, and (g) all other relevant scientific, technical, regulatory and commercial factors.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9" w:name="page140"/>
    <w:bookmarkEnd w:id="139"/>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Indemnified Parties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Compound</w:t>
      </w:r>
      <w:r>
        <w:rPr>
          <w:rFonts w:ascii="Times New Roman" w:cs="Times New Roman" w:eastAsia="Times New Roman" w:hAnsi="Times New Roman"/>
          <w:sz w:val="22"/>
          <w:szCs w:val="22"/>
          <w:color w:val="auto"/>
        </w:rPr>
        <w:t>” means the chemical compound vonoprazan fumarate (coded by Takeda as TAK-438), and any derivatives thereof, including any analogs, prodrugs, alternative salts, hydrates, solvates, esters, metabolites, intermediates, stereoisomers, complexes, and co-crystals, thereof.</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means any receiver, trustee, assignee, liquidator, custodian or similar official under any Bankruptcy Law.</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means any event that, with the giving of notice or passage of time, or both, could result in an Event of Default.</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with respect to any Person, directly or indirectly, the sale, assignment, conveyance, transfer, license, sublicense or other disposition (whether in a single transaction or a series of related transactions) (including by way of a sale and leaseback transaction) of property or assets by any Person.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date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EMA</w:t>
      </w:r>
      <w:r>
        <w:rPr>
          <w:rFonts w:ascii="Times New Roman" w:cs="Times New Roman" w:eastAsia="Times New Roman" w:hAnsi="Times New Roman"/>
          <w:sz w:val="22"/>
          <w:szCs w:val="22"/>
          <w:color w:val="auto"/>
        </w:rPr>
        <w:t>” means the European Medicines Agency, or any successor agency thereto.</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means any of (i) any Bankruptcy Event of Default, (ii) the breach by the Company of any payment obligations under this Agreement, which failure to pay continues for more than five Business Days after receipt of written notice from any of the Investors, (iii) except as set forth in clause (ii) above, the breach by the Company of any of its obligations under any Transaction Document to which it is party, where the Required Investors have provided notice of such breach to the Company in writing and the Company has not cured such breach within 30 days following receipt of such notice and where such breach, if not cured, would reasonably be expected to have, individually or in the aggregate, a Material Adverse Effect, (iv) the termination of the Takeda License, (v) the revocation of any Marketing Approval of a Product with respect to the erosive esophagitis indication by the FDA for safety or manufacturing reasons related to the Compound or (vi) the acceleration of the obligations under the Hercules Loan Agreement, which acceleration is not rescinded, or the obligations thereunder are not paid in full.</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 Fee</w:t>
      </w:r>
      <w:r>
        <w:rPr>
          <w:rFonts w:ascii="Times New Roman" w:cs="Times New Roman" w:eastAsia="Times New Roman" w:hAnsi="Times New Roman"/>
          <w:sz w:val="22"/>
          <w:szCs w:val="22"/>
          <w:color w:val="auto"/>
        </w:rPr>
        <w:t xml:space="preserve">” means (i) on any date beginning on the Effective Date until, but not including,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 amount equal to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the Investment Amount as of such date, (ii) on any date beginning on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until, but not including,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 amount equal to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times the Investment Amount as of such date, and (iii) on any date beginning on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thereafter, an amount equal to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the Investment Amount as of such date, less, in each case, the amount of any Royalty Payments and any other payments previously paid to the Investors pursuant to this Agreement (but in no event less than zero).</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 Payment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Order No. 13224</w:t>
      </w:r>
      <w:r>
        <w:rPr>
          <w:rFonts w:ascii="Times New Roman" w:cs="Times New Roman" w:eastAsia="Times New Roman" w:hAnsi="Times New Roman"/>
          <w:sz w:val="22"/>
          <w:szCs w:val="22"/>
          <w:color w:val="auto"/>
        </w:rPr>
        <w:t>” means Executive Order No. 13224, 66 Fed. Reg. 49079 (Sept. 25, 2001).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Patent Rights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4.1(k)(i)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FD&amp;C Act</w:t>
      </w:r>
      <w:r>
        <w:rPr>
          <w:rFonts w:ascii="Times New Roman" w:cs="Times New Roman" w:eastAsia="Times New Roman" w:hAnsi="Times New Roman"/>
          <w:sz w:val="22"/>
          <w:szCs w:val="22"/>
          <w:color w:val="auto"/>
        </w:rPr>
        <w:t>” means the United States Federal Food, Drug, and Cosmetic Act.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 or any successor agency thereto.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 Application Integrity Policy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4.1(g)(ii)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True Up Date Minimum</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True Up Date Royalties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True Up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Condition Satisfaction Notice</w:t>
      </w:r>
      <w:r>
        <w:rPr>
          <w:rFonts w:ascii="Times New Roman" w:cs="Times New Roman" w:eastAsia="Times New Roman" w:hAnsi="Times New Roman"/>
          <w:sz w:val="22"/>
          <w:szCs w:val="22"/>
          <w:color w:val="auto"/>
        </w:rPr>
        <w:t>” means a written notice from the Company to the Initial Investors certifying that the Regulatory Milestone (HP) Event has occurred, which notice shall state the Funding Date and shall provide the wire transfer instructions of the Company in respect of the Funding Date Payment.</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Date</w:t>
      </w:r>
      <w:r>
        <w:rPr>
          <w:rFonts w:ascii="Times New Roman" w:cs="Times New Roman" w:eastAsia="Times New Roman" w:hAnsi="Times New Roman"/>
          <w:sz w:val="22"/>
          <w:szCs w:val="22"/>
          <w:color w:val="auto"/>
        </w:rPr>
        <w:t>” means the Business Day that is 10 Business Days after the Effective Date (or such other Business Day agreed to by the Company and the Initial Investors).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Date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in effect from time to time.</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any: (a) nation, principality, republic,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 entitled to exercise, any executive, legislative, judicial, administrative, regulatory, police, military or taxing authority or power of any nature.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has the meaning set forth in the definition of Hercules Loan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Hercules</w:t>
      </w:r>
      <w:r>
        <w:rPr>
          <w:rFonts w:ascii="Times New Roman" w:cs="Times New Roman" w:eastAsia="Times New Roman" w:hAnsi="Times New Roman"/>
          <w:sz w:val="22"/>
          <w:szCs w:val="22"/>
          <w:color w:val="auto"/>
        </w:rPr>
        <w:t>” means Hercules Capital, Inc., a Maryland corporation, together with its successors in such capacity.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Hercules Consent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Hercules Loan Agreement</w:t>
      </w:r>
      <w:r>
        <w:rPr>
          <w:rFonts w:ascii="Times New Roman" w:cs="Times New Roman" w:eastAsia="Times New Roman" w:hAnsi="Times New Roman"/>
          <w:sz w:val="22"/>
          <w:szCs w:val="22"/>
          <w:color w:val="auto"/>
        </w:rPr>
        <w:t>” means that certain Loan and Security Agreement, dated September 17, 2021, among the Company, each Person identified as a “Guarantor” on the signature pages thereto and each other Person that joins as a Guarantor (together with their successors and permitted assigns) (each,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each of the Persons identified as a “Lender” on the signature pages thereto and their successors and assigns, and Hercules, as administrative agent and collateral agent, and its successors and assigns, as amended by the Hercules Consent and as further amended, restated, amended and restated, supplemented, waived, replaced (whether or not upon termination, and whether with the original lenders or otherwise) or otherwise modified from time to time, including any indentures, credit facilities, term loan facilities or other agreements extending the maturity thereof, refinancing, replacing or otherwise restructuring all or a portion of the Indebtedness under such indentures, credit facilities, term loan facilities or other agreements or any successor or replacement indentures, credit facilities, term loan facilities or other agreements and whether with the original obligors, agents, lenders, institutional investors or otherwise, and whether provided under the original Loan and Security Agreement or one or more other credit or other agreements or indentures, and any agreement (and related document) governing Indebtedness incurred to refinance, in whole or in part, the borrowings, other extensions of credit and commitments then outstanding or permitted to be outstanding under such debt facilities or successor debt facilities, whether by the same or any other obligor, issuer, agent, lender or group of lenders (or institutional investors).</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Hercules Loan Documents</w:t>
      </w:r>
      <w:r>
        <w:rPr>
          <w:rFonts w:ascii="Times New Roman" w:cs="Times New Roman" w:eastAsia="Times New Roman" w:hAnsi="Times New Roman"/>
          <w:sz w:val="22"/>
          <w:szCs w:val="22"/>
          <w:color w:val="auto"/>
        </w:rPr>
        <w:t>” means (a) the Hercules Loan Agreement, and (b) each other “Loan Document” or such similar term as defined in the Hercules Loan Agreement, in each case as amended, restated, amended and restated, modified or otherwise supplemented from time to time.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International Financial Reporting Standards in effect from time to time.</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Improvements</w:t>
      </w:r>
      <w:r>
        <w:rPr>
          <w:rFonts w:ascii="Times New Roman" w:cs="Times New Roman" w:eastAsia="Times New Roman" w:hAnsi="Times New Roman"/>
          <w:sz w:val="22"/>
          <w:szCs w:val="22"/>
          <w:color w:val="auto"/>
        </w:rPr>
        <w:t>” means any improvement, invention or discovery relating to a Product (other than with respect to a new composition of matter), including the formulation, or the method of manufacture of a Product.</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In-License</w:t>
      </w:r>
      <w:r>
        <w:rPr>
          <w:rFonts w:ascii="Times New Roman" w:cs="Times New Roman" w:eastAsia="Times New Roman" w:hAnsi="Times New Roman"/>
          <w:sz w:val="22"/>
          <w:szCs w:val="22"/>
          <w:color w:val="auto"/>
        </w:rPr>
        <w:t>” means each license, settlement agreement or other agreement or arrangement between the Company or any of its Affiliates and any Third Party pursuant to which the Company or any of its Affiliates obtains a license or sublicense or a covenant not to sue or similar grant of rights to any patents or other intellectual property rights of such Third Party that is necessary or reasonably useful for the research, development, manufacture, use or Commercialization of a Product in the Territory. For the avoidance of doubt, the Takeda License is an In-License.</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with respect to a Person means (i) all obligations of such Person for borrowed money, (ii) all obligations of such Person evidenced by a note, bond, debenture or similar instrument, (iii) all obligations of such Person upon which interest charges are customarily paid, (iv) all obligations of such Person under conditional sale or other title retention agreements relating to property acquired by such Person, (v) all obligations of such Person in respect of the deferred purchase price of property or services (excluding deferred compensation and accounts payable incurred in the ordinary course of business and not overdue by more than 90 days), (vi) all indebtedness of others secured by (or for which the holder of such indebtedness has an existing right, contingent or otherwise, to be secured by) any Lien on property owned or acquired by such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Person if the indebtedness secured thereby has been assumed, (vii) all guarantees by such Person of indebtedness of others, (viii) all capital lease obligations of such Person, (ix) all obligations, contingent or otherwise, of such Person as an account party in respect of letters of credit and letters of guaranty, (x) all obligations of such Person under any interest rate exchange agreement, foreign currency exchange agreement, commodity price protection agreement, currency swap, forward, future or derivative transactions or other interest or currency exchange rate or commodity price hedging arrangement, (xi) all obligations, contingent or otherwise, of such Person in respect of bankers’ acceptances, (xii) any disqualified equity interests of such Person, and (xiii) all other obligations required to be classified as indebtedness of such Person under GAAP or IFRS;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Indebtedness shall not include accrued expenses, deferred rent, deferred taxes, deferred compensation or customary obligations under employment agreements.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Investors</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Product Rights</w:t>
      </w:r>
      <w:r>
        <w:rPr>
          <w:rFonts w:ascii="Times New Roman" w:cs="Times New Roman" w:eastAsia="Times New Roman" w:hAnsi="Times New Roman"/>
          <w:sz w:val="22"/>
          <w:szCs w:val="22"/>
          <w:color w:val="auto"/>
        </w:rPr>
        <w:t>” means any and all of the following as they exist throughout the Territory at any time: (a) the Patent Rights; (b) rights in registered and unregistered trademarks, service marks, trade names, trade dress, logos, packaging design, slogans and Internet domain names, and registrations and applications for registration of any of the foregoing, in each case, with respect to any Product; (c) rights in all Know-How necessary for the development, manufacture or Commercialization of any Product; and (d) any and all other intellectual property rights and/or proprietary rights, whether or not patentable, specifically relating to any of the foregoing, covering or related to the development, manufacture, use or Commercialization of a Product, including any non-published and proprietary information or data contained in any NDA for any Product.</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Amount</w:t>
      </w:r>
      <w:r>
        <w:rPr>
          <w:rFonts w:ascii="Times New Roman" w:cs="Times New Roman" w:eastAsia="Times New Roman" w:hAnsi="Times New Roman"/>
          <w:sz w:val="22"/>
          <w:szCs w:val="22"/>
          <w:color w:val="auto"/>
        </w:rPr>
        <w:t>” means, as of any date of determination, the sum of (a) the Funding Date Payment, (b) any Regulatory Milestone Payment and (c) any Sales Milestone Payment, in each case to the extent actually paid by the Investors to the Company as of such date. When any reference herein to “Investment Amount” is qualified by “each”, “each of” or similar words, then such reference shall be to each of the payments described in clause (a) above, clause (b) above and clause (c) above, individually, as the context requires.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Account</w:t>
      </w:r>
      <w:r>
        <w:rPr>
          <w:rFonts w:ascii="Times New Roman" w:cs="Times New Roman" w:eastAsia="Times New Roman" w:hAnsi="Times New Roman"/>
          <w:sz w:val="22"/>
          <w:szCs w:val="22"/>
          <w:color w:val="auto"/>
        </w:rPr>
        <w:t xml:space="preserve">” with respect to an Investor means the bank account described on the Investor Account Information Document of such Investor, as such bank account may be changed by such Investor in its sole discretion from time to time (including in connection with any assignment by such Investor in accordance with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upon prior written notice to the Company in accordance with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Account Information Document</w:t>
      </w:r>
      <w:r>
        <w:rPr>
          <w:rFonts w:ascii="Times New Roman" w:cs="Times New Roman" w:eastAsia="Times New Roman" w:hAnsi="Times New Roman"/>
          <w:sz w:val="22"/>
          <w:szCs w:val="22"/>
          <w:color w:val="auto"/>
        </w:rPr>
        <w:t xml:space="preserve">” means (i) with respect to an Initial Investor, the document setting forth the bank account of such Initial Investor delivered by such Initial Investor to the Company pursuant to </w:t>
      </w:r>
      <w:r>
        <w:rPr>
          <w:rFonts w:ascii="Times New Roman" w:cs="Times New Roman" w:eastAsia="Times New Roman" w:hAnsi="Times New Roman"/>
          <w:sz w:val="22"/>
          <w:szCs w:val="22"/>
          <w:u w:val="single" w:color="auto"/>
          <w:color w:val="auto"/>
        </w:rPr>
        <w:t>Section 3.1(g)</w:t>
      </w:r>
      <w:r>
        <w:rPr>
          <w:rFonts w:ascii="Times New Roman" w:cs="Times New Roman" w:eastAsia="Times New Roman" w:hAnsi="Times New Roman"/>
          <w:sz w:val="22"/>
          <w:szCs w:val="22"/>
          <w:color w:val="auto"/>
        </w:rPr>
        <w:t>, and (ii) with respect to an Additional Investor,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document setting forth the bank account of such Additional Investor delivered by such Additional Investor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Indemnified Parties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Investors</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Involuntary Bankruptcy</w:t>
      </w:r>
      <w:r>
        <w:rPr>
          <w:rFonts w:ascii="Times New Roman" w:cs="Times New Roman" w:eastAsia="Times New Roman" w:hAnsi="Times New Roman"/>
          <w:sz w:val="22"/>
          <w:szCs w:val="22"/>
          <w:color w:val="auto"/>
        </w:rPr>
        <w:t>” means a court of competent jurisdiction enters an order or decree under any Bankruptcy Law that: (i) is for relief against the Company in an involuntary case; (ii) appoints a Custodian of the Company or for any substantial part of its property; or (iii) orders the winding up or liquidation of the Company; or any similar relief is granted under any non-U.S. laws and the order or decree remains unstayed and in effect for 60 consecutive days.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U.S. Internal Revenue Service.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means any judgment, order, writ, injunction, citation, award or decree of any nature.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xml:space="preserve"> ” means any and all proprietary or confidential information, know-how and trade secrets, including processes, formulae, models and techniques (but excluding rights in research in progress, algorithms, data, databases, data collections, chemical and biological materials and the results of experimentation and testing).</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the Company</w:t>
      </w:r>
      <w:r>
        <w:rPr>
          <w:rFonts w:ascii="Times New Roman" w:cs="Times New Roman" w:eastAsia="Times New Roman" w:hAnsi="Times New Roman"/>
          <w:sz w:val="22"/>
          <w:szCs w:val="22"/>
          <w:color w:val="auto"/>
        </w:rPr>
        <w:t xml:space="preserve">” means the actual knowledge of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(or any successor to any such person), after reasonable due inquiry.</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 Milestone Revenue</w:t>
      </w:r>
      <w:r>
        <w:rPr>
          <w:rFonts w:ascii="Times New Roman" w:cs="Times New Roman" w:eastAsia="Times New Roman" w:hAnsi="Times New Roman"/>
          <w:sz w:val="22"/>
          <w:szCs w:val="22"/>
          <w:color w:val="auto"/>
        </w:rPr>
        <w:t>” means any upfront or other one-time payments, milestone payments (whether regulatory, sales-based or non-sales-based), license signing fees and license maintenance fees received by the Company or any of its Affiliates from a Licensee or any of such Licensee’s affiliates or sublicensees under or pursuant to an Out-License or any sublicense under or other agreement ancillary to such Out-License, or payments received by the Company or any of its Affiliates from a Third Party in lieu of any of the foregoing payments. For the avoidance of doubt, “</w:t>
      </w:r>
      <w:r>
        <w:rPr>
          <w:rFonts w:ascii="Times New Roman" w:cs="Times New Roman" w:eastAsia="Times New Roman" w:hAnsi="Times New Roman"/>
          <w:sz w:val="22"/>
          <w:szCs w:val="22"/>
          <w:u w:val="single" w:color="auto"/>
          <w:color w:val="auto"/>
        </w:rPr>
        <w:t>License Milestone Revenue</w:t>
      </w:r>
      <w:r>
        <w:rPr>
          <w:rFonts w:ascii="Times New Roman" w:cs="Times New Roman" w:eastAsia="Times New Roman" w:hAnsi="Times New Roman"/>
          <w:sz w:val="22"/>
          <w:szCs w:val="22"/>
          <w:color w:val="auto"/>
        </w:rPr>
        <w:t>” shall exclude, or be reduced by, as the case may be:</w:t>
      </w:r>
    </w:p>
    <w:p>
      <w:pPr>
        <w:spacing w:after="0" w:line="181" w:lineRule="exact"/>
        <w:rPr>
          <w:sz w:val="20"/>
          <w:szCs w:val="20"/>
          <w:color w:val="auto"/>
        </w:rPr>
      </w:pPr>
    </w:p>
    <w:p>
      <w:pPr>
        <w:ind w:right="20" w:firstLine="757"/>
        <w:spacing w:after="0" w:line="258" w:lineRule="auto"/>
        <w:tabs>
          <w:tab w:leader="none" w:pos="118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and fees received from any Permitted U.S. Out-Licensees in respect of any Permitted U.S. Out-Licenses (which are Net Sales under this Agreement);</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or grants received from a Third Party specifically to cover future costs to be incurred by or on behalf of the Company or any Affiliate after the execution of such Out-License attributable to the development of the Product, which costs are expressly covered by the Licensee under such Out-License; and</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credits and Taxes withheld generally based on non-Tax residency of the recipient.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Without limiting clauses (a) through (c) above, to the extent that the Company permits any Licensee to set off any payments payable pursuant to the Out-License with such Licensee against any amounts payable by the Company to such Licensee, then the License Milestone Revenue 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jc w:val="both"/>
        <w:spacing w:after="0" w:line="258" w:lineRule="auto"/>
        <w:rPr>
          <w:sz w:val="20"/>
          <w:szCs w:val="20"/>
          <w:color w:val="auto"/>
        </w:rPr>
      </w:pPr>
      <w:r>
        <w:rPr>
          <w:rFonts w:ascii="Times New Roman" w:cs="Times New Roman" w:eastAsia="Times New Roman" w:hAnsi="Times New Roman"/>
          <w:sz w:val="22"/>
          <w:szCs w:val="22"/>
          <w:color w:val="auto"/>
        </w:rPr>
        <w:t>such Out-License shall include all such payments payable to the Company under such Out-License without giving effect to any such setoff.</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License Milestone Revenue shall also include the amounts described in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 Royalty Revenue</w:t>
      </w:r>
      <w:r>
        <w:rPr>
          <w:rFonts w:ascii="Times New Roman" w:cs="Times New Roman" w:eastAsia="Times New Roman" w:hAnsi="Times New Roman"/>
          <w:sz w:val="22"/>
          <w:szCs w:val="22"/>
          <w:color w:val="auto"/>
        </w:rPr>
        <w:t>” means any sales-based royalty payments received by the Company or any of its Affiliates from a Licensee or any of such Licensee’s affiliates or sublicensees under or pursuant to an Out-License or any sublicense under or other agreement ancillary to such Out-License, or payments received by the Company or any of its Affiliates from a Third Party in lieu of any of the foregoing payments. For the avoidance of doubt, “</w:t>
      </w:r>
      <w:r>
        <w:rPr>
          <w:rFonts w:ascii="Times New Roman" w:cs="Times New Roman" w:eastAsia="Times New Roman" w:hAnsi="Times New Roman"/>
          <w:sz w:val="22"/>
          <w:szCs w:val="22"/>
          <w:u w:val="single" w:color="auto"/>
          <w:color w:val="auto"/>
        </w:rPr>
        <w:t>License Royalty Revenue</w:t>
      </w:r>
      <w:r>
        <w:rPr>
          <w:rFonts w:ascii="Times New Roman" w:cs="Times New Roman" w:eastAsia="Times New Roman" w:hAnsi="Times New Roman"/>
          <w:sz w:val="22"/>
          <w:szCs w:val="22"/>
          <w:color w:val="auto"/>
        </w:rPr>
        <w:t>” shall exclude, or be reduced by, as the case may be:</w:t>
      </w:r>
    </w:p>
    <w:p>
      <w:pPr>
        <w:spacing w:after="0" w:line="177" w:lineRule="exact"/>
        <w:rPr>
          <w:sz w:val="20"/>
          <w:szCs w:val="20"/>
          <w:color w:val="auto"/>
        </w:rPr>
      </w:pPr>
    </w:p>
    <w:p>
      <w:pPr>
        <w:ind w:right="20" w:firstLine="757"/>
        <w:spacing w:after="0" w:line="258" w:lineRule="auto"/>
        <w:tabs>
          <w:tab w:leader="none" w:pos="118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and fees received from any Permitted U.S. Out-Licensees in respect of any Permitted U.S. Out-Licenses (which are Net Sales under this Agreement);</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or grants received from a Third Party specifically to cover future costs to be incurred by or on behalf of the Company or any Affiliate after the execution of such Out-License attributable to the development of the Product, which costs are expressly covered by the Licensee under such Out-License;</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credits and Taxes withheld generally based on non-Tax residency of the recipient; and</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sales or supply of Product inventory at or below the Company’s actual cost of goods sold,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mark-up from, or other amounts in excess of, the Company’s cost of goods sold for such inventory shall be License Royalty Revenue.</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Without limiting clauses (a) through (d) above, to the extent that the Company permits any Licensee to set off any payments payable pursuant to the Out-License with such Licensee against any amounts payable by the Company to such Licensee, then the License Royalty Revenue under such Out-License shall include all such payments payable to the Company under such Out-License without giving effect to any such setoff.</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License Royalty Revenue shall also include the amounts described in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Licensee</w:t>
      </w:r>
      <w:r>
        <w:rPr>
          <w:rFonts w:ascii="Times New Roman" w:cs="Times New Roman" w:eastAsia="Times New Roman" w:hAnsi="Times New Roman"/>
          <w:sz w:val="22"/>
          <w:szCs w:val="22"/>
          <w:color w:val="auto"/>
        </w:rPr>
        <w:t>” means, with respect to any Product, a Third Party to whom the Company or any Affiliate of the Company has granted an Out-License.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lien, pledge, participation interest, charge, adverse claim, security interest, encumbrance or restriction of any kind, whether voluntarily incurred and arising by operation by law or otherwise, including any restriction on use, transfer or exercise of any other attribute of ownership of any kind.</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means any and all Judgments, damages, losses, claims, costs, liabilities and expenses, including reasonable fees and out-of-pocket expenses of counsel.</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Marketing Approval</w:t>
      </w:r>
      <w:r>
        <w:rPr>
          <w:rFonts w:ascii="Times New Roman" w:cs="Times New Roman" w:eastAsia="Times New Roman" w:hAnsi="Times New Roman"/>
          <w:sz w:val="22"/>
          <w:szCs w:val="22"/>
          <w:color w:val="auto"/>
        </w:rPr>
        <w:t>” means, an NDA approved by the FDA, a marketing authorization application approved by the European Commission of the European Union, upon the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jc w:val="both"/>
        <w:spacing w:after="0" w:line="244" w:lineRule="auto"/>
        <w:rPr>
          <w:sz w:val="20"/>
          <w:szCs w:val="20"/>
          <w:color w:val="auto"/>
        </w:rPr>
      </w:pPr>
      <w:r>
        <w:rPr>
          <w:rFonts w:ascii="Times New Roman" w:cs="Times New Roman" w:eastAsia="Times New Roman" w:hAnsi="Times New Roman"/>
          <w:sz w:val="22"/>
          <w:szCs w:val="22"/>
          <w:color w:val="auto"/>
        </w:rPr>
        <w:t>recommendation of the EMA under the centralized European procedure, or any corresponding non-U.S. or non-EMA application, registration or certification in the Territory, necessary or reasonably useful to Commercialize a Product approved by the corresponding Regulatory Authority, including pricing and reimbursement approvals where required.</w:t>
      </w:r>
    </w:p>
    <w:p>
      <w:pPr>
        <w:spacing w:after="0" w:line="173"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a material adverse effect on (i) the timing, duration or amount of the Royalty Payments, (ii) the Commercialization of a Product in the United States, (iii) any of the Intellectual Property Product Rights, including the Company’s rights in or to any Intellectual Property Product Rights, (iv) any Marketing Approval of a Product in the United States or the timing thereof, (v) the legality, validity or enforceability of any provision of any Transaction Document, (vi) the ability of the Company to perform any of its obligations under any Transaction Document (including the Company being unable or failing to make the Royalty Payments in accordance with the terms of this Agreement) or to consummate the transactions contemplated hereby or thereby, or (vii) the rights or remedies of the Investors under any Transaction Document.</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Cash Reference Amount</w:t>
      </w:r>
      <w:r>
        <w:rPr>
          <w:rFonts w:ascii="Times New Roman" w:cs="Times New Roman" w:eastAsia="Times New Roman" w:hAnsi="Times New Roman"/>
          <w:sz w:val="22"/>
          <w:szCs w:val="22"/>
          <w:color w:val="auto"/>
        </w:rPr>
        <w:t>” means, as of any date of determination, the difference between the Investment Amount as of such date and the amount of all Royalty Payments received by the Investors pursuant to this Agreement as of such date.</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NDA</w:t>
      </w:r>
      <w:r>
        <w:rPr>
          <w:rFonts w:ascii="Times New Roman" w:cs="Times New Roman" w:eastAsia="Times New Roman" w:hAnsi="Times New Roman"/>
          <w:sz w:val="22"/>
          <w:szCs w:val="22"/>
          <w:color w:val="auto"/>
        </w:rPr>
        <w:t xml:space="preserve"> ” means a New Drug Application submitted to the FDA in the United States in accordance with the FD&amp;C Act with respect to a pharmaceutical product or any analogous application or submission with any Regulatory Authority outside of the United States.</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with respect to any Product, the gross amounts invoiced and/or received (whichever is the first to occur) by the Company and its Affiliates and any Permitted U.S. Out-Licensee for sales of such Product to Third Parties, less the following deductions, to the extent such deductions are paid, incurred or otherwise taken, reasonable and customary, provided to Third Parties, and actually allowed with respect to such sales (to the extent not reimbursed by any Third Party and without duplication):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 xml:space="preserve">The Net Sales of any Product sold as a component of a combination or bundled product that consists of a Product (or the Compound) together with one or more other therapeutically active products or compounds (a </w:t>
      </w:r>
      <w:r>
        <w:rPr>
          <w:rFonts w:ascii="Times New Roman" w:cs="Times New Roman" w:eastAsia="Times New Roman" w:hAnsi="Times New Roman"/>
          <w:sz w:val="22"/>
          <w:szCs w:val="22"/>
          <w:u w:val="single" w:color="auto"/>
          <w:color w:val="auto"/>
        </w:rPr>
        <w:t>“Combination Product”)</w:t>
      </w:r>
      <w:r>
        <w:rPr>
          <w:rFonts w:ascii="Times New Roman" w:cs="Times New Roman" w:eastAsia="Times New Roman" w:hAnsi="Times New Roman"/>
          <w:sz w:val="22"/>
          <w:szCs w:val="22"/>
          <w:color w:val="auto"/>
        </w:rPr>
        <w:t xml:space="preserve"> shall be calculated as follows: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Net Sales shall also include the amounts described in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U.S. Department of Treasury Office of Foreign Assets Control.</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 Lists</w:t>
      </w:r>
      <w:r>
        <w:rPr>
          <w:rFonts w:ascii="Times New Roman" w:cs="Times New Roman" w:eastAsia="Times New Roman" w:hAnsi="Times New Roman"/>
          <w:sz w:val="22"/>
          <w:szCs w:val="22"/>
          <w:color w:val="auto"/>
        </w:rPr>
        <w:t>” means, collectively, the Specially Designated Nationals and Blocked Persons List maintained by OFAC pursuant to Executive Order No. 13224 and/or any other list of terrorists or other restricted Persons maintained pursuant to any of the rules and regulations of OFAC or pursuant to any other applicable executive orders.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Out-License</w:t>
      </w:r>
      <w:r>
        <w:rPr>
          <w:rFonts w:ascii="Times New Roman" w:cs="Times New Roman" w:eastAsia="Times New Roman" w:hAnsi="Times New Roman"/>
          <w:sz w:val="22"/>
          <w:szCs w:val="22"/>
          <w:color w:val="auto"/>
        </w:rPr>
        <w:t>” means each license, settlement agreement or other agreement or arrangement between the Company or any of its Affiliates and any Third Party pursuant to which the Company or any of its Affiliates grants a license, sublicense or similar grant of any Intellectual Property Product Right that is necessary or reasonably useful for the research, development, manufacture, use or Commercialization of a Product in the Territory.</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Rights</w:t>
      </w:r>
      <w:r>
        <w:rPr>
          <w:rFonts w:ascii="Times New Roman" w:cs="Times New Roman" w:eastAsia="Times New Roman" w:hAnsi="Times New Roman"/>
          <w:sz w:val="22"/>
          <w:szCs w:val="22"/>
          <w:color w:val="auto"/>
        </w:rPr>
        <w:t>” means any and all patents and patent applications owned or in-licensed by the Company or any of its Affiliates or under which the Company or any of its Affiliates is or may become empowered to grant licenses necessary or reasonably useful for the research, development, manufacture, use, detailing or Commercialization of a Product in the Territory, as well as existing or future patents covering any Improvements.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4.1(g)(iv)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License</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1180" w:hanging="423"/>
        <w:spacing w:after="0"/>
        <w:tabs>
          <w:tab w:leader="none" w:pos="11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Out-License in any country in the Territory other than the United States;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United States, any Permitted U.S. Out-License;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license or sublicense of any Intellectual Property Product Right between the Company and its Subsidiaries;</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Permitted License shall assign or otherwise convey title to or impose any Lien, other than the grant of the permitted license or sublicense, in favor of any Third Party.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the following:</w:t>
      </w:r>
    </w:p>
    <w:p>
      <w:pPr>
        <w:spacing w:after="0" w:line="206" w:lineRule="exact"/>
        <w:rPr>
          <w:sz w:val="20"/>
          <w:szCs w:val="20"/>
          <w:color w:val="auto"/>
        </w:rPr>
      </w:pPr>
    </w:p>
    <w:p>
      <w:pPr>
        <w:jc w:val="both"/>
        <w:ind w:firstLine="757"/>
        <w:spacing w:after="0" w:line="244"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statutory Liens of landlords and Liens of carriers, warehousemen, mechanics, materialmen and suppliers and other Liens imposed by law or pursuant to customary reservations or retentions of title arising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Liens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w:t>
      </w:r>
    </w:p>
    <w:p>
      <w:pPr>
        <w:spacing w:after="0" w:line="176"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property existing at the time of acquisition of such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Liens were in existence prior to such acquisition and not incurred in contemplation thereof;</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Licenses, including any interest or title of a licensee under a Permitted License;</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under the Hercules Loan Documents;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ind w:left="1180" w:hanging="423"/>
        <w:spacing w:after="0"/>
        <w:tabs>
          <w:tab w:leader="none" w:pos="11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permitted under the Hercules Loan Documents;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under the Transaction Documents for the benefit of the Investors.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U.S. Out-License</w:t>
      </w:r>
      <w:r>
        <w:rPr>
          <w:rFonts w:ascii="Times New Roman" w:cs="Times New Roman" w:eastAsia="Times New Roman" w:hAnsi="Times New Roman"/>
          <w:sz w:val="22"/>
          <w:szCs w:val="22"/>
          <w:color w:val="auto"/>
        </w:rPr>
        <w:t>” means any Out-License that is non-exclusive or co-exclusive with the Company or any of its Affiliates and is entered into by the Company or any of its Affiliates pursuant to which the Company or its Affiliate and a Licensee agree to co-Commercialize one or more Products in the United States, including sharing in the net profits (and losses) of such Commercialization, with the Company (or its Affiliate) entitled to at least a 40.0% share of such net profits (and losses), whether such percentage is calculated as a percentage of net sales or net profits.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U.S. Out-Licensee</w:t>
      </w:r>
      <w:r>
        <w:rPr>
          <w:rFonts w:ascii="Times New Roman" w:cs="Times New Roman" w:eastAsia="Times New Roman" w:hAnsi="Times New Roman"/>
          <w:sz w:val="22"/>
          <w:szCs w:val="22"/>
          <w:color w:val="auto"/>
        </w:rPr>
        <w:t>” means the Licensee party to a Permitted U.S. Out-License.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firm, corporation, company, partnership, limited liability company, trust, joint venture, association, estate, trust, Governmental Entity or other entity, enterprise, association or organization.</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Post-Regulatory Milestone Change of Control</w:t>
      </w:r>
      <w:r>
        <w:rPr>
          <w:rFonts w:ascii="Times New Roman" w:cs="Times New Roman" w:eastAsia="Times New Roman" w:hAnsi="Times New Roman"/>
          <w:sz w:val="22"/>
          <w:szCs w:val="22"/>
          <w:color w:val="auto"/>
        </w:rPr>
        <w:t xml:space="preserve">” means a Change of Control that occurs on or after the earlier of (i)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(ii) the date that the Regulatory Milestone Payment is made.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Post-Regulatory Milestone Change of Control Payment Date</w:t>
      </w:r>
      <w:r>
        <w:rPr>
          <w:rFonts w:ascii="Times New Roman" w:cs="Times New Roman" w:eastAsia="Times New Roman" w:hAnsi="Times New Roman"/>
          <w:sz w:val="22"/>
          <w:szCs w:val="22"/>
          <w:color w:val="auto"/>
        </w:rPr>
        <w:t>” means a Business Day identified by the Company by written notice to the Investors that is on or prior to the occurrence of the Change of Control described in the definition of Post-Regulatory Milestone Change of Control.</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Post-Regulatory Milestone Change of Control Price</w:t>
      </w:r>
      <w:r>
        <w:rPr>
          <w:rFonts w:ascii="Times New Roman" w:cs="Times New Roman" w:eastAsia="Times New Roman" w:hAnsi="Times New Roman"/>
          <w:sz w:val="22"/>
          <w:szCs w:val="22"/>
          <w:color w:val="auto"/>
        </w:rPr>
        <w:t xml:space="preserve">” means an amount equal to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less the amount of all Royalty Payments and any other payments received by the Investors pursuant to this Agreement (but in no event less than zero), as of the Post-Regulatory Milestone Change of Control Payment Date.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Pre-Regulatory Milestone Change of Control</w:t>
      </w:r>
      <w:r>
        <w:rPr>
          <w:rFonts w:ascii="Times New Roman" w:cs="Times New Roman" w:eastAsia="Times New Roman" w:hAnsi="Times New Roman"/>
          <w:sz w:val="22"/>
          <w:szCs w:val="22"/>
          <w:color w:val="auto"/>
        </w:rPr>
        <w:t xml:space="preserve">” means a Change of Control that occurs on any date beginning on the Effective Date until the earlier of (i)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(ii) the date that the Regulatory Milestone Payment is made.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Pre-Regulatory Milestone Change of Control Payment Date</w:t>
      </w:r>
      <w:r>
        <w:rPr>
          <w:rFonts w:ascii="Times New Roman" w:cs="Times New Roman" w:eastAsia="Times New Roman" w:hAnsi="Times New Roman"/>
          <w:sz w:val="22"/>
          <w:szCs w:val="22"/>
          <w:color w:val="auto"/>
        </w:rPr>
        <w:t>” means a Business Day identified by the Company by written notice to the Investors that is on or prior to the occurrence of the Change of Control described in the definition of Pre-Regulatory Milestone Change of Control.</w:t>
      </w:r>
    </w:p>
    <w:p>
      <w:pPr>
        <w:spacing w:after="0" w:line="173"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Pre-Regulatory Milestone Change of Control Price</w:t>
      </w:r>
      <w:r>
        <w:rPr>
          <w:rFonts w:ascii="Times New Roman" w:cs="Times New Roman" w:eastAsia="Times New Roman" w:hAnsi="Times New Roman"/>
          <w:sz w:val="21"/>
          <w:szCs w:val="21"/>
          <w:color w:val="auto"/>
        </w:rPr>
        <w:t xml:space="preserve">” means, as of the Pre-Regulatory Milestone Change of Control Payment Date, an amount equal to (i) the Cap Amount, less the amount of all Royalty Payments received by the Investors pursuant to this Agreement (but in no event less than zero), as of the Pre-Regulatory Milestone Change of Control Payment Date plus (ii) (a) beginning on the Effective Date until the day prior to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as of the Pre-Regulatory Milestone Change of Control Payment Date and (b) beginning on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as of the Pre-Regulatory Milestone Change of Control Payment Date.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prime rate published by The Wall Street Journal, from time to time, as the prime rate.</w:t>
      </w:r>
    </w:p>
    <w:p>
      <w:pPr>
        <w:spacing w:after="0" w:line="206"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Products</w:t>
      </w:r>
      <w:r>
        <w:rPr>
          <w:rFonts w:ascii="Times New Roman" w:cs="Times New Roman" w:eastAsia="Times New Roman" w:hAnsi="Times New Roman"/>
          <w:sz w:val="22"/>
          <w:szCs w:val="22"/>
          <w:color w:val="auto"/>
        </w:rPr>
        <w:t>” means, individually and collectively, any pharmaceutical product, including all forms, presentations, strengths, doses and formulations (including any method of delivery), containing the Compound alone or in combination with at least one other therapeutically active ingredient.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Rights</w:t>
      </w:r>
      <w:r>
        <w:rPr>
          <w:rFonts w:ascii="Times New Roman" w:cs="Times New Roman" w:eastAsia="Times New Roman" w:hAnsi="Times New Roman"/>
          <w:sz w:val="22"/>
          <w:szCs w:val="22"/>
          <w:color w:val="auto"/>
        </w:rPr>
        <w:t>” means any and all of the following, as they exist throughout the Territory: (a) Intellectual Property Product Rights, (b) regulatory filings, submissions and approvals, including Marketing Approvals, with or from any Regulatory Authorities with respect to any of the Products, (c) In-Licenses and (d) Out-Licenses.</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Prohibited Assignee</w:t>
      </w:r>
      <w:r>
        <w:rPr>
          <w:rFonts w:ascii="Times New Roman" w:cs="Times New Roman" w:eastAsia="Times New Roman" w:hAnsi="Times New Roman"/>
          <w:sz w:val="22"/>
          <w:szCs w:val="22"/>
          <w:color w:val="auto"/>
        </w:rPr>
        <w:t>” means (i) any competitor of the Company primarily operating in the biopharmaceutical industry, at least 50.0% of the revenues of which are derived from the sale of biopharmaceutical products, and (ii) any of such competitor’s Affiliates (other than any Person that is a bona fide debt fund primarily engaged in the making, purchasing, holding or other investing in commercial loans, notes, bonds or similar extensions of credit or securities in the ordinary course of business) that is either (x) identified by name in writing by the Company to the Investors from time to time or (y) clearly identifiable on the basis of such Affiliate’s name.</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Party</w:t>
      </w:r>
      <w:r>
        <w:rPr>
          <w:rFonts w:ascii="Times New Roman" w:cs="Times New Roman" w:eastAsia="Times New Roman" w:hAnsi="Times New Roman"/>
          <w:sz w:val="22"/>
          <w:szCs w:val="22"/>
          <w:color w:val="auto"/>
        </w:rPr>
        <w:t xml:space="preserve">” means: (i) a pharmaceutical or biotech company with (a) annual revenue for its most recently completed fiscal year of at least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(b) a market capitalization or enterprise value (as determined in good faith by the Company) in excess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at the time of determination; or (ii) any other Person designated as such in writing by mutual agreement of the Company and the Required Investors.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any national or supranational Governmental Entity, including the FDA, the European Commission of the European Union (upon the recommendation of the EMA) or such equivalent regulatory authority, or any successor agency thereto, that has responsibility in granting a Marketing Approval.</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Milestone (EE) Event</w:t>
      </w:r>
      <w:r>
        <w:rPr>
          <w:rFonts w:ascii="Times New Roman" w:cs="Times New Roman" w:eastAsia="Times New Roman" w:hAnsi="Times New Roman"/>
          <w:sz w:val="22"/>
          <w:szCs w:val="22"/>
          <w:color w:val="auto"/>
        </w:rPr>
        <w:t>” means that the FDA has approved the Company’s NDA for vonoprazan for an indication relating to the healing and maintenance of healing of erosive esophagitis with an approved indication on the label that is generally consistent with that sought in the Company’s NDA submission.</w:t>
      </w:r>
    </w:p>
    <w:p>
      <w:pPr>
        <w:spacing w:after="0" w:line="173"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Milestone (HP) Event</w:t>
      </w:r>
      <w:r>
        <w:rPr>
          <w:rFonts w:ascii="Times New Roman" w:cs="Times New Roman" w:eastAsia="Times New Roman" w:hAnsi="Times New Roman"/>
          <w:sz w:val="22"/>
          <w:szCs w:val="22"/>
          <w:color w:val="auto"/>
        </w:rPr>
        <w:t xml:space="preserve">” means that the FDA has approved the Company’s NDA for the Compound co-packaged with one or more antibiotics for treatment of </w:t>
      </w:r>
      <w:r>
        <w:rPr>
          <w:rFonts w:ascii="Times New Roman" w:cs="Times New Roman" w:eastAsia="Times New Roman" w:hAnsi="Times New Roman"/>
          <w:sz w:val="22"/>
          <w:szCs w:val="22"/>
          <w:i w:val="1"/>
          <w:iCs w:val="1"/>
          <w:color w:val="auto"/>
        </w:rPr>
        <w:t>Helicobacter pylori</w:t>
      </w:r>
      <w:r>
        <w:rPr>
          <w:rFonts w:ascii="Times New Roman" w:cs="Times New Roman" w:eastAsia="Times New Roman" w:hAnsi="Times New Roman"/>
          <w:sz w:val="22"/>
          <w:szCs w:val="22"/>
          <w:color w:val="auto"/>
        </w:rPr>
        <w:t xml:space="preserve"> infection in adults with an approved indication on the label that is generally consistent with that sought in the Company’s NDA submission.</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Milestone (NERD) Event</w:t>
      </w:r>
      <w:r>
        <w:rPr>
          <w:rFonts w:ascii="Times New Roman" w:cs="Times New Roman" w:eastAsia="Times New Roman" w:hAnsi="Times New Roman"/>
          <w:sz w:val="22"/>
          <w:szCs w:val="22"/>
          <w:color w:val="auto"/>
        </w:rPr>
        <w:t>” means that the FDA has approved the Company’s NDA (or supplemental NDA) for vonoprazan for an indication relating to the treatment of</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jc w:val="both"/>
        <w:spacing w:after="0" w:line="282" w:lineRule="auto"/>
        <w:rPr>
          <w:sz w:val="20"/>
          <w:szCs w:val="20"/>
          <w:color w:val="auto"/>
        </w:rPr>
      </w:pPr>
      <w:r>
        <w:rPr>
          <w:rFonts w:ascii="Times New Roman" w:cs="Times New Roman" w:eastAsia="Times New Roman" w:hAnsi="Times New Roman"/>
          <w:sz w:val="21"/>
          <w:szCs w:val="21"/>
          <w:color w:val="auto"/>
        </w:rPr>
        <w:t>heartburn associated with symptomatic non-erosive gastroesophageal reflux disease, with an approved indication on the label that is generally consistent with that sought in the Company’s NDA submission (or the Company’s supplemental NDA submission).</w:t>
      </w:r>
    </w:p>
    <w:p>
      <w:pPr>
        <w:spacing w:after="0" w:line="13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Milestone Payment</w:t>
      </w:r>
      <w:r>
        <w:rPr>
          <w:rFonts w:ascii="Times New Roman" w:cs="Times New Roman" w:eastAsia="Times New Roman" w:hAnsi="Times New Roman"/>
          <w:sz w:val="22"/>
          <w:szCs w:val="22"/>
          <w:color w:val="auto"/>
        </w:rPr>
        <w:t xml:space="preserve">” means (i) at any time prior to the date on which the Company has obtained a commitment for an Additional Regulatory Milestone Payment, if any, pursuant to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 xml:space="preserve">, $160,000,000, and (ii) thereafter, an amount equal to (a) $160,000,000 plus (b) the amount of the Additional Regulatory Milestone Payment for which the Company has obtained a commitment pursuant to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Milestone Payment Option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Milestone ROFO Period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means, with respect to any Person, (a) any direct or indirect equityholder, member or partner of such Person and (b) any manager, director, trustee, officer, employee, agent, advisor or other representative (including attorneys, accountants, consultants, contractors, bankers and financial advisers and actual and potential lenders (or other sources of funding), investors, co-investors and assignees) of such Person.</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Investors</w:t>
      </w:r>
      <w:r>
        <w:rPr>
          <w:rFonts w:ascii="Times New Roman" w:cs="Times New Roman" w:eastAsia="Times New Roman" w:hAnsi="Times New Roman"/>
          <w:sz w:val="22"/>
          <w:szCs w:val="22"/>
          <w:color w:val="auto"/>
        </w:rPr>
        <w:t>” means, as of any date of determination, Investors whose Specified Percentages taken together equal at least 50.1% as of such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Interest Collateral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Interests</w:t>
      </w:r>
      <w:r>
        <w:rPr>
          <w:rFonts w:ascii="Times New Roman" w:cs="Times New Roman" w:eastAsia="Times New Roman" w:hAnsi="Times New Roman"/>
          <w:sz w:val="22"/>
          <w:szCs w:val="22"/>
          <w:color w:val="auto"/>
        </w:rPr>
        <w:t>” means all of the Company’s rights, title and interest in and to the Royalty Payments.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ROFO Regulatory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ROFO Sales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Payment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Payments</w:t>
      </w:r>
      <w:r>
        <w:rPr>
          <w:rFonts w:ascii="Times New Roman" w:cs="Times New Roman" w:eastAsia="Times New Roman" w:hAnsi="Times New Roman"/>
          <w:sz w:val="22"/>
          <w:szCs w:val="22"/>
          <w:color w:val="auto"/>
        </w:rPr>
        <w:t>” means, for each calendar quarter from and after April 1, 2022, an amount equal to (i) the amount of all aggregate Net Sales in the Territory during such calendar quarter multiplied by the Royalty Rate, plus (ii) the amount of all aggregate License Royalty Revenue in the Territory during such calendar quarter multiplied by 10.0%, plus (iii) the amount of all aggregate License Milestone Revenue in the Territory during such calendar quarter multiplied by 10.0%.</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Rate</w:t>
      </w:r>
      <w:r>
        <w:rPr>
          <w:rFonts w:ascii="Times New Roman" w:cs="Times New Roman" w:eastAsia="Times New Roman" w:hAnsi="Times New Roman"/>
          <w:sz w:val="22"/>
          <w:szCs w:val="22"/>
          <w:color w:val="auto"/>
        </w:rPr>
        <w:t xml:space="preserve">” means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subject to receipt by the Investors of written evidence from the Company of the achievement of the Regulatory Milestone (NERD) Event, the “</w:t>
      </w:r>
      <w:r>
        <w:rPr>
          <w:rFonts w:ascii="Times New Roman" w:cs="Times New Roman" w:eastAsia="Times New Roman" w:hAnsi="Times New Roman"/>
          <w:sz w:val="22"/>
          <w:szCs w:val="22"/>
          <w:u w:val="single" w:color="auto"/>
          <w:color w:val="auto"/>
        </w:rPr>
        <w:t>Royalty Rate</w:t>
      </w:r>
      <w:r>
        <w:rPr>
          <w:rFonts w:ascii="Times New Roman" w:cs="Times New Roman" w:eastAsia="Times New Roman" w:hAnsi="Times New Roman"/>
          <w:sz w:val="22"/>
          <w:szCs w:val="22"/>
          <w:color w:val="auto"/>
        </w:rPr>
        <w:t xml:space="preserve">” shall be reduced to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for the increment of Net Sales in the Territory exceeding the amounts set forth in the table below for the corresponding calendar year:</w:t>
      </w:r>
    </w:p>
    <w:p>
      <w:pPr>
        <w:spacing w:after="0" w:line="178" w:lineRule="exact"/>
        <w:rPr>
          <w:sz w:val="20"/>
          <w:szCs w:val="20"/>
          <w:color w:val="auto"/>
        </w:rPr>
      </w:pPr>
    </w:p>
    <w:tbl>
      <w:tblPr>
        <w:tblLayout w:type="fixed"/>
        <w:tblInd w:w="2350" w:type="dxa"/>
        <w:tblCellMar>
          <w:top w:w="0" w:type="dxa"/>
          <w:left w:w="0" w:type="dxa"/>
          <w:bottom w:w="0" w:type="dxa"/>
          <w:right w:w="0" w:type="dxa"/>
        </w:tblCellMar>
      </w:tblPr>
      <w:tr>
        <w:trPr>
          <w:trHeight w:val="326"/>
        </w:trPr>
        <w:tc>
          <w:tcPr>
            <w:tcW w:w="2900" w:type="dxa"/>
            <w:vAlign w:val="bottom"/>
            <w:tcBorders>
              <w:top w:val="single" w:sz="8" w:color="auto"/>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b w:val="1"/>
                <w:bCs w:val="1"/>
                <w:color w:val="auto"/>
              </w:rPr>
              <w:t>Calendar Year</w:t>
            </w:r>
          </w:p>
        </w:tc>
        <w:tc>
          <w:tcPr>
            <w:tcW w:w="462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2"/>
                <w:szCs w:val="22"/>
                <w:b w:val="1"/>
                <w:bCs w:val="1"/>
                <w:color w:val="auto"/>
              </w:rPr>
              <w:t>Net Sales</w:t>
            </w:r>
          </w:p>
        </w:tc>
      </w:tr>
      <w:tr>
        <w:trPr>
          <w:trHeight w:val="39"/>
        </w:trPr>
        <w:tc>
          <w:tcPr>
            <w:tcW w:w="2900" w:type="dxa"/>
            <w:vAlign w:val="bottom"/>
            <w:tcBorders>
              <w:left w:val="single" w:sz="8" w:color="auto"/>
              <w:bottom w:val="single" w:sz="8" w:color="auto"/>
              <w:right w:val="single" w:sz="8" w:color="auto"/>
            </w:tcBorders>
          </w:tcPr>
          <w:p>
            <w:pPr>
              <w:spacing w:after="0"/>
              <w:rPr>
                <w:sz w:val="3"/>
                <w:szCs w:val="3"/>
                <w:color w:val="auto"/>
              </w:rPr>
            </w:pPr>
          </w:p>
        </w:tc>
        <w:tc>
          <w:tcPr>
            <w:tcW w:w="4620" w:type="dxa"/>
            <w:vAlign w:val="bottom"/>
            <w:tcBorders>
              <w:bottom w:val="single" w:sz="8" w:color="auto"/>
              <w:right w:val="single" w:sz="8" w:color="auto"/>
            </w:tcBorders>
          </w:tcPr>
          <w:p>
            <w:pPr>
              <w:spacing w:after="0"/>
              <w:rPr>
                <w:sz w:val="3"/>
                <w:szCs w:val="3"/>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tbl>
      <w:tblPr>
        <w:tblLayout w:type="fixed"/>
        <w:tblInd w:w="2350" w:type="dxa"/>
        <w:tblCellMar>
          <w:top w:w="0" w:type="dxa"/>
          <w:left w:w="0" w:type="dxa"/>
          <w:bottom w:w="0" w:type="dxa"/>
          <w:right w:w="0" w:type="dxa"/>
        </w:tblCellMar>
      </w:tblPr>
      <w:tr>
        <w:trPr>
          <w:trHeight w:val="326"/>
        </w:trPr>
        <w:tc>
          <w:tcPr>
            <w:tcW w:w="29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2022</w:t>
            </w:r>
          </w:p>
        </w:tc>
        <w:tc>
          <w:tcPr>
            <w:tcW w:w="4600" w:type="dxa"/>
            <w:vAlign w:val="bottom"/>
            <w:tcBorders>
              <w:top w:val="single" w:sz="8" w:color="auto"/>
              <w:right w:val="single" w:sz="8" w:color="auto"/>
            </w:tcBorders>
          </w:tcPr>
          <w:p>
            <w:pPr>
              <w:jc w:val="right"/>
              <w:ind w:right="4006"/>
              <w:spacing w:after="0"/>
              <w:rPr>
                <w:sz w:val="20"/>
                <w:szCs w:val="20"/>
                <w:color w:val="auto"/>
              </w:rPr>
            </w:pPr>
            <w:r>
              <w:rPr>
                <w:rFonts w:ascii="Times New Roman" w:cs="Times New Roman" w:eastAsia="Times New Roman" w:hAnsi="Times New Roman"/>
                <w:sz w:val="19"/>
                <w:szCs w:val="19"/>
                <w:color w:val="auto"/>
              </w:rPr>
              <w:t>[***]</w:t>
            </w:r>
          </w:p>
        </w:tc>
      </w:tr>
      <w:tr>
        <w:trPr>
          <w:trHeight w:val="39"/>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4600" w:type="dxa"/>
            <w:vAlign w:val="bottom"/>
            <w:tcBorders>
              <w:bottom w:val="single" w:sz="8" w:color="auto"/>
              <w:right w:val="single" w:sz="8" w:color="auto"/>
            </w:tcBorders>
          </w:tcPr>
          <w:p>
            <w:pPr>
              <w:spacing w:after="0"/>
              <w:rPr>
                <w:sz w:val="3"/>
                <w:szCs w:val="3"/>
                <w:color w:val="auto"/>
              </w:rPr>
            </w:pPr>
          </w:p>
        </w:tc>
      </w:tr>
      <w:tr>
        <w:trPr>
          <w:trHeight w:val="306"/>
        </w:trPr>
        <w:tc>
          <w:tcPr>
            <w:tcW w:w="2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2023</w:t>
            </w:r>
          </w:p>
        </w:tc>
        <w:tc>
          <w:tcPr>
            <w:tcW w:w="4600" w:type="dxa"/>
            <w:vAlign w:val="bottom"/>
            <w:tcBorders>
              <w:right w:val="single" w:sz="8" w:color="auto"/>
            </w:tcBorders>
          </w:tcPr>
          <w:p>
            <w:pPr>
              <w:jc w:val="right"/>
              <w:ind w:right="4006"/>
              <w:spacing w:after="0"/>
              <w:rPr>
                <w:sz w:val="20"/>
                <w:szCs w:val="20"/>
                <w:color w:val="auto"/>
              </w:rPr>
            </w:pPr>
            <w:r>
              <w:rPr>
                <w:rFonts w:ascii="Times New Roman" w:cs="Times New Roman" w:eastAsia="Times New Roman" w:hAnsi="Times New Roman"/>
                <w:sz w:val="19"/>
                <w:szCs w:val="19"/>
                <w:color w:val="auto"/>
              </w:rPr>
              <w:t>[***]</w:t>
            </w:r>
          </w:p>
        </w:tc>
      </w:tr>
      <w:tr>
        <w:trPr>
          <w:trHeight w:val="42"/>
        </w:trPr>
        <w:tc>
          <w:tcPr>
            <w:tcW w:w="2920" w:type="dxa"/>
            <w:vAlign w:val="bottom"/>
            <w:tcBorders>
              <w:bottom w:val="single" w:sz="8" w:color="auto"/>
              <w:right w:val="single" w:sz="8" w:color="auto"/>
            </w:tcBorders>
          </w:tcPr>
          <w:p>
            <w:pPr>
              <w:spacing w:after="0"/>
              <w:rPr>
                <w:sz w:val="3"/>
                <w:szCs w:val="3"/>
                <w:color w:val="auto"/>
              </w:rPr>
            </w:pPr>
          </w:p>
        </w:tc>
        <w:tc>
          <w:tcPr>
            <w:tcW w:w="4600" w:type="dxa"/>
            <w:vAlign w:val="bottom"/>
            <w:tcBorders>
              <w:bottom w:val="single" w:sz="8" w:color="auto"/>
              <w:right w:val="single" w:sz="8" w:color="auto"/>
            </w:tcBorders>
          </w:tcPr>
          <w:p>
            <w:pPr>
              <w:spacing w:after="0"/>
              <w:rPr>
                <w:sz w:val="3"/>
                <w:szCs w:val="3"/>
                <w:color w:val="auto"/>
              </w:rPr>
            </w:pPr>
          </w:p>
        </w:tc>
      </w:tr>
      <w:tr>
        <w:trPr>
          <w:trHeight w:val="303"/>
        </w:trPr>
        <w:tc>
          <w:tcPr>
            <w:tcW w:w="2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2024</w:t>
            </w:r>
          </w:p>
        </w:tc>
        <w:tc>
          <w:tcPr>
            <w:tcW w:w="4600" w:type="dxa"/>
            <w:vAlign w:val="bottom"/>
            <w:tcBorders>
              <w:right w:val="single" w:sz="8" w:color="auto"/>
            </w:tcBorders>
          </w:tcPr>
          <w:p>
            <w:pPr>
              <w:jc w:val="right"/>
              <w:ind w:right="4006"/>
              <w:spacing w:after="0"/>
              <w:rPr>
                <w:sz w:val="20"/>
                <w:szCs w:val="20"/>
                <w:color w:val="auto"/>
              </w:rPr>
            </w:pPr>
            <w:r>
              <w:rPr>
                <w:rFonts w:ascii="Times New Roman" w:cs="Times New Roman" w:eastAsia="Times New Roman" w:hAnsi="Times New Roman"/>
                <w:sz w:val="19"/>
                <w:szCs w:val="19"/>
                <w:color w:val="auto"/>
              </w:rPr>
              <w:t>[***]</w:t>
            </w:r>
          </w:p>
        </w:tc>
      </w:tr>
      <w:tr>
        <w:trPr>
          <w:trHeight w:val="42"/>
        </w:trPr>
        <w:tc>
          <w:tcPr>
            <w:tcW w:w="2920" w:type="dxa"/>
            <w:vAlign w:val="bottom"/>
            <w:tcBorders>
              <w:bottom w:val="single" w:sz="8" w:color="auto"/>
              <w:right w:val="single" w:sz="8" w:color="auto"/>
            </w:tcBorders>
          </w:tcPr>
          <w:p>
            <w:pPr>
              <w:spacing w:after="0"/>
              <w:rPr>
                <w:sz w:val="3"/>
                <w:szCs w:val="3"/>
                <w:color w:val="auto"/>
              </w:rPr>
            </w:pPr>
          </w:p>
        </w:tc>
        <w:tc>
          <w:tcPr>
            <w:tcW w:w="4600" w:type="dxa"/>
            <w:vAlign w:val="bottom"/>
            <w:tcBorders>
              <w:bottom w:val="single" w:sz="8" w:color="auto"/>
              <w:right w:val="single" w:sz="8" w:color="auto"/>
            </w:tcBorders>
          </w:tcPr>
          <w:p>
            <w:pPr>
              <w:spacing w:after="0"/>
              <w:rPr>
                <w:sz w:val="3"/>
                <w:szCs w:val="3"/>
                <w:color w:val="auto"/>
              </w:rPr>
            </w:pPr>
          </w:p>
        </w:tc>
      </w:tr>
      <w:tr>
        <w:trPr>
          <w:trHeight w:val="303"/>
        </w:trPr>
        <w:tc>
          <w:tcPr>
            <w:tcW w:w="2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2025</w:t>
            </w:r>
          </w:p>
        </w:tc>
        <w:tc>
          <w:tcPr>
            <w:tcW w:w="4600" w:type="dxa"/>
            <w:vAlign w:val="bottom"/>
            <w:tcBorders>
              <w:right w:val="single" w:sz="8" w:color="auto"/>
            </w:tcBorders>
          </w:tcPr>
          <w:p>
            <w:pPr>
              <w:jc w:val="right"/>
              <w:ind w:right="4006"/>
              <w:spacing w:after="0"/>
              <w:rPr>
                <w:sz w:val="20"/>
                <w:szCs w:val="20"/>
                <w:color w:val="auto"/>
              </w:rPr>
            </w:pPr>
            <w:r>
              <w:rPr>
                <w:rFonts w:ascii="Times New Roman" w:cs="Times New Roman" w:eastAsia="Times New Roman" w:hAnsi="Times New Roman"/>
                <w:sz w:val="19"/>
                <w:szCs w:val="19"/>
                <w:color w:val="auto"/>
              </w:rPr>
              <w:t>[***]</w:t>
            </w:r>
          </w:p>
        </w:tc>
      </w:tr>
      <w:tr>
        <w:trPr>
          <w:trHeight w:val="42"/>
        </w:trPr>
        <w:tc>
          <w:tcPr>
            <w:tcW w:w="2920" w:type="dxa"/>
            <w:vAlign w:val="bottom"/>
            <w:tcBorders>
              <w:bottom w:val="single" w:sz="8" w:color="auto"/>
              <w:right w:val="single" w:sz="8" w:color="auto"/>
            </w:tcBorders>
          </w:tcPr>
          <w:p>
            <w:pPr>
              <w:spacing w:after="0"/>
              <w:rPr>
                <w:sz w:val="3"/>
                <w:szCs w:val="3"/>
                <w:color w:val="auto"/>
              </w:rPr>
            </w:pPr>
          </w:p>
        </w:tc>
        <w:tc>
          <w:tcPr>
            <w:tcW w:w="4600" w:type="dxa"/>
            <w:vAlign w:val="bottom"/>
            <w:tcBorders>
              <w:bottom w:val="single" w:sz="8" w:color="auto"/>
              <w:right w:val="single" w:sz="8" w:color="auto"/>
            </w:tcBorders>
          </w:tcPr>
          <w:p>
            <w:pPr>
              <w:spacing w:after="0"/>
              <w:rPr>
                <w:sz w:val="3"/>
                <w:szCs w:val="3"/>
                <w:color w:val="auto"/>
              </w:rPr>
            </w:pPr>
          </w:p>
        </w:tc>
      </w:tr>
      <w:tr>
        <w:trPr>
          <w:trHeight w:val="303"/>
        </w:trPr>
        <w:tc>
          <w:tcPr>
            <w:tcW w:w="2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2026</w:t>
            </w:r>
          </w:p>
        </w:tc>
        <w:tc>
          <w:tcPr>
            <w:tcW w:w="4600" w:type="dxa"/>
            <w:vAlign w:val="bottom"/>
            <w:tcBorders>
              <w:right w:val="single" w:sz="8" w:color="auto"/>
            </w:tcBorders>
          </w:tcPr>
          <w:p>
            <w:pPr>
              <w:jc w:val="right"/>
              <w:ind w:right="4006"/>
              <w:spacing w:after="0"/>
              <w:rPr>
                <w:sz w:val="20"/>
                <w:szCs w:val="20"/>
                <w:color w:val="auto"/>
              </w:rPr>
            </w:pPr>
            <w:r>
              <w:rPr>
                <w:rFonts w:ascii="Times New Roman" w:cs="Times New Roman" w:eastAsia="Times New Roman" w:hAnsi="Times New Roman"/>
                <w:sz w:val="19"/>
                <w:szCs w:val="19"/>
                <w:color w:val="auto"/>
              </w:rPr>
              <w:t>[***]</w:t>
            </w:r>
          </w:p>
        </w:tc>
      </w:tr>
      <w:tr>
        <w:trPr>
          <w:trHeight w:val="42"/>
        </w:trPr>
        <w:tc>
          <w:tcPr>
            <w:tcW w:w="2920" w:type="dxa"/>
            <w:vAlign w:val="bottom"/>
            <w:tcBorders>
              <w:bottom w:val="single" w:sz="8" w:color="auto"/>
              <w:right w:val="single" w:sz="8" w:color="auto"/>
            </w:tcBorders>
          </w:tcPr>
          <w:p>
            <w:pPr>
              <w:spacing w:after="0"/>
              <w:rPr>
                <w:sz w:val="3"/>
                <w:szCs w:val="3"/>
                <w:color w:val="auto"/>
              </w:rPr>
            </w:pPr>
          </w:p>
        </w:tc>
        <w:tc>
          <w:tcPr>
            <w:tcW w:w="4600" w:type="dxa"/>
            <w:vAlign w:val="bottom"/>
            <w:tcBorders>
              <w:bottom w:val="single" w:sz="8" w:color="auto"/>
              <w:right w:val="single" w:sz="8" w:color="auto"/>
            </w:tcBorders>
          </w:tcPr>
          <w:p>
            <w:pPr>
              <w:spacing w:after="0"/>
              <w:rPr>
                <w:sz w:val="3"/>
                <w:szCs w:val="3"/>
                <w:color w:val="auto"/>
              </w:rPr>
            </w:pPr>
          </w:p>
        </w:tc>
      </w:tr>
      <w:tr>
        <w:trPr>
          <w:trHeight w:val="303"/>
        </w:trPr>
        <w:tc>
          <w:tcPr>
            <w:tcW w:w="2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2027 and thereafter</w:t>
            </w:r>
          </w:p>
        </w:tc>
        <w:tc>
          <w:tcPr>
            <w:tcW w:w="4600" w:type="dxa"/>
            <w:vAlign w:val="bottom"/>
            <w:tcBorders>
              <w:right w:val="single" w:sz="8" w:color="auto"/>
            </w:tcBorders>
          </w:tcPr>
          <w:p>
            <w:pPr>
              <w:jc w:val="right"/>
              <w:ind w:right="4006"/>
              <w:spacing w:after="0"/>
              <w:rPr>
                <w:sz w:val="20"/>
                <w:szCs w:val="20"/>
                <w:color w:val="auto"/>
              </w:rPr>
            </w:pPr>
            <w:r>
              <w:rPr>
                <w:rFonts w:ascii="Times New Roman" w:cs="Times New Roman" w:eastAsia="Times New Roman" w:hAnsi="Times New Roman"/>
                <w:sz w:val="19"/>
                <w:szCs w:val="19"/>
                <w:color w:val="auto"/>
              </w:rPr>
              <w:t>[***]</w:t>
            </w:r>
          </w:p>
        </w:tc>
      </w:tr>
      <w:tr>
        <w:trPr>
          <w:trHeight w:val="42"/>
        </w:trPr>
        <w:tc>
          <w:tcPr>
            <w:tcW w:w="2920" w:type="dxa"/>
            <w:vAlign w:val="bottom"/>
            <w:tcBorders>
              <w:bottom w:val="single" w:sz="8" w:color="auto"/>
              <w:right w:val="single" w:sz="8" w:color="auto"/>
            </w:tcBorders>
          </w:tcPr>
          <w:p>
            <w:pPr>
              <w:spacing w:after="0"/>
              <w:rPr>
                <w:sz w:val="3"/>
                <w:szCs w:val="3"/>
                <w:color w:val="auto"/>
              </w:rPr>
            </w:pPr>
          </w:p>
        </w:tc>
        <w:tc>
          <w:tcPr>
            <w:tcW w:w="4600" w:type="dxa"/>
            <w:vAlign w:val="bottom"/>
            <w:tcBorders>
              <w:bottom w:val="single" w:sz="8" w:color="auto"/>
              <w:right w:val="single" w:sz="8" w:color="auto"/>
            </w:tcBorders>
          </w:tcPr>
          <w:p>
            <w:pPr>
              <w:spacing w:after="0"/>
              <w:rPr>
                <w:sz w:val="3"/>
                <w:szCs w:val="3"/>
                <w:color w:val="auto"/>
              </w:rPr>
            </w:pPr>
          </w:p>
        </w:tc>
      </w:tr>
    </w:tbl>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For the avoidance of doubt, the Royalty Rate shall not change solely due to the occurrence or non-occurrence of an Additional Regulatory Milestone Payment and/or a Sales Milestone Payment.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Report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Sales Milestone Amount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Sales Milestone Event</w:t>
      </w:r>
      <w:r>
        <w:rPr>
          <w:rFonts w:ascii="Times New Roman" w:cs="Times New Roman" w:eastAsia="Times New Roman" w:hAnsi="Times New Roman"/>
          <w:sz w:val="21"/>
          <w:szCs w:val="21"/>
          <w:color w:val="auto"/>
        </w:rPr>
        <w:t>” means that aggregate Net Sales of Products in the Territory in the twelve-month period ending</w:t>
      </w:r>
    </w:p>
    <w:p>
      <w:pPr>
        <w:spacing w:after="0" w:line="26" w:lineRule="exact"/>
        <w:rPr>
          <w:sz w:val="20"/>
          <w:szCs w:val="20"/>
          <w:color w:val="auto"/>
        </w:rPr>
      </w:pPr>
    </w:p>
    <w:p>
      <w:pPr>
        <w:ind w:left="460" w:hanging="452"/>
        <w:spacing w:after="0"/>
        <w:tabs>
          <w:tab w:leader="none" w:pos="46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 xml:space="preserve">shall have been equal to or greater than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Sales Milestone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Sales Milestone Payment Option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Sales Milestone ROFO Period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or territory that is the subject or target of any Sanctions.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Sanctions-related list of designated Persons maintained by OFAC or the U.S. Department of State, or by the United Nations Security Council, the United Kingdom, the European Union or any European Union member state, (b) any Person operating, organized or resident in a Sanctioned Country or (c) any Person controlled by any such Person.</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Her Majesty’s Treasury of the United Kingdom.</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True Up Date Minimum</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True Up Date Royalties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True Up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1" w:name="page152"/>
    <w:bookmarkEnd w:id="151"/>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Percentage</w:t>
      </w:r>
      <w:r>
        <w:rPr>
          <w:rFonts w:ascii="Times New Roman" w:cs="Times New Roman" w:eastAsia="Times New Roman" w:hAnsi="Times New Roman"/>
          <w:sz w:val="22"/>
          <w:szCs w:val="22"/>
          <w:color w:val="auto"/>
        </w:rPr>
        <w:t>” means, with respect to an Investor as of any date of determination, (i) the Investment Amount paid by such Investor as of such date divided by (ii) the total Investment Amount paid by all Investors as of such date.</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Subordination Agreement</w:t>
      </w:r>
      <w:r>
        <w:rPr>
          <w:rFonts w:ascii="Times New Roman" w:cs="Times New Roman" w:eastAsia="Times New Roman" w:hAnsi="Times New Roman"/>
          <w:sz w:val="22"/>
          <w:szCs w:val="22"/>
          <w:color w:val="auto"/>
        </w:rPr>
        <w:t xml:space="preserve">” means that certain Subordination Agreement dated as of the Effective Date by and among Hercules and the Investors, and acknowledged and agreed to by the Company, in substantially the form attached hereto as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as amended, amended and restated, supplemented and otherwise modified from time to time in accordance with the terms thereof.</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and all corporations, partnerships, limited liability companies, joint ventures, associations and other entities controlled (by contract or otherwise) by the Company directly or indirectly through one or more intermediaries. For purposes hereof, the Company shall be deemed to control a partnership, limited liability company, association or other business entity if the Company, directly or indirectly through one or more intermediaries, shall be allocated a majority of partnership, limited liability company, association or other business entity gains or losses or shall be or control the managing director or general partner of such partnership, limited liability company, association or other business entity.</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Takeda</w:t>
      </w:r>
      <w:r>
        <w:rPr>
          <w:rFonts w:ascii="Times New Roman" w:cs="Times New Roman" w:eastAsia="Times New Roman" w:hAnsi="Times New Roman"/>
          <w:sz w:val="22"/>
          <w:szCs w:val="22"/>
          <w:color w:val="auto"/>
        </w:rPr>
        <w:t>” means Takeda Pharmaceutical Company Limited, a company incorporated under the laws of Japan.</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Takeda License</w:t>
      </w:r>
      <w:r>
        <w:rPr>
          <w:rFonts w:ascii="Times New Roman" w:cs="Times New Roman" w:eastAsia="Times New Roman" w:hAnsi="Times New Roman"/>
          <w:sz w:val="22"/>
          <w:szCs w:val="22"/>
          <w:color w:val="auto"/>
        </w:rPr>
        <w:t>” means that certain License Agreement, dated May 7, 2019, by and between the Company and Takeda, as amended by Amendment No. 1, dated September 21, 2020, and as may be further amended, amended and restated, supplemented or otherwise modified from time to time.</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federal, state, local or foreign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shall mean the United States, Canada, Albania, Andorra, Austria, Belgium, Bosnia and Herzegovina, Bulgaria, Croatia, Cyprus, Czech Republic, Denmark, Estonia, Finland, France, Germany, Greece, Hungary, Iceland, Ireland, Italy, Kosovo, Latvia, Liechtenstein, Lithuania, Luxembourg, Malta, Moldova, Monaco, Montenegro, Netherlands, North Macedonia (formerly Macedonia), Norway, Poland, Portugal, Romania, San Marino, Serbia, Slovakia, Slovenia, Spain, Sweden, Switzerland, United Kingdom of Great Britain and Northern Ireland, and Vatican City (Holy See).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that is not the Company or the Company’s Affiliates.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Subordination Agreement and any other documents, instruments or financing statements required to be delivered hereunder or thereunder or in connection herewith or therewith.</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True Up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True Up Payments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in effect from time to time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with respect to any financing statement or by reason of any provisions of applicable law, the perfection or the effect of perfection or non-perfection of the security interest or any portion thereof granted pursuant to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 xml:space="preserve"> is governed by the Uniform Commercial Code as in effect in a jurisdiction of the United States other than the State of New York, then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in effect from time to time in such other jurisdiction for purposes of the provisions of this Agreement and any financing statement relating to such perfection or effect of perfection or non-perfection.</w:t>
      </w:r>
    </w:p>
    <w:p>
      <w:pPr>
        <w:spacing w:after="0" w:line="181" w:lineRule="exact"/>
        <w:rPr>
          <w:sz w:val="20"/>
          <w:szCs w:val="20"/>
          <w:color w:val="auto"/>
        </w:rPr>
      </w:pPr>
    </w:p>
    <w:p>
      <w:pPr>
        <w:ind w:right="4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means the United States of America, its 50 states, each territory thereof and the District of Columbia.</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Voluntary Bankruptcy</w:t>
      </w:r>
      <w:r>
        <w:rPr>
          <w:rFonts w:ascii="Times New Roman" w:cs="Times New Roman" w:eastAsia="Times New Roman" w:hAnsi="Times New Roman"/>
          <w:sz w:val="22"/>
          <w:szCs w:val="22"/>
          <w:color w:val="auto"/>
        </w:rPr>
        <w:t>” means the Company, pursuant to or within the meaning of any Bankruptcy Law: (i) commences a voluntary case; (ii) consents to the entry of an order for relief against it in an involuntary case; (iii) consents to the appointment of a Custodian of it or for any substantial part of its property; or (iv) makes a general assignment for the benefit of its creditors or takes any comparable action under any non-U.S. laws relating to insolvency.</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Certain Interpretations</w:t>
      </w:r>
      <w:r>
        <w:rPr>
          <w:rFonts w:ascii="Times New Roman" w:cs="Times New Roman" w:eastAsia="Times New Roman" w:hAnsi="Times New Roman"/>
          <w:sz w:val="22"/>
          <w:szCs w:val="22"/>
          <w:color w:val="auto"/>
        </w:rPr>
        <w:t>. Except where expressly stated otherwise in this Agreement, the following rules of interpretation apply to this Agreement:</w:t>
      </w:r>
    </w:p>
    <w:p>
      <w:pPr>
        <w:spacing w:after="0" w:line="158" w:lineRule="exact"/>
        <w:rPr>
          <w:sz w:val="20"/>
          <w:szCs w:val="20"/>
          <w:color w:val="auto"/>
        </w:rPr>
      </w:pPr>
    </w:p>
    <w:p>
      <w:pPr>
        <w:ind w:right="20" w:firstLine="757"/>
        <w:spacing w:after="0" w:line="258" w:lineRule="auto"/>
        <w:tabs>
          <w:tab w:leader="none" w:pos="11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and “or” are not exclusive and “include,” “includes” and “including” are not limiting and shall be deemed to be followed by the words “without limitation”;</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“extent” in the phrase “to the extent” means the degree to which a subject or other thing extends, and such phrase does not mean simply “if”;</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 “hereto,” “herein” and “hereunder” and words of similar import when used in this Agreement refer to this Agreement as a whole and not to any particular provision of this Agreement;</w:t>
      </w:r>
    </w:p>
    <w:p>
      <w:pPr>
        <w:spacing w:after="0" w:line="158"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Person are also to its permitted successors and assigns (subject to any restrictions on assignment, transfer or delegation set forth herein), and any reference to a Person in a particular capacity excludes such Person in other capacities;</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 are applicable to the singular as well as the plural forms of such terms;</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 “Article”, “Section” or “Exhibit” refer to an Article or Section of, or an Exhibit to, this Agreement, and references to a “Schedule” refer to a Schedule to this Agreement;</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 or otherwise to dollar amounts refer to the lawful currency of the United States;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jc w:val="both"/>
        <w:ind w:right="20" w:firstLine="757"/>
        <w:spacing w:after="0" w:line="244" w:lineRule="auto"/>
        <w:tabs>
          <w:tab w:leader="none" w:pos="11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law include any amendment or modification to such law and any rules and regulations issued thereunder, whether such amendment or modification is made, or issuance of such rules and regulations occurs, before or after the Effective Date;</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 has the meaning assigned to it and an accounting term not otherwise defined has the meaning assigned to it in accordance with GAAP;</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 agreement or other document include references to such agreement or document as from time to time amended, restated, reformed, supplemented or otherwise modified in accordance with the terms thereof (subject to any restrictions on such amendments, restatements, reformations, supplements or modifications set forth in any Transaction Document) and include any annexes, exhibits and schedules attached thereto;</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“will” shall be construed to have the same meaning and effect as the word “shall”;</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computation of a period of time from a specified date to a later specified date, the word “from” means “from and including” and each of the words “to” and “until” means “to but excluding”;</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any payment is to be made, any funds are to be applied or any calculation is to be made under this Agreement on a day that is not a Business Day, unless this Agreement otherwise provides, such payment shall be made, such funds shall be applied and such calculation shall be made on the succeeding Business Day, and payments shall be adjusted accordingly;</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of any gender shall mean and include the correlative words of any other gender;</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defined, all terms that are defined in the UCC shall have the meanings stated in the UCC; and</w:t>
      </w:r>
    </w:p>
    <w:p>
      <w:pPr>
        <w:spacing w:after="0" w:line="206" w:lineRule="exact"/>
        <w:rPr>
          <w:rFonts w:ascii="Times New Roman" w:cs="Times New Roman" w:eastAsia="Times New Roman" w:hAnsi="Times New Roman"/>
          <w:sz w:val="22"/>
          <w:szCs w:val="22"/>
          <w:color w:val="auto"/>
        </w:rPr>
      </w:pPr>
    </w:p>
    <w:p>
      <w:pPr>
        <w:ind w:right="20" w:firstLine="757"/>
        <w:spacing w:after="0" w:line="282" w:lineRule="auto"/>
        <w:tabs>
          <w:tab w:leader="none" w:pos="1181"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provisions that require that a party or the parties “agree”, “consent”, “approve” or the like shall require that such agreement, consent or approval be specific and in writing, whether by written agreement, letter, approved minutes or otherwise.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REVENUE INTEREST FINANCING</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Payment of the Investment Amount</w:t>
      </w:r>
      <w:r>
        <w:rPr>
          <w:rFonts w:ascii="Times New Roman" w:cs="Times New Roman" w:eastAsia="Times New Roman" w:hAnsi="Times New Roman"/>
          <w:sz w:val="22"/>
          <w:szCs w:val="22"/>
          <w:color w:val="auto"/>
        </w:rPr>
        <w:t>. Subject to the terms and conditions set forth herein, the Investors, severally but not jointly, shall make the following payments to the Company, free and clear, and without any deduction on account, of any withholding of any taxes:</w:t>
      </w:r>
    </w:p>
    <w:p>
      <w:pPr>
        <w:spacing w:after="0" w:line="169" w:lineRule="exact"/>
        <w:rPr>
          <w:sz w:val="20"/>
          <w:szCs w:val="20"/>
          <w:color w:val="auto"/>
        </w:rPr>
      </w:pPr>
    </w:p>
    <w:p>
      <w:pPr>
        <w:jc w:val="both"/>
        <w:ind w:firstLine="757"/>
        <w:spacing w:after="0" w:line="241" w:lineRule="auto"/>
        <w:tabs>
          <w:tab w:leader="none" w:pos="119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Funding Date Payment</w:t>
      </w:r>
      <w:r>
        <w:rPr>
          <w:rFonts w:ascii="Times New Roman" w:cs="Times New Roman" w:eastAsia="Times New Roman" w:hAnsi="Times New Roman"/>
          <w:sz w:val="22"/>
          <w:szCs w:val="22"/>
          <w:color w:val="auto"/>
        </w:rPr>
        <w:t>. On the Funding Date, subject to the satisfaction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each Initial Investor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pay (or cause to be paid) to the Company, severally but not jointly, the sum set forth opposite such Initial Investor’s name in the column entitled “Funding Date Payment”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attached hereto, by wire transfer of immediately available funds in 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ind w:right="20"/>
        <w:spacing w:after="0" w:line="258" w:lineRule="auto"/>
        <w:rPr>
          <w:sz w:val="20"/>
          <w:szCs w:val="20"/>
          <w:color w:val="auto"/>
        </w:rPr>
      </w:pPr>
      <w:r>
        <w:rPr>
          <w:rFonts w:ascii="Times New Roman" w:cs="Times New Roman" w:eastAsia="Times New Roman" w:hAnsi="Times New Roman"/>
          <w:sz w:val="22"/>
          <w:szCs w:val="22"/>
          <w:color w:val="auto"/>
        </w:rPr>
        <w:t>dollars to the account specified in the Funding Condition Satisfaction Notice (the aggregate of such amounts being the “</w:t>
      </w:r>
      <w:r>
        <w:rPr>
          <w:rFonts w:ascii="Times New Roman" w:cs="Times New Roman" w:eastAsia="Times New Roman" w:hAnsi="Times New Roman"/>
          <w:sz w:val="22"/>
          <w:szCs w:val="22"/>
          <w:u w:val="single" w:color="auto"/>
          <w:color w:val="auto"/>
        </w:rPr>
        <w:t>Funding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 Payment</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1180" w:hanging="423"/>
        <w:spacing w:after="0"/>
        <w:tabs>
          <w:tab w:leader="none" w:pos="11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Regulatory Milestone Payment</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45" w:lineRule="auto"/>
        <w:tabs>
          <w:tab w:leader="none" w:pos="1941"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2.1(d)</w:t>
      </w:r>
      <w:r>
        <w:rPr>
          <w:rFonts w:ascii="Times New Roman" w:cs="Times New Roman" w:eastAsia="Times New Roman" w:hAnsi="Times New Roman"/>
          <w:sz w:val="21"/>
          <w:szCs w:val="21"/>
          <w:color w:val="auto"/>
        </w:rPr>
        <w:t xml:space="preserve">, if the Regulatory Milestone (EE) Event occurs on or before March 31, 2024, then the Company shall notify the Investors in writing of the occurrence of the Regulatory Milestone (EE) Event within five Business Days of the occurrence thereof, and, no later than 15 Business Days after receipt by the Investors of such written notice, each Investor shall pay (or cause to be paid) to the Company, severally but not jointly, by wire transfer of immediately available funds in U.S. dollars as directed by the Company in writing concurrent with the furnishing of such written notice, (A) if such Investor is an Initial Investor, the sum set forth opposite such Initial Investor’s name in the column entitled “Regulatory Milestone Payment” on </w:t>
      </w:r>
      <w:r>
        <w:rPr>
          <w:rFonts w:ascii="Times New Roman" w:cs="Times New Roman" w:eastAsia="Times New Roman" w:hAnsi="Times New Roman"/>
          <w:sz w:val="21"/>
          <w:szCs w:val="21"/>
          <w:u w:val="single" w:color="auto"/>
          <w:color w:val="auto"/>
        </w:rPr>
        <w:t>Schedule 1.1</w:t>
      </w:r>
      <w:r>
        <w:rPr>
          <w:rFonts w:ascii="Times New Roman" w:cs="Times New Roman" w:eastAsia="Times New Roman" w:hAnsi="Times New Roman"/>
          <w:sz w:val="21"/>
          <w:szCs w:val="21"/>
          <w:color w:val="auto"/>
        </w:rPr>
        <w:t xml:space="preserve"> attached hereto plus any additional amount committed by such Investor as set forth in the written notice described in the last sentence of </w:t>
      </w:r>
      <w:r>
        <w:rPr>
          <w:rFonts w:ascii="Times New Roman" w:cs="Times New Roman" w:eastAsia="Times New Roman" w:hAnsi="Times New Roman"/>
          <w:sz w:val="21"/>
          <w:szCs w:val="21"/>
          <w:u w:val="single" w:color="auto"/>
          <w:color w:val="auto"/>
        </w:rPr>
        <w:t>Section 2.1(b)(ii)</w:t>
      </w:r>
      <w:r>
        <w:rPr>
          <w:rFonts w:ascii="Times New Roman" w:cs="Times New Roman" w:eastAsia="Times New Roman" w:hAnsi="Times New Roman"/>
          <w:sz w:val="21"/>
          <w:szCs w:val="21"/>
          <w:color w:val="auto"/>
        </w:rPr>
        <w:t xml:space="preserve">, and (B) if such Investor is an Additional Regulatory Milestone Investor, the portion of the Additional Regulatory Milestone Payment payable by such Additional Regulatory Milestone Investor. If the Regulatory Milestone (EE) Event does not occur on or before March 31, 2024, then no Investor shall be required to pay any amounts pursuant to this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jc w:val="both"/>
        <w:ind w:left="760" w:firstLine="745"/>
        <w:spacing w:after="0" w:line="243" w:lineRule="auto"/>
        <w:tabs>
          <w:tab w:leader="none" w:pos="1941"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the right at any time prior to the occurrence of the Regulatory Milestone (EE) Event, but in no event later than December 31, 2022, to obtain a written commitment for additional funding from a Third Party (an “</w:t>
      </w:r>
      <w:r>
        <w:rPr>
          <w:rFonts w:ascii="Times New Roman" w:cs="Times New Roman" w:eastAsia="Times New Roman" w:hAnsi="Times New Roman"/>
          <w:sz w:val="21"/>
          <w:szCs w:val="21"/>
          <w:u w:val="single" w:color="auto"/>
          <w:color w:val="auto"/>
        </w:rPr>
        <w:t>Additional Regulatory Milestone Investor</w:t>
      </w:r>
      <w:r>
        <w:rPr>
          <w:rFonts w:ascii="Times New Roman" w:cs="Times New Roman" w:eastAsia="Times New Roman" w:hAnsi="Times New Roman"/>
          <w:sz w:val="21"/>
          <w:szCs w:val="21"/>
          <w:color w:val="auto"/>
        </w:rPr>
        <w:t>”) in an amount up to $15,000,000 (an “</w:t>
      </w:r>
      <w:r>
        <w:rPr>
          <w:rFonts w:ascii="Times New Roman" w:cs="Times New Roman" w:eastAsia="Times New Roman" w:hAnsi="Times New Roman"/>
          <w:sz w:val="21"/>
          <w:szCs w:val="21"/>
          <w:u w:val="single" w:color="auto"/>
          <w:color w:val="auto"/>
        </w:rPr>
        <w:t>Additional Regulatory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Milestone Payment</w:t>
      </w:r>
      <w:r>
        <w:rPr>
          <w:rFonts w:ascii="Times New Roman" w:cs="Times New Roman" w:eastAsia="Times New Roman" w:hAnsi="Times New Roman"/>
          <w:sz w:val="21"/>
          <w:szCs w:val="21"/>
          <w:color w:val="auto"/>
        </w:rPr>
        <w:t xml:space="preserve">”), to be payable in accordance with (and only in accordance with) </w:t>
      </w:r>
      <w:r>
        <w:rPr>
          <w:rFonts w:ascii="Times New Roman" w:cs="Times New Roman" w:eastAsia="Times New Roman" w:hAnsi="Times New Roman"/>
          <w:sz w:val="21"/>
          <w:szCs w:val="21"/>
          <w:u w:val="single" w:color="auto"/>
          <w:color w:val="auto"/>
        </w:rPr>
        <w:t>Section 2.1(b)(i)</w:t>
      </w:r>
      <w:r>
        <w:rPr>
          <w:rFonts w:ascii="Times New Roman" w:cs="Times New Roman" w:eastAsia="Times New Roman" w:hAnsi="Times New Roman"/>
          <w:sz w:val="21"/>
          <w:szCs w:val="21"/>
          <w:color w:val="auto"/>
        </w:rPr>
        <w:t xml:space="preserve"> (and subject to </w:t>
      </w:r>
      <w:r>
        <w:rPr>
          <w:rFonts w:ascii="Times New Roman" w:cs="Times New Roman" w:eastAsia="Times New Roman" w:hAnsi="Times New Roman"/>
          <w:sz w:val="21"/>
          <w:szCs w:val="21"/>
          <w:u w:val="single" w:color="auto"/>
          <w:color w:val="auto"/>
        </w:rPr>
        <w:t>Section 2.1(d)</w:t>
      </w:r>
      <w:r>
        <w:rPr>
          <w:rFonts w:ascii="Times New Roman" w:cs="Times New Roman" w:eastAsia="Times New Roman" w:hAnsi="Times New Roman"/>
          <w:sz w:val="21"/>
          <w:szCs w:val="21"/>
          <w:color w:val="auto"/>
        </w:rPr>
        <w:t xml:space="preserve">), subject to such Additional Regulatory Milestone Investor executing a joinder to this Agreement and agreeing to be an “Investor” for all purposes hereunder, and subject to the Company’s compliance with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2.1(b)(ii)</w:t>
      </w:r>
      <w:r>
        <w:rPr>
          <w:rFonts w:ascii="Times New Roman" w:cs="Times New Roman" w:eastAsia="Times New Roman" w:hAnsi="Times New Roman"/>
          <w:sz w:val="21"/>
          <w:szCs w:val="21"/>
          <w:color w:val="auto"/>
        </w:rPr>
        <w:t xml:space="preserve">. If the Company desires to obtain a commitment for an Additional Regulatory Milestone Payment from an Additional Regulatory Milestone Investor, then the Company shall first grant the Initial Investors the right to extend commitments for such Additional Regulatory Milestone Payment (pro rata in accordance with their Investment Amounts specified in </w:t>
      </w:r>
      <w:r>
        <w:rPr>
          <w:rFonts w:ascii="Times New Roman" w:cs="Times New Roman" w:eastAsia="Times New Roman" w:hAnsi="Times New Roman"/>
          <w:sz w:val="21"/>
          <w:szCs w:val="21"/>
          <w:u w:val="single" w:color="auto"/>
          <w:color w:val="auto"/>
        </w:rPr>
        <w:t>Schedule 1.1</w:t>
      </w:r>
      <w:r>
        <w:rPr>
          <w:rFonts w:ascii="Times New Roman" w:cs="Times New Roman" w:eastAsia="Times New Roman" w:hAnsi="Times New Roman"/>
          <w:sz w:val="21"/>
          <w:szCs w:val="21"/>
          <w:color w:val="auto"/>
        </w:rPr>
        <w:t xml:space="preserve"> attached hereto) (the “</w:t>
      </w:r>
      <w:r>
        <w:rPr>
          <w:rFonts w:ascii="Times New Roman" w:cs="Times New Roman" w:eastAsia="Times New Roman" w:hAnsi="Times New Roman"/>
          <w:sz w:val="21"/>
          <w:szCs w:val="21"/>
          <w:u w:val="single" w:color="auto"/>
          <w:color w:val="auto"/>
        </w:rPr>
        <w:t>Regulatory Milestone Payment Option</w:t>
      </w:r>
      <w:r>
        <w:rPr>
          <w:rFonts w:ascii="Times New Roman" w:cs="Times New Roman" w:eastAsia="Times New Roman" w:hAnsi="Times New Roman"/>
          <w:sz w:val="21"/>
          <w:szCs w:val="21"/>
          <w:color w:val="auto"/>
        </w:rPr>
        <w:t>”) by delivering to the Initial Investors a written notice of such intended transaction with the Additional Regulatory Milestone Investor (a “</w:t>
      </w:r>
      <w:r>
        <w:rPr>
          <w:rFonts w:ascii="Times New Roman" w:cs="Times New Roman" w:eastAsia="Times New Roman" w:hAnsi="Times New Roman"/>
          <w:sz w:val="21"/>
          <w:szCs w:val="21"/>
          <w:u w:val="single" w:color="auto"/>
          <w:color w:val="auto"/>
        </w:rPr>
        <w:t>ROFO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Regulatory Notice</w:t>
      </w:r>
      <w:r>
        <w:rPr>
          <w:rFonts w:ascii="Times New Roman" w:cs="Times New Roman" w:eastAsia="Times New Roman" w:hAnsi="Times New Roman"/>
          <w:sz w:val="21"/>
          <w:szCs w:val="21"/>
          <w:color w:val="auto"/>
        </w:rPr>
        <w:t>”). Each such Initial Investor shall have 15 days after receipt of the ROFO Regulatory Notice (the “</w:t>
      </w:r>
      <w:r>
        <w:rPr>
          <w:rFonts w:ascii="Times New Roman" w:cs="Times New Roman" w:eastAsia="Times New Roman" w:hAnsi="Times New Roman"/>
          <w:sz w:val="21"/>
          <w:szCs w:val="21"/>
          <w:u w:val="single" w:color="auto"/>
          <w:color w:val="auto"/>
        </w:rPr>
        <w:t>Regulatory Milestone ROFO Period</w:t>
      </w:r>
      <w:r>
        <w:rPr>
          <w:rFonts w:ascii="Times New Roman" w:cs="Times New Roman" w:eastAsia="Times New Roman" w:hAnsi="Times New Roman"/>
          <w:sz w:val="21"/>
          <w:szCs w:val="21"/>
          <w:color w:val="auto"/>
        </w:rPr>
        <w:t>”) within which to exercise the Regulatory Milestone Payment Option by written notice to the Company, which may, at the sole discretion of each such Initial Investor, also provide a higher percentage of the Additional Regulatory Milestone Payment as to which such Initial Investor is willing to commit to the extent that one or more other Initial Investors do not timely exercise their Regulatory Milestone Payment Option. If (x) one or more of the Initial Investors do not exercise the Regulatory Milestone Payment Option within the Regulatory Milestone ROFO Period and (y) any Initial Investors who did exercise the Regulatory Milestone Payment Option within the Regulatory Milestone ROFO Period did not express a willingness to collectively commit to the full amount of the Additional Regulatory Milestone Payment, then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 xml:space="preserve">shall have the right to obtain a commitment, for the portion of the Additional Regulatory Milestone Payment in respect of which the Initial Investors have not exercised the Regulatory Milestone Payment Option, from the Additional Regulatory Milestone Investor identified in the ROFO Regulatory Notice. Within two Business Days of the effectiveness of the commitments for an Additional Regulatory Milestone Payment pursuant to this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 the Company shall provide a written notice to all Investors identifying each Investor committing to a portion of the Additional Regulatory Milestone Payment and each such Investor’s portion (in U.S. dollars) of the Additional Regulatory Milestone Payment.</w:t>
      </w:r>
    </w:p>
    <w:p>
      <w:pPr>
        <w:spacing w:after="0" w:line="179" w:lineRule="exact"/>
        <w:rPr>
          <w:sz w:val="20"/>
          <w:szCs w:val="20"/>
          <w:color w:val="auto"/>
        </w:rPr>
      </w:pPr>
    </w:p>
    <w:p>
      <w:pPr>
        <w:jc w:val="both"/>
        <w:ind w:firstLine="757"/>
        <w:spacing w:after="0" w:line="231" w:lineRule="auto"/>
        <w:tabs>
          <w:tab w:leader="none" w:pos="118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Sales Milestone Payment</w:t>
      </w:r>
      <w:r>
        <w:rPr>
          <w:rFonts w:ascii="Times New Roman" w:cs="Times New Roman" w:eastAsia="Times New Roman" w:hAnsi="Times New Roman"/>
          <w:sz w:val="22"/>
          <w:szCs w:val="22"/>
          <w:color w:val="auto"/>
        </w:rPr>
        <w:t>. The Company shall have the right at any time prior to June 30, 2024 to obtain a written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 for additional funding from a Third Party (an “</w:t>
      </w:r>
      <w:r>
        <w:rPr>
          <w:rFonts w:ascii="Times New Roman" w:cs="Times New Roman" w:eastAsia="Times New Roman" w:hAnsi="Times New Roman"/>
          <w:sz w:val="22"/>
          <w:szCs w:val="22"/>
          <w:u w:val="single" w:color="auto"/>
          <w:color w:val="auto"/>
        </w:rPr>
        <w:t>Additional Sales Milestone Investor</w:t>
      </w:r>
      <w:r>
        <w:rPr>
          <w:rFonts w:ascii="Times New Roman" w:cs="Times New Roman" w:eastAsia="Times New Roman" w:hAnsi="Times New Roman"/>
          <w:sz w:val="22"/>
          <w:szCs w:val="22"/>
          <w:color w:val="auto"/>
        </w:rPr>
        <w:t>”) in an amount up to $25,000,000 (a “</w:t>
      </w:r>
      <w:r>
        <w:rPr>
          <w:rFonts w:ascii="Times New Roman" w:cs="Times New Roman" w:eastAsia="Times New Roman" w:hAnsi="Times New Roman"/>
          <w:sz w:val="22"/>
          <w:szCs w:val="22"/>
          <w:u w:val="single" w:color="auto"/>
          <w:color w:val="auto"/>
        </w:rPr>
        <w:t>Sales Milestone Payment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2.1(d)</w:t>
      </w:r>
      <w:r>
        <w:rPr>
          <w:rFonts w:ascii="Times New Roman" w:cs="Times New Roman" w:eastAsia="Times New Roman" w:hAnsi="Times New Roman"/>
          <w:sz w:val="22"/>
          <w:szCs w:val="22"/>
          <w:color w:val="auto"/>
        </w:rPr>
        <w:t xml:space="preserve">, subject to such Additional Sales Milestone Investor executing a joinder to this Agreement and agreeing to be an “Investor” for all purposes hereunder, and subject to the Company’s compliance with this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such Sales Milestone Payment to be payable as described below in this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If the Company desires to obtain a commitment for a Sales Milestone Payment from an Additional Sales Milestone Investor, then the Company shall first grant the Initial Investors the right to extend commitments for such Sales Milestone Payment (pro rata in accordance with their Investment Amounts specified in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Sales Milestone Payment Option</w:t>
      </w:r>
      <w:r>
        <w:rPr>
          <w:rFonts w:ascii="Times New Roman" w:cs="Times New Roman" w:eastAsia="Times New Roman" w:hAnsi="Times New Roman"/>
          <w:sz w:val="22"/>
          <w:szCs w:val="22"/>
          <w:color w:val="auto"/>
        </w:rPr>
        <w:t>”) by delivering to the Initial Investors a written notice of such intended transaction with the Additional Sales Milestone Investor (a “</w:t>
      </w:r>
      <w:r>
        <w:rPr>
          <w:rFonts w:ascii="Times New Roman" w:cs="Times New Roman" w:eastAsia="Times New Roman" w:hAnsi="Times New Roman"/>
          <w:sz w:val="22"/>
          <w:szCs w:val="22"/>
          <w:u w:val="single" w:color="auto"/>
          <w:color w:val="auto"/>
        </w:rPr>
        <w:t>ROFO Sales Notice</w:t>
      </w:r>
      <w:r>
        <w:rPr>
          <w:rFonts w:ascii="Times New Roman" w:cs="Times New Roman" w:eastAsia="Times New Roman" w:hAnsi="Times New Roman"/>
          <w:sz w:val="22"/>
          <w:szCs w:val="22"/>
          <w:color w:val="auto"/>
        </w:rPr>
        <w:t>”). Each such Initial Investor shall have 15 days after receipt of the ROFO Sales Notice (the “</w:t>
      </w:r>
      <w:r>
        <w:rPr>
          <w:rFonts w:ascii="Times New Roman" w:cs="Times New Roman" w:eastAsia="Times New Roman" w:hAnsi="Times New Roman"/>
          <w:sz w:val="22"/>
          <w:szCs w:val="22"/>
          <w:u w:val="single" w:color="auto"/>
          <w:color w:val="auto"/>
        </w:rPr>
        <w:t>Sales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Milestone ROFO Period</w:t>
      </w:r>
      <w:r>
        <w:rPr>
          <w:rFonts w:ascii="Times New Roman" w:cs="Times New Roman" w:eastAsia="Times New Roman" w:hAnsi="Times New Roman"/>
          <w:sz w:val="22"/>
          <w:szCs w:val="22"/>
          <w:color w:val="auto"/>
        </w:rPr>
        <w:t xml:space="preserve">”) within which to exercise the Sales Milestone Payment Option by written notice to the Company, which may, at the sole discretion of each such Initial Investor, also provide a higher percentage of the Sales Milestone Payment as to which such Initial Investor is willing to commit to the extent that one or more other Initial Investors do not timely exercise their Sales Milestone Payment Option. If (x) one or more of the Initial Investors do not exercise the Sales Milestone Payment Option within the Sales Milestone ROFO Period and (y) any Initial Investors who did exercise the Sales Milestone Payment Option within the Sales Milestone ROFO Period did not express a willingness to collectively commit to the full amount of the Sales Milestone Payment, then the Company shall have the right to obtain a commitment, for the portion of the Sales Milestone Payment in respect of which the Initial Investors have not exercised the Sales Milestone Payment Option, from the Additional Sales Milestone Investor identified in the ROFO Sales Notice. Within two Business Days of the effectiveness of the commitments for a Sales Milestone Payment pursuant to this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the Company shall provide a written notice to all Investors identifying each Investor committing to a portion of the Sales Milestone Payment and each such Investor’s portion (in U.S. dollars) of the Sales Milestone Payment (the “</w:t>
      </w:r>
      <w:r>
        <w:rPr>
          <w:rFonts w:ascii="Times New Roman" w:cs="Times New Roman" w:eastAsia="Times New Roman" w:hAnsi="Times New Roman"/>
          <w:sz w:val="22"/>
          <w:szCs w:val="22"/>
          <w:u w:val="single" w:color="auto"/>
          <w:color w:val="auto"/>
        </w:rPr>
        <w:t>Sales Milestone Amount Notice</w:t>
      </w:r>
      <w:r>
        <w:rPr>
          <w:rFonts w:ascii="Times New Roman" w:cs="Times New Roman" w:eastAsia="Times New Roman" w:hAnsi="Times New Roman"/>
          <w:sz w:val="22"/>
          <w:szCs w:val="22"/>
          <w:color w:val="auto"/>
        </w:rPr>
        <w:t xml:space="preserve">”). To the extent that (x) the Company obtains one or more written commitments for the Sales Milestone Payment pursuant to this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(whether by an Additional Sales Milestone Investor and/or via exercise of the Sales Milestone Payment Option by an Initial Investor) and (y) the Sales Milestone Event occurs, then the Company shall notify the Investors in writing of the occurrence of the Sales Milestone Event within five Business Days of the occurrence thereof. Following receipt of such written notice, and subject to </w:t>
      </w:r>
      <w:r>
        <w:rPr>
          <w:rFonts w:ascii="Times New Roman" w:cs="Times New Roman" w:eastAsia="Times New Roman" w:hAnsi="Times New Roman"/>
          <w:sz w:val="22"/>
          <w:szCs w:val="22"/>
          <w:u w:val="single" w:color="auto"/>
          <w:color w:val="auto"/>
        </w:rPr>
        <w:t>Section 2.1(d)</w:t>
      </w:r>
      <w:r>
        <w:rPr>
          <w:rFonts w:ascii="Times New Roman" w:cs="Times New Roman" w:eastAsia="Times New Roman" w:hAnsi="Times New Roman"/>
          <w:sz w:val="22"/>
          <w:szCs w:val="22"/>
          <w:color w:val="auto"/>
        </w:rPr>
        <w:t>, each Investor that has provided such a written commitment for the Sales Milestone Payment shall pay (or cause to be paid) to the Company, severally but not jointly, by wire transfer of immediately available funds in U.S. dollars as directed by the Company in writing concurrent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6" w:name="page157"/>
    <w:bookmarkEnd w:id="156"/>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with the furnishing of such written notice, no later than the later of (A) 15 Business Days after such Investor’s receipt of such written notice and (B) June 30, 2024 (but in any event no earlier than May 1, 2024), the amount identified for such Investor in the Sales Milestone Amount Notice. If the Sales Milestone Event does not occur, then no Investor shall be required to pay any amounts pursuant to this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57"/>
        <w:spacing w:after="0" w:line="235" w:lineRule="auto"/>
        <w:tabs>
          <w:tab w:leader="none" w:pos="118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a condition to the Investors’ obligation to pay the amounts set forth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on the respective intended dates of such respective intended payments, the Company shall deliver to the Investors a certificate of an officer of the Company stating that, as of such respective date, (i) the representations and warranties of the Company contained in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4.1(r)</w:t>
      </w:r>
      <w:r>
        <w:rPr>
          <w:rFonts w:ascii="Times New Roman" w:cs="Times New Roman" w:eastAsia="Times New Roman" w:hAnsi="Times New Roman"/>
          <w:sz w:val="22"/>
          <w:szCs w:val="22"/>
          <w:color w:val="auto"/>
        </w:rPr>
        <w:t xml:space="preserve"> and Section </w:t>
      </w:r>
      <w:r>
        <w:rPr>
          <w:rFonts w:ascii="Times New Roman" w:cs="Times New Roman" w:eastAsia="Times New Roman" w:hAnsi="Times New Roman"/>
          <w:sz w:val="22"/>
          <w:szCs w:val="22"/>
          <w:u w:val="single" w:color="auto"/>
          <w:color w:val="auto"/>
        </w:rPr>
        <w:t>4.1(s)</w:t>
      </w:r>
      <w:r>
        <w:rPr>
          <w:rFonts w:ascii="Times New Roman" w:cs="Times New Roman" w:eastAsia="Times New Roman" w:hAnsi="Times New Roman"/>
          <w:sz w:val="22"/>
          <w:szCs w:val="22"/>
          <w:color w:val="auto"/>
        </w:rPr>
        <w:t xml:space="preserve"> are true and correct in all material respects (except to the extent that such representations and warranties relate specifically to an earlier date, in which case they shall be true and correct in all material respects as of such earlier date, and except for such representations qualified by materiality or Material Adverse Effect, which shall be true and correct in all respects) and (ii) no Default or Event of Default shall have occurred and be continuing.</w:t>
      </w:r>
    </w:p>
    <w:p>
      <w:pPr>
        <w:spacing w:after="0" w:line="178"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 with the effectiveness of an Additional Investor’s commitment hereunder, such Additional Investor shall deliver to the Company (i) a duly executed joinder to the Subordination Agreement, (ii) an Applicable Withholding Certificate and (iii) its Investor Account Information Document.</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u w:val="single" w:color="auto"/>
          <w:color w:val="auto"/>
        </w:rPr>
        <w:t>Royalty Payments to Investors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6" w:lineRule="auto"/>
        <w:tabs>
          <w:tab w:leader="none" w:pos="118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consideration of the Investors paying the Investment Amount hereunder from time to time pursuant to this Agreement, the Company shall pay to the Investors, by wire transfer of immediately available funds in U.S. dollars to each Investor Account, without any setoff or offset (subject, in each case, to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the Royalty Payment for each calendar quarter (commencing with the calendar quarter beginning April 1, 2022) promptly, but in any event no later than 45 calendar days after the end of each calendar quarter (each such date, a “</w:t>
      </w:r>
      <w:r>
        <w:rPr>
          <w:rFonts w:ascii="Times New Roman" w:cs="Times New Roman" w:eastAsia="Times New Roman" w:hAnsi="Times New Roman"/>
          <w:sz w:val="21"/>
          <w:szCs w:val="21"/>
          <w:u w:val="single" w:color="auto"/>
          <w:color w:val="auto"/>
        </w:rPr>
        <w:t>Royalty Payment Date</w:t>
      </w:r>
      <w:r>
        <w:rPr>
          <w:rFonts w:ascii="Times New Roman" w:cs="Times New Roman" w:eastAsia="Times New Roman" w:hAnsi="Times New Roman"/>
          <w:sz w:val="21"/>
          <w:szCs w:val="21"/>
          <w:color w:val="auto"/>
        </w:rPr>
        <w:t>”), such that each Investor receives its Specified Percentage of such Royalty Payment on each such Royalty Payment Date (except that, to the extent any such payment to a particular Investor would result in such Investor having received two times its Investment Amount at a time when one or more other Investors shall not have received two times their respective Investment Amounts, then the remaining amounts shall be paid to such other Investors until such other Investors shall have received two times their respective Investment Amounts).</w:t>
      </w:r>
    </w:p>
    <w:p>
      <w:pPr>
        <w:spacing w:after="0" w:line="175" w:lineRule="exact"/>
        <w:rPr>
          <w:rFonts w:ascii="Times New Roman" w:cs="Times New Roman" w:eastAsia="Times New Roman" w:hAnsi="Times New Roman"/>
          <w:sz w:val="21"/>
          <w:szCs w:val="21"/>
          <w:color w:val="auto"/>
        </w:rPr>
      </w:pPr>
    </w:p>
    <w:p>
      <w:pPr>
        <w:jc w:val="both"/>
        <w:ind w:firstLine="757"/>
        <w:spacing w:after="0" w:line="239" w:lineRule="auto"/>
        <w:tabs>
          <w:tab w:leader="none" w:pos="118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late fee of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over the Prime Rate (calculated on a per annum basis) will accrue on all unpaid amounts with respect to any Royalty Payment from the applicable Royalty Payment Date. The imposition and payment of a late fee shall not constitute a waiver of the Investors’ rights with respect to such payment default. Such accrued late fee will be compounded annually. Payment of such accrued late fee shall accompany payment of the outstanding Royalty Payment.</w:t>
      </w:r>
    </w:p>
    <w:p>
      <w:pPr>
        <w:spacing w:after="0" w:line="180"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each Royalty Payment Date, the Company shall provide to the Investors a written report (the “</w:t>
      </w:r>
      <w:r>
        <w:rPr>
          <w:rFonts w:ascii="Times New Roman" w:cs="Times New Roman" w:eastAsia="Times New Roman" w:hAnsi="Times New Roman"/>
          <w:sz w:val="22"/>
          <w:szCs w:val="22"/>
          <w:u w:val="single" w:color="auto"/>
          <w:color w:val="auto"/>
        </w:rPr>
        <w:t>Royalty Report</w:t>
      </w:r>
      <w:r>
        <w:rPr>
          <w:rFonts w:ascii="Times New Roman" w:cs="Times New Roman" w:eastAsia="Times New Roman" w:hAnsi="Times New Roman"/>
          <w:sz w:val="22"/>
          <w:szCs w:val="22"/>
          <w:color w:val="auto"/>
        </w:rPr>
        <w:t>”) setting forth in reasonable detail:</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7" w:name="page158"/>
    <w:bookmarkEnd w:id="157"/>
    <w:p>
      <w:pPr>
        <w:ind w:left="760" w:right="20" w:firstLine="745"/>
        <w:spacing w:after="0" w:line="258"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Net Sales for the applicable calendar quarter and calendar year to date, on a country-by-country basis within the Territory;</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License Milestone Revenue for the applicable calendar quarter and calendar year to date, on a country-by-country and Licensee-by-Licensee basis within the Territory (including a detailed breakdown of License Milestone Revenue consisting of upfront or other one-time payments, milestones and other fixed payments);</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License Royalty Revenue for the applicable calendar quarter and calendar year to date, on a country-by-country and Licensee-by-Licensee basis within the Territory;</w:t>
      </w:r>
    </w:p>
    <w:p>
      <w:pPr>
        <w:spacing w:after="0" w:line="158"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applicable calendar quarter and calendar year to date, on a Product-by-Product and country-by-country basis within the Territory, the number of units of each Product sold by the Company, its Affiliates and each Licensee;</w:t>
      </w:r>
    </w:p>
    <w:p>
      <w:pPr>
        <w:spacing w:after="0" w:line="173"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applicable calendar quarter and calendar year to date, the applicable Royalty Rate and the calculation of the Royalty Payment payable to each Investor; and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applicable calendar quarter, on a Product-by-Product and country-by-country basis within the Territory, the foreign currency exchange rate used to calculate the Royalty Payment (which shall be the rate of exchange determined in a manner consistent with the Company’s method for calculating rates of exchange in the preparation of the Company’s annual financial statements in accordance with GAAP).</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True Up Payments; Cap Payment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4" w:lineRule="auto"/>
        <w:tabs>
          <w:tab w:leader="none" w:pos="118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Royalty Payments and any other payments by the Company to the Investors hereunder actually paid by the Company to the Investors through December 31, 2028 (the “</w:t>
      </w:r>
      <w:r>
        <w:rPr>
          <w:rFonts w:ascii="Times New Roman" w:cs="Times New Roman" w:eastAsia="Times New Roman" w:hAnsi="Times New Roman"/>
          <w:sz w:val="22"/>
          <w:szCs w:val="22"/>
          <w:u w:val="single" w:color="auto"/>
          <w:color w:val="auto"/>
        </w:rPr>
        <w:t>First True Up Date Royalties</w:t>
      </w:r>
      <w:r>
        <w:rPr>
          <w:rFonts w:ascii="Times New Roman" w:cs="Times New Roman" w:eastAsia="Times New Roman" w:hAnsi="Times New Roman"/>
          <w:sz w:val="22"/>
          <w:szCs w:val="22"/>
          <w:color w:val="auto"/>
        </w:rPr>
        <w:t>”) are less than the Investment Amount as of such date (the “</w:t>
      </w:r>
      <w:r>
        <w:rPr>
          <w:rFonts w:ascii="Times New Roman" w:cs="Times New Roman" w:eastAsia="Times New Roman" w:hAnsi="Times New Roman"/>
          <w:sz w:val="22"/>
          <w:szCs w:val="22"/>
          <w:u w:val="single" w:color="auto"/>
          <w:color w:val="auto"/>
        </w:rPr>
        <w:t>First True Up Date Minimum</w:t>
      </w:r>
      <w:r>
        <w:rPr>
          <w:rFonts w:ascii="Times New Roman" w:cs="Times New Roman" w:eastAsia="Times New Roman" w:hAnsi="Times New Roman"/>
          <w:sz w:val="22"/>
          <w:szCs w:val="22"/>
          <w:color w:val="auto"/>
        </w:rPr>
        <w:t>”), then the Company shall pay to each Investor, by wire transfer of immediately available funds in U.S. dollars to each Investor Account, the difference between the First True Up Date Minimum and the First True Up Date Royalties (such difference, the “</w:t>
      </w:r>
      <w:r>
        <w:rPr>
          <w:rFonts w:ascii="Times New Roman" w:cs="Times New Roman" w:eastAsia="Times New Roman" w:hAnsi="Times New Roman"/>
          <w:sz w:val="22"/>
          <w:szCs w:val="22"/>
          <w:u w:val="single" w:color="auto"/>
          <w:color w:val="auto"/>
        </w:rPr>
        <w:t>First True Up Payment</w:t>
      </w:r>
      <w:r>
        <w:rPr>
          <w:rFonts w:ascii="Times New Roman" w:cs="Times New Roman" w:eastAsia="Times New Roman" w:hAnsi="Times New Roman"/>
          <w:sz w:val="22"/>
          <w:szCs w:val="22"/>
          <w:color w:val="auto"/>
        </w:rPr>
        <w:t>”), such that each such Investor shall have been repaid its Investment Amount after giving effect to such First True Up Payment and all prior payments by the Company to such Investor hereunder. The First True Up Payment shall be paid in four (4) equal installments on each Royalty Payment Date for the quarters ending March 31, June 30, September 30, and December 31, 2029, respectively (subject to earlier prepayment of all or part of all or any such installments at the option of the Company), and such payments by the Company shall be fully creditable towards the Cap Amount.</w:t>
      </w:r>
    </w:p>
    <w:p>
      <w:pPr>
        <w:spacing w:after="0" w:line="179"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Royalty Payments and any other payments by the Company to the Investors hereunder actually paid by the Company to the Investors through December 31, 2037 (the “</w:t>
      </w:r>
      <w:r>
        <w:rPr>
          <w:rFonts w:ascii="Times New Roman" w:cs="Times New Roman" w:eastAsia="Times New Roman" w:hAnsi="Times New Roman"/>
          <w:sz w:val="22"/>
          <w:szCs w:val="22"/>
          <w:u w:val="single" w:color="auto"/>
          <w:color w:val="auto"/>
        </w:rPr>
        <w:t>Second True Up Date Royalties</w:t>
      </w:r>
      <w:r>
        <w:rPr>
          <w:rFonts w:ascii="Times New Roman" w:cs="Times New Roman" w:eastAsia="Times New Roman" w:hAnsi="Times New Roman"/>
          <w:sz w:val="22"/>
          <w:szCs w:val="22"/>
          <w:color w:val="auto"/>
        </w:rPr>
        <w:t>”) are less than 2.00 times the Investment Amount as of such date (the “</w:t>
      </w:r>
      <w:r>
        <w:rPr>
          <w:rFonts w:ascii="Times New Roman" w:cs="Times New Roman" w:eastAsia="Times New Roman" w:hAnsi="Times New Roman"/>
          <w:sz w:val="22"/>
          <w:szCs w:val="22"/>
          <w:u w:val="single" w:color="auto"/>
          <w:color w:val="auto"/>
        </w:rPr>
        <w:t>Second True Up Date Minimum</w:t>
      </w:r>
      <w:r>
        <w:rPr>
          <w:rFonts w:ascii="Times New Roman" w:cs="Times New Roman" w:eastAsia="Times New Roman" w:hAnsi="Times New Roman"/>
          <w:sz w:val="22"/>
          <w:szCs w:val="22"/>
          <w:color w:val="auto"/>
        </w:rPr>
        <w:t>”), then the Company shall pay to each Investor, by wire transfer of immediately available funds in U.S. dollars to each Investor Account, the difference between the Second True Up Date Minimum and the Second True Up Date Royalties (such difference, the “</w:t>
      </w:r>
      <w:r>
        <w:rPr>
          <w:rFonts w:ascii="Times New Roman" w:cs="Times New Roman" w:eastAsia="Times New Roman" w:hAnsi="Times New Roman"/>
          <w:sz w:val="22"/>
          <w:szCs w:val="22"/>
          <w:u w:val="single" w:color="auto"/>
          <w:color w:val="auto"/>
        </w:rPr>
        <w:t>Second True Up Payment</w:t>
      </w:r>
      <w:r>
        <w:rPr>
          <w:rFonts w:ascii="Times New Roman" w:cs="Times New Roman" w:eastAsia="Times New Roman" w:hAnsi="Times New Roman"/>
          <w:sz w:val="22"/>
          <w:szCs w:val="22"/>
          <w:color w:val="auto"/>
        </w:rPr>
        <w:t>” and, together with the First True Up Payment,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8" w:name="page159"/>
    <w:bookmarkEnd w:id="158"/>
    <w:p>
      <w:pPr>
        <w:jc w:val="both"/>
        <w:spacing w:after="0" w:line="236"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True Up Payments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True Up Payment</w:t>
      </w:r>
      <w:r>
        <w:rPr>
          <w:rFonts w:ascii="Times New Roman" w:cs="Times New Roman" w:eastAsia="Times New Roman" w:hAnsi="Times New Roman"/>
          <w:sz w:val="22"/>
          <w:szCs w:val="22"/>
          <w:color w:val="auto"/>
        </w:rPr>
        <w:t>”), such that each such Investor shall have been repaid 2.00 times its Investment Amount after giving effect to such Second True Up Payment and all prior payments by the Company to such Investor hereunder. The Second True Up Payment shall be paid in four (4) equal installments on each Royalty Payment Date for the quarters ending March 31, June 30, September 30, and December 31, 2038, respectively (subject to earlier prepayment of all or part of all or any such installments at the option of the Company), and such payments by the Company shall be fully creditable towards the Cap Amount.</w:t>
      </w:r>
    </w:p>
    <w:p>
      <w:pPr>
        <w:spacing w:after="0" w:line="181" w:lineRule="exact"/>
        <w:rPr>
          <w:sz w:val="20"/>
          <w:szCs w:val="20"/>
          <w:color w:val="auto"/>
        </w:rPr>
      </w:pPr>
    </w:p>
    <w:p>
      <w:pPr>
        <w:jc w:val="both"/>
        <w:ind w:firstLine="757"/>
        <w:spacing w:after="0" w:line="238" w:lineRule="auto"/>
        <w:tabs>
          <w:tab w:leader="none" w:pos="118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Business Day after the earlier of (i) April 30, 2024 and (ii) the date that the Regulatory Milestone Payment is made, the Company shall have the right, but not the obligation, to pay to the Investors, by wire transfer of immediately available funds in U.S. dollars to each Investor Account, the Cap Payment as of such Business Day. Except as otherwise specifically set forth herein, the Company shall not have the right to prepay its obligations hereunder prior to the earlier of (i) April 30, 2024 and (ii) the date that the Regulatory Milestone Payment is made.</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4" w:lineRule="auto"/>
        <w:tabs>
          <w:tab w:leader="none" w:pos="118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notify the Investors in writing as soon as possible and in any event within two Business Days following the occurrence of any Default or Event of Default during the term of this Agreement, identifying the nature of such Default or Event of Default and whether or not such Default or Event of Default is in respect of, or is, a Bankruptcy Event of Default. If a Bankruptcy Event of Default occurs after the Effective Date, the Event of Default Fee shall automatically (without any action or notice by any of the Investors) be due and payable on the Event of Default Payment Date. If an Event of Default that is not a Bankruptcy Event of Default occurs and is continuing, then the Required Investors by written notice to the Issuer may declare that the Event of Default Fee shall be due and payable on the Event of Default Payment Date. The Event of Default Fee shall be fully earned on the Effective Date. Payment of the Event of Default Fee shall occur (i) in respect of a Bankruptcy Event of Default, immediately upon the occurrence of such Bankruptcy Event of Default, and (ii) in respect of any other Event of Default, on a Business Day specified in writing by the Company to the Investors, which date shall be within 10 Business Days from the date that the Required Investors provide the aforementioned written notice to the Company (the date of such payment pursuant to clause (i) above or clause (ii) above being referred to herein as the “</w:t>
      </w:r>
      <w:r>
        <w:rPr>
          <w:rFonts w:ascii="Times New Roman" w:cs="Times New Roman" w:eastAsia="Times New Roman" w:hAnsi="Times New Roman"/>
          <w:sz w:val="21"/>
          <w:szCs w:val="21"/>
          <w:u w:val="single" w:color="auto"/>
          <w:color w:val="auto"/>
        </w:rPr>
        <w:t>Event of Default Payment Date</w:t>
      </w:r>
      <w:r>
        <w:rPr>
          <w:rFonts w:ascii="Times New Roman" w:cs="Times New Roman" w:eastAsia="Times New Roman" w:hAnsi="Times New Roman"/>
          <w:sz w:val="21"/>
          <w:szCs w:val="21"/>
          <w:color w:val="auto"/>
        </w:rPr>
        <w:t xml:space="preserve">”). On the Event of Default Payment Date, the Company shall pay to the Investors, by wire transfer of immediately available funds in U.S. dollars to each Investor Account, an amount equal to the Event of Default Fee as of the Event of Default Payment Date, such that each Investor shall have been repaid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as the case may be, its Investment Amount after giving effect to the payment of such Event of Default Fee and all prior payments by the Company to such Investor hereunder.</w:t>
      </w:r>
    </w:p>
    <w:p>
      <w:pPr>
        <w:spacing w:after="0" w:line="175" w:lineRule="exact"/>
        <w:rPr>
          <w:rFonts w:ascii="Times New Roman" w:cs="Times New Roman" w:eastAsia="Times New Roman" w:hAnsi="Times New Roman"/>
          <w:sz w:val="21"/>
          <w:szCs w:val="21"/>
          <w:color w:val="auto"/>
        </w:rPr>
      </w:pPr>
    </w:p>
    <w:p>
      <w:pPr>
        <w:jc w:val="both"/>
        <w:ind w:firstLine="757"/>
        <w:spacing w:after="0" w:line="235" w:lineRule="auto"/>
        <w:tabs>
          <w:tab w:leader="none" w:pos="118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Event of Default has occurred and is continuing, any Investor or all the Investors acting as a group may, without further notice to the Company, exercise all remedies available at law or in equity in respect of the Revenue Interest Collateral, including directing the Company and its Affiliates to assemble and deliver the Revenue Interest Collateral as directed by such Investor or such group, notifying any Third Party holding such Revenue Interest Collateral (or portion thereof) of the Investor’s or group’s rights in such Revenue Interest Collateral (or portion) and directing such Third Party to transfer such Revenue Interest Collateral or make payments in respect thereof to such Investor or group (and the Company hereby consents to such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transfer or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Investor shall obtain any payment (whether voluntary, involuntary, through the exercise of any right of set-off, or otherwise) on account of the Revenue Interest Collateral that, when taken together with all other payments previously made to such Investor hereunder, would be in excess of its Specified Percentage when compared to all payments made to the other Investors hereunder (excluding the cost, if any, to recover such payment), such Investor shall promptly pay over to the other Investors such amounts as shall be necessary to cause such first Investor to share the excess payment ratably with each of the other Investors in accordance with their Specified Percentages.</w:t>
      </w:r>
    </w:p>
    <w:p>
      <w:pPr>
        <w:spacing w:after="0" w:line="18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Change of Control Payments.</w:t>
      </w:r>
      <w:r>
        <w:rPr>
          <w:rFonts w:ascii="Times New Roman" w:cs="Times New Roman" w:eastAsia="Times New Roman" w:hAnsi="Times New Roman"/>
          <w:sz w:val="22"/>
          <w:szCs w:val="22"/>
          <w:color w:val="auto"/>
        </w:rPr>
        <w:t xml:space="preserve"> The Company shall notify the Investors in writing at least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prior to the occurrence of any Pre-Regulatory Milestone Change of Control or Post-Regulatory Milestone Change of Control during the term of this Agreement. If a Pre-Regulatory Milestone Change of Control occurs during the term of this Agreement, the Company shall pay, on the Pre-Regulatory Milestone Change of Control Payment Date, to each Investor, by wire transfer of immediately available funds in U.S. dollars to each Investor Account, an amount equal to (x) the Pre-Regulatory Milestone Change of Control Price times (y) such Investor’s Specified Percentage as of the Pre-Regulatory Milestone Change of Control Payment Date. If a Post-Regulatory Milestone Change of Control occurs during the term of this Agreement, the Company shall pay, on the Post-Regulatory Milestone Change of Control Payment Date, to the Investors, by wire transfer of immediately available funds in U.S. dollars to each Investor Account, an amount equal to the Post-Regulatory Milestone Change of Control Price as of the Post-Regulatory Milestone Change of Control Payment Date, such that each such Investor shall have been repaid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after giving effect to the payment of such Post-Regulatory Milestone Change of Control Price and all prior payments by the Company to such Investor hereunder. The Post-Regulatory Milestone Change of Control Price shall be fully creditable towards the Cap Amount.</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No Assumed Obligations, Etc.</w:t>
      </w:r>
      <w:r>
        <w:rPr>
          <w:rFonts w:ascii="Times New Roman" w:cs="Times New Roman" w:eastAsia="Times New Roman" w:hAnsi="Times New Roman"/>
          <w:sz w:val="22"/>
          <w:szCs w:val="22"/>
          <w:color w:val="auto"/>
        </w:rPr>
        <w:t xml:space="preserve"> Notwithstanding any provision in this Agreement to the contrary, no Investor is assuming any liability or obligation of the Company or any other Investor hereunder of whatever nature, whether presently in existence or arising or asserted hereafter. All such liabilities and obligations shall be retained by and remain liabilities of the Company. The Company has sole authority and responsibility for the research, development and Commercialization of the Product.</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2.7</w:t>
      </w:r>
      <w:r>
        <w:rPr>
          <w:sz w:val="20"/>
          <w:szCs w:val="20"/>
          <w:color w:val="auto"/>
        </w:rPr>
        <w:tab/>
      </w:r>
      <w:r>
        <w:rPr>
          <w:rFonts w:ascii="Times New Roman" w:cs="Times New Roman" w:eastAsia="Times New Roman" w:hAnsi="Times New Roman"/>
          <w:sz w:val="21"/>
          <w:szCs w:val="21"/>
          <w:u w:val="single" w:color="auto"/>
          <w:color w:val="auto"/>
        </w:rPr>
        <w:t>Security Interest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4" w:lineRule="auto"/>
        <w:tabs>
          <w:tab w:leader="none" w:pos="118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secure the payment, observance and performance of the Company’s obligations hereunder, the Company hereby grants to the Investors a continuing security interest in all of the Company’s right, title and interest in and to the Revenue Interests, including the accounts, payment intangibles, instruments, chattel paper, check, money and investment property (each, as defined in Article 9 of the UCC) solely to the extent any of the foregoing evidence or constitute the Revenue Interests, and all proceeds thereof, including cash proceeds and noncash proceeds (each, as defined in Article 9 of the UCC), the deposit account described in </w:t>
      </w:r>
      <w:r>
        <w:rPr>
          <w:rFonts w:ascii="Times New Roman" w:cs="Times New Roman" w:eastAsia="Times New Roman" w:hAnsi="Times New Roman"/>
          <w:sz w:val="22"/>
          <w:szCs w:val="22"/>
          <w:u w:val="single" w:color="auto"/>
          <w:color w:val="auto"/>
        </w:rPr>
        <w:t>Section 2.7(b)</w:t>
      </w:r>
      <w:r>
        <w:rPr>
          <w:rFonts w:ascii="Times New Roman" w:cs="Times New Roman" w:eastAsia="Times New Roman" w:hAnsi="Times New Roman"/>
          <w:sz w:val="22"/>
          <w:szCs w:val="22"/>
          <w:color w:val="auto"/>
        </w:rPr>
        <w:t>, all funds deposited in or credited to such deposit account, and copies of the books and records of the Company related to the Revenue Interests and such deposit account (all of the foregoing items in which a security interest is granted or purported to be granted, collectively, the “</w:t>
      </w:r>
      <w:r>
        <w:rPr>
          <w:rFonts w:ascii="Times New Roman" w:cs="Times New Roman" w:eastAsia="Times New Roman" w:hAnsi="Times New Roman"/>
          <w:sz w:val="22"/>
          <w:szCs w:val="22"/>
          <w:u w:val="single" w:color="auto"/>
          <w:color w:val="auto"/>
        </w:rPr>
        <w:t>Revenue Interest Collateral</w:t>
      </w:r>
      <w:r>
        <w:rPr>
          <w:rFonts w:ascii="Times New Roman" w:cs="Times New Roman" w:eastAsia="Times New Roman" w:hAnsi="Times New Roman"/>
          <w:sz w:val="22"/>
          <w:szCs w:val="22"/>
          <w:color w:val="auto"/>
        </w:rPr>
        <w:t>”), subject to the provisions of the Subordination Agreement, if any. The Company authorizes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jc w:val="both"/>
        <w:spacing w:after="0" w:line="233" w:lineRule="auto"/>
        <w:rPr>
          <w:sz w:val="20"/>
          <w:szCs w:val="20"/>
          <w:color w:val="auto"/>
        </w:rPr>
      </w:pPr>
      <w:r>
        <w:rPr>
          <w:rFonts w:ascii="Times New Roman" w:cs="Times New Roman" w:eastAsia="Times New Roman" w:hAnsi="Times New Roman"/>
          <w:sz w:val="22"/>
          <w:szCs w:val="22"/>
          <w:color w:val="auto"/>
        </w:rPr>
        <w:t>Investors, from and after the Effective Date, to file such financing statements and continuation statements with respect to such financing statements when applicable, in such manner and such jurisdictions as are necessary or appropriate to perfect such security interest. Notwithstanding such authorization, the Company shall ensure, at the Company’s own expense, that the Investors’ security interest in the Revenue Interest Collateral is and remains perfected no later than the Funding Date and at all times thereafter until the termination of this Agreement in accordance with ARTICLE 8. The Company shall provide the Investors written evidence of such perfection, in form and substance satisfactory to the Investors, (x) promptly following the Effective Date, (y) at least 90 days prior to the fifth anniversary of the Effective Date and each fifth anniversary thereafter until the termination of this Agreement in accordance with ARTICLE 8 and (z) at other times upon the reasonable request of any Investor. The provision of such evidence shall be deemed to be a representation and warranty by the Company as of the date such evidence is provided that all actions necessary to perfect the Investors’ security interest in the Revenue Interest Collateral have been taken and that no other creditor has a security interest in the Revenue Interest Collateral except for a Permitted Lien of the type described in clause (a) of the definition thereof and subject to the provisions of the Subordination Agreement, if any. Notwithstanding the foregoing, the Company shall have no obligation to file any amendment to any financing statement to reflect a change in any Investor’s name or address and shall not be deemed to represent and warrant to any such change.</w:t>
      </w:r>
    </w:p>
    <w:p>
      <w:pPr>
        <w:spacing w:after="0" w:line="180" w:lineRule="exact"/>
        <w:rPr>
          <w:sz w:val="20"/>
          <w:szCs w:val="20"/>
          <w:color w:val="auto"/>
        </w:rPr>
      </w:pPr>
    </w:p>
    <w:p>
      <w:pPr>
        <w:jc w:val="both"/>
        <w:ind w:firstLine="757"/>
        <w:spacing w:after="0" w:line="245" w:lineRule="auto"/>
        <w:tabs>
          <w:tab w:leader="none" w:pos="1181"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later than June 30, 2022 (or such later date as the Required Investors may agree in writing), the Company shall, at the Company’s own expense and at all times thereafter until the termination of this Agreement in accordance with ARTICLE 8, (i) establish and maintain a separate deposit account with a financial institution satisfactory to the Required Investors, (ii) cause such deposit account to be and remain subject to an agreement of the type described in Section 9-104(a)(2) of the UCC among the Company, such financial institution and the Investors (or an agent, trustee or representative on their behalf) in form and substance satisfactory to the Required Investors and (iii) deposit, on or prior to each Royalty Payment Date, an amount equal to the Royalty Payment for the applicable calendar quarter in such deposit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at any time the Company’s cash and cash equivalents becomes less than the greater of (x)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and (y)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the Company shall deposit into such deposit account within two Business Days of such occurrence, and at least monthly thereafter until the termination of this Agreement, an amount of cash equal to the Royalty Payments estimated in good faith by the Company to be payable on the next Royalty Payment Date in respect of the portion of the applicable calendar quarter elapsed prior to such date of determination. The funds on deposit in or credited to such deposit account may be used to make the Royalty Payments to the Investors.</w:t>
      </w:r>
    </w:p>
    <w:p>
      <w:pPr>
        <w:spacing w:after="0" w:line="17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Mandatory Payment Obligations</w:t>
      </w:r>
      <w:r>
        <w:rPr>
          <w:rFonts w:ascii="Times New Roman" w:cs="Times New Roman" w:eastAsia="Times New Roman" w:hAnsi="Times New Roman"/>
          <w:sz w:val="22"/>
          <w:szCs w:val="22"/>
          <w:color w:val="auto"/>
        </w:rPr>
        <w:t>. The Company’s obligations to pay the True Up Payments, the Event of Default Fee, the Pre-Regulatory Milestone Change of Control Price and the Post-Regulatory Milestone Change of Control Price as they become due under this Agreement shall be absolute. The Company agrees that the True Up Payments, the Event of Default Fee, the Pre-Regulatory Milestone Change of Control Price and the Post-Regulatory Milestone Change of Control Price shall be presumed to be the liquidated damages sustained by each Investor, and the Company agrees that such presumption is reasonable under the circumstances currently existing. The Company expressly waives (to the fullest extent it may lawfully do so) the provisions of any present or future applicable law that prohibits or may prohibit the collection of the True Up Payments, the Event of Default Fee, the Pre-Regulatory Milestone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Change of Control Price or the Post-Regulatory Milestone Change of Control Price by the Investors. The Company agrees (to the fullest extent that it may lawfully do so) that (i) each of the True Up Payments, the Event of Default Fee, the Pre-Regulatory Milestone Change of Control Price and the Post-Regulatory Milestone Change of Control Price is reasonable and is the product of an arm’s length transaction between sophisticated business people, ably represented by counsel, (ii) each of the True Up Payments, the Event of Default Fee, the Pre-Regulatory Milestone Change of Control Price and the Post-Regulatory Milestone Change of Control Price shall be payable notwithstanding the then-prevailing market rates at the time payment is made, (iii) there has been a course of conduct between the Investors and the Company giving specific consideration in the transactions contemplated hereby for such agreement to pay the True Up Payments as a charge (and not interest) to the extent they become due, the Event of Default Fee as a charge (and not interest) in the event of an Event of Default, the Pre-Regulatory Milestone Change of Control Price as a charge (and not interest) in the event of a Pre-Regulatory Milestone Change of Control and the Post-Regulatory Milestone Change of Control Price as a charge (and not interest) in the event of a Post-Regulatory Milestone Change of Control and (iv) the Company shall be estopped from claiming differently than as agreed to in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The Company expressly acknowledges that its agreement to pay each of the True Up Payments, the Event of Default Fee, the Pre-Regulatory Milestone Change of Control Price and the Post-Regulatory Milestone Change of Control Price to the Investors as herein described is on the Effective Date, and will continue to be, a material inducement to each Investor to pay its portion of the Investment Amount.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3</w:t>
      </w:r>
    </w:p>
    <w:p>
      <w:pPr>
        <w:spacing w:after="0" w:line="233" w:lineRule="exact"/>
        <w:rPr>
          <w:sz w:val="20"/>
          <w:szCs w:val="20"/>
          <w:color w:val="auto"/>
        </w:rPr>
      </w:pPr>
    </w:p>
    <w:p>
      <w:pPr>
        <w:ind w:left="760" w:right="3880" w:firstLine="3124"/>
        <w:spacing w:after="0" w:line="435" w:lineRule="auto"/>
        <w:rPr>
          <w:sz w:val="20"/>
          <w:szCs w:val="20"/>
          <w:color w:val="auto"/>
        </w:rPr>
      </w:pPr>
      <w:r>
        <w:rPr>
          <w:rFonts w:ascii="Times New Roman" w:cs="Times New Roman" w:eastAsia="Times New Roman" w:hAnsi="Times New Roman"/>
          <w:sz w:val="22"/>
          <w:szCs w:val="22"/>
          <w:color w:val="auto"/>
        </w:rPr>
        <w:t xml:space="preserve">EFFECTIVE DATE; FUNDING DATE Section 3.1 </w:t>
      </w:r>
      <w:r>
        <w:rPr>
          <w:rFonts w:ascii="Times New Roman" w:cs="Times New Roman" w:eastAsia="Times New Roman" w:hAnsi="Times New Roman"/>
          <w:sz w:val="22"/>
          <w:szCs w:val="22"/>
          <w:u w:val="single" w:color="auto"/>
          <w:color w:val="auto"/>
        </w:rPr>
        <w:t>Effective Date Deliverables</w:t>
      </w:r>
      <w:r>
        <w:rPr>
          <w:rFonts w:ascii="Times New Roman" w:cs="Times New Roman" w:eastAsia="Times New Roman" w:hAnsi="Times New Roman"/>
          <w:sz w:val="22"/>
          <w:szCs w:val="22"/>
          <w:color w:val="auto"/>
        </w:rPr>
        <w:t>. On the Effective Date:</w:t>
      </w:r>
    </w:p>
    <w:p>
      <w:pPr>
        <w:spacing w:after="0" w:line="1" w:lineRule="exact"/>
        <w:rPr>
          <w:sz w:val="20"/>
          <w:szCs w:val="20"/>
          <w:color w:val="auto"/>
        </w:rPr>
      </w:pPr>
    </w:p>
    <w:p>
      <w:pPr>
        <w:ind w:left="1180" w:hanging="423"/>
        <w:spacing w:after="0"/>
        <w:tabs>
          <w:tab w:leader="none" w:pos="11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to the Initial Investors the Funding Condition Satisfaction Notice;</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or cause to be delivered to the Initial Investors an opinion of Morgan, Lewis &amp; Bockius LLP, special counsel to the Company, dated the Effective Date and in form and substance satisfactory to the Initial Investors and their counsel;</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to the Initial Investors a certificate of an officer of the Company, dated the Effective Date, (i) certifying as to the Company’s organizational documents and the attached resolutions adopted by the board of directors of the Company authorizing the transactions contemplated by the Transaction Documents and (ii) setting forth the incumbency of the officer or officers of the Company who have executed and delivered the Transaction Documents, including therein a signature specimen of each such officer;</w:t>
      </w:r>
    </w:p>
    <w:p>
      <w:pPr>
        <w:spacing w:after="0" w:line="176" w:lineRule="exact"/>
        <w:rPr>
          <w:rFonts w:ascii="Times New Roman" w:cs="Times New Roman" w:eastAsia="Times New Roman" w:hAnsi="Times New Roman"/>
          <w:sz w:val="22"/>
          <w:szCs w:val="22"/>
          <w:color w:val="auto"/>
        </w:rPr>
      </w:pPr>
    </w:p>
    <w:p>
      <w:pPr>
        <w:jc w:val="both"/>
        <w:ind w:firstLine="757"/>
        <w:spacing w:after="0" w:line="282" w:lineRule="auto"/>
        <w:tabs>
          <w:tab w:leader="none" w:pos="1181"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deliver to the Initial Investors a written consent from Hercules in which Hercules consents to the transactions contemplated hereby, which shall be substantially in the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Hercules Consent</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ind w:right="20" w:firstLine="757"/>
        <w:spacing w:after="0" w:line="258" w:lineRule="auto"/>
        <w:tabs>
          <w:tab w:leader="none" w:pos="118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Initial Investor shall deliver a duly executed counterpart of the Subordination Agreement to the Company, and the Company shall deliver to the Initial Investors a fully executed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color w:val="auto"/>
        </w:rPr>
        <w:t>copy of the Subordination Agreement containing the executed counterparts of the Company, the Initial Investors and Hercules;</w:t>
      </w:r>
    </w:p>
    <w:p>
      <w:pPr>
        <w:spacing w:after="0" w:line="206" w:lineRule="exact"/>
        <w:rPr>
          <w:sz w:val="20"/>
          <w:szCs w:val="20"/>
          <w:color w:val="auto"/>
        </w:rPr>
      </w:pPr>
    </w:p>
    <w:p>
      <w:pPr>
        <w:ind w:left="1180" w:hanging="423"/>
        <w:spacing w:after="0"/>
        <w:tabs>
          <w:tab w:leader="none" w:pos="11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Initial Investor shall have delivered to the Company an Applicable Withholding Certificate;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Initial Investor shall have delivered to the Company its Investor Account Information Document.</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Funding Date Deliverables</w:t>
      </w:r>
      <w:r>
        <w:rPr>
          <w:rFonts w:ascii="Times New Roman" w:cs="Times New Roman" w:eastAsia="Times New Roman" w:hAnsi="Times New Roman"/>
          <w:sz w:val="22"/>
          <w:szCs w:val="22"/>
          <w:color w:val="auto"/>
        </w:rPr>
        <w:t>. On the Funding Date, as conditions to the Initial Investors’ obligation to pay the Funding Date Payment:</w:t>
      </w:r>
    </w:p>
    <w:p>
      <w:pPr>
        <w:spacing w:after="0" w:line="158" w:lineRule="exact"/>
        <w:rPr>
          <w:sz w:val="20"/>
          <w:szCs w:val="20"/>
          <w:color w:val="auto"/>
        </w:rPr>
      </w:pPr>
    </w:p>
    <w:p>
      <w:pPr>
        <w:jc w:val="both"/>
        <w:ind w:firstLine="757"/>
        <w:spacing w:after="0" w:line="236" w:lineRule="auto"/>
        <w:tabs>
          <w:tab w:leader="none" w:pos="118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to the Initial Investors a certificate of an officer of the Company, dated the Funding Date, stating that, as of the Funding Date, (i) the representations and warranties of the Company in the Transaction Documents to which the Company is party are true and correct in all material respects (except to the extent that such representations and warranties relate specifically to an earlier date, in which case they shall be true and correct in all material respects as of such earlier date, and except for such representations qualified by materiality or Material Adverse Effect, which shall be true and correct in all respects) and (ii) no Default or Event of Default shall have occurred and be continuing; and</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filed one or more financing statements in such manner and such jurisdictions as are necessary or appropriate to perfect the Investors’ security interest in the Revenue Interest Collateral as described in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 xml:space="preserve"> and shall have provided evidence of such filings to the Initial Investors.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4</w:t>
      </w:r>
    </w:p>
    <w:p>
      <w:pPr>
        <w:spacing w:after="0" w:line="23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Company’s Representations and Warranties</w:t>
      </w:r>
      <w:r>
        <w:rPr>
          <w:rFonts w:ascii="Times New Roman" w:cs="Times New Roman" w:eastAsia="Times New Roman" w:hAnsi="Times New Roman"/>
          <w:sz w:val="21"/>
          <w:szCs w:val="21"/>
          <w:color w:val="auto"/>
        </w:rPr>
        <w:t>. The Company represents and warrants to the Investors that:</w:t>
      </w:r>
    </w:p>
    <w:p>
      <w:pPr>
        <w:spacing w:after="0" w:line="206" w:lineRule="exact"/>
        <w:rPr>
          <w:sz w:val="20"/>
          <w:szCs w:val="20"/>
          <w:color w:val="auto"/>
        </w:rPr>
      </w:pPr>
    </w:p>
    <w:p>
      <w:pPr>
        <w:jc w:val="both"/>
        <w:ind w:firstLine="757"/>
        <w:spacing w:after="0" w:line="236" w:lineRule="auto"/>
        <w:tabs>
          <w:tab w:leader="none" w:pos="118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Existence; Good Standing</w:t>
      </w:r>
      <w:r>
        <w:rPr>
          <w:rFonts w:ascii="Times New Roman" w:cs="Times New Roman" w:eastAsia="Times New Roman" w:hAnsi="Times New Roman"/>
          <w:sz w:val="22"/>
          <w:szCs w:val="22"/>
          <w:color w:val="auto"/>
        </w:rPr>
        <w:t>. The Company is a corporation duly incorporated, validly existing and in good standing under the laws of the State of Delaware. The Company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not reasonably be expected to have, either individually or in the aggregate, a Material Adverse Effect.</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9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The Company has all requisite corporate power and authority to execute, deliver and perform its obligations under the Transaction Documents. The execution, delivery and performance of the Transaction Documents, and the consummation of the transactions contemplated hereby and thereby, have been duly authorized by all necessary corporate action on the part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jc w:val="both"/>
        <w:ind w:firstLine="757"/>
        <w:spacing w:after="0" w:line="239" w:lineRule="auto"/>
        <w:tabs>
          <w:tab w:leader="none" w:pos="118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The Transaction Documents have been duly executed and delivered by an authorized officer of the Company and constitute the valid and binding obligations of the Company, enforceable against the Company in accordance with the terms of each respective Transaction Document, except as may be limited by applicable Bankruptcy Laws or by general principles of equity (whether considered in a proceeding in equity or at law).</w:t>
      </w:r>
    </w:p>
    <w:p>
      <w:pPr>
        <w:spacing w:after="0" w:line="180" w:lineRule="exact"/>
        <w:rPr>
          <w:rFonts w:ascii="Times New Roman" w:cs="Times New Roman" w:eastAsia="Times New Roman" w:hAnsi="Times New Roman"/>
          <w:sz w:val="22"/>
          <w:szCs w:val="22"/>
          <w:color w:val="auto"/>
        </w:rPr>
      </w:pPr>
    </w:p>
    <w:p>
      <w:pPr>
        <w:jc w:val="both"/>
        <w:ind w:firstLine="757"/>
        <w:spacing w:after="0" w:line="235" w:lineRule="auto"/>
        <w:tabs>
          <w:tab w:leader="none" w:pos="120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by the Company of the Transaction Documents and the consummation of the transactions contemplated hereby and thereby do not and will not (i) contravene or conflict with the certificate of incorporation or bylaws of the Company, (ii) contravene or conflict with or constitute a material default or violation under any law binding upon or applicable to the Company or the Revenue Interests or (iii) contravene or conflict with or constitute a material default under the Hercules Loan Agreement (after giving effect to the Hercules Consent), the Takeda License or any other agreement, Judgment or Marketing Approval binding upon or applicable to the Company or the Revenue Interests.</w:t>
      </w:r>
    </w:p>
    <w:p>
      <w:pPr>
        <w:spacing w:after="0" w:line="183" w:lineRule="exact"/>
        <w:rPr>
          <w:rFonts w:ascii="Times New Roman" w:cs="Times New Roman" w:eastAsia="Times New Roman" w:hAnsi="Times New Roman"/>
          <w:sz w:val="22"/>
          <w:szCs w:val="22"/>
          <w:color w:val="auto"/>
        </w:rPr>
      </w:pPr>
    </w:p>
    <w:p>
      <w:pPr>
        <w:jc w:val="both"/>
        <w:ind w:firstLine="757"/>
        <w:spacing w:after="0" w:line="235" w:lineRule="auto"/>
        <w:tabs>
          <w:tab w:leader="none" w:pos="119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xml:space="preserve">. Except for the Hercules Consent, the UCC financing statements contemplated by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 or any filings required by the federal securities laws or stock exchange rules, no consent, approval, license, order, authorization, registration, declaration or filing with or of any Governmental Entity or other Person (including, for the avoidance of doubt, Takeda with respect to the Takeda License) is required to be done or obtained by the Company in connection with (i) the execution and delivery by the Company of the Transaction Documents to which it is party, (ii) the performance by the Company of its obligations under the Transaction Documents to which it is party or (iii) the consummation by the Company of any of the transactions contemplated by the Transaction Documents to which it is party.</w:t>
      </w:r>
    </w:p>
    <w:p>
      <w:pPr>
        <w:spacing w:after="0" w:line="18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Neither the Company nor any of its Subsidiaries is a party to, or has received any written notice of, any action, suit, investigation or proceeding pending before any Governmental Entity and, to the Knowledge of the Company, no such action, suit, investigation or proceeding has been threatened against the Company, that, individually or in the aggregate, has had or would, if determined adversely, reasonably be expected to have a Material Adverse Effect.</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applications, submissions, information and data related to a Product submitted or utilized as the basis for any request to any Regulatory Authority by or on behalf of the Company were true and correct in all material respects as of the date of such submission or request, and, to the Knowledge of the Company any material updates, changes, corrections or modifications to such applications, submissions, information or data required under applicable laws or regulations have been submitted to the necessary Regulatory Authorities.</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committed any act, made any statement or failed to make any statement that would reasonably be expected to provide a basis for the FDA to invoke its policy with respect to “Fraud, Untrue Statements of Material Facts, Bribery, and Illegal Gratuities”, 56 Fed. Reg. 46191 (September 10, 1991) (the “</w:t>
      </w:r>
      <w:r>
        <w:rPr>
          <w:rFonts w:ascii="Times New Roman" w:cs="Times New Roman" w:eastAsia="Times New Roman" w:hAnsi="Times New Roman"/>
          <w:sz w:val="22"/>
          <w:szCs w:val="22"/>
          <w:u w:val="single" w:color="auto"/>
          <w:color w:val="auto"/>
        </w:rPr>
        <w:t>FDA Application Integrity Policy</w:t>
      </w:r>
      <w:r>
        <w:rPr>
          <w:rFonts w:ascii="Times New Roman" w:cs="Times New Roman" w:eastAsia="Times New Roman" w:hAnsi="Times New Roman"/>
          <w:sz w:val="22"/>
          <w:szCs w:val="22"/>
          <w:color w:val="auto"/>
        </w:rPr>
        <w:t>”) and any amendments thereto, or any similar policies by the FDA or any other Regulatory Authority, set forth in any applicable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4" w:name="page165"/>
    <w:bookmarkEnd w:id="164"/>
    <w:p>
      <w:pPr>
        <w:jc w:val="both"/>
        <w:ind w:left="3"/>
        <w:spacing w:after="0" w:line="239" w:lineRule="auto"/>
        <w:rPr>
          <w:sz w:val="20"/>
          <w:szCs w:val="20"/>
          <w:color w:val="auto"/>
        </w:rPr>
      </w:pPr>
      <w:r>
        <w:rPr>
          <w:rFonts w:ascii="Times New Roman" w:cs="Times New Roman" w:eastAsia="Times New Roman" w:hAnsi="Times New Roman"/>
          <w:sz w:val="22"/>
          <w:szCs w:val="22"/>
          <w:color w:val="auto"/>
        </w:rPr>
        <w:t>laws or regulations. Neither the Company, nor, to the Knowledge of the Company, any of its officers, employees, contractors or agents is the subject of any pending or, to the Knowledge of the Company, threatened investigation by the FDA or any other Regulatory Authority that could reasonably result in the invocation of the FDA Application Integrity Policy or any similar policy by any Regulatory Authority.</w:t>
      </w:r>
    </w:p>
    <w:p>
      <w:pPr>
        <w:spacing w:after="0" w:line="180" w:lineRule="exact"/>
        <w:rPr>
          <w:sz w:val="20"/>
          <w:szCs w:val="20"/>
          <w:color w:val="auto"/>
        </w:rPr>
      </w:pPr>
    </w:p>
    <w:p>
      <w:pPr>
        <w:jc w:val="both"/>
        <w:ind w:left="3" w:firstLine="745"/>
        <w:spacing w:after="0" w:line="235" w:lineRule="auto"/>
        <w:tabs>
          <w:tab w:leader="none" w:pos="1184"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any of its Subsidiaries and, to the Company’s Knowledge, any Third Party manufacturer named in any NDA for any Product, has received from the FDA a “Warning Letter”, Form FDA-483, “Untitled Letter”, or similar material written correspondence or notice alleging violations of applicable laws and regulations enforced by the FDA, or any comparable material written correspondence from any other Regulatory Authority with regard to any Product or the manufacture, processing, packaging or holding thereof, the subject of which communication is unresolved and if determined adversely to the Company or such Subsidiary would, individually or in the aggregate, reasonably be expected to result in a Material Adverse Effect.</w:t>
      </w:r>
    </w:p>
    <w:p>
      <w:pPr>
        <w:spacing w:after="0" w:line="183"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184"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possesses all material permits, licenses, registrations, certificates, authorizations, orders and approvals from the appropriate federal, state or foreign regulatory authorities necessary to conduct its business, including all such material permits, licenses, registrations, certificates, authorizations, orders and approvals required by the FDA or any other Regulatory Authority (collectively, “</w:t>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 The Company has not received any written notice of proceedings relating to the suspension, modification, revocation or cancellation of any Permit. Neither the Company nor, to the Knowledge of the Company, any officer, employee or agent of the Company has been convicted of any crime or engaged in any conduct that has previously caused or would reasonably be expected to result in (A) disqualification or debarment by the FDA under 21 U.S.C. Sections 335(a) or (b), or any similar law, rule or regulation of any other Governmental Entity, (B) debarment, suspension, or exclusion under any federal healthcare programs or by the General Services Administration, or (C) exclusion under 42 U.S.C. Section 1320a-7 or any similar law, rule or regulation administered by any Regulatory Authority. To the Knowledge of the Company, neither the Company nor any of its officers, employees, contractors or agents has made an untrue statement of material fact on, or material omissions from, any notifications, applications, approvals, reports and other submissions to the FDA or any similar Regulatory Authority.</w:t>
      </w:r>
    </w:p>
    <w:p>
      <w:pPr>
        <w:spacing w:after="0" w:line="183" w:lineRule="exact"/>
        <w:rPr>
          <w:rFonts w:ascii="Times New Roman" w:cs="Times New Roman" w:eastAsia="Times New Roman" w:hAnsi="Times New Roman"/>
          <w:sz w:val="21"/>
          <w:szCs w:val="21"/>
          <w:color w:val="auto"/>
        </w:rPr>
      </w:pPr>
    </w:p>
    <w:p>
      <w:pPr>
        <w:jc w:val="both"/>
        <w:ind w:left="3" w:firstLine="745"/>
        <w:spacing w:after="0" w:line="236" w:lineRule="auto"/>
        <w:tabs>
          <w:tab w:leader="none" w:pos="1184"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and has been in compliance with all applicable laws administered or issued by the FDA or any similar Regulatory Authority, including the FD&amp;C Act, applicable requirements in FDA regulations, and any orders issued by the FDA or similar Regulatory Authorities, and all other laws regarding ownership, developing, testing, manufacturing, packaging, storage, import, export, disposal, marketing, distributing, promoting, and complaint handling or adverse event reporting for the products of the Company, except to the extent that such failure to comply with such applicable laws would not reasonably be expected to result in a Material Adverse Effect.</w:t>
      </w:r>
    </w:p>
    <w:p>
      <w:pPr>
        <w:spacing w:after="0" w:line="181" w:lineRule="exact"/>
        <w:rPr>
          <w:rFonts w:ascii="Times New Roman" w:cs="Times New Roman" w:eastAsia="Times New Roman" w:hAnsi="Times New Roman"/>
          <w:sz w:val="22"/>
          <w:szCs w:val="22"/>
          <w:color w:val="auto"/>
        </w:rPr>
      </w:pPr>
    </w:p>
    <w:p>
      <w:pPr>
        <w:ind w:left="423" w:hanging="423"/>
        <w:spacing w:after="0"/>
        <w:tabs>
          <w:tab w:leader="none" w:pos="42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1"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621665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65" w:name="page166"/>
    <w:bookmarkEnd w:id="165"/>
    <w:p>
      <w:pPr>
        <w:jc w:val="both"/>
        <w:ind w:left="-360" w:firstLine="745"/>
        <w:spacing w:after="0" w:line="235" w:lineRule="auto"/>
        <w:tabs>
          <w:tab w:leader="none" w:pos="86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In-Licenses</w:t>
      </w:r>
      <w:r>
        <w:rPr>
          <w:rFonts w:ascii="Times New Roman" w:cs="Times New Roman" w:eastAsia="Times New Roman" w:hAnsi="Times New Roman"/>
          <w:sz w:val="22"/>
          <w:szCs w:val="22"/>
          <w:color w:val="auto"/>
        </w:rPr>
        <w:t>. Except for the Takeda License, (i) there are no In-Licenses and (ii) there are no other contracts, agreements, commitments or undertakings pursuant to which the Company has rights under any patent or intellectual property rights of any Third Party that are material to the Commercialization of the Products in the Territory. A true, correct and complete copy of the Takeda License has been provided to the Investors by the Company in a data room available to the Investors. Other than as provided in the data room, neither the Company nor Takeda has made or entered into any amendment, supplement or modification to, or granted any waiver under any provision of, the Takeda License.</w:t>
      </w:r>
    </w:p>
    <w:p>
      <w:pPr>
        <w:spacing w:after="0" w:line="183"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Out-Licenses</w:t>
      </w:r>
      <w:r>
        <w:rPr>
          <w:rFonts w:ascii="Times New Roman" w:cs="Times New Roman" w:eastAsia="Times New Roman" w:hAnsi="Times New Roman"/>
          <w:sz w:val="22"/>
          <w:szCs w:val="22"/>
          <w:color w:val="auto"/>
        </w:rPr>
        <w:t>. There are no Out-Licenses.</w:t>
      </w:r>
    </w:p>
    <w:p>
      <w:pPr>
        <w:spacing w:after="0" w:line="206" w:lineRule="exact"/>
        <w:rPr>
          <w:rFonts w:ascii="Times New Roman" w:cs="Times New Roman" w:eastAsia="Times New Roman" w:hAnsi="Times New Roman"/>
          <w:sz w:val="22"/>
          <w:szCs w:val="22"/>
          <w:color w:val="auto"/>
        </w:rPr>
      </w:pPr>
    </w:p>
    <w:p>
      <w:pPr>
        <w:jc w:val="both"/>
        <w:ind w:left="-360" w:firstLine="745"/>
        <w:spacing w:after="0" w:line="251" w:lineRule="auto"/>
        <w:tabs>
          <w:tab w:leader="none" w:pos="82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Validity and Enforceability of Takeda License</w:t>
      </w:r>
      <w:r>
        <w:rPr>
          <w:rFonts w:ascii="Times New Roman" w:cs="Times New Roman" w:eastAsia="Times New Roman" w:hAnsi="Times New Roman"/>
          <w:sz w:val="21"/>
          <w:szCs w:val="21"/>
          <w:color w:val="auto"/>
        </w:rPr>
        <w:t>. The Takeda License is a valid and binding obligation of the Company and Takeda. The Takeda License is enforceable against the Company and, to the Knowledge of the Company, Takeda in accordance with its terms except as may be limited by applicable Bankruptcy Laws or by general principles of equity (whether considered in a proceeding in equity or at law). The Company has not received any written notice in connection with the Takeda License challenging the validity, enforceability or interpretation of any provision thereof.</w:t>
      </w:r>
    </w:p>
    <w:p>
      <w:pPr>
        <w:spacing w:after="0" w:line="168" w:lineRule="exact"/>
        <w:rPr>
          <w:rFonts w:ascii="Times New Roman" w:cs="Times New Roman" w:eastAsia="Times New Roman" w:hAnsi="Times New Roman"/>
          <w:sz w:val="21"/>
          <w:szCs w:val="21"/>
          <w:color w:val="auto"/>
        </w:rPr>
      </w:pPr>
    </w:p>
    <w:p>
      <w:pPr>
        <w:jc w:val="both"/>
        <w:ind w:left="-360" w:firstLine="745"/>
        <w:spacing w:after="0" w:line="255" w:lineRule="auto"/>
        <w:tabs>
          <w:tab w:leader="none" w:pos="84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Termination</w:t>
      </w:r>
      <w:r>
        <w:rPr>
          <w:rFonts w:ascii="Times New Roman" w:cs="Times New Roman" w:eastAsia="Times New Roman" w:hAnsi="Times New Roman"/>
          <w:sz w:val="21"/>
          <w:szCs w:val="21"/>
          <w:color w:val="auto"/>
        </w:rPr>
        <w:t>. The Company has not (A) given notice to Takeda of the termination of the Takeda License (whether in whole or in part) or any notice to Takeda expressing any intention or desire to terminate the Takeda License or (B) received from Takeda any written notice of termination of the Takeda License (whether in whole or in part) or any written notice from Takeda expressing any intention or desire to terminate the Takeda License.</w:t>
      </w:r>
    </w:p>
    <w:p>
      <w:pPr>
        <w:spacing w:after="0" w:line="161" w:lineRule="exact"/>
        <w:rPr>
          <w:rFonts w:ascii="Times New Roman" w:cs="Times New Roman" w:eastAsia="Times New Roman" w:hAnsi="Times New Roman"/>
          <w:sz w:val="21"/>
          <w:szCs w:val="21"/>
          <w:color w:val="auto"/>
        </w:rPr>
      </w:pPr>
    </w:p>
    <w:p>
      <w:pPr>
        <w:jc w:val="both"/>
        <w:ind w:left="-360" w:firstLine="745"/>
        <w:spacing w:after="0" w:line="239" w:lineRule="auto"/>
        <w:tabs>
          <w:tab w:leader="none" w:pos="82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Breaches or Defaults</w:t>
      </w:r>
      <w:r>
        <w:rPr>
          <w:rFonts w:ascii="Times New Roman" w:cs="Times New Roman" w:eastAsia="Times New Roman" w:hAnsi="Times New Roman"/>
          <w:sz w:val="22"/>
          <w:szCs w:val="22"/>
          <w:color w:val="auto"/>
        </w:rPr>
        <w:t>. No material breach or default under any provision of the Takeda License exists or has occurred, either by the Company or, to the Knowledge of the Company, by Takeda, and there is no event that upon notice or the passage of time, or both, would reasonably be expected to give rise to any breach or default either by the Company or, to the Knowledge of the Company, by Takeda.</w:t>
      </w:r>
    </w:p>
    <w:p>
      <w:pPr>
        <w:spacing w:after="0" w:line="180" w:lineRule="exact"/>
        <w:rPr>
          <w:rFonts w:ascii="Times New Roman" w:cs="Times New Roman" w:eastAsia="Times New Roman" w:hAnsi="Times New Roman"/>
          <w:sz w:val="22"/>
          <w:szCs w:val="22"/>
          <w:color w:val="auto"/>
        </w:rPr>
      </w:pPr>
    </w:p>
    <w:p>
      <w:pPr>
        <w:ind w:left="-360" w:firstLine="745"/>
        <w:spacing w:after="0" w:line="258" w:lineRule="auto"/>
        <w:tabs>
          <w:tab w:leader="none" w:pos="83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Made</w:t>
      </w:r>
      <w:r>
        <w:rPr>
          <w:rFonts w:ascii="Times New Roman" w:cs="Times New Roman" w:eastAsia="Times New Roman" w:hAnsi="Times New Roman"/>
          <w:sz w:val="22"/>
          <w:szCs w:val="22"/>
          <w:color w:val="auto"/>
        </w:rPr>
        <w:t>. The Company has made all payments to Takeda that are required to be made under the Takeda License as of the date hereof.</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4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The Company has not consented to any assignment by Takeda of any of its rights or obligations under the Takeda License and, to the Knowledge of the Company, Takeda has not assigned any of its rights or obligations under the Takeda License to any Person.</w:t>
      </w:r>
    </w:p>
    <w:p>
      <w:pPr>
        <w:spacing w:after="0" w:line="173"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133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Indemnification Claims</w:t>
      </w:r>
      <w:r>
        <w:rPr>
          <w:rFonts w:ascii="Times New Roman" w:cs="Times New Roman" w:eastAsia="Times New Roman" w:hAnsi="Times New Roman"/>
          <w:sz w:val="22"/>
          <w:szCs w:val="22"/>
          <w:color w:val="auto"/>
        </w:rPr>
        <w:t>. The Company has not notified any Person of any claims for indemnification under the Takeda License nor has the Company received any claims for indemnification under the Takeda License.</w:t>
      </w:r>
    </w:p>
    <w:p>
      <w:pPr>
        <w:spacing w:after="0" w:line="173" w:lineRule="exact"/>
        <w:rPr>
          <w:rFonts w:ascii="Times New Roman" w:cs="Times New Roman" w:eastAsia="Times New Roman" w:hAnsi="Times New Roman"/>
          <w:sz w:val="22"/>
          <w:szCs w:val="22"/>
          <w:color w:val="auto"/>
        </w:rPr>
      </w:pPr>
    </w:p>
    <w:p>
      <w:pPr>
        <w:jc w:val="both"/>
        <w:ind w:left="-360" w:firstLine="745"/>
        <w:spacing w:after="0" w:line="282" w:lineRule="auto"/>
        <w:tabs>
          <w:tab w:leader="none" w:pos="82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Infringement</w:t>
      </w:r>
      <w:r>
        <w:rPr>
          <w:rFonts w:ascii="Times New Roman" w:cs="Times New Roman" w:eastAsia="Times New Roman" w:hAnsi="Times New Roman"/>
          <w:sz w:val="21"/>
          <w:szCs w:val="21"/>
          <w:color w:val="auto"/>
        </w:rPr>
        <w:t>. Neither the Company nor any of its Subsidiaries has received any written notice from, or given any written notice to, Takeda regarding any infringement of any of the Existing Patent Rights licensed thereunder.</w:t>
      </w:r>
    </w:p>
    <w:p>
      <w:pPr>
        <w:spacing w:after="0" w:line="3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66" w:name="page167"/>
    <w:bookmarkEnd w:id="166"/>
    <w:p>
      <w:pPr>
        <w:jc w:val="both"/>
        <w:ind w:right="20" w:firstLine="757"/>
        <w:spacing w:after="0" w:line="239" w:lineRule="auto"/>
        <w:tabs>
          <w:tab w:leader="none" w:pos="120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Liens</w:t>
      </w:r>
      <w:r>
        <w:rPr>
          <w:rFonts w:ascii="Times New Roman" w:cs="Times New Roman" w:eastAsia="Times New Roman" w:hAnsi="Times New Roman"/>
          <w:sz w:val="22"/>
          <w:szCs w:val="22"/>
          <w:color w:val="auto"/>
        </w:rPr>
        <w:t>. None of the property or assets, in each case, that specifically relate to the Products in the Territory, including Intellectual Property Product Rights and Marketing Approvals, of the Company or any of its Subsidiaries is subject to any Lien, except for a Permitted Lien. The Revenue Interests are not subject to any Lien, except for a Lien of the type described in clause (a) or clause (g) of the definition of Permitted Liens.</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20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Supply</w:t>
      </w:r>
      <w:r>
        <w:rPr>
          <w:rFonts w:ascii="Times New Roman" w:cs="Times New Roman" w:eastAsia="Times New Roman" w:hAnsi="Times New Roman"/>
          <w:sz w:val="22"/>
          <w:szCs w:val="22"/>
          <w:color w:val="auto"/>
        </w:rPr>
        <w:t>. The Company has on hand or has made adequate provisions to secure sufficient clinical quantities of Products to complete all clinical trials and all activities required for Marketing Approvals, in each case, that are ongoing as of the date hereof. The Company has on hand or has made adequate provisions to secure sufficient quantities of Product to support the commercial launch, and Commercialization of, Product in the United States.</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68"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4.1(k)(i)(A)</w:t>
      </w:r>
      <w:r>
        <w:rPr>
          <w:rFonts w:ascii="Times New Roman" w:cs="Times New Roman" w:eastAsia="Times New Roman" w:hAnsi="Times New Roman"/>
          <w:sz w:val="22"/>
          <w:szCs w:val="22"/>
          <w:color w:val="auto"/>
        </w:rPr>
        <w:t xml:space="preserve"> attached hereto lists all of the currently existing patents and patent applications included within the Patent Rights (the “</w:t>
      </w:r>
      <w:r>
        <w:rPr>
          <w:rFonts w:ascii="Times New Roman" w:cs="Times New Roman" w:eastAsia="Times New Roman" w:hAnsi="Times New Roman"/>
          <w:sz w:val="22"/>
          <w:szCs w:val="22"/>
          <w:u w:val="single" w:color="auto"/>
          <w:color w:val="auto"/>
        </w:rPr>
        <w:t>Existing Patent 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4.1(k)(i)(A)</w:t>
      </w:r>
      <w:r>
        <w:rPr>
          <w:rFonts w:ascii="Times New Roman" w:cs="Times New Roman" w:eastAsia="Times New Roman" w:hAnsi="Times New Roman"/>
          <w:sz w:val="22"/>
          <w:szCs w:val="22"/>
          <w:color w:val="auto"/>
        </w:rPr>
        <w:t xml:space="preserve"> attached hereto specifies as to each listed patent or patent application (i) the application number, (ii) the patent or registration number, if any, (iii) the jurisdictions by or in which each such patent has issued as a patent or such patent application has been filed, (iv) the assignee/registered owner thereof and (v) the scheduled expiration date thereof.</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is a party to any pending and, to the Knowledge of the Company, there is no threatened, litigation, interference, reexamination, opposition, inter partes review, post grant review or like procedure involving any of the Existing Patent Rights.</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issued patents within the Existing Patent Rights are (A) to the Knowledge of the Company, valid and enforceable, and (B) in full force and effect. None of the issued patents within the Existing Patent Rights have lapsed, expired or otherwise terminated. Neither the Company nor any of its Subsidiaries has received any written notice relating to the lapse, expiration or other termination of any of the issued patents within the Existing Patent Rights, and neither the Company nor its Subsidiaries has received any written legal opinion that alleges that, an issued patent within any of the Existing Patent Rights is invalid or unenforceable.</w:t>
      </w:r>
    </w:p>
    <w:p>
      <w:pPr>
        <w:spacing w:after="0" w:line="181"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received any written notice that there is any, and, to the Knowledge of the Company, there is no, Person who is or claims to be an inventor under any of the Existing Patent Rights who is not a named inventor thereof.</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its Affiliates has received any written notice of any claim by any Person challenging the inventorship or ownership of, the rights of the Company in and to, or the patentability, validity or enforceability of, any of the Existing Patent Rights, or asserting that the development, manufacture, importation, sale, offer for sale or use of any Product infringes, misappropriates or otherwise violates or will infringe,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ind w:left="760"/>
        <w:spacing w:after="0"/>
        <w:rPr>
          <w:sz w:val="20"/>
          <w:szCs w:val="20"/>
          <w:color w:val="auto"/>
        </w:rPr>
      </w:pPr>
      <w:r>
        <w:rPr>
          <w:rFonts w:ascii="Times New Roman" w:cs="Times New Roman" w:eastAsia="Times New Roman" w:hAnsi="Times New Roman"/>
          <w:sz w:val="22"/>
          <w:szCs w:val="22"/>
          <w:color w:val="auto"/>
        </w:rPr>
        <w:t>misappropriate or otherwise violate such Person’s Patent Rights or other intellectual property rights.</w:t>
      </w:r>
    </w:p>
    <w:p>
      <w:pPr>
        <w:spacing w:after="0" w:line="206" w:lineRule="exact"/>
        <w:rPr>
          <w:sz w:val="20"/>
          <w:szCs w:val="20"/>
          <w:color w:val="auto"/>
        </w:rPr>
      </w:pPr>
    </w:p>
    <w:p>
      <w:pPr>
        <w:jc w:val="both"/>
        <w:ind w:left="760" w:firstLine="745"/>
        <w:spacing w:after="0" w:line="239" w:lineRule="auto"/>
        <w:tabs>
          <w:tab w:leader="none" w:pos="194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the discovery, development manufacture, importation, sale, offer for sale or use of each Product, in each case in the form such Product exists as of the date hereof and as such activity is currently contemplated by the Company, has not and will not, infringe, misappropriate or otherwise violate any Patent Rights or other intellectual property rights owned by any Third Party.</w:t>
      </w:r>
    </w:p>
    <w:p>
      <w:pPr>
        <w:spacing w:after="0" w:line="18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no Person has infringed, misappropriated or otherwise violated, or is infringing, misappropriating or otherwise violating, any of the Intellectual Property Product Rights.</w:t>
      </w:r>
    </w:p>
    <w:p>
      <w:pPr>
        <w:spacing w:after="0" w:line="158"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373"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paid all maintenance fees, annuities and like payments required as of the date hereof with respect to each of the Existing Patent Rights.</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20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4.1(l)</w:t>
      </w:r>
      <w:r>
        <w:rPr>
          <w:rFonts w:ascii="Times New Roman" w:cs="Times New Roman" w:eastAsia="Times New Roman" w:hAnsi="Times New Roman"/>
          <w:sz w:val="22"/>
          <w:szCs w:val="22"/>
          <w:color w:val="auto"/>
        </w:rPr>
        <w:t xml:space="preserve"> attached hereto sets forth a complete list of the outstanding Indebtedness of the Company and its Subsidiaries in excess of $1,000,000 in the aggregate.</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 Related Representation and Warranties</w:t>
      </w:r>
      <w:r>
        <w:rPr>
          <w:rFonts w:ascii="Times New Roman" w:cs="Times New Roman" w:eastAsia="Times New Roman" w:hAnsi="Times New Roman"/>
          <w:sz w:val="22"/>
          <w:szCs w:val="22"/>
          <w:color w:val="auto"/>
        </w:rPr>
        <w:t>. The Company’s exact legal name is, and since March 13, 2019, has been “Phathom Pharmaceuticals, Inc.” and prior to that, the exact legal name was North Bridge IV, Inc. at the time of incorporation. The Company is, and has been since its incorporation, incorporated in the State of Delaware.</w:t>
      </w:r>
    </w:p>
    <w:p>
      <w:pPr>
        <w:spacing w:after="0" w:line="173" w:lineRule="exact"/>
        <w:rPr>
          <w:rFonts w:ascii="Times New Roman" w:cs="Times New Roman" w:eastAsia="Times New Roman" w:hAnsi="Times New Roman"/>
          <w:sz w:val="22"/>
          <w:szCs w:val="22"/>
          <w:color w:val="auto"/>
        </w:rPr>
      </w:pPr>
    </w:p>
    <w:p>
      <w:pPr>
        <w:jc w:val="both"/>
        <w:ind w:firstLine="757"/>
        <w:spacing w:after="0" w:line="249" w:lineRule="auto"/>
        <w:tabs>
          <w:tab w:leader="none" w:pos="1181"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(i) The Company and its Subsidiaries have filed all federal and state income Tax returns and other material Tax returns that they are required to file, (ii) the Company and its Subsidiaries have duly paid all federal and state income Taxes and other material Taxes or installments thereof that they are required to pay, except Taxes being contested in good faith by appropriate proceedings and for which the Company and its Subsidiaries maintain adequate reserves in accordance with GAAP, and (iii) no proposed or pending Tax assessments, deficiencies, audits or other proceedings with respect to the Company or any Subsidiary have had, or could reasonably be expected to have, individually or in the aggregate, a Material Adverse Effect.</w:t>
      </w:r>
    </w:p>
    <w:p>
      <w:pPr>
        <w:spacing w:after="0" w:line="170" w:lineRule="exact"/>
        <w:rPr>
          <w:rFonts w:ascii="Times New Roman" w:cs="Times New Roman" w:eastAsia="Times New Roman" w:hAnsi="Times New Roman"/>
          <w:sz w:val="21"/>
          <w:szCs w:val="21"/>
          <w:color w:val="auto"/>
        </w:rPr>
      </w:pPr>
    </w:p>
    <w:p>
      <w:pPr>
        <w:jc w:val="both"/>
        <w:ind w:firstLine="757"/>
        <w:spacing w:after="0" w:line="244" w:lineRule="auto"/>
        <w:tabs>
          <w:tab w:leader="none" w:pos="120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 Fees</w:t>
      </w:r>
      <w:r>
        <w:rPr>
          <w:rFonts w:ascii="Times New Roman" w:cs="Times New Roman" w:eastAsia="Times New Roman" w:hAnsi="Times New Roman"/>
          <w:sz w:val="22"/>
          <w:szCs w:val="22"/>
          <w:color w:val="auto"/>
        </w:rPr>
        <w:t>. Except for Morgan Stanley &amp; Co. LLC, there is no investment banker, broker, finder, financial advisor or other intermediary who has been retained by or is authorized to act on behalf of the Company who might be entitled to any fee or commission in connection with the transactions contemplated by the Transaction Documents.</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The Company is the exclusive owner of the entire right, title (legal and equitable) and interest in, to and under the Revenue Interests and has good and valid title thereto.</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No Material Adverse Effect has occurred and is continuing, and, to the Knowledge of the Company, no event or circumstance is likely to occur that is reasonably expected to result in a Material Adverse Effect.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jc w:val="both"/>
        <w:ind w:firstLine="757"/>
        <w:spacing w:after="0" w:line="233" w:lineRule="auto"/>
        <w:tabs>
          <w:tab w:leader="none" w:pos="118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Upon consummation of the transactions contemplated by the Transaction Documents and the application of the proceeds therefrom, (i) the fair saleable value of the Company’s assets will be greater than the sum of its Indebtedness, liabilities and other obligations, including contingent liabilities, (ii) the present fair saleable value of the Company’s assets will be greater than the amount that would be required to pay its probable liabilities on its existing Indebtedness, liabilities and other obligations, including contingent liabilities, as they become absolute and matured, (iii) the Company will be able to realize upon its assets and pay its Indebtedness, liabilities and other obligations, including contingent obligations, as they mature, (iv) the Company will not be rendered insolvent (within the meaning of any applicable law or otherwise), will not have unreasonably small capital with which to engage in its business and will not be unable to pay its Indebtedness as it matures, and (v) the Company will not have become subject to any Voluntary Bankruptcy or Involuntary Bankruptcy. No step has been taken by the Company or, to the Knowledge of the Company, any other Person, to make the Company subject to a Voluntary Bankruptcy or Involuntary Bankruptcy.</w:t>
      </w:r>
    </w:p>
    <w:p>
      <w:pPr>
        <w:spacing w:after="0" w:line="187" w:lineRule="exact"/>
        <w:rPr>
          <w:rFonts w:ascii="Times New Roman" w:cs="Times New Roman" w:eastAsia="Times New Roman" w:hAnsi="Times New Roman"/>
          <w:sz w:val="22"/>
          <w:szCs w:val="22"/>
          <w:color w:val="auto"/>
        </w:rPr>
      </w:pPr>
    </w:p>
    <w:p>
      <w:pPr>
        <w:jc w:val="both"/>
        <w:ind w:firstLine="757"/>
        <w:spacing w:after="0" w:line="244" w:lineRule="auto"/>
        <w:tabs>
          <w:tab w:leader="none" w:pos="120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Subordination</w:t>
      </w:r>
      <w:r>
        <w:rPr>
          <w:rFonts w:ascii="Times New Roman" w:cs="Times New Roman" w:eastAsia="Times New Roman" w:hAnsi="Times New Roman"/>
          <w:sz w:val="22"/>
          <w:szCs w:val="22"/>
          <w:color w:val="auto"/>
        </w:rPr>
        <w:t>. The claims and rights of the Investors created by any Transaction Document in and to the Revenue Interests are not and shall not be subordinated to any creditor of the Company, except as may be set forth in the Subordination Agreement.</w:t>
      </w:r>
    </w:p>
    <w:p>
      <w:pPr>
        <w:spacing w:after="0" w:line="17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Investors’ Representations and Warranties</w:t>
      </w:r>
      <w:r>
        <w:rPr>
          <w:rFonts w:ascii="Times New Roman" w:cs="Times New Roman" w:eastAsia="Times New Roman" w:hAnsi="Times New Roman"/>
          <w:sz w:val="22"/>
          <w:szCs w:val="22"/>
          <w:color w:val="auto"/>
        </w:rPr>
        <w:t>. Each Investor hereby represents and warrants, severally and not jointly, to the Company that:</w:t>
      </w:r>
    </w:p>
    <w:p>
      <w:pPr>
        <w:spacing w:after="0" w:line="158" w:lineRule="exact"/>
        <w:rPr>
          <w:sz w:val="20"/>
          <w:szCs w:val="20"/>
          <w:color w:val="auto"/>
        </w:rPr>
      </w:pPr>
    </w:p>
    <w:p>
      <w:pPr>
        <w:ind w:firstLine="757"/>
        <w:spacing w:after="0" w:line="258" w:lineRule="auto"/>
        <w:tabs>
          <w:tab w:leader="none" w:pos="119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Existence; Good Standing</w:t>
      </w:r>
      <w:r>
        <w:rPr>
          <w:rFonts w:ascii="Times New Roman" w:cs="Times New Roman" w:eastAsia="Times New Roman" w:hAnsi="Times New Roman"/>
          <w:sz w:val="22"/>
          <w:szCs w:val="22"/>
          <w:color w:val="auto"/>
        </w:rPr>
        <w:t>. Such Investor is duly formed or organized and, to the extent such concepts exist in its jurisdiction of organization, validly existing and in good standing under the laws of its jurisdiction of organization.</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22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Such Investor has the requisite right, power and authority to execute, deliver and perform its obligations under the Transaction Documents. The execution, delivery and performance of the Transaction Documents, and the consummation of the transactions contemplated hereby and thereby, have been duly authorized by all necessary action on the part of such Investor.</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The Transaction Documents have been duly executed and delivered by an authorized person of such Investor and constitute the valid and binding obligations of such Investor, enforceable against such Investor in accordance with the terms of each respective Transaction Document, except as may be limited by applicable Bankruptcy Laws or by general principles of equity (whether considered in a proceeding in equity or at law).</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by such Investor of the Transaction Documents do not and will not (i) contravene or conflict with the organizational documents of such Investor, (ii) contravene or conflict with or constitute a default under any material provision of any law binding upon or applicable to such Investor or (iii) contravene or conflict with or constitute a default under any material contract or other material agreement or Judgment binding upon or applicable to such Investor.</w:t>
      </w:r>
    </w:p>
    <w:p>
      <w:pPr>
        <w:spacing w:after="0" w:line="176" w:lineRule="exact"/>
        <w:rPr>
          <w:rFonts w:ascii="Times New Roman" w:cs="Times New Roman" w:eastAsia="Times New Roman" w:hAnsi="Times New Roman"/>
          <w:sz w:val="22"/>
          <w:szCs w:val="22"/>
          <w:color w:val="auto"/>
        </w:rPr>
      </w:pPr>
    </w:p>
    <w:p>
      <w:pPr>
        <w:ind w:firstLine="757"/>
        <w:spacing w:after="0" w:line="258" w:lineRule="auto"/>
        <w:tabs>
          <w:tab w:leader="none" w:pos="122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Except for any filings required by the federal securities laws or stock exchange rules, no consent, approval, license, order, authorization, registration, declaration or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1"/>
          <w:szCs w:val="21"/>
          <w:color w:val="auto"/>
        </w:rPr>
        <w:t>filing with or of any Governmental Entity or other Person is required to be done or obtained by such Investor in connection with</w:t>
      </w:r>
    </w:p>
    <w:p>
      <w:pPr>
        <w:spacing w:after="0" w:line="26" w:lineRule="exact"/>
        <w:rPr>
          <w:sz w:val="20"/>
          <w:szCs w:val="20"/>
          <w:color w:val="auto"/>
        </w:rPr>
      </w:pPr>
    </w:p>
    <w:p>
      <w:pPr>
        <w:jc w:val="both"/>
        <w:ind w:firstLine="8"/>
        <w:spacing w:after="0" w:line="235" w:lineRule="auto"/>
        <w:tabs>
          <w:tab w:leader="none" w:pos="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by such Investor of the Transaction Documents, (ii) the performance by such Investor of its obligations under the Transaction Documents or (iii) the consummation by such Investor of any of the transactions contemplated by the Transaction Documents.</w:t>
      </w:r>
    </w:p>
    <w:p>
      <w:pPr>
        <w:spacing w:after="0" w:line="177" w:lineRule="exact"/>
        <w:rPr>
          <w:rFonts w:ascii="Times New Roman" w:cs="Times New Roman" w:eastAsia="Times New Roman" w:hAnsi="Times New Roman"/>
          <w:sz w:val="22"/>
          <w:szCs w:val="22"/>
          <w:color w:val="auto"/>
        </w:rPr>
      </w:pPr>
    </w:p>
    <w:p>
      <w:pPr>
        <w:jc w:val="both"/>
        <w:ind w:firstLine="757"/>
        <w:spacing w:after="0" w:line="239" w:lineRule="auto"/>
        <w:tabs>
          <w:tab w:leader="none" w:pos="119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There is no action, suit, investigation or proceeding pending or, to the knowledge of such Investor, threatened before any Governmental Entity to which such Investor is a party that would, if determined adversely, reasonably be expected to prevent or materially and adversely affect the ability of such Investor to perform its obligations under the Transaction Documents.</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Financing</w:t>
      </w:r>
      <w:r>
        <w:rPr>
          <w:rFonts w:ascii="Times New Roman" w:cs="Times New Roman" w:eastAsia="Times New Roman" w:hAnsi="Times New Roman"/>
          <w:sz w:val="22"/>
          <w:szCs w:val="22"/>
          <w:color w:val="auto"/>
        </w:rPr>
        <w:t xml:space="preserve">. Such Investor has or will have sufficient cash to pay the sums set forth opposite such Investor’s name in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attached hereto at the respective dates on which such payments are required to be made hereunder. Such Investor acknowledges that its obligations under this Agreement are not contingent on obtaining financing.</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 Fees</w:t>
      </w:r>
      <w:r>
        <w:rPr>
          <w:rFonts w:ascii="Times New Roman" w:cs="Times New Roman" w:eastAsia="Times New Roman" w:hAnsi="Times New Roman"/>
          <w:sz w:val="22"/>
          <w:szCs w:val="22"/>
          <w:color w:val="auto"/>
        </w:rPr>
        <w:t>. There is no investment banker, broker, finder, financial advisor or other intermediary who has been retained by or is authorized to act on behalf of such Initial Investor who might be entitled to any fee or commission in connection with the transactions contemplated by the Transaction Documents.</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No Implied Representations and Warranties</w:t>
      </w:r>
      <w:r>
        <w:rPr>
          <w:rFonts w:ascii="Times New Roman" w:cs="Times New Roman" w:eastAsia="Times New Roman" w:hAnsi="Times New Roman"/>
          <w:sz w:val="22"/>
          <w:szCs w:val="22"/>
          <w:color w:val="auto"/>
        </w:rPr>
        <w:t xml:space="preserve">. Each Investor, severally but not jointly, acknowledges and agrees that, other than the express representations and warranties of the Company specifically contained in this ARTICLE 4, (a) there are no representations or warranties of the Company either expressed or implied with respect to the Patent Rights or Royalty Payments and that such Investor does not rely on, and shall have no remedies in respect of, any representation or warranty not specifically set forth in this ARTICLE 4, and all other representations and warranties are hereby expressly disclaimed, and (b) nothing contained herein guarantees that sales of the Products or the aggregate Royalty Payments due to the Investors will achieve any specific amounts. Notwithstanding the foregoing, claims for fraud, gross negligence, or willful misconduct shall not be waived or limited in any way by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Except for the Revenue Interests and the Investors’ rights under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 each Investor, severally but not jointly, further acknowledges and agrees that no licenses or assignments under any assets (including the Patent Rights or any other intellectual property) of the Company and its Affiliates are granted pursuant to this Agreement, including by implication, estoppel, exhaustion or otherwise.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5</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COVENANTS</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Additional Reporting; Update Meetings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757"/>
        <w:spacing w:after="0" w:line="244" w:lineRule="auto"/>
        <w:tabs>
          <w:tab w:leader="none" w:pos="118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Effective Date, the Company shall provide each Investor with such information regarding the clinical development and Commercialization of Products as such Investor may reasonably request from time to time. All such reports, and the Confidential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spacing w:after="0" w:line="258" w:lineRule="auto"/>
        <w:rPr>
          <w:sz w:val="20"/>
          <w:szCs w:val="20"/>
          <w:color w:val="auto"/>
        </w:rPr>
      </w:pPr>
      <w:r>
        <w:rPr>
          <w:rFonts w:ascii="Times New Roman" w:cs="Times New Roman" w:eastAsia="Times New Roman" w:hAnsi="Times New Roman"/>
          <w:sz w:val="22"/>
          <w:szCs w:val="22"/>
          <w:color w:val="auto"/>
        </w:rPr>
        <w:t>Information contained therein, shall be the Confidential Information of the Company and subject to the obligations of confidentiality set forth in ARTICLE 7.</w:t>
      </w:r>
    </w:p>
    <w:p>
      <w:pPr>
        <w:spacing w:after="0" w:line="158" w:lineRule="exact"/>
        <w:rPr>
          <w:sz w:val="20"/>
          <w:szCs w:val="20"/>
          <w:color w:val="auto"/>
        </w:rPr>
      </w:pPr>
    </w:p>
    <w:p>
      <w:pPr>
        <w:jc w:val="both"/>
        <w:ind w:firstLine="757"/>
        <w:spacing w:after="0" w:line="235" w:lineRule="auto"/>
        <w:tabs>
          <w:tab w:leader="none" w:pos="11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Effective Date, the Investors shall be entitled to a quarterly update call or meeting (via teleconference or videoconference or at a location reasonably designated by the Company) to discuss (i) the Royalty Reports, (ii) the progress of Commercialization efforts made by the Company with respect to any Product in the Territory, (iii) the status and the historical and potential performance of the Products in the Territory, (iv) any regulatory developments with respect to any Product in the Territory and/or (v) such other matters that the Investors deem reasonably appropriate. Any information disclosed by any party during such update meetings or calls or provided to a party pursuant to its request shall be considered “Confidential Information” of the disclosing party subject to the terms of ARTICLE 7.</w:t>
      </w:r>
    </w:p>
    <w:p>
      <w:pPr>
        <w:spacing w:after="0" w:line="183"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no event more than 10 Business Days) after the Company receives from any Third Party any written notice, demand, certificate, offer, proposal, correspondence, report or other communication relating to the Takeda License, the Patent Rights, the Revenue Interests or the Products, which notice, demand, certificate, offer, proposal, correspondence, report or other communication would, or relates to any event or circumstance that would, reasonably be expected to have a Material Adverse Effect, the Company shall provide to the Investors written notice thereof (including reasonable details to enable the Investors to understand the applicable matters involved, the facts, events or circumstances that gave rise to such matters, any relief or remedies being sought, any proposed corrective action to be taken, and relevant timelines for any exercise of remedies or for any proposed corrective action), together with a copy of such written notice, demand, certificate, offer, proposal, correspondence, report or other communication.</w:t>
      </w:r>
    </w:p>
    <w:p>
      <w:pPr>
        <w:spacing w:after="0" w:line="183"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each Investor shall provide the other parties hereto with written notice as promptly as practicable (and in any event within 10 Business Days) after the Company or such Investor (as applicable) becomes aware of any of the following: (i) any breach or default by the Company or such Investor (as applicable) of any covenant, agreement or other provision of any of the Transaction Documents to which it is party; (ii) any representation or warranty made by the Company or such Investor (as applicable) in any of the Transaction Documents to which it is party shall prove to be untrue, inaccurate or incomplete in any respect on the date as of which made; or (iii) any change, effect, event, occurrence, state of facts, development or condition that would reasonably be expected to result in a Material Adverse Effect.</w:t>
      </w:r>
    </w:p>
    <w:p>
      <w:pPr>
        <w:spacing w:after="0" w:line="18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Disclosures</w:t>
      </w:r>
      <w:r>
        <w:rPr>
          <w:rFonts w:ascii="Times New Roman" w:cs="Times New Roman" w:eastAsia="Times New Roman" w:hAnsi="Times New Roman"/>
          <w:sz w:val="22"/>
          <w:szCs w:val="22"/>
          <w:color w:val="auto"/>
        </w:rPr>
        <w:t>. Except for a press release previously approved in form and substance by the Company and the Investors or any other public announcement using substantially the same text as such press release, neither the Investors nor the Company shall, and each party hereto shall cause its respective Representatives, Affiliates and Affiliates’ Representatives not to issue a press release or other public announcement or otherwise make any public disclosure with respect to the Transaction Documents, or the subject matter or any terms hereof or thereof (including the identity of any of the parties hereto), without the prior written consent of the other parties hereto (which consent shall not be unreasonably withheld or delayed), except as may be required by applicable law or stock exchange rule (in which case the party hereto required to make the press release or other public announcement or disclosure shall allow the other parties hereto reasonable time to comment on, and, if applicable, reasonably direct the disclosing party to seek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confidential treatment in respect of portions of, such press release or other public announcement or disclosure in advance of such issuance) or except as permitted by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31"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Inspections and Audits of the Company</w:t>
      </w:r>
      <w:r>
        <w:rPr>
          <w:rFonts w:ascii="Times New Roman" w:cs="Times New Roman" w:eastAsia="Times New Roman" w:hAnsi="Times New Roman"/>
          <w:sz w:val="22"/>
          <w:szCs w:val="22"/>
          <w:color w:val="auto"/>
        </w:rPr>
        <w:t xml:space="preserve">. Following the Effective Date, upon at least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written notice and during normal business hours, no more frequently than once per calendar year, the Investors may cause an inspection and/or audit by an independent public accounting firm to be made of the Company’s books of account for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calendar years prior to the audit for the purpose of determining the correctness of the calculation of the Royalty Payments under this Agreement; provided, however, that no calendar year may be subject to more than one audit unless an Event of Default has occurred and is continuing. Upon the Investors’ reasonable request, no more frequently than once per calendar year while any Out-License remains in effect, the Company shall use Commercially Reasonable Efforts to exercise any rights it may have under any Out-License relating to a Product to cause an inspection and/or audit by an independent public accounting firm to be made of the books of account of any counterparty thereto for the purpose of determining the correctness of the calculation of the Royalty Payments under this Agreement. The Company shall promptly notify the Investors in writing if it initiates an inspection and/or audit of the books of accounts of any counterparty to an Out-License to the extent such inspection and/or audit is related to the Royalty Payments, and shall provide to the Investors a copy of any report relating thereto within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of receipt thereof, which copy may be redacted;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redactions to such report shall not include any information necessary to determine the correctness of the calculation of the Royalty Payments made under this Agreement. All of the out-of-pocket expenses of any inspection or audit requested by the Investors hereunder (including the fees and expenses of such independent public accounting firm designated for such purpose) otherwise payable by the Company shall be borne solely by the Investors, unless the independent public accounting firm determines that Royalty Payments previously paid to the Investors during the period of the audit were underpaid by an amount greater than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of the Royalty Payments actually paid during such period, in which case such expenses shall be borne by the Company. Any such accounting firm or Company shall not disclose the confidential information of the Company or any such Licensee relating to a Product to the Investors, except to the extent such disclosure is necessary to determine the correctness of Royalty Payments or otherwise would be included in a Royalty Report. All information obtained by the Investors as a result of any such inspection or audit shall be Confidential Information subject to ARTICLE 7. If any audit discloses any underpayments by the Company to the Investors, then such underpayment, together with the late fees contemplated by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shall be paid by the Company to the Investors (in accordance with their Specified Percentages in the same manner as provided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within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calendar days of such underpayment being so disclosed. If any audit discloses any overpayments by the Company to the Investors, then the Company shall have the right to credit the amount of the overpayment against each subsequent quarterly Royalty Payment due to the Investors until the overpayment has been fully applied.</w:t>
      </w:r>
    </w:p>
    <w:p>
      <w:pPr>
        <w:spacing w:after="0" w:line="20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u w:val="single" w:color="auto"/>
          <w:color w:val="auto"/>
        </w:rPr>
        <w:t>Intellectual Property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provide to the Investors a copy of any written notice received by the Company from a Third Party alleging or claiming that the making, having made, using, importing, offering for sale or selling of a Product in the Territory infringes or misappropriates any patent or other intellectual property rights of such Third Party, together with copies of material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2" w:name="page173"/>
    <w:bookmarkEnd w:id="172"/>
    <w:p>
      <w:pPr>
        <w:spacing w:after="0" w:line="258" w:lineRule="auto"/>
        <w:rPr>
          <w:sz w:val="20"/>
          <w:szCs w:val="20"/>
          <w:color w:val="auto"/>
        </w:rPr>
      </w:pPr>
      <w:r>
        <w:rPr>
          <w:rFonts w:ascii="Times New Roman" w:cs="Times New Roman" w:eastAsia="Times New Roman" w:hAnsi="Times New Roman"/>
          <w:sz w:val="22"/>
          <w:szCs w:val="22"/>
          <w:color w:val="auto"/>
        </w:rPr>
        <w:t xml:space="preserve">correspondence sent or received by the Company related thereto, as soon as practicable and in any event not more than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following such delivery or receipt.</w:t>
      </w:r>
    </w:p>
    <w:p>
      <w:pPr>
        <w:spacing w:after="0" w:line="158" w:lineRule="exact"/>
        <w:rPr>
          <w:sz w:val="20"/>
          <w:szCs w:val="20"/>
          <w:color w:val="auto"/>
        </w:rPr>
      </w:pPr>
    </w:p>
    <w:p>
      <w:pPr>
        <w:jc w:val="both"/>
        <w:ind w:firstLine="757"/>
        <w:spacing w:after="0" w:line="236" w:lineRule="auto"/>
        <w:tabs>
          <w:tab w:leader="none" w:pos="11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promptly inform the Investors of any infringement by a Third Party of any Patent Right of which any of the individuals named in the definition of “Knowledge of the Company” (or the successors of such Person at the Company) becomes aware. Without limiting the foregoing, the Company shall provide to the Investors a copy of any written notice of any suspected infringement of any Patent Rights delivered or received by the Company, as well as copies of material correspondence related thereto, as soon as practicable and in any event not more than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following such delivery or receipt.</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following initiating, or permitting Takeda to initiate, an enforcement action regarding any suspected infringement by a Third Party of any Patent Right, the Company shall provide the Investors with written notice of such enforcement action.</w:t>
      </w:r>
    </w:p>
    <w:p>
      <w:pPr>
        <w:spacing w:after="0" w:line="173"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recovers monetary damages from a Third Party in an action brought for such Third Party’s infringement of any Patent Rights relating to a Product, where such damages, whether in the form of judgment or settlement, are awarded for such infringement of such Patent Rights, (i) such recovery will be allocated first to the reimbursement of any expenses incurred by the Company (or any party to an In-License or Permitted License of such Patent Rights entitled to such reimbursement under any such In-License or Permitted License) in bringing such action (including all reasonable attorney’s fees), (ii) any remaining amounts will be reduced, if applicable, to comply with allocation of recovered damages with licensors of such Patent Rights required under any In-Licenses or Permitted Licenses of such Patent Rights under any Out-Licenses, if any, and (iii) any residual amount of such damages after application of (i) and (ii) will be treated as Net Sales, License Milestone Revenue or License Royalty Revenue, as applicable.</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u w:val="single" w:color="auto"/>
          <w:color w:val="auto"/>
        </w:rPr>
        <w:t>In-Licenses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757"/>
        <w:spacing w:after="0" w:line="244"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promptly (and in any event within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following execution thereof) provide the Investors with (i) executed copies of any In-License entered into by the Company or its Affiliates, and (ii) executed copies of each amendment, supplement, modification or written waiver of any provision of any In-License.</w:t>
      </w:r>
    </w:p>
    <w:p>
      <w:pPr>
        <w:spacing w:after="0" w:line="173"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use Commercially Reasonable Efforts to comply in all material respects with its obligations under any In-Licenses it enters into and shall not take any action or forego any action that would reasonably be expected to result in a material breach thereof. Promptly, and in any event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Business Days, after receipt of any written or oral notice by the Company or any of its Affiliates with respect to an alleged material breach under any In-License, the Company shall provide the Investors a copy (or, in the case of oral notices, a written summary) thereof. The Company shall use its Commercially Reasonable Efforts to cure any material breaches by it under any In-License and shall give written notice to the Investors upon curing any such breach. The Company shall provide the Investors with written notice following (and in any event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Business Days of) becoming aware of a counterparty’s material breach of its obligations under any In-License. The Company shall not terminate (i) any In-License without providing the Investors prior written notice or (ii) the Takeda License. The Company shall not make or enter into any amendment, supplement or modification to, or grant any waiver under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jc w:val="both"/>
        <w:spacing w:after="0" w:line="238" w:lineRule="auto"/>
        <w:rPr>
          <w:sz w:val="20"/>
          <w:szCs w:val="20"/>
          <w:color w:val="auto"/>
        </w:rPr>
      </w:pPr>
      <w:r>
        <w:rPr>
          <w:rFonts w:ascii="Times New Roman" w:cs="Times New Roman" w:eastAsia="Times New Roman" w:hAnsi="Times New Roman"/>
          <w:sz w:val="22"/>
          <w:szCs w:val="22"/>
          <w:color w:val="auto"/>
        </w:rPr>
        <w:t>any provision of, the Takeda License without the Investors’ prior written consent (which consent shall not be unreasonably withheld, conditioned or delayed) to the extent that such amendment, supplement, modification or grant would reasonably be expected to have a material adverse effect on the timing, amount or duration of the Royalty Payments. Promptly, and in any event within 10 Business Days following the Company’s notice to a counterparty to any In-License of an alleged breach by such counterparty under any such In-License, the Company shall provide the Investors a copy thereof.</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5.6</w:t>
      </w:r>
      <w:r>
        <w:rPr>
          <w:sz w:val="20"/>
          <w:szCs w:val="20"/>
          <w:color w:val="auto"/>
        </w:rPr>
        <w:tab/>
      </w:r>
      <w:r>
        <w:rPr>
          <w:rFonts w:ascii="Times New Roman" w:cs="Times New Roman" w:eastAsia="Times New Roman" w:hAnsi="Times New Roman"/>
          <w:sz w:val="21"/>
          <w:szCs w:val="21"/>
          <w:u w:val="single" w:color="auto"/>
          <w:color w:val="auto"/>
        </w:rPr>
        <w:t>Out-Licenses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4" w:lineRule="auto"/>
        <w:tabs>
          <w:tab w:leader="none" w:pos="11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compliance with this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the Company may enter into Out-Licenses that are Permitted Licenses without the Investors’ prior written consent. The Company may not enter into any other Out-Licenses without the Investors’ prior written consent.</w:t>
      </w:r>
    </w:p>
    <w:p>
      <w:pPr>
        <w:spacing w:after="0" w:line="173"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promptly (and in any event within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following execution thereof) provide the Investors with (i) executed copies of each Out-License, and (ii) executed copies of each amendment, supplement, modification or written waiver of any material provision of an Out-License.</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include in all Out-Licenses provisions permitting the Company to audit such Licensee and shall use Commercially Reasonable Efforts to include terms and conditions consistent in all material respects with the Investors’ rights to audit the Company set forth in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provide the Investors prompt (and in any event within three Business Days) written notice of a Licensee’s material breach of its obligations under any Out-License of which any of the individuals named in the definition of “Knowledge of the Company” (or the successors of such Person at the Company) becomes aware.</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provide the Investors with written notice promptly (and in any event within five Business Days) following the termination of any Out-License.</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5.7</w:t>
      </w:r>
      <w:r>
        <w:rPr>
          <w:sz w:val="20"/>
          <w:szCs w:val="20"/>
          <w:color w:val="auto"/>
        </w:rPr>
        <w:tab/>
      </w:r>
      <w:r>
        <w:rPr>
          <w:rFonts w:ascii="Times New Roman" w:cs="Times New Roman" w:eastAsia="Times New Roman" w:hAnsi="Times New Roman"/>
          <w:sz w:val="21"/>
          <w:szCs w:val="21"/>
          <w:u w:val="single" w:color="auto"/>
          <w:color w:val="auto"/>
        </w:rPr>
        <w:t>Diligence</w:t>
      </w:r>
      <w:r>
        <w:rPr>
          <w:rFonts w:ascii="Times New Roman" w:cs="Times New Roman" w:eastAsia="Times New Roman" w:hAnsi="Times New Roman"/>
          <w:sz w:val="21"/>
          <w:szCs w:val="21"/>
          <w:color w:val="auto"/>
        </w:rPr>
        <w:t>. The Company shall use Commercially Reasonable Efforts to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After the Effective Date, the Company and the Investors, severally and not jointly, agree to execute and deliver such other documents, certificates, agreements and other writings and to take such other actions as may be reasonably necessary in order to give effect to the transactions contemplated by the Transaction Documents.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Burdensome Actions</w:t>
      </w:r>
      <w:r>
        <w:rPr>
          <w:rFonts w:ascii="Times New Roman" w:cs="Times New Roman" w:eastAsia="Times New Roman" w:hAnsi="Times New Roman"/>
          <w:sz w:val="22"/>
          <w:szCs w:val="22"/>
          <w:color w:val="auto"/>
        </w:rPr>
        <w:t>. Notwithstanding anything herein to the contrary, the Company shall not enter into any contracts or arrangements or otherwise knowingly take any action or knowingly fail to act in a manner that would, individually or in the aggregate, reasonably be expected to result in a Material Adverse Effect.</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Certain Tax Matters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4" w:name="page175"/>
    <w:bookmarkEnd w:id="174"/>
    <w:p>
      <w:pPr>
        <w:jc w:val="both"/>
        <w:ind w:firstLine="757"/>
        <w:spacing w:after="0" w:line="235" w:lineRule="auto"/>
        <w:tabs>
          <w:tab w:leader="none" w:pos="118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and shall cause each of its Subsidiaries to, pay when due all material Taxes of any nature whatsoever now or hereafter imposed or assessed against the Company or such Subsidiary or their assets or upon the Company’s (or such Subsidiary’s) ownership, possession, use, operation or disposition thereof or upon the Company’s (or such Subsidiary’s) rents, receipts or earnings arising therefrom. The Company shall, and shall cause each of its Subsidiaries to, accurately file on or before the due date therefor (taking into account proper extensions) all federal and state income Tax returns and other material Tax returns required to be filed. Notwithstanding the foregoing, the Company and its Subsidiaries may contest, in good faith and by appropriate proceedings diligently conducted, Taxes for which the Company and its Subsidiaries maintain adequate reserves in accordance with GAAP.</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and the Investors agree that, for Tax purposes, (i) the Company and the Investors shall treat the transactions contemplated by this Agreement as indebtedness and shall treat each of the Investment Amounts as comprising separate debt instruments subject to the rules applicable to contingent payment debt instruments under Treasury Regulation Section 1.1275-4(b), and (ii) subject to the application of the Cap Amount or as otherwise required by applicable law, if multiple Investment Amounts have been paid by the Investors to the Company, then Royalty Payments shall for tax purposes be treated as paid pro rata in respect of each such Investment Amount. The parties hereto agree not to take any position that is inconsistent with the provisions of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on any tax return or in any audit or other tax-related administrative or judicial proceeding unless (x) the other parties hereto have consented in writing (such consent not to be unreasonably withheld, conditioned or delayed) to such actions or (y) a party hereto receives advice in the form of a written memorandum or opinion from a nationally recognized accounting or law firm (at a more likely than not standard) that debt treatment is not appropriate,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such party receives such advice, it shall promptly inform the other parties hereto thereof, and if another party hereto receives written advice from a nationally recognized accounting or law firm (at a more likely than not standard) that debt treatment is appropriate, the parties hereto shall in good faith discuss the differing conclusions and attempt to reconcile the differences, and if they are unable to do so, each such party may take its own position in respect thereof. If there is an inquiry by any Governmental Entity of the Investors or the Company related to the treatment described in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the parties hereto shall cooperate with each other in responding to such inquiry in a reasonable manner which is consistent with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757"/>
        <w:spacing w:after="0" w:line="233" w:lineRule="auto"/>
        <w:tabs>
          <w:tab w:leader="none" w:pos="118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(but subject to the requirement in </w:t>
      </w:r>
      <w:r>
        <w:rPr>
          <w:rFonts w:ascii="Times New Roman" w:cs="Times New Roman" w:eastAsia="Times New Roman" w:hAnsi="Times New Roman"/>
          <w:sz w:val="22"/>
          <w:szCs w:val="22"/>
          <w:u w:val="single" w:color="auto"/>
          <w:color w:val="auto"/>
        </w:rPr>
        <w:t>Section 5.10(b)</w:t>
      </w:r>
      <w:r>
        <w:rPr>
          <w:rFonts w:ascii="Times New Roman" w:cs="Times New Roman" w:eastAsia="Times New Roman" w:hAnsi="Times New Roman"/>
          <w:sz w:val="22"/>
          <w:szCs w:val="22"/>
          <w:color w:val="auto"/>
        </w:rPr>
        <w:t xml:space="preserve"> to treat the transactions contemplated hereby as indebtedness and subject to the Company’s obligation to pay additional amounts pursuant to </w:t>
      </w:r>
      <w:r>
        <w:rPr>
          <w:rFonts w:ascii="Times New Roman" w:cs="Times New Roman" w:eastAsia="Times New Roman" w:hAnsi="Times New Roman"/>
          <w:sz w:val="22"/>
          <w:szCs w:val="22"/>
          <w:u w:val="single" w:color="auto"/>
          <w:color w:val="auto"/>
        </w:rPr>
        <w:t>Section 5.10(d)</w:t>
      </w:r>
      <w:r>
        <w:rPr>
          <w:rFonts w:ascii="Times New Roman" w:cs="Times New Roman" w:eastAsia="Times New Roman" w:hAnsi="Times New Roman"/>
          <w:sz w:val="22"/>
          <w:szCs w:val="22"/>
          <w:color w:val="auto"/>
        </w:rPr>
        <w:t xml:space="preserve">), each of the Investors and the Company shall be entitled to withhold and deduct (or cause to be withheld and deducted) from any amount payable under this Agreement to any other party any Tax that any Investor or the Company, as applicable, determines that it is required to withhold and deduct under applicable law, and any such amount withheld and deducted shall be treated for all purposes of this Agreement as being paid to such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each of the Investors and the Company shall give such other party reasonable prior notice and the opportunity, in good faith, to contest and prevent such withholding and deduction. The parties hereto shall use commercially reasonable efforts to give or cause to be given to the other parties hereto such assistance and such information concerning the reasons for withholding or deduction (including, in reasonable detail, the method of calculation for the deduction or withholding thereof) as may be reasonably necessary to enable an Investor or the Company, as applicable, to claim exemption therefrom, or credit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therefor, or relief (whether at source or by reclaim) therefrom, and, in each case, shall furnish the Investors or the Company, as applicable, with proper evidence of the taxes withheld and deducted and remitted to the relevant taxing authority. Each Investor, severally but not jointly, agrees (i) to notify the Company in writing if (A) such Investor becomes ineligible to use or deliver the Applicable Withholding Certificate delivered by such Investor to the Company under </w:t>
      </w:r>
      <w:r>
        <w:rPr>
          <w:rFonts w:ascii="Times New Roman" w:cs="Times New Roman" w:eastAsia="Times New Roman" w:hAnsi="Times New Roman"/>
          <w:sz w:val="21"/>
          <w:szCs w:val="21"/>
          <w:u w:val="single" w:color="auto"/>
          <w:color w:val="auto"/>
        </w:rPr>
        <w:t>Section 3.1(f)</w:t>
      </w:r>
      <w:r>
        <w:rPr>
          <w:rFonts w:ascii="Times New Roman" w:cs="Times New Roman" w:eastAsia="Times New Roman" w:hAnsi="Times New Roman"/>
          <w:sz w:val="21"/>
          <w:szCs w:val="21"/>
          <w:color w:val="auto"/>
        </w:rPr>
        <w:t xml:space="preserve"> or (B) the Applicable Withholding Certificate delivered by such Investor to the Company under </w:t>
      </w:r>
      <w:r>
        <w:rPr>
          <w:rFonts w:ascii="Times New Roman" w:cs="Times New Roman" w:eastAsia="Times New Roman" w:hAnsi="Times New Roman"/>
          <w:sz w:val="21"/>
          <w:szCs w:val="21"/>
          <w:u w:val="single" w:color="auto"/>
          <w:color w:val="auto"/>
        </w:rPr>
        <w:t>Section 3.1(f)</w:t>
      </w:r>
      <w:r>
        <w:rPr>
          <w:rFonts w:ascii="Times New Roman" w:cs="Times New Roman" w:eastAsia="Times New Roman" w:hAnsi="Times New Roman"/>
          <w:sz w:val="21"/>
          <w:szCs w:val="21"/>
          <w:color w:val="auto"/>
        </w:rPr>
        <w:t xml:space="preserve"> ceases to be accurate or complete and</w:t>
      </w:r>
    </w:p>
    <w:p>
      <w:pPr>
        <w:spacing w:after="0" w:line="1" w:lineRule="exact"/>
        <w:rPr>
          <w:sz w:val="20"/>
          <w:szCs w:val="20"/>
          <w:color w:val="auto"/>
        </w:rPr>
      </w:pPr>
    </w:p>
    <w:p>
      <w:pPr>
        <w:ind w:left="320" w:hanging="312"/>
        <w:spacing w:after="0"/>
        <w:tabs>
          <w:tab w:leader="none" w:pos="3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(to the extent it is legally eligible to do so) any additional Tax forms that the Company may reasonably request.</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if the Company (including, for the avoidance of doubt for purposes of this </w:t>
      </w:r>
      <w:r>
        <w:rPr>
          <w:rFonts w:ascii="Times New Roman" w:cs="Times New Roman" w:eastAsia="Times New Roman" w:hAnsi="Times New Roman"/>
          <w:sz w:val="22"/>
          <w:szCs w:val="22"/>
          <w:u w:val="single" w:color="auto"/>
          <w:color w:val="auto"/>
        </w:rPr>
        <w:t>Section 5.10(d)</w:t>
      </w:r>
      <w:r>
        <w:rPr>
          <w:rFonts w:ascii="Times New Roman" w:cs="Times New Roman" w:eastAsia="Times New Roman" w:hAnsi="Times New Roman"/>
          <w:sz w:val="22"/>
          <w:szCs w:val="22"/>
          <w:color w:val="auto"/>
        </w:rPr>
        <w:t>, any successor to the Company under this Agreement) becomes organized, formed or tax resident in a jurisdiction outside of the United States, then:</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applicable non-U.S. law requires the deduction or withholding of any additional amount from any payment hereunder to any Investor (which additional amount would not have resulted, solely as a result of the Company being organized, formed or tax resident in a jurisdiction outside of the United States), then the sum payable by the Company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2"/>
          <w:szCs w:val="22"/>
          <w:u w:val="single" w:color="auto"/>
          <w:color w:val="auto"/>
        </w:rPr>
        <w:t>Section 5.10(d)</w:t>
      </w:r>
      <w:r>
        <w:rPr>
          <w:rFonts w:ascii="Times New Roman" w:cs="Times New Roman" w:eastAsia="Times New Roman" w:hAnsi="Times New Roman"/>
          <w:sz w:val="22"/>
          <w:szCs w:val="22"/>
          <w:color w:val="auto"/>
        </w:rPr>
        <w:t>), such Investor receives the full contractual amount of the applicable payment as if no such additional deduction or withholding had been required or made;</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Investor is required to pay any additional Taxes with respect to payments hereunder under any applicable non-U.S. law the amount of which it would not otherwise have to pay solely as a result of the Company being organized, formed or tax resident in a jurisdiction outside of the United States, then the Company shall indemnify such Investor, within 10 days after demand therefor, for the full amount of such additional Taxes (including Taxes imposed or asserted on or attributable to amounts payable under this </w:t>
      </w:r>
      <w:r>
        <w:rPr>
          <w:rFonts w:ascii="Times New Roman" w:cs="Times New Roman" w:eastAsia="Times New Roman" w:hAnsi="Times New Roman"/>
          <w:sz w:val="22"/>
          <w:szCs w:val="22"/>
          <w:u w:val="single" w:color="auto"/>
          <w:color w:val="auto"/>
        </w:rPr>
        <w:t>Section 5.10(d)</w:t>
      </w:r>
      <w:r>
        <w:rPr>
          <w:rFonts w:ascii="Times New Roman" w:cs="Times New Roman" w:eastAsia="Times New Roman" w:hAnsi="Times New Roman"/>
          <w:sz w:val="22"/>
          <w:szCs w:val="22"/>
          <w:color w:val="auto"/>
        </w:rPr>
        <w:t xml:space="preserve"> under such non-U.S. law) payable or paid by such Investor; and</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treated as paid by the Company and received by the applicable Investor for purposes of this Agreement shall include all additional amounts and indemnity payments paid to such Investor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5.10(d)</w:t>
      </w:r>
      <w:r>
        <w:rPr>
          <w:rFonts w:ascii="Times New Roman" w:cs="Times New Roman" w:eastAsia="Times New Roman" w:hAnsi="Times New Roman"/>
          <w:sz w:val="22"/>
          <w:szCs w:val="22"/>
          <w:color w:val="auto"/>
        </w:rPr>
        <w:t xml:space="preserve"> (and for the avoidance of doubt shall be fully creditable towards the Cap Amount) and shall be reduced by all indemnified Taxes withheld from payments to such Investor or payable directly by such Investor (and for the avoidance of doubt shall be fully deducted from the Cap Amount).</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each party’s obligations under this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shall survive any assignment of rights by, or the replacement of, an Investor and the repayment, satisfaction or discharge of the Investment Amounts and any other obligations under this Agreement.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Minimum Cash</w:t>
      </w:r>
      <w:r>
        <w:rPr>
          <w:rFonts w:ascii="Times New Roman" w:cs="Times New Roman" w:eastAsia="Times New Roman" w:hAnsi="Times New Roman"/>
          <w:sz w:val="22"/>
          <w:szCs w:val="22"/>
          <w:color w:val="auto"/>
        </w:rPr>
        <w:t>. The Company shall maintain an amount of cash, cash equivalents and liquid funds of at least (a) beginning on the date that the Hercules Loan Agreement is terminated and on each day thereafter until September 30, 2026, $30,000,000, and (b) beginning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jc w:val="both"/>
        <w:spacing w:after="0" w:line="258" w:lineRule="auto"/>
        <w:rPr>
          <w:sz w:val="20"/>
          <w:szCs w:val="20"/>
          <w:color w:val="auto"/>
        </w:rPr>
      </w:pPr>
      <w:r>
        <w:rPr>
          <w:rFonts w:ascii="Times New Roman" w:cs="Times New Roman" w:eastAsia="Times New Roman" w:hAnsi="Times New Roman"/>
          <w:sz w:val="22"/>
          <w:szCs w:val="22"/>
          <w:color w:val="auto"/>
        </w:rPr>
        <w:t>on October 1, 2026 and on each day thereafter until September 30, 2029, the percentage of the Minimum Cash Reference Amount set forth below as of each such date:</w:t>
      </w:r>
    </w:p>
    <w:p>
      <w:pPr>
        <w:spacing w:after="0" w:line="162" w:lineRule="exact"/>
        <w:rPr>
          <w:sz w:val="20"/>
          <w:szCs w:val="20"/>
          <w:color w:val="auto"/>
        </w:rPr>
      </w:pPr>
    </w:p>
    <w:tbl>
      <w:tblPr>
        <w:tblLayout w:type="fixed"/>
        <w:tblInd w:w="570" w:type="dxa"/>
        <w:tblCellMar>
          <w:top w:w="0" w:type="dxa"/>
          <w:left w:w="0" w:type="dxa"/>
          <w:bottom w:w="0" w:type="dxa"/>
          <w:right w:w="0" w:type="dxa"/>
        </w:tblCellMar>
      </w:tblPr>
      <w:tr>
        <w:trPr>
          <w:trHeight w:val="282"/>
        </w:trPr>
        <w:tc>
          <w:tcPr>
            <w:tcW w:w="7020" w:type="dxa"/>
            <w:vAlign w:val="bottom"/>
            <w:tcBorders>
              <w:top w:val="single" w:sz="8" w:color="auto"/>
              <w:left w:val="single" w:sz="8" w:color="auto"/>
              <w:right w:val="single" w:sz="8" w:color="auto"/>
            </w:tcBorders>
          </w:tcPr>
          <w:p>
            <w:pPr>
              <w:ind w:left="3200"/>
              <w:spacing w:after="0"/>
              <w:rPr>
                <w:sz w:val="20"/>
                <w:szCs w:val="20"/>
                <w:color w:val="auto"/>
              </w:rPr>
            </w:pPr>
            <w:r>
              <w:rPr>
                <w:rFonts w:ascii="Times New Roman" w:cs="Times New Roman" w:eastAsia="Times New Roman" w:hAnsi="Times New Roman"/>
                <w:sz w:val="22"/>
                <w:szCs w:val="22"/>
                <w:b w:val="1"/>
                <w:bCs w:val="1"/>
                <w:color w:val="auto"/>
              </w:rPr>
              <w:t>Period</w:t>
            </w:r>
          </w:p>
        </w:tc>
        <w:tc>
          <w:tcPr>
            <w:tcW w:w="3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Minimum Cash</w:t>
            </w:r>
          </w:p>
        </w:tc>
      </w:tr>
      <w:tr>
        <w:trPr>
          <w:trHeight w:val="286"/>
        </w:trPr>
        <w:tc>
          <w:tcPr>
            <w:tcW w:w="7020" w:type="dxa"/>
            <w:vAlign w:val="bottom"/>
            <w:tcBorders>
              <w:left w:val="single" w:sz="8" w:color="auto"/>
              <w:right w:val="single" w:sz="8" w:color="auto"/>
            </w:tcBorders>
          </w:tcPr>
          <w:p>
            <w:pPr>
              <w:spacing w:after="0"/>
              <w:rPr>
                <w:sz w:val="24"/>
                <w:szCs w:val="24"/>
                <w:color w:val="auto"/>
              </w:rPr>
            </w:pP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Reference Amount</w:t>
            </w:r>
          </w:p>
        </w:tc>
      </w:tr>
      <w:tr>
        <w:trPr>
          <w:trHeight w:val="39"/>
        </w:trPr>
        <w:tc>
          <w:tcPr>
            <w:tcW w:w="7020" w:type="dxa"/>
            <w:vAlign w:val="bottom"/>
            <w:tcBorders>
              <w:left w:val="single" w:sz="8" w:color="auto"/>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r>
      <w:tr>
        <w:trPr>
          <w:trHeight w:val="269"/>
        </w:trPr>
        <w:tc>
          <w:tcPr>
            <w:tcW w:w="7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October 1, 2026 to September 30, 2027</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50%</w:t>
            </w:r>
          </w:p>
        </w:tc>
      </w:tr>
      <w:tr>
        <w:trPr>
          <w:trHeight w:val="52"/>
        </w:trPr>
        <w:tc>
          <w:tcPr>
            <w:tcW w:w="7020" w:type="dxa"/>
            <w:vAlign w:val="bottom"/>
            <w:tcBorders>
              <w:left w:val="single" w:sz="8" w:color="auto"/>
              <w:bottom w:val="single" w:sz="8" w:color="auto"/>
              <w:right w:val="single" w:sz="8" w:color="auto"/>
            </w:tcBorders>
          </w:tcPr>
          <w:p>
            <w:pPr>
              <w:spacing w:after="0"/>
              <w:rPr>
                <w:sz w:val="4"/>
                <w:szCs w:val="4"/>
                <w:color w:val="auto"/>
              </w:rPr>
            </w:pPr>
          </w:p>
        </w:tc>
        <w:tc>
          <w:tcPr>
            <w:tcW w:w="3320" w:type="dxa"/>
            <w:vAlign w:val="bottom"/>
            <w:tcBorders>
              <w:bottom w:val="single" w:sz="8" w:color="auto"/>
              <w:right w:val="single" w:sz="8" w:color="auto"/>
            </w:tcBorders>
          </w:tcPr>
          <w:p>
            <w:pPr>
              <w:spacing w:after="0"/>
              <w:rPr>
                <w:sz w:val="4"/>
                <w:szCs w:val="4"/>
                <w:color w:val="auto"/>
              </w:rPr>
            </w:pPr>
          </w:p>
        </w:tc>
      </w:tr>
      <w:tr>
        <w:trPr>
          <w:trHeight w:val="265"/>
        </w:trPr>
        <w:tc>
          <w:tcPr>
            <w:tcW w:w="7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October 1, 2027 to September 30, 2028</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75%</w:t>
            </w:r>
          </w:p>
        </w:tc>
      </w:tr>
      <w:tr>
        <w:trPr>
          <w:trHeight w:val="52"/>
        </w:trPr>
        <w:tc>
          <w:tcPr>
            <w:tcW w:w="7020" w:type="dxa"/>
            <w:vAlign w:val="bottom"/>
            <w:tcBorders>
              <w:left w:val="single" w:sz="8" w:color="auto"/>
              <w:bottom w:val="single" w:sz="8" w:color="auto"/>
              <w:right w:val="single" w:sz="8" w:color="auto"/>
            </w:tcBorders>
          </w:tcPr>
          <w:p>
            <w:pPr>
              <w:spacing w:after="0"/>
              <w:rPr>
                <w:sz w:val="4"/>
                <w:szCs w:val="4"/>
                <w:color w:val="auto"/>
              </w:rPr>
            </w:pPr>
          </w:p>
        </w:tc>
        <w:tc>
          <w:tcPr>
            <w:tcW w:w="3320" w:type="dxa"/>
            <w:vAlign w:val="bottom"/>
            <w:tcBorders>
              <w:bottom w:val="single" w:sz="8" w:color="auto"/>
              <w:right w:val="single" w:sz="8" w:color="auto"/>
            </w:tcBorders>
          </w:tcPr>
          <w:p>
            <w:pPr>
              <w:spacing w:after="0"/>
              <w:rPr>
                <w:sz w:val="4"/>
                <w:szCs w:val="4"/>
                <w:color w:val="auto"/>
              </w:rPr>
            </w:pPr>
          </w:p>
        </w:tc>
      </w:tr>
      <w:tr>
        <w:trPr>
          <w:trHeight w:val="265"/>
        </w:trPr>
        <w:tc>
          <w:tcPr>
            <w:tcW w:w="7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October 1, 2028 to September 30, 2029</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100%</w:t>
            </w:r>
          </w:p>
        </w:tc>
      </w:tr>
      <w:tr>
        <w:trPr>
          <w:trHeight w:val="52"/>
        </w:trPr>
        <w:tc>
          <w:tcPr>
            <w:tcW w:w="7020" w:type="dxa"/>
            <w:vAlign w:val="bottom"/>
            <w:tcBorders>
              <w:left w:val="single" w:sz="8" w:color="auto"/>
              <w:bottom w:val="single" w:sz="8" w:color="auto"/>
              <w:right w:val="single" w:sz="8" w:color="auto"/>
            </w:tcBorders>
          </w:tcPr>
          <w:p>
            <w:pPr>
              <w:spacing w:after="0"/>
              <w:rPr>
                <w:sz w:val="4"/>
                <w:szCs w:val="4"/>
                <w:color w:val="auto"/>
              </w:rPr>
            </w:pPr>
          </w:p>
        </w:tc>
        <w:tc>
          <w:tcPr>
            <w:tcW w:w="332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Additional Revenue Interests; Liens</w:t>
      </w:r>
      <w:r>
        <w:rPr>
          <w:rFonts w:ascii="Times New Roman" w:cs="Times New Roman" w:eastAsia="Times New Roman" w:hAnsi="Times New Roman"/>
          <w:sz w:val="22"/>
          <w:szCs w:val="22"/>
          <w:color w:val="auto"/>
        </w:rPr>
        <w:t>. The Company shall not create, incur, sell, issue, assume, enforce or suffer to exist any additional revenue interests (or similar economic equivalents) with respect to Net Sales of the Products, License Milestone Revenue or License Royalty Revenue in the Territory unless such additional revenue interests (or such economic equivalents) are subordinated to the Revenue Interests as to payment, security and enforcement. The Revenue Interest Collateral shall not be subject to any Lien, except for a Lien of the type described in clause (a) or clause (g) of the definition of Permitted Liens.</w:t>
      </w:r>
    </w:p>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Section 5.13 </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xml:space="preserve">. The Company shall not, directly or indirectly, effectuate or consummate a Change of Control;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Company may, directly or indirectly, effectuate or consummate: (a) a Pre-Regulatory Milestone Change of Control if the Company pays the Pre-Regulatory Milestone Change of Control Price in accordance with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or (b) a Post-Regulatory Milestone Change of Control if (i) the Company pays the Post-Regulatory Milestone Change of Control Price in accordance with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(ii) the acquiring Person in such Post-Regulatory Milestone Change of Control (if other than the Company) is a Qualified Party and (iii) to the extent that the Company is party to such Post-Regulatory Milestone Change of Control and is not the surviving Person, such surviving Person expressly assumes all the obligations of the Company under the Transaction Documents to which the Company is party, in which case such surviving Person shall succeed to, and be substituted for, the Company under the Transaction Documents to which the Company is party and the Company shall automatically be released and discharged from its obligations under the Transaction Documents to which the Company is party.</w:t>
      </w:r>
    </w:p>
    <w:p>
      <w:pPr>
        <w:spacing w:after="0" w:line="17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Dispositions of Product Rights</w:t>
      </w:r>
      <w:r>
        <w:rPr>
          <w:rFonts w:ascii="Times New Roman" w:cs="Times New Roman" w:eastAsia="Times New Roman" w:hAnsi="Times New Roman"/>
          <w:sz w:val="22"/>
          <w:szCs w:val="22"/>
          <w:color w:val="auto"/>
        </w:rPr>
        <w:t xml:space="preserve">. The Company shall not Dispose of any of its rights in a Product, in whole or in part, including any Product Rights, in one or more related transactions, to any Person unless (i) pursuant to the Hercules Loan Documents in connection with the exercise of remedies thereunder after an acceleration of the obligations thereunder, (ii) in connection with a Change of Control that complies with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or (iii) in connection with a transaction that complies with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xml:space="preserve"> shall not restrict the Company from licensing any Product Rights pursuant to a Permitted License or from transferring the Marketing Approvals for any jurisdiction to a Licensee in connection with a Permitted License covering such jurisdiction.</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u w:val="single" w:color="auto"/>
          <w:color w:val="auto"/>
        </w:rPr>
        <w:t>Existence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the Company shall (a) preserve and maintain its existence, (b) preserve and maintain its rights, franchises and privileges, unless failure to do any of the foregoing would not reasonably be expected to have, individually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7" w:name="page178"/>
    <w:bookmarkEnd w:id="177"/>
    <w:p>
      <w:pPr>
        <w:jc w:val="both"/>
        <w:spacing w:after="0" w:line="239" w:lineRule="auto"/>
        <w:rPr>
          <w:sz w:val="20"/>
          <w:szCs w:val="20"/>
          <w:color w:val="auto"/>
        </w:rPr>
      </w:pPr>
      <w:r>
        <w:rPr>
          <w:rFonts w:ascii="Times New Roman" w:cs="Times New Roman" w:eastAsia="Times New Roman" w:hAnsi="Times New Roman"/>
          <w:sz w:val="22"/>
          <w:szCs w:val="22"/>
          <w:color w:val="auto"/>
        </w:rPr>
        <w:t>or in the aggregate, a Material Adverse Effect, (c) qualify and remain qualified in good standing in each jurisdiction where the failure to do so would reasonably be expected to have, individually or in the aggregate, a Material Adverse Effect, including appointing and employing such agents or attorneys in each jurisdiction where it shall be necessary to take action under the Transaction Documents, and (d) comply with its organizational documents.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agrees that the proceeds of the Investment Amount shall be used solely for the continued development and commercialization of the Products and to pay fees and expenses incurred in connection with the Transaction Documents. The proceeds of the Investment Amount shall not be used in violation of Anti-Corruption Laws or applicable Sanctions.</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5.17</w:t>
      </w:r>
      <w:r>
        <w:rPr>
          <w:sz w:val="20"/>
          <w:szCs w:val="20"/>
          <w:color w:val="auto"/>
        </w:rPr>
        <w:tab/>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5" w:lineRule="auto"/>
        <w:tabs>
          <w:tab w:leader="none" w:pos="11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maintain, and shall cause each of its Subsidiaries to maintain, compliance in all material respects with all applicable laws, rules or regulations, and shall, or shall cause its Subsidiaries to, obtain and maintain all required authorizations, approvals, licenses, permits, certificates, registrations, listings, certificates or exemptions of or issued by any Governmental Entity reasonably necessary in connection with the conduct of the Company’s business. The Company shall not become an “investment company” or a company controlled by an “investment company” under the Investment Company Act of 1940 or undertake as one of its important activities extending credit to purchase or carry margin stock (as defined in Regulations T, U and X of the Federal Reserve Board of Governors).</w:t>
      </w:r>
    </w:p>
    <w:p>
      <w:pPr>
        <w:spacing w:after="0" w:line="183"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shall, nor shall the Company or any of its Subsidiaries permit any controlled Affiliate to, directly or indirectly, knowingly enter into any documents, instruments, agreements or contracts with any Person listed on the OFAC Lists. Neither the Company nor any of its Subsidiaries shall, nor shall the Company or any of its Subsidiaries permit any controlled Affiliate to, directly or indirectly, (i) conduct any business or engage in any transaction or dealing with any Blocked Person, including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8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maintain in effect policies and procedures designed to reasonably ensure compliance by the Company and its Subsidiaries and their respective directors, officers, employees and agents with Anti-Corruption Laws and applicable Sanctions, and the Company and its Subsidiaries and their respective officers and employees and, to the Knowledge of the Company, its directors and agents are in compliance with Anti-Corruption Laws and applicable Sanctions in all material respects.</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its Subsidiaries nor any of their respective directors, officers or employees, or, to the Knowledge of the Company, any agent for the Company or any of its Subsidiaries that shall act in any capacity in connection with or benefit from the transactions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8" w:name="page179"/>
    <w:bookmarkEnd w:id="178"/>
    <w:p>
      <w:pPr>
        <w:jc w:val="both"/>
        <w:spacing w:after="0" w:line="258" w:lineRule="auto"/>
        <w:rPr>
          <w:sz w:val="20"/>
          <w:szCs w:val="20"/>
          <w:color w:val="auto"/>
        </w:rPr>
      </w:pPr>
      <w:r>
        <w:rPr>
          <w:rFonts w:ascii="Times New Roman" w:cs="Times New Roman" w:eastAsia="Times New Roman" w:hAnsi="Times New Roman"/>
          <w:sz w:val="22"/>
          <w:szCs w:val="22"/>
          <w:color w:val="auto"/>
        </w:rPr>
        <w:t>contemplated by the Transaction Documents, is a Sanctioned Person. No Investment Amount, use of proceeds or other transaction contemplated by the Transaction Documents shall violate Anti-Corruption Laws or applicable Sanctions.</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5.18 </w:t>
      </w:r>
      <w:r>
        <w:rPr>
          <w:rFonts w:ascii="Times New Roman" w:cs="Times New Roman" w:eastAsia="Times New Roman" w:hAnsi="Times New Roman"/>
          <w:sz w:val="22"/>
          <w:szCs w:val="22"/>
          <w:u w:val="single" w:color="auto"/>
          <w:color w:val="auto"/>
        </w:rPr>
        <w:t>Mergers</w:t>
      </w:r>
      <w:r>
        <w:rPr>
          <w:rFonts w:ascii="Times New Roman" w:cs="Times New Roman" w:eastAsia="Times New Roman" w:hAnsi="Times New Roman"/>
          <w:sz w:val="22"/>
          <w:szCs w:val="22"/>
          <w:color w:val="auto"/>
        </w:rPr>
        <w:t xml:space="preserve">. The Company shall not consummate any merger, reorganization, or sale of all or substantially all of its properties or assets, unless (a) in connection with a Change of Control that complies with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or (b) upon closing such transaction, if the surviving Person is not the Company, (i) such surviving Person is a Qualified Party and (ii) such surviving Person expressly assumes all the obligations of the Company under the Transaction Documents to which the Company is party, in which case such surviving Person shall succeed to, and be substituted for, the Company under the Transaction Documents to which the Company is party and the Company shall automatically be released and discharged from its obligations under the Transaction Documents to which the Company is party.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6</w:t>
      </w:r>
    </w:p>
    <w:p>
      <w:pPr>
        <w:spacing w:after="0" w:line="2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INDEMNIFICATION</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u w:val="single" w:color="auto"/>
          <w:color w:val="auto"/>
        </w:rPr>
        <w:t>General Indemnity</w:t>
      </w:r>
      <w:r>
        <w:rPr>
          <w:rFonts w:ascii="Times New Roman" w:cs="Times New Roman" w:eastAsia="Times New Roman" w:hAnsi="Times New Roman"/>
          <w:sz w:val="21"/>
          <w:szCs w:val="21"/>
          <w:color w:val="auto"/>
        </w:rPr>
        <w:t>. From and after the Effective Date:</w:t>
      </w:r>
    </w:p>
    <w:p>
      <w:pPr>
        <w:spacing w:after="0" w:line="206" w:lineRule="exact"/>
        <w:rPr>
          <w:sz w:val="20"/>
          <w:szCs w:val="20"/>
          <w:color w:val="auto"/>
        </w:rPr>
      </w:pPr>
    </w:p>
    <w:p>
      <w:pPr>
        <w:jc w:val="both"/>
        <w:ind w:firstLine="757"/>
        <w:spacing w:after="0" w:line="246" w:lineRule="auto"/>
        <w:tabs>
          <w:tab w:leader="none" w:pos="1181"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hereby agrees to indemnify, defend and hold harmless the Investors and their Affiliates and their respective directors, managers, trustees, officers, agents and employees (the “</w:t>
      </w:r>
      <w:r>
        <w:rPr>
          <w:rFonts w:ascii="Times New Roman" w:cs="Times New Roman" w:eastAsia="Times New Roman" w:hAnsi="Times New Roman"/>
          <w:sz w:val="21"/>
          <w:szCs w:val="21"/>
          <w:u w:val="single" w:color="auto"/>
          <w:color w:val="auto"/>
        </w:rPr>
        <w:t>Investor Indemnified Parties</w:t>
      </w:r>
      <w:r>
        <w:rPr>
          <w:rFonts w:ascii="Times New Roman" w:cs="Times New Roman" w:eastAsia="Times New Roman" w:hAnsi="Times New Roman"/>
          <w:sz w:val="21"/>
          <w:szCs w:val="21"/>
          <w:color w:val="auto"/>
        </w:rPr>
        <w:t>”) from, against and in respect of all Losses suffered or incurred by the Investor Indemnified Parties, in each case whether or not brought by a Third Party, to the extent arising out of or resulting from (i) any breach of any of the representations or warranties of the Company in any Transaction Document, (ii) any breach of any of the covenants or agreements of the Company in any Transaction Document,</w:t>
      </w:r>
    </w:p>
    <w:p>
      <w:pPr>
        <w:spacing w:after="0" w:line="1" w:lineRule="exact"/>
        <w:rPr>
          <w:rFonts w:ascii="Times New Roman" w:cs="Times New Roman" w:eastAsia="Times New Roman" w:hAnsi="Times New Roman"/>
          <w:sz w:val="21"/>
          <w:szCs w:val="21"/>
          <w:color w:val="auto"/>
        </w:rPr>
      </w:pPr>
    </w:p>
    <w:p>
      <w:pPr>
        <w:jc w:val="both"/>
        <w:ind w:firstLine="8"/>
        <w:spacing w:after="0" w:line="233" w:lineRule="auto"/>
        <w:tabs>
          <w:tab w:leader="none" w:pos="40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product liability claims relating to a Product, (iv) any claims of infringement or misappropriation of any intellectual property rights by any Third Parties against any Investor, the Company or any of its Affiliates or Takeda and (v) any fees, expenses, costs, liabilities or other amounts incurred or owed by the Company or any of its Affiliates to any brokers, financial advisors or comparable other Persons retained or employed by any of them in connection with the transactions contemplated by the Transaction Documents; and</w:t>
      </w:r>
    </w:p>
    <w:p>
      <w:pPr>
        <w:spacing w:after="0" w:line="179"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Investor hereby agrees, severally and not jointly, to indemnify, defend and hold harmless the Company and its Affiliates and its and their directors, officers, agents and employees (the “</w:t>
      </w:r>
      <w:r>
        <w:rPr>
          <w:rFonts w:ascii="Times New Roman" w:cs="Times New Roman" w:eastAsia="Times New Roman" w:hAnsi="Times New Roman"/>
          <w:sz w:val="22"/>
          <w:szCs w:val="22"/>
          <w:u w:val="single" w:color="auto"/>
          <w:color w:val="auto"/>
        </w:rPr>
        <w:t>Company Indemnified Parties</w:t>
      </w:r>
      <w:r>
        <w:rPr>
          <w:rFonts w:ascii="Times New Roman" w:cs="Times New Roman" w:eastAsia="Times New Roman" w:hAnsi="Times New Roman"/>
          <w:sz w:val="22"/>
          <w:szCs w:val="22"/>
          <w:color w:val="auto"/>
        </w:rPr>
        <w:t>”) from, against and in respect of all Losses suffered or incurred by the Company Indemnified Parties to the extent arising out of or resulting from (i) any breach of any of the representations or warranties of such Investor in any Transaction Document, and (ii) any breach of any of the covenants or agreements of such Investor in any Transaction Document.</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Notice of Claims</w:t>
      </w:r>
      <w:r>
        <w:rPr>
          <w:rFonts w:ascii="Times New Roman" w:cs="Times New Roman" w:eastAsia="Times New Roman" w:hAnsi="Times New Roman"/>
          <w:sz w:val="22"/>
          <w:szCs w:val="22"/>
          <w:color w:val="auto"/>
        </w:rPr>
        <w:t>. If either an Investor Indemnified Party, on the one hand, or a Company Indemnified Party, on the other hand (such Investor Indemnified Party on the one hand and such Company Indemnified Party on the other hand being hereinafter referred to as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has suffered or incurred any Losses for which indemnification may be sought under this ARTICLE 6, the Indemnified Party shall so notify the other party from whom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9" w:name="page180"/>
    <w:bookmarkEnd w:id="179"/>
    <w:p>
      <w:pPr>
        <w:jc w:val="both"/>
        <w:spacing w:after="0" w:line="234" w:lineRule="auto"/>
        <w:rPr>
          <w:sz w:val="20"/>
          <w:szCs w:val="20"/>
          <w:color w:val="auto"/>
        </w:rPr>
      </w:pPr>
      <w:r>
        <w:rPr>
          <w:rFonts w:ascii="Times New Roman" w:cs="Times New Roman" w:eastAsia="Times New Roman" w:hAnsi="Times New Roman"/>
          <w:sz w:val="22"/>
          <w:szCs w:val="22"/>
          <w:color w:val="auto"/>
        </w:rPr>
        <w:t>indemnification is sought under this ARTICLE 6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promptly in writing describing such Loss, the amount or estimated amount thereof, if known or reasonably capable of estimation, and the method of computation of such Loss, all with reasonable particularity and containing a reference to the provisions of this Agreement in respect of which such Loss shall have occurred. If any claim, action, suit or proceeding is asserted or instituted by or against a Third Party with respect to which an Indemnified Party intends to claim any Loss under this ARTICLE 6,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shall not limit the obligation of the Indemnifying Party under this ARTICLE 6, except to the extent such Indemnifying Party is actually prejudiced thereby.</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Survival; Limitations on Liability.</w:t>
      </w:r>
    </w:p>
    <w:p>
      <w:pPr>
        <w:spacing w:after="0" w:line="206" w:lineRule="exact"/>
        <w:rPr>
          <w:sz w:val="20"/>
          <w:szCs w:val="20"/>
          <w:color w:val="auto"/>
        </w:rPr>
      </w:pPr>
    </w:p>
    <w:p>
      <w:pPr>
        <w:jc w:val="both"/>
        <w:ind w:firstLine="757"/>
        <w:spacing w:after="0" w:line="235"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contained in this Agreement shall survive the Effective Date solely for purposes of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and terminate on the Applicable Survival Date. No party hereto shall have any liability or obligation of any nature with respect to any representation or warranty after the termination thereof, unless the other party or parties hereto shall have delivered a notice to such party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claiming such a liability or obligation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prior to the Applicable Survival Date. “</w:t>
      </w:r>
      <w:r>
        <w:rPr>
          <w:rFonts w:ascii="Times New Roman" w:cs="Times New Roman" w:eastAsia="Times New Roman" w:hAnsi="Times New Roman"/>
          <w:sz w:val="22"/>
          <w:szCs w:val="22"/>
          <w:u w:val="single" w:color="auto"/>
          <w:color w:val="auto"/>
        </w:rPr>
        <w:t>Applicable Survival Date</w:t>
      </w:r>
      <w:r>
        <w:rPr>
          <w:rFonts w:ascii="Times New Roman" w:cs="Times New Roman" w:eastAsia="Times New Roman" w:hAnsi="Times New Roman"/>
          <w:sz w:val="22"/>
          <w:szCs w:val="22"/>
          <w:color w:val="auto"/>
        </w:rPr>
        <w:t xml:space="preserve">” means (a) in the case of the representations and warranties contained in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4.2(h)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(b) in all other cases,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Agreement to the contrary, the Company shall not have any liability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6.1(a)</w:t>
      </w:r>
      <w:r>
        <w:rPr>
          <w:rFonts w:ascii="Times New Roman" w:cs="Times New Roman" w:eastAsia="Times New Roman" w:hAnsi="Times New Roman"/>
          <w:sz w:val="22"/>
          <w:szCs w:val="22"/>
          <w:color w:val="auto"/>
        </w:rPr>
        <w:t xml:space="preserve"> in excess of an amount equal to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limitation shall not apply to breach of any of the representations, covenants or agreements in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Agreement to the contrary, no Investor shall have any liability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6.1(b)</w:t>
      </w:r>
      <w:r>
        <w:rPr>
          <w:rFonts w:ascii="Times New Roman" w:cs="Times New Roman" w:eastAsia="Times New Roman" w:hAnsi="Times New Roman"/>
          <w:sz w:val="22"/>
          <w:szCs w:val="22"/>
          <w:color w:val="auto"/>
        </w:rPr>
        <w:t xml:space="preserve"> in excess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cases of fraud, gross negligence, or willful misconduct, no party hereto shall be liable for any consequential, punitive, lost profits, special or incidental damages under this ARTICLE 6 (and no claim for indemnification hereunder shall be asserted) as a result of any breach or violation of any covenant or agreement of such party (including under this ARTICLE 6) in or pursuant to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CONFIDENTIALITY</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Except as provided in this ARTICLE 7 or otherwise agreed in writing by the parties, the parties hereto agree that, during the term of this Agreement and for one year thereafter, each party (the “</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shall keep confidential and shall not publish or otherwise disclose and shall not use for any purpose other than as provided for in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0" w:name="page181"/>
    <w:bookmarkEnd w:id="180"/>
    <w:p>
      <w:pPr>
        <w:jc w:val="both"/>
        <w:spacing w:after="0" w:line="244" w:lineRule="auto"/>
        <w:rPr>
          <w:sz w:val="20"/>
          <w:szCs w:val="20"/>
          <w:color w:val="auto"/>
        </w:rPr>
      </w:pPr>
      <w:r>
        <w:rPr>
          <w:rFonts w:ascii="Times New Roman" w:cs="Times New Roman" w:eastAsia="Times New Roman" w:hAnsi="Times New Roman"/>
          <w:sz w:val="22"/>
          <w:szCs w:val="22"/>
          <w:color w:val="auto"/>
        </w:rPr>
        <w:t>(which includes the exercise of any rights or the performance of any obligations hereunder) any information furnished to it by or on behalf of any other party (the “</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pursuant to this Agreement (such information,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of the Disclosing Party), except for that portion of such information that:</w:t>
      </w:r>
    </w:p>
    <w:p>
      <w:pPr>
        <w:spacing w:after="0" w:line="173" w:lineRule="exact"/>
        <w:rPr>
          <w:sz w:val="20"/>
          <w:szCs w:val="20"/>
          <w:color w:val="auto"/>
        </w:rPr>
      </w:pPr>
    </w:p>
    <w:p>
      <w:pPr>
        <w:ind w:right="60" w:firstLine="757"/>
        <w:spacing w:after="0" w:line="258" w:lineRule="auto"/>
        <w:tabs>
          <w:tab w:leader="none" w:pos="118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already known to the Receiving Party, other than under an obligation of confidentiality, at the time of disclosure by the Disclosing Party;</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generally available to the public or otherwise part of the public domain at the time it was disclosed to or learned by the Receiving Party;</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became generally available to the public or otherwise part of the public domain after its disclosure and other than through any act or omission of the Receiving Party in breach of this Agreement or any other agreement;</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independently developed by the Receiving Party or any of its Affiliates, as evidenced by written records, without the use of or reference of the Confidential Information; or</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subsequently disclosed to the Receiving Party on a non-confidential basis by a Third Party without obligations of confidentiality with respect thereto.</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7.2</w:t>
      </w:r>
      <w:r>
        <w:rPr>
          <w:sz w:val="20"/>
          <w:szCs w:val="20"/>
          <w:color w:val="auto"/>
        </w:rPr>
        <w:tab/>
      </w:r>
      <w:r>
        <w:rPr>
          <w:rFonts w:ascii="Times New Roman" w:cs="Times New Roman" w:eastAsia="Times New Roman" w:hAnsi="Times New Roman"/>
          <w:sz w:val="21"/>
          <w:szCs w:val="21"/>
          <w:u w:val="single" w:color="auto"/>
          <w:color w:val="auto"/>
        </w:rPr>
        <w:t>Authorized Disclosure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757"/>
        <w:spacing w:after="0" w:line="258" w:lineRule="auto"/>
        <w:tabs>
          <w:tab w:leader="none" w:pos="118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disclose Confidential Information to the extent such disclosure is reasonably necessary in the following situations: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prosecuting or defending litigation;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complying  with  applicable  laws  and  regulations,  including  regulations  promulgated  by  securities</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exchanges;</w:t>
      </w:r>
    </w:p>
    <w:p>
      <w:pPr>
        <w:spacing w:after="0" w:line="18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complying with a valid order of a court of competent jurisdiction or other Governmental Entity;</w:t>
      </w:r>
    </w:p>
    <w:p>
      <w:pPr>
        <w:spacing w:after="0" w:line="206"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regulatory, Tax or customs purposes, including in connection with a routine examination by a regulatory or supervisory authority having jurisdiction over the Receiving Party;</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audit purposes,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each recipient of Confidential Information must be bound by customary and reasonable obligations of confidentiality and non-use prior to any such disclosure;</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disclosure to its Affiliates and Representatives on a need-to-know basis,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each such recipient of Confidential Information must be bound by contractual or professional obligations of confidentiality and non-use at least as stringent as those imposed upon the parties hereunder prior to any such disclosure;</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prior written consent of the Disclosing Party;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jc w:val="both"/>
        <w:ind w:left="760" w:firstLine="745"/>
        <w:spacing w:after="0" w:line="238" w:lineRule="auto"/>
        <w:tabs>
          <w:tab w:leader="none" w:pos="2373"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disclosure to its Representatives or potential partners, collaborators or acquirers, and their respective accountants, financial advisors and other professional representatives,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disclosure shall be made only to the extent customarily required to consummate an investment, financing transaction, partnership, collaboration or acquisition and that each recipient of Confidential Information must be bound by customary obligations of confidentiality and non-use prior to any such disclosure; and</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is necessary in connection with an assignment permitted by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in the event the Receiving Party is required to make a disclosure of the Disclosing Party’s Confidential Information pursuant to </w:t>
      </w:r>
      <w:r>
        <w:rPr>
          <w:rFonts w:ascii="Times New Roman" w:cs="Times New Roman" w:eastAsia="Times New Roman" w:hAnsi="Times New Roman"/>
          <w:sz w:val="22"/>
          <w:szCs w:val="22"/>
          <w:u w:val="single" w:color="auto"/>
          <w:color w:val="auto"/>
        </w:rPr>
        <w:t>Section 7.2(a)(i)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it will, except where impracticable, give reasonable advance notice to the Disclosing Party of such disclosure and use reasonable efforts to secure confidential treatment of such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Investors will not be required to give such advance notice if such disclosure is made pursuant to </w:t>
      </w:r>
      <w:r>
        <w:rPr>
          <w:rFonts w:ascii="Times New Roman" w:cs="Times New Roman" w:eastAsia="Times New Roman" w:hAnsi="Times New Roman"/>
          <w:sz w:val="22"/>
          <w:szCs w:val="22"/>
          <w:u w:val="single" w:color="auto"/>
          <w:color w:val="auto"/>
        </w:rPr>
        <w:t>Section 7.2(a)(iv)</w:t>
      </w:r>
      <w:r>
        <w:rPr>
          <w:rFonts w:ascii="Times New Roman" w:cs="Times New Roman" w:eastAsia="Times New Roman" w:hAnsi="Times New Roman"/>
          <w:sz w:val="22"/>
          <w:szCs w:val="22"/>
          <w:color w:val="auto"/>
        </w:rPr>
        <w:t xml:space="preserve"> in connection with a routine examination by a regulatory or supervisory authority having jurisdiction over such Investor.</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set forth in this Agreement, materials and documentation relating to the Company’s Intellectual Property Product Rights may be only disclosed to or accessed by the Investors and their respective attorneys and auditors, without further disclosure to any other Representative of the Investors, without the consent of the Company, unless in connection with a routine examination by a regulatory or supervisory authority having jurisdiction over such Investor.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 SURVIVAL</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Mutual Termination</w:t>
      </w:r>
      <w:r>
        <w:rPr>
          <w:rFonts w:ascii="Times New Roman" w:cs="Times New Roman" w:eastAsia="Times New Roman" w:hAnsi="Times New Roman"/>
          <w:sz w:val="22"/>
          <w:szCs w:val="22"/>
          <w:color w:val="auto"/>
        </w:rPr>
        <w:t>. This Agreement may be terminated by mutual written agreement of the Investors and the Company.</w:t>
      </w:r>
    </w:p>
    <w:p>
      <w:pPr>
        <w:spacing w:after="0" w:line="15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 xml:space="preserve">Section 8.2 </w:t>
      </w:r>
      <w:r>
        <w:rPr>
          <w:rFonts w:ascii="Times New Roman" w:cs="Times New Roman" w:eastAsia="Times New Roman" w:hAnsi="Times New Roman"/>
          <w:sz w:val="21"/>
          <w:szCs w:val="21"/>
          <w:u w:val="single" w:color="auto"/>
          <w:color w:val="auto"/>
        </w:rPr>
        <w:t>Automatic Termination</w:t>
      </w:r>
      <w:r>
        <w:rPr>
          <w:rFonts w:ascii="Times New Roman" w:cs="Times New Roman" w:eastAsia="Times New Roman" w:hAnsi="Times New Roman"/>
          <w:sz w:val="21"/>
          <w:szCs w:val="21"/>
          <w:color w:val="auto"/>
        </w:rPr>
        <w:t xml:space="preserve">. Unless earlier terminated as provided in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following the Effective Date, this Agreement shall continue in full force and effect until the earliest of: (i) the date on which the sum of all Royalty Payments (and any other payments made by the Company to the Investors hereunder) received by the Investors under this Agreement from and after the Funding Date meets or exceeds (x) the aggregate of the Funding Date Payment, any Regulatory Milestone Payment (whether or not previously paid by the Investors, unless no longer payable in accordance with the terms of this Agreement) and any Sales Milestone Payment (whether or not previously paid by the Investors, unless no longer payable in accordance with the terms of this Agreement), multiplied by (y) two; (ii) the date on which the Company pays the Pre-Regulatory Milestone Change of Control Price in accordance with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(iii) the date on which the Company makes the payments contemplated by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 xml:space="preserve">; and (iv) the date on which the Company pays the Event of Default Fee in accordance with </w:t>
      </w:r>
      <w:r>
        <w:rPr>
          <w:rFonts w:ascii="Times New Roman" w:cs="Times New Roman" w:eastAsia="Times New Roman" w:hAnsi="Times New Roman"/>
          <w:sz w:val="21"/>
          <w:szCs w:val="21"/>
          <w:u w:val="single" w:color="auto"/>
          <w:color w:val="auto"/>
        </w:rPr>
        <w:t>Section 2.4(a)</w:t>
      </w:r>
      <w:r>
        <w:rPr>
          <w:rFonts w:ascii="Times New Roman" w:cs="Times New Roman" w:eastAsia="Times New Roman" w:hAnsi="Times New Roman"/>
          <w:sz w:val="21"/>
          <w:szCs w:val="21"/>
          <w:color w:val="auto"/>
        </w:rPr>
        <w:t>. Upon the occurrence of any of clause (i) above, clause (ii) above, clause (iii) above or clause (iv) above, this Agreement (including, for the avoidance of doubt, any obligations of any Investor to provide further Investment Amounts to the Company) shall automatically terminate, except with respect to any rights that shall have accrued prior to such termination.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8.3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Notwithstanding anything to the contrary in this ARTICLE 8, the following provisions shall survive termination of this Agreement: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(Disclosures),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(Inspections and Audits of the Company), ARTICLE 6 (Indemnification), ARTICLE 7 (Confidentiality), this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(Survival), and ARTICLE 9 (Miscellaneous). Termination of the Agreement shall not relieve any party of liability in respect of breaches under this Agreement by any party on or prior to termination.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and other communications under this Agreement shall be in writing and shall be by email with PDF attachment, facsimile, courier service or personal delivery to the following addresses, or to such other addresses as shall be designated from time to time by a party hereto in accordance with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Company, to it at:</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Phathom Pharmaceuticals,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100 Campus Drive, Suite 102</w:t>
      </w:r>
    </w:p>
    <w:p>
      <w:pPr>
        <w:ind w:left="1960"/>
        <w:spacing w:after="0" w:line="230" w:lineRule="auto"/>
        <w:rPr>
          <w:sz w:val="20"/>
          <w:szCs w:val="20"/>
          <w:color w:val="auto"/>
        </w:rPr>
      </w:pPr>
      <w:r>
        <w:rPr>
          <w:rFonts w:ascii="Times New Roman" w:cs="Times New Roman" w:eastAsia="Times New Roman" w:hAnsi="Times New Roman"/>
          <w:sz w:val="22"/>
          <w:szCs w:val="22"/>
          <w:color w:val="auto"/>
        </w:rPr>
        <w:t>Florham Park, NJ 07932</w:t>
      </w:r>
    </w:p>
    <w:p>
      <w:pPr>
        <w:ind w:left="1960"/>
        <w:spacing w:after="0" w:line="231" w:lineRule="auto"/>
        <w:rPr>
          <w:sz w:val="20"/>
          <w:szCs w:val="20"/>
          <w:color w:val="auto"/>
        </w:rPr>
      </w:pPr>
      <w:r>
        <w:rPr>
          <w:rFonts w:ascii="Times New Roman" w:cs="Times New Roman" w:eastAsia="Times New Roman" w:hAnsi="Times New Roman"/>
          <w:sz w:val="22"/>
          <w:szCs w:val="22"/>
          <w:color w:val="auto"/>
        </w:rPr>
        <w:t>Attention: General Counsel</w:t>
      </w:r>
    </w:p>
    <w:p>
      <w:pPr>
        <w:ind w:left="19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Morgan, Lewis &amp; Bockius LLP</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1701 Market Street</w:t>
      </w:r>
    </w:p>
    <w:p>
      <w:pPr>
        <w:ind w:left="1960"/>
        <w:spacing w:after="0" w:line="230" w:lineRule="auto"/>
        <w:rPr>
          <w:sz w:val="20"/>
          <w:szCs w:val="20"/>
          <w:color w:val="auto"/>
        </w:rPr>
      </w:pPr>
      <w:r>
        <w:rPr>
          <w:rFonts w:ascii="Times New Roman" w:cs="Times New Roman" w:eastAsia="Times New Roman" w:hAnsi="Times New Roman"/>
          <w:sz w:val="22"/>
          <w:szCs w:val="22"/>
          <w:color w:val="auto"/>
        </w:rPr>
        <w:t>Philadelphia, PA 19103-2921</w:t>
      </w:r>
    </w:p>
    <w:p>
      <w:pPr>
        <w:ind w:left="1960"/>
        <w:spacing w:after="0" w:line="231" w:lineRule="auto"/>
        <w:rPr>
          <w:sz w:val="20"/>
          <w:szCs w:val="20"/>
          <w:color w:val="auto"/>
        </w:rPr>
      </w:pPr>
      <w:r>
        <w:rPr>
          <w:rFonts w:ascii="Times New Roman" w:cs="Times New Roman" w:eastAsia="Times New Roman" w:hAnsi="Times New Roman"/>
          <w:sz w:val="22"/>
          <w:szCs w:val="22"/>
          <w:color w:val="auto"/>
        </w:rPr>
        <w:t>Attention: Conor F. Larkin</w:t>
      </w:r>
    </w:p>
    <w:p>
      <w:pPr>
        <w:ind w:left="19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Investors, to them at:</w:t>
      </w:r>
    </w:p>
    <w:p>
      <w:pPr>
        <w:spacing w:after="0" w:line="206" w:lineRule="exact"/>
        <w:rPr>
          <w:sz w:val="20"/>
          <w:szCs w:val="20"/>
          <w:color w:val="auto"/>
        </w:rPr>
      </w:pPr>
    </w:p>
    <w:p>
      <w:pPr>
        <w:ind w:left="2640" w:right="640" w:hanging="664"/>
        <w:spacing w:after="0" w:line="258" w:lineRule="auto"/>
        <w:tabs>
          <w:tab w:leader="none" w:pos="241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Sagard Healthcare Royalty Partners, LP or Sagard Healthcare Partners Co-Invest Designated Activity Company:</w:t>
      </w:r>
    </w:p>
    <w:p>
      <w:pPr>
        <w:spacing w:after="0" w:line="15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Sagard</w:t>
      </w:r>
    </w:p>
    <w:p>
      <w:pPr>
        <w:spacing w:after="0" w:line="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161 Bay Street, Suite 5000</w:t>
      </w:r>
    </w:p>
    <w:p>
      <w:pPr>
        <w:ind w:left="2620"/>
        <w:spacing w:after="0" w:line="230" w:lineRule="auto"/>
        <w:rPr>
          <w:sz w:val="20"/>
          <w:szCs w:val="20"/>
          <w:color w:val="auto"/>
        </w:rPr>
      </w:pPr>
      <w:r>
        <w:rPr>
          <w:rFonts w:ascii="Times New Roman" w:cs="Times New Roman" w:eastAsia="Times New Roman" w:hAnsi="Times New Roman"/>
          <w:sz w:val="22"/>
          <w:szCs w:val="22"/>
          <w:color w:val="auto"/>
        </w:rPr>
        <w:t>Toronto, ON M5J 2S1</w:t>
      </w:r>
    </w:p>
    <w:p>
      <w:pPr>
        <w:ind w:left="2620"/>
        <w:spacing w:after="0" w:line="231" w:lineRule="auto"/>
        <w:rPr>
          <w:sz w:val="20"/>
          <w:szCs w:val="20"/>
          <w:color w:val="auto"/>
        </w:rPr>
      </w:pPr>
      <w:r>
        <w:rPr>
          <w:rFonts w:ascii="Times New Roman" w:cs="Times New Roman" w:eastAsia="Times New Roman" w:hAnsi="Times New Roman"/>
          <w:sz w:val="22"/>
          <w:szCs w:val="22"/>
          <w:color w:val="auto"/>
        </w:rPr>
        <w:t>Canada</w:t>
      </w:r>
    </w:p>
    <w:p>
      <w:pPr>
        <w:ind w:left="2620"/>
        <w:spacing w:after="0" w:line="230"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ind w:left="1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Torys LLP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1114 Avenue of the Americas</w:t>
      </w:r>
    </w:p>
    <w:p>
      <w:pPr>
        <w:ind w:left="1500"/>
        <w:spacing w:after="0" w:line="230" w:lineRule="auto"/>
        <w:rPr>
          <w:sz w:val="20"/>
          <w:szCs w:val="20"/>
          <w:color w:val="auto"/>
        </w:rPr>
      </w:pPr>
      <w:r>
        <w:rPr>
          <w:rFonts w:ascii="Times New Roman" w:cs="Times New Roman" w:eastAsia="Times New Roman" w:hAnsi="Times New Roman"/>
          <w:sz w:val="22"/>
          <w:szCs w:val="22"/>
          <w:color w:val="auto"/>
        </w:rPr>
        <w:t>New York, NY 10036</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Darien G Leung</w:t>
      </w:r>
    </w:p>
    <w:p>
      <w:pPr>
        <w:ind w:left="15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22"/>
          <w:szCs w:val="22"/>
          <w:color w:val="auto"/>
        </w:rPr>
        <w:t>(y)</w:t>
      </w:r>
      <w:r>
        <w:rPr>
          <w:sz w:val="20"/>
          <w:szCs w:val="20"/>
          <w:color w:val="auto"/>
        </w:rPr>
        <w:tab/>
      </w:r>
      <w:r>
        <w:rPr>
          <w:rFonts w:ascii="Times New Roman" w:cs="Times New Roman" w:eastAsia="Times New Roman" w:hAnsi="Times New Roman"/>
          <w:sz w:val="21"/>
          <w:szCs w:val="21"/>
          <w:color w:val="auto"/>
        </w:rPr>
        <w:t>in the case of NQ Project Pharaoh, L.P.:</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NQ Project Pharaoh, L.P.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c/o NovaQuest Capital Management, L.L.C.</w:t>
      </w:r>
    </w:p>
    <w:p>
      <w:pPr>
        <w:ind w:left="1500"/>
        <w:spacing w:after="0" w:line="230" w:lineRule="auto"/>
        <w:rPr>
          <w:sz w:val="20"/>
          <w:szCs w:val="20"/>
          <w:color w:val="auto"/>
        </w:rPr>
      </w:pPr>
      <w:r>
        <w:rPr>
          <w:rFonts w:ascii="Times New Roman" w:cs="Times New Roman" w:eastAsia="Times New Roman" w:hAnsi="Times New Roman"/>
          <w:sz w:val="22"/>
          <w:szCs w:val="22"/>
          <w:color w:val="auto"/>
        </w:rPr>
        <w:t>4208 Six Forks Road, Suite 920</w:t>
      </w:r>
    </w:p>
    <w:p>
      <w:pPr>
        <w:ind w:left="1500"/>
        <w:spacing w:after="0" w:line="231" w:lineRule="auto"/>
        <w:rPr>
          <w:sz w:val="20"/>
          <w:szCs w:val="20"/>
          <w:color w:val="auto"/>
        </w:rPr>
      </w:pPr>
      <w:r>
        <w:rPr>
          <w:rFonts w:ascii="Times New Roman" w:cs="Times New Roman" w:eastAsia="Times New Roman" w:hAnsi="Times New Roman"/>
          <w:sz w:val="22"/>
          <w:szCs w:val="22"/>
          <w:color w:val="auto"/>
        </w:rPr>
        <w:t>Raleigh, NC 27609</w:t>
      </w:r>
    </w:p>
    <w:p>
      <w:pPr>
        <w:ind w:left="1500"/>
        <w:spacing w:after="0" w:line="230" w:lineRule="auto"/>
        <w:rPr>
          <w:sz w:val="20"/>
          <w:szCs w:val="20"/>
          <w:color w:val="auto"/>
        </w:rPr>
      </w:pPr>
      <w:r>
        <w:rPr>
          <w:rFonts w:ascii="Times New Roman" w:cs="Times New Roman" w:eastAsia="Times New Roman" w:hAnsi="Times New Roman"/>
          <w:sz w:val="22"/>
          <w:szCs w:val="22"/>
          <w:color w:val="auto"/>
        </w:rPr>
        <w:t>Attention: Jonathan Tunnicliffe</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Wyrick Robbins Yates &amp; Ponton LLP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4101 Lake Boone Trail, Suite 300</w:t>
      </w:r>
    </w:p>
    <w:p>
      <w:pPr>
        <w:ind w:left="1500"/>
        <w:spacing w:after="0" w:line="230" w:lineRule="auto"/>
        <w:rPr>
          <w:sz w:val="20"/>
          <w:szCs w:val="20"/>
          <w:color w:val="auto"/>
        </w:rPr>
      </w:pPr>
      <w:r>
        <w:rPr>
          <w:rFonts w:ascii="Times New Roman" w:cs="Times New Roman" w:eastAsia="Times New Roman" w:hAnsi="Times New Roman"/>
          <w:sz w:val="22"/>
          <w:szCs w:val="22"/>
          <w:color w:val="auto"/>
        </w:rPr>
        <w:t>Raleigh, NC 27607</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Daniel S. Porper</w:t>
      </w:r>
    </w:p>
    <w:p>
      <w:pPr>
        <w:ind w:left="15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22"/>
          <w:szCs w:val="22"/>
          <w:color w:val="auto"/>
        </w:rPr>
        <w:t>(z)</w:t>
      </w:r>
      <w:r>
        <w:rPr>
          <w:sz w:val="20"/>
          <w:szCs w:val="20"/>
          <w:color w:val="auto"/>
        </w:rPr>
        <w:tab/>
      </w:r>
      <w:r>
        <w:rPr>
          <w:rFonts w:ascii="Times New Roman" w:cs="Times New Roman" w:eastAsia="Times New Roman" w:hAnsi="Times New Roman"/>
          <w:sz w:val="21"/>
          <w:szCs w:val="21"/>
          <w:color w:val="auto"/>
        </w:rPr>
        <w:t>in the case of Hercules Capital, Inc. or Hercules Private Global Venture Growth Fund I L.P.:</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Hercules Capital,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400 Hamilton Avenue, Suite 310</w:t>
      </w:r>
    </w:p>
    <w:p>
      <w:pPr>
        <w:ind w:left="1500"/>
        <w:spacing w:after="0" w:line="230" w:lineRule="auto"/>
        <w:rPr>
          <w:sz w:val="20"/>
          <w:szCs w:val="20"/>
          <w:color w:val="auto"/>
        </w:rPr>
      </w:pPr>
      <w:r>
        <w:rPr>
          <w:rFonts w:ascii="Times New Roman" w:cs="Times New Roman" w:eastAsia="Times New Roman" w:hAnsi="Times New Roman"/>
          <w:sz w:val="22"/>
          <w:szCs w:val="22"/>
          <w:color w:val="auto"/>
        </w:rPr>
        <w:t>Palo Alto, CA 94301</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Chief Legal Officer and Michael Dutra</w:t>
      </w:r>
    </w:p>
    <w:p>
      <w:pPr>
        <w:ind w:left="15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 [***]</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DLA Piper LLP (US)</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401 B Street, Suite 1700</w:t>
      </w:r>
    </w:p>
    <w:p>
      <w:pPr>
        <w:ind w:left="1500"/>
        <w:spacing w:after="0" w:line="230" w:lineRule="auto"/>
        <w:rPr>
          <w:sz w:val="20"/>
          <w:szCs w:val="20"/>
          <w:color w:val="auto"/>
        </w:rPr>
      </w:pPr>
      <w:r>
        <w:rPr>
          <w:rFonts w:ascii="Times New Roman" w:cs="Times New Roman" w:eastAsia="Times New Roman" w:hAnsi="Times New Roman"/>
          <w:sz w:val="22"/>
          <w:szCs w:val="22"/>
          <w:color w:val="auto"/>
        </w:rPr>
        <w:t>San Diego, CA 92101-4297</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Matt Schwartz, Esq.</w:t>
      </w:r>
    </w:p>
    <w:p>
      <w:pPr>
        <w:ind w:left="15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and in all cases with a copy to:</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Pillsbury Winthrop Shaw Pittman LLP</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31 West 52nd Street</w:t>
      </w:r>
    </w:p>
    <w:p>
      <w:pPr>
        <w:ind w:left="840"/>
        <w:spacing w:after="0"/>
        <w:rPr>
          <w:sz w:val="20"/>
          <w:szCs w:val="20"/>
          <w:color w:val="auto"/>
        </w:rPr>
      </w:pPr>
      <w:r>
        <w:rPr>
          <w:rFonts w:ascii="Times New Roman" w:cs="Times New Roman" w:eastAsia="Times New Roman" w:hAnsi="Times New Roman"/>
          <w:sz w:val="22"/>
          <w:szCs w:val="22"/>
          <w:color w:val="auto"/>
        </w:rPr>
        <w:t>New York, NY 10019-6131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00"/>
          </w:cols>
          <w:pgMar w:left="1440" w:top="1408" w:right="1159" w:bottom="1440" w:gutter="0" w:footer="0" w:header="0"/>
        </w:sectPr>
      </w:pPr>
    </w:p>
    <w:bookmarkStart w:id="184" w:name="page185"/>
    <w:bookmarkEnd w:id="184"/>
    <w:p>
      <w:pPr>
        <w:ind w:left="1960"/>
        <w:spacing w:after="0"/>
        <w:rPr>
          <w:sz w:val="20"/>
          <w:szCs w:val="20"/>
          <w:color w:val="auto"/>
        </w:rPr>
      </w:pPr>
      <w:r>
        <w:rPr>
          <w:rFonts w:ascii="Times New Roman" w:cs="Times New Roman" w:eastAsia="Times New Roman" w:hAnsi="Times New Roman"/>
          <w:sz w:val="22"/>
          <w:szCs w:val="22"/>
          <w:color w:val="auto"/>
        </w:rPr>
        <w:t>Attention: Jeffrey J. Delaney and David S. Baxter</w:t>
      </w:r>
    </w:p>
    <w:p>
      <w:pPr>
        <w:spacing w:after="0" w:line="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All notices and communications under this Agreement shall be deemed to have been duly given (i) when delivered by hand, if personally delivered, (ii) when sent, if sent by facsimile, with an acknowledgement of sending being produced by the sending facsimile machine, (iii) when sent, if by email with PDF attachment, with an acknowledgment of receipt being produced by the recipient’s email account, or (iv) one Business Day following sending within the United States by overnight delivery via commercial one-day overnight courier service.</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Except as otherwise provided in the Transaction Documents,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Company shall pay (a) no later than the Business Day following the Funding Date, all documented fees and disbursements of Pillsbury Winthrop Shaw Pittman LLP, counsel for the Initial Investors, in an aggregate amount not to exceed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it being understood that such amount may be increased with the consent of the Company, and (b) all reasonable documented out-of-pocket expenses of the Investors in respect of the Transaction Documents incurred following the Funding Date (including the reasonable documented fees and disbursements of one external counsel per Investor) resulting from any amendment or waiver requested with respect to the Transaction Documents.</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The Company may not assign in whole or in part this Agreement or any of its rights or obligations hereunder except as permitted under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Following the Effective Date, no Investor may assign its obligations to pay its portion of the Investment Amount pursuant to this Agreement to any Person without the Company’s prior written consent, which shall not be unreasonably withheld, conditioned or delayed, unless such assignment is to an Affiliate of an Investor and such Affiliate executes a joinder to this Agreement, in form and substance reasonably acceptable to the Company, and agrees to be an “Investor” for all purposes hereunder. Except as set forth in the prior sentence, an Investor may assign all or any of its rights and/or obligations under the Transaction Documents to any Person without the prior written consent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(x) if such Person is not an Investor, such assignment will be subject to such Person’s execution of a joinder to this Agreement, in form and substance reasonably acceptable to the Company, and agreement to be an “Investor” for all purposes hereunder, and (y) such Person shall not be a Prohibited Assignee. This Agreement shall be binding upon, inure to the benefit of, and be enforceable by, the parties hereto and their respective permitted successors and assigns. Any purported assignment in violation of this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shall be null and void.</w:t>
      </w:r>
    </w:p>
    <w:p>
      <w:pPr>
        <w:spacing w:after="0" w:line="18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The Company shall maintain a register for the recordation of the names and addresses of the Investors, the amount of each portion of the Investment Amount, and the amount of the Royalty Payments paid to each Investor, in the aggregate with respect to all Investment Amounts and individually with respect to each clause of the definition of Investment Amount, in a manner calculated consistent with </w:t>
      </w:r>
      <w:r>
        <w:rPr>
          <w:rFonts w:ascii="Times New Roman" w:cs="Times New Roman" w:eastAsia="Times New Roman" w:hAnsi="Times New Roman"/>
          <w:sz w:val="22"/>
          <w:szCs w:val="22"/>
          <w:u w:val="single" w:color="auto"/>
          <w:color w:val="auto"/>
        </w:rPr>
        <w:t>Section 5.10(b)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Company shall promptly record any assignment by an Investor permitted by this Agreement in the Register. The entries in the Register shall be conclusive absent manifest error, and the Company and the Investors shall treat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5" w:name="page186"/>
    <w:bookmarkEnd w:id="185"/>
    <w:p>
      <w:pPr>
        <w:jc w:val="both"/>
        <w:spacing w:after="0" w:line="244" w:lineRule="auto"/>
        <w:rPr>
          <w:sz w:val="20"/>
          <w:szCs w:val="20"/>
          <w:color w:val="auto"/>
        </w:rPr>
      </w:pPr>
      <w:r>
        <w:rPr>
          <w:rFonts w:ascii="Times New Roman" w:cs="Times New Roman" w:eastAsia="Times New Roman" w:hAnsi="Times New Roman"/>
          <w:sz w:val="22"/>
          <w:szCs w:val="22"/>
          <w:color w:val="auto"/>
        </w:rPr>
        <w:t>each Person whose name is recorded in the Register pursuant to the terms hereof as an Investor hereunder for all purposes of this Agreement. The Register shall be available for inspection by any Investor, at any reasonable time and from time to time upon prior written notice.</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9.5</w:t>
      </w:r>
      <w:r>
        <w:rPr>
          <w:sz w:val="20"/>
          <w:szCs w:val="20"/>
          <w:color w:val="auto"/>
        </w:rPr>
        <w:tab/>
      </w: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57"/>
        <w:spacing w:after="0" w:line="258" w:lineRule="auto"/>
        <w:tabs>
          <w:tab w:leader="none" w:pos="118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amended, modified or supplemented only in a writing signed by all of the parties hereto. Any provision of this Agreement may be waived only in a writing signed by the party hereto granting such waiver.</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Exhibits annexed hereto, the Schedules attached hereto and the Subordination Agreement constitute the entire understanding between the parties hereto with respect to the subject matter hereof and supersede all other understandings and negotiations with respect thereto, including any confidentiality agreement to which the Company (or any Affiliate of the Company), on the one hand, and any Initial Investor (other than Hercules Capital Inc. or any Affiliate thereof), on the other hand, is party or bound, and any such confidentiality agreement is hereby terminated without further force and effect, including any provisions that by the terms thereof would have otherwise survived the termination of such confidentiality agreement.</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9.7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xml:space="preserve">. This Agreement is for the sole benefit of the Company and the Investors 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 party beneficiaries of the benefits provided for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9.8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New York without giving effect to any choice or conflict of law provision or rule that would cause the application of the laws of any other jurisdiction.</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9.9</w:t>
      </w:r>
      <w:r>
        <w:rPr>
          <w:sz w:val="20"/>
          <w:szCs w:val="20"/>
          <w:color w:val="auto"/>
        </w:rPr>
        <w:tab/>
      </w:r>
      <w:r>
        <w:rPr>
          <w:rFonts w:ascii="Times New Roman" w:cs="Times New Roman" w:eastAsia="Times New Roman" w:hAnsi="Times New Roman"/>
          <w:sz w:val="21"/>
          <w:szCs w:val="21"/>
          <w:u w:val="single" w:color="auto"/>
          <w:color w:val="auto"/>
        </w:rPr>
        <w:t>Jurisdiction; Venue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5" w:lineRule="auto"/>
        <w:tabs>
          <w:tab w:leader="none" w:pos="118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INVESTORS AND THE COMPANY HEREBY IRREVOCABLY AND UNCONDITIONALLY AGREE THAT ALL CLAIMS IN RESPECT OF ANY SUCH ACTION OR PROCEEDING MAY BE HEARD AND DETERMINED IN ANY SUCH NEW YORK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6" w:name="page187"/>
    <w:bookmarkEnd w:id="186"/>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STATE COURT OR, TO THE FULLEST EXTENT PERMITTED BY APPLICABLE LAW, IN SUCH FEDERAL COURT. THE INVESTORS AND THE COMPANY HEREBY AGREE THAT A FINAL JUDGMENT IN ANY SUCH ACTION OR PROCEEDING SHALL BE CONCLUSIVE AND MAY BE ENFORCED IN OTHER JURISDICTIONS BY SUIT ON THE JUDGMENT OR IN ANY OTHER MANNER PROVIDED BY APPLICABLE LAW. EACH OF THE INVESTORS AND THE COMPANY HEREBY SUBMITS TO THE EXCLUSIVE PERSONAL JURISDICTION AND VENUE OF SUCH NEW YORK STATE AND FEDERAL COURTS. THE INVESTORS AND THE COMPANY AGREE, TO THE FULLEST EXTENT PERMITTED BY APPLICABLE LAW, THAT PROCESS MAY BE SERVED ON THE INVESTORS OR THE COMPANY IN THE SAME MANNER THAT NOTICES MAY BE GIVEN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HEREOF.</w:t>
      </w:r>
    </w:p>
    <w:p>
      <w:pPr>
        <w:spacing w:after="0" w:line="178" w:lineRule="exact"/>
        <w:rPr>
          <w:sz w:val="20"/>
          <w:szCs w:val="20"/>
          <w:color w:val="auto"/>
        </w:rPr>
      </w:pPr>
    </w:p>
    <w:p>
      <w:pPr>
        <w:jc w:val="both"/>
        <w:ind w:firstLine="757"/>
        <w:spacing w:after="0" w:line="235" w:lineRule="auto"/>
        <w:tabs>
          <w:tab w:leader="none" w:pos="118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INVESTORS AND THE COMPANY HEREBY IRREVOCABLY WAIVES, TO THE FULLEST EXTENT PERMITTED BY APPLICABLE LAW, THE DEFENSE OF AN INCONVENIENT FORUM TO THE MAINTENANCE OF SUCH ACTION OR PROCEEDING IN ANY SUCH COURT.</w:t>
      </w:r>
    </w:p>
    <w:p>
      <w:pPr>
        <w:spacing w:after="0" w:line="18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HEREBY JOINTLY AND SEVERALLY WAIVES ANY AND ALL RIGHT TO TRIAL BY JURY IN ANY ACTION OR PROCEEDING RELATING TO THIS AGREEMENT OR ANY OTHER DOCUMENT DELIVERED HEREUNDER OR IN CONNECTION HEREWITH, OR ANY TRANSACTION ARISING FROM OR CONNECTED TO ANY OF THE FOREGOING. EACH OF THE PARTIES REPRESENTS THAT THIS WAIVER IS KNOWINGLY, WILLINGLY, AND VOLUNTARILY GIVEN.</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any party hereto, all other terms and provisions of this Agreement shall nevertheless remain in full force and effect and the enforceability and validity of the offending term or provision shall not be affected in any other situation or jurisdiction.</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Each of the parties acknowledges and agrees that the other parties would be damaged irreparably in the event any of the provisions of this Agreement are not performed in accordance with their specific terms or otherwise are breached or violated. Accordingly, each of the parties agrees that, without posting bond or other undertaking, the other parties will be entitled to seek an injunction or injunctions to prevent breaches or violations of the provisions of this Agreement and to seek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7" w:name="page188"/>
    <w:bookmarkEnd w:id="187"/>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and by the parties hereto in separate counterparts, each of which when so executed shall be deemed to be an original and all of which taken together shall constitute one and the same agreement. The words “execution”, “signed” and “signature” and words of like import in this Agreement or in any other certificate, agreement or document related to this Agreement (to the extent permissible under governing documents) shall include images of manually executed signatures transmitted by facsimile or other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Electronic Signatures in Global and National Commerce Act, the New York State Electronic Signatures and Records Act and any other applicable law, including any state law based on the Uniform Electronic Transactions Act or the Uniform Commercial Code. The foregoing shall apply to each other Transaction Document mutatis mutandis.</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9.13 </w:t>
      </w:r>
      <w:r>
        <w:rPr>
          <w:rFonts w:ascii="Times New Roman" w:cs="Times New Roman" w:eastAsia="Times New Roman" w:hAnsi="Times New Roman"/>
          <w:sz w:val="22"/>
          <w:szCs w:val="22"/>
          <w:u w:val="single" w:color="auto"/>
          <w:color w:val="auto"/>
        </w:rPr>
        <w:t>Subordination Agreement</w:t>
      </w:r>
      <w:r>
        <w:rPr>
          <w:rFonts w:ascii="Times New Roman" w:cs="Times New Roman" w:eastAsia="Times New Roman" w:hAnsi="Times New Roman"/>
          <w:sz w:val="22"/>
          <w:szCs w:val="22"/>
          <w:color w:val="auto"/>
        </w:rPr>
        <w:t>. Notwithstanding anything to the contrary herein, the security interest granted to the Investors and their successors and assigns pursuant to this Agreement and the exercise of any right or remedy by the Investors and their respective successors and assigns hereunder are subject to the provisions of the Subordination Agreement.</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Relationship of the Parties</w:t>
      </w:r>
      <w:r>
        <w:rPr>
          <w:rFonts w:ascii="Times New Roman" w:cs="Times New Roman" w:eastAsia="Times New Roman" w:hAnsi="Times New Roman"/>
          <w:sz w:val="22"/>
          <w:szCs w:val="22"/>
          <w:color w:val="auto"/>
        </w:rPr>
        <w:t>. The relationship between the Investors and the Company is solely that of a borrower and lender, and neither the Investors nor the Company has any fiduciary or other special relationship with the other party or any of its affiliates. This Agreement is not a partnership or similar agreement, and nothing contained herein shall be deemed to constitute the Investors and the Company as a partnership, an association, a joint venture or any other kind of entity or legal form for any purposes, including any Tax purposes. The Investors and the Company agree that they shall not take any inconsistent position with respect to such treatment in a filing with any Governmental Entity.</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9.15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rights and remedies of the parties under this Agreement are cumulative and not alternative. Neither the failure nor any delay by any party in exercising any right, power or privilege under this Agreement will operate as a waiver of such right, power or privilege, and no single or partial exercise of such right, power or privilege will preclude any other or further exercise of such right, power or privilege or the exercise of any other right, power or privilege. Unless specifically and expressly stated in this Agreement as exclusive, each remedy of the parties specified in this Agreement is not exclusive, and, subject to the terms of this Agreement, the parties shall be entitled to pursue any available legal or equitable remedy for breach of this Agreement or any provision hereof.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8" w:name="page189"/>
    <w:bookmarkEnd w:id="188"/>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and delivered by their respective representatives thereunto duly authorized as of the date first above written.</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PHATHOM PHARMACEUTICALS, INC.</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0972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Terrie Curran</w:t>
      </w:r>
    </w:p>
    <w:p>
      <w:pPr>
        <w:ind w:left="4940"/>
        <w:spacing w:after="0" w:line="230" w:lineRule="auto"/>
        <w:rPr>
          <w:sz w:val="20"/>
          <w:szCs w:val="20"/>
          <w:color w:val="auto"/>
        </w:rPr>
      </w:pPr>
      <w:r>
        <w:rPr>
          <w:rFonts w:ascii="Times New Roman" w:cs="Times New Roman" w:eastAsia="Times New Roman" w:hAnsi="Times New Roman"/>
          <w:sz w:val="22"/>
          <w:szCs w:val="22"/>
          <w:color w:val="auto"/>
        </w:rPr>
        <w:t>Title:  President and</w:t>
      </w:r>
    </w:p>
    <w:p>
      <w:pPr>
        <w:spacing w:after="0" w:line="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408" w:right="999" w:bottom="1440" w:gutter="0" w:footer="0" w:header="0"/>
        </w:sectPr>
      </w:pPr>
    </w:p>
    <w:bookmarkStart w:id="189" w:name="page190"/>
    <w:bookmarkEnd w:id="189"/>
    <w:p>
      <w:pPr>
        <w:ind w:left="414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NQ PROJECT PHARAOH, L.P.</w:t>
      </w:r>
    </w:p>
    <w:p>
      <w:pPr>
        <w:spacing w:after="0" w:line="1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By: NQ POF V GP, Ltd., its general partner</w:t>
      </w:r>
    </w:p>
    <w:p>
      <w:pPr>
        <w:spacing w:after="0" w:line="200" w:lineRule="exact"/>
        <w:rPr>
          <w:sz w:val="20"/>
          <w:szCs w:val="20"/>
          <w:color w:val="auto"/>
        </w:rPr>
      </w:pPr>
    </w:p>
    <w:p>
      <w:pPr>
        <w:spacing w:after="0" w:line="26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 /s/ John L.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-13970</wp:posOffset>
            </wp:positionV>
            <wp:extent cx="13716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4580"/>
        <w:spacing w:after="0"/>
        <w:rPr>
          <w:sz w:val="20"/>
          <w:szCs w:val="20"/>
          <w:color w:val="auto"/>
        </w:rPr>
      </w:pPr>
      <w:r>
        <w:rPr>
          <w:rFonts w:ascii="Times New Roman" w:cs="Times New Roman" w:eastAsia="Times New Roman" w:hAnsi="Times New Roman"/>
          <w:sz w:val="22"/>
          <w:szCs w:val="22"/>
          <w:color w:val="auto"/>
        </w:rPr>
        <w:t>Name: John L. Bradley, Jr.</w:t>
      </w:r>
    </w:p>
    <w:p>
      <w:pPr>
        <w:ind w:left="4580"/>
        <w:spacing w:after="0"/>
        <w:rPr>
          <w:sz w:val="20"/>
          <w:szCs w:val="20"/>
          <w:color w:val="auto"/>
        </w:rPr>
      </w:pPr>
      <w:r>
        <w:rPr>
          <w:rFonts w:ascii="Times New Roman" w:cs="Times New Roman" w:eastAsia="Times New Roman" w:hAnsi="Times New Roman"/>
          <w:sz w:val="22"/>
          <w:szCs w:val="22"/>
          <w:color w:val="auto"/>
        </w:rPr>
        <w:t>Title: Director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716280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04" w:right="1440" w:bottom="1440" w:gutter="0" w:footer="0" w:header="0"/>
        </w:sectPr>
      </w:pPr>
    </w:p>
    <w:bookmarkStart w:id="190" w:name="page191"/>
    <w:bookmarkEnd w:id="190"/>
    <w:p>
      <w:pPr>
        <w:ind w:left="414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SAGARD HEALTHCARE ROYALTY PARTNERS, LP</w:t>
      </w:r>
    </w:p>
    <w:p>
      <w:pPr>
        <w:spacing w:after="0" w:line="1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 Sagard Healthcare Royalty Partners GP LLC, its general partner</w:t>
      </w:r>
    </w:p>
    <w:p>
      <w:pPr>
        <w:spacing w:after="0" w:line="20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 /s/ Jason Sneah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-13970</wp:posOffset>
            </wp:positionV>
            <wp:extent cx="10972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580"/>
        <w:spacing w:after="0"/>
        <w:rPr>
          <w:sz w:val="20"/>
          <w:szCs w:val="20"/>
          <w:color w:val="auto"/>
        </w:rPr>
      </w:pPr>
      <w:r>
        <w:rPr>
          <w:rFonts w:ascii="Times New Roman" w:cs="Times New Roman" w:eastAsia="Times New Roman" w:hAnsi="Times New Roman"/>
          <w:sz w:val="22"/>
          <w:szCs w:val="22"/>
          <w:color w:val="auto"/>
        </w:rPr>
        <w:t>Name: Jason Sneah</w:t>
      </w:r>
    </w:p>
    <w:p>
      <w:pPr>
        <w:ind w:left="4580"/>
        <w:spacing w:after="0"/>
        <w:rPr>
          <w:sz w:val="20"/>
          <w:szCs w:val="20"/>
          <w:color w:val="auto"/>
        </w:rPr>
      </w:pPr>
      <w:r>
        <w:rPr>
          <w:rFonts w:ascii="Times New Roman" w:cs="Times New Roman" w:eastAsia="Times New Roman" w:hAnsi="Times New Roman"/>
          <w:sz w:val="22"/>
          <w:szCs w:val="22"/>
          <w:color w:val="auto"/>
        </w:rPr>
        <w:t>Title: Manager</w:t>
      </w:r>
    </w:p>
    <w:p>
      <w:pPr>
        <w:spacing w:after="0" w:line="18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 /s/ Adam Vigna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-13970</wp:posOffset>
            </wp:positionV>
            <wp:extent cx="10972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580"/>
        <w:spacing w:after="0"/>
        <w:rPr>
          <w:sz w:val="20"/>
          <w:szCs w:val="20"/>
          <w:color w:val="auto"/>
        </w:rPr>
      </w:pPr>
      <w:r>
        <w:rPr>
          <w:rFonts w:ascii="Times New Roman" w:cs="Times New Roman" w:eastAsia="Times New Roman" w:hAnsi="Times New Roman"/>
          <w:sz w:val="22"/>
          <w:szCs w:val="22"/>
          <w:color w:val="auto"/>
        </w:rPr>
        <w:t>Name: Adam Vigna</w:t>
      </w:r>
    </w:p>
    <w:p>
      <w:pPr>
        <w:ind w:left="4580"/>
        <w:spacing w:after="0"/>
        <w:rPr>
          <w:sz w:val="20"/>
          <w:szCs w:val="20"/>
          <w:color w:val="auto"/>
        </w:rPr>
      </w:pPr>
      <w:r>
        <w:rPr>
          <w:rFonts w:ascii="Times New Roman" w:cs="Times New Roman" w:eastAsia="Times New Roman" w:hAnsi="Times New Roman"/>
          <w:sz w:val="22"/>
          <w:szCs w:val="22"/>
          <w:color w:val="auto"/>
        </w:rPr>
        <w:t>Title: Chief Investment Officer</w:t>
      </w:r>
    </w:p>
    <w:p>
      <w:pPr>
        <w:spacing w:after="0" w:line="182" w:lineRule="exact"/>
        <w:rPr>
          <w:sz w:val="20"/>
          <w:szCs w:val="20"/>
          <w:color w:val="auto"/>
        </w:rPr>
      </w:pPr>
    </w:p>
    <w:p>
      <w:pPr>
        <w:ind w:left="4140"/>
        <w:spacing w:after="0" w:line="258" w:lineRule="auto"/>
        <w:rPr>
          <w:sz w:val="20"/>
          <w:szCs w:val="20"/>
          <w:color w:val="auto"/>
        </w:rPr>
      </w:pPr>
      <w:r>
        <w:rPr>
          <w:rFonts w:ascii="Times New Roman" w:cs="Times New Roman" w:eastAsia="Times New Roman" w:hAnsi="Times New Roman"/>
          <w:sz w:val="22"/>
          <w:szCs w:val="22"/>
          <w:color w:val="auto"/>
        </w:rPr>
        <w:t>SAGARD HEALTHCARE PARTNERS CO-INVEST DESIGNATED ACTIVITY COMPANY</w:t>
      </w:r>
    </w:p>
    <w:p>
      <w:pPr>
        <w:spacing w:after="0" w:line="200" w:lineRule="exact"/>
        <w:rPr>
          <w:sz w:val="20"/>
          <w:szCs w:val="20"/>
          <w:color w:val="auto"/>
        </w:rPr>
      </w:pPr>
    </w:p>
    <w:p>
      <w:pPr>
        <w:spacing w:after="0" w:line="2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 /s/ Kate Macken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-13970</wp:posOffset>
            </wp:positionV>
            <wp:extent cx="10972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580"/>
        <w:spacing w:after="0"/>
        <w:rPr>
          <w:sz w:val="20"/>
          <w:szCs w:val="20"/>
          <w:color w:val="auto"/>
        </w:rPr>
      </w:pPr>
      <w:r>
        <w:rPr>
          <w:rFonts w:ascii="Times New Roman" w:cs="Times New Roman" w:eastAsia="Times New Roman" w:hAnsi="Times New Roman"/>
          <w:sz w:val="22"/>
          <w:szCs w:val="22"/>
          <w:color w:val="auto"/>
        </w:rPr>
        <w:t>Name: Kate Macken</w:t>
      </w:r>
    </w:p>
    <w:p>
      <w:pPr>
        <w:ind w:left="45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Lisa Martensson</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 Lisa Martensson</w:t>
      </w:r>
    </w:p>
    <w:p>
      <w:pPr>
        <w:ind w:left="4580"/>
        <w:spacing w:after="0"/>
        <w:rPr>
          <w:sz w:val="20"/>
          <w:szCs w:val="20"/>
          <w:color w:val="auto"/>
        </w:rPr>
      </w:pPr>
      <w:r>
        <w:rPr>
          <w:rFonts w:ascii="Times New Roman" w:cs="Times New Roman" w:eastAsia="Times New Roman" w:hAnsi="Times New Roman"/>
          <w:sz w:val="22"/>
          <w:szCs w:val="22"/>
          <w:color w:val="auto"/>
        </w:rPr>
        <w:t>Title: Director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716280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680" w:top="1404" w:right="919" w:bottom="1440" w:gutter="0" w:footer="0" w:header="0"/>
        </w:sectPr>
      </w:pPr>
    </w:p>
    <w:bookmarkStart w:id="191" w:name="page192"/>
    <w:bookmarkEnd w:id="191"/>
    <w:p>
      <w:pPr>
        <w:ind w:left="414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HERCULES CAPITAL, INC.</w:t>
      </w:r>
    </w:p>
    <w:p>
      <w:pPr>
        <w:spacing w:after="0" w:line="200" w:lineRule="exact"/>
        <w:rPr>
          <w:sz w:val="20"/>
          <w:szCs w:val="20"/>
          <w:color w:val="auto"/>
        </w:rPr>
      </w:pPr>
    </w:p>
    <w:p>
      <w:pPr>
        <w:spacing w:after="0" w:line="27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Seth Meyer</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 Seth Meyer</w:t>
      </w:r>
    </w:p>
    <w:p>
      <w:pPr>
        <w:ind w:left="458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18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HERCULES PRIVATE GLOBAL VENTURE GROWTH FUND I L.P.</w:t>
      </w:r>
    </w:p>
    <w:p>
      <w:pPr>
        <w:spacing w:after="0" w:line="2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 Hercules Adviser LLC, its Investment Adviser</w:t>
      </w:r>
    </w:p>
    <w:p>
      <w:pPr>
        <w:spacing w:after="0" w:line="20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Seth Meyer</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 Seth Meyer</w:t>
      </w:r>
    </w:p>
    <w:p>
      <w:pPr>
        <w:ind w:left="45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716280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680" w:top="1404" w:right="819" w:bottom="1440" w:gutter="0" w:footer="0" w:header="0"/>
        </w:sectPr>
      </w:pPr>
    </w:p>
    <w:bookmarkStart w:id="192" w:name="page193"/>
    <w:bookmarkEnd w:id="192"/>
    <w:p>
      <w:pPr>
        <w:ind w:left="3380"/>
        <w:spacing w:after="0"/>
        <w:rPr>
          <w:sz w:val="20"/>
          <w:szCs w:val="20"/>
          <w:color w:val="auto"/>
        </w:rPr>
      </w:pPr>
      <w:r>
        <w:rPr>
          <w:rFonts w:ascii="Times New Roman" w:cs="Times New Roman" w:eastAsia="Times New Roman" w:hAnsi="Times New Roman"/>
          <w:sz w:val="22"/>
          <w:szCs w:val="22"/>
          <w:color w:val="auto"/>
        </w:rPr>
        <w:t>Exhibit A</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Subordination Agreement</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1026795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93" w:name="page194"/>
    <w:bookmarkEnd w:id="193"/>
    <w:p>
      <w:pPr>
        <w:ind w:left="3380"/>
        <w:spacing w:after="0"/>
        <w:rPr>
          <w:sz w:val="20"/>
          <w:szCs w:val="20"/>
          <w:color w:val="auto"/>
        </w:rPr>
      </w:pPr>
      <w:r>
        <w:rPr>
          <w:rFonts w:ascii="Times New Roman" w:cs="Times New Roman" w:eastAsia="Times New Roman" w:hAnsi="Times New Roman"/>
          <w:sz w:val="22"/>
          <w:szCs w:val="22"/>
          <w:color w:val="auto"/>
        </w:rPr>
        <w:t>Exhibit B</w:t>
      </w:r>
    </w:p>
    <w:p>
      <w:pPr>
        <w:spacing w:after="0" w:line="206"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22"/>
          <w:szCs w:val="22"/>
          <w:color w:val="auto"/>
        </w:rPr>
        <w:t>Hercules Consent</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1026795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22"/>
          <w:szCs w:val="22"/>
          <w:color w:val="auto"/>
        </w:rPr>
        <w:t>Schedule 1.1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Initial Investors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1592580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21"/>
          <w:szCs w:val="21"/>
          <w:color w:val="auto"/>
        </w:rPr>
        <w:t>Schedule 4.1(k)(i)(A)</w:t>
      </w:r>
    </w:p>
    <w:p>
      <w:pPr>
        <w:sectPr>
          <w:pgSz w:w="11900" w:h="16838" w:orient="portrait"/>
          <w:cols w:equalWidth="0" w:num="1">
            <w:col w:w="9019"/>
          </w:cols>
          <w:pgMar w:left="1440" w:top="1408"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Patent Rights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1026795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type w:val="continuous"/>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21"/>
          <w:szCs w:val="21"/>
          <w:color w:val="auto"/>
        </w:rPr>
        <w:t>Schedule 4.1(l)</w:t>
      </w:r>
    </w:p>
    <w:p>
      <w:pPr>
        <w:sectPr>
          <w:pgSz w:w="11900" w:h="16838" w:orient="portrait"/>
          <w:cols w:equalWidth="0" w:num="1">
            <w:col w:w="9019"/>
          </w:cols>
          <w:pgMar w:left="1440" w:top="1408"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Indebtedness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1026795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type w:val="continuous"/>
        </w:sectPr>
      </w:pPr>
    </w:p>
    <w:bookmarkStart w:id="197" w:name="page198"/>
    <w:bookmarkEnd w:id="197"/>
    <w:p>
      <w:pPr>
        <w:ind w:left="9940"/>
        <w:spacing w:after="0"/>
        <w:rPr>
          <w:sz w:val="20"/>
          <w:szCs w:val="20"/>
          <w:color w:val="auto"/>
        </w:rPr>
      </w:pPr>
      <w:r>
        <w:rPr>
          <w:rFonts w:ascii="Times New Roman" w:cs="Times New Roman" w:eastAsia="Times New Roman" w:hAnsi="Times New Roman"/>
          <w:sz w:val="22"/>
          <w:szCs w:val="22"/>
          <w:color w:val="auto"/>
        </w:rPr>
        <w:t>Exhibit 10.38</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FIFTH AMENDMENT TO LOAN AND SECURITY AGREEMENT</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THIS FIFTH AMENDMENT TO LOAN AND SECURITY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February 25, 2026, is entered into by and among (a) PHATHOM PHARMACEUTICALS, INC., a Delaware corporation (“</w:t>
      </w:r>
      <w:r>
        <w:rPr>
          <w:rFonts w:ascii="Times New Roman" w:cs="Times New Roman" w:eastAsia="Times New Roman" w:hAnsi="Times New Roman"/>
          <w:sz w:val="20"/>
          <w:szCs w:val="20"/>
          <w:u w:val="single" w:color="auto"/>
          <w:color w:val="auto"/>
        </w:rPr>
        <w:t>Phathom</w:t>
      </w:r>
      <w:r>
        <w:rPr>
          <w:rFonts w:ascii="Times New Roman" w:cs="Times New Roman" w:eastAsia="Times New Roman" w:hAnsi="Times New Roman"/>
          <w:sz w:val="20"/>
          <w:szCs w:val="20"/>
          <w:color w:val="auto"/>
        </w:rPr>
        <w:t>”), (b) each of its Subsidiaries from time to time party to the Loan Agreement (as defined below) as borrower (together with Phathom, individually or collectively, as the context may require,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(c) the several banks and other financial institutions or entities parties to this Amendment as “Existing Lenders” (collectively, referred to as the “</w:t>
      </w:r>
      <w:r>
        <w:rPr>
          <w:rFonts w:ascii="Times New Roman" w:cs="Times New Roman" w:eastAsia="Times New Roman" w:hAnsi="Times New Roman"/>
          <w:sz w:val="20"/>
          <w:szCs w:val="20"/>
          <w:u w:val="single" w:color="auto"/>
          <w:color w:val="auto"/>
        </w:rPr>
        <w:t>Existing Lenders</w:t>
      </w:r>
      <w:r>
        <w:rPr>
          <w:rFonts w:ascii="Times New Roman" w:cs="Times New Roman" w:eastAsia="Times New Roman" w:hAnsi="Times New Roman"/>
          <w:sz w:val="20"/>
          <w:szCs w:val="20"/>
          <w:color w:val="auto"/>
        </w:rPr>
        <w:t>”), (d) the several banks and other financial institutions or entities parties to this Amendment as “New Lenders” (individually, a “</w:t>
      </w:r>
      <w:r>
        <w:rPr>
          <w:rFonts w:ascii="Times New Roman" w:cs="Times New Roman" w:eastAsia="Times New Roman" w:hAnsi="Times New Roman"/>
          <w:sz w:val="20"/>
          <w:szCs w:val="20"/>
          <w:u w:val="single" w:color="auto"/>
          <w:color w:val="auto"/>
        </w:rPr>
        <w:t>New Lender</w:t>
      </w:r>
      <w:r>
        <w:rPr>
          <w:rFonts w:ascii="Times New Roman" w:cs="Times New Roman" w:eastAsia="Times New Roman" w:hAnsi="Times New Roman"/>
          <w:sz w:val="20"/>
          <w:szCs w:val="20"/>
          <w:color w:val="auto"/>
        </w:rPr>
        <w:t>”, and collectively, referred to as the “</w:t>
      </w:r>
      <w:r>
        <w:rPr>
          <w:rFonts w:ascii="Times New Roman" w:cs="Times New Roman" w:eastAsia="Times New Roman" w:hAnsi="Times New Roman"/>
          <w:sz w:val="20"/>
          <w:szCs w:val="20"/>
          <w:u w:val="single" w:color="auto"/>
          <w:color w:val="auto"/>
        </w:rPr>
        <w:t>New Lenders</w:t>
      </w:r>
      <w:r>
        <w:rPr>
          <w:rFonts w:ascii="Times New Roman" w:cs="Times New Roman" w:eastAsia="Times New Roman" w:hAnsi="Times New Roman"/>
          <w:sz w:val="20"/>
          <w:szCs w:val="20"/>
          <w:color w:val="auto"/>
        </w:rPr>
        <w:t>”; together with the Existing Lenders,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collectively, referred to as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(e) HERCULES CAPITAL, INC., a Maryland corporation, in its capacity as administrative agent and collateral agent for itself and the Lenders (as defined in the Loan Agreement) (together with its successors and assigns, in such capacity,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57"/>
        <w:spacing w:after="0" w:line="244" w:lineRule="auto"/>
        <w:tabs>
          <w:tab w:leader="none" w:pos="10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Lenders and the Agent are parties to that certain Loan and Security Agreement, dated as of September 17, 2021 (as amended by that certain Consent and First Amendment to Loan and Security Agreement dated as of May 3, 2022, as further amended by that certain Second Amendment to Loan and Security Agreement dated as of September 26, 2022, as further amended by that certain Third Amendment to Loan and Security Agreement dated as of May 9, 2023, as further amended by that certain Fourth Amendment to Loan and Security Agreement dated as of December 14, 2023, and as further amended, restated, supplemented or otherwise modified from time to time prior to the date of this Amendment,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The Lenders have extended credit to Borrower for the purposes permitted in the Loan Agreement.</w:t>
      </w:r>
    </w:p>
    <w:p>
      <w:pPr>
        <w:spacing w:after="0" w:line="185" w:lineRule="exact"/>
        <w:rPr>
          <w:rFonts w:ascii="Times New Roman" w:cs="Times New Roman" w:eastAsia="Times New Roman" w:hAnsi="Times New Roman"/>
          <w:sz w:val="18"/>
          <w:szCs w:val="18"/>
          <w:color w:val="auto"/>
        </w:rPr>
      </w:pPr>
    </w:p>
    <w:p>
      <w:pPr>
        <w:jc w:val="both"/>
        <w:ind w:firstLine="757"/>
        <w:spacing w:after="0" w:line="245" w:lineRule="auto"/>
        <w:tabs>
          <w:tab w:leader="none" w:pos="10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has requested that Agent and the Lenders amend the Loan Agreement to (i) incorporate a new tranche to fund a Term Loan Advance of One Hundred Seventy-Five Million Dollars ($175,000,000) to repay a portion of the Secured Obligations outstanding under the Loan Agreement as of the Fifth Amendment Effective Date (immediately prior to the drawdown of such Term Loan Advance), and (ii) make certain other revisions to the Loan Agreement as more fully set forth herein. Agent and Lenders have agreed to so amend certain provisions of the Loan Agreement, but only to the extent, in accordance with the terms, subject to the conditions and in reliance upon the representations and warranties set forth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9"/>
          <w:szCs w:val="19"/>
          <w:b w:val="1"/>
          <w:bCs w:val="1"/>
          <w:color w:val="auto"/>
        </w:rPr>
        <w:t>Definitions; Interpretation.</w:t>
      </w:r>
    </w:p>
    <w:p>
      <w:pPr>
        <w:spacing w:after="0" w:line="227" w:lineRule="exact"/>
        <w:rPr>
          <w:sz w:val="20"/>
          <w:szCs w:val="20"/>
          <w:color w:val="auto"/>
        </w:rPr>
      </w:pPr>
    </w:p>
    <w:p>
      <w:pPr>
        <w:ind w:left="1020" w:hanging="26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Terms Defined in Loan Agreement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18"/>
          <w:szCs w:val="18"/>
          <w:color w:val="auto"/>
        </w:rPr>
      </w:pPr>
    </w:p>
    <w:p>
      <w:pPr>
        <w:ind w:firstLine="1505"/>
        <w:spacing w:after="0" w:line="269" w:lineRule="auto"/>
        <w:tabs>
          <w:tab w:leader="none" w:pos="203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capitalized terms used in this Amendment (including in the recitals hereof) and not otherwise defined herein shall have the meanings assigned to them in the Loan Agreement (as amended by this Amendment).</w:t>
      </w:r>
    </w:p>
    <w:p>
      <w:pPr>
        <w:spacing w:after="0" w:line="159"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18"/>
          <w:szCs w:val="18"/>
          <w:color w:val="auto"/>
        </w:rPr>
      </w:pPr>
    </w:p>
    <w:p>
      <w:pPr>
        <w:jc w:val="both"/>
        <w:ind w:firstLine="1505"/>
        <w:spacing w:after="0" w:line="254" w:lineRule="auto"/>
        <w:tabs>
          <w:tab w:leader="none" w:pos="203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Fifth Amendment Disbursement Time</w:t>
      </w:r>
      <w:r>
        <w:rPr>
          <w:rFonts w:ascii="Times New Roman" w:cs="Times New Roman" w:eastAsia="Times New Roman" w:hAnsi="Times New Roman"/>
          <w:sz w:val="20"/>
          <w:szCs w:val="20"/>
          <w:color w:val="auto"/>
        </w:rPr>
        <w:t>” means the time at which the Secured Obligations outstanding under the Loan Agreement as of the Fifth Amendment Effective Date (as determined immediately prior to the drawdown of the Tranche VII Advance) are repaid in full.</w:t>
      </w:r>
    </w:p>
    <w:p>
      <w:pPr>
        <w:spacing w:after="0" w:line="17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VII Advance</w:t>
      </w:r>
      <w:r>
        <w:rPr>
          <w:rFonts w:ascii="Times New Roman" w:cs="Times New Roman" w:eastAsia="Times New Roman" w:hAnsi="Times New Roman"/>
          <w:sz w:val="20"/>
          <w:szCs w:val="20"/>
          <w:color w:val="auto"/>
        </w:rPr>
        <w:t>” shall have the meaning assigned to such term in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98" w:name="page199"/>
    <w:bookmarkEnd w:id="198"/>
    <w:p>
      <w:pPr>
        <w:ind w:firstLine="757"/>
        <w:spacing w:after="0" w:line="273" w:lineRule="auto"/>
        <w:tabs>
          <w:tab w:leader="none" w:pos="10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Rules of Construction</w:t>
      </w:r>
      <w:r>
        <w:rPr>
          <w:rFonts w:ascii="Times New Roman" w:cs="Times New Roman" w:eastAsia="Times New Roman" w:hAnsi="Times New Roman"/>
          <w:sz w:val="20"/>
          <w:szCs w:val="20"/>
          <w:color w:val="auto"/>
        </w:rPr>
        <w:t>. The rules of construction in Section 1.2 of the Loan Agreement shall be applicable to this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are incorporated herein by this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9"/>
          <w:szCs w:val="19"/>
          <w:b w:val="1"/>
          <w:bCs w:val="1"/>
          <w:color w:val="auto"/>
        </w:rPr>
        <w:t>Amendments to the Loan Agreement.</w:t>
      </w:r>
    </w:p>
    <w:p>
      <w:pPr>
        <w:spacing w:after="0" w:line="231" w:lineRule="exact"/>
        <w:rPr>
          <w:sz w:val="20"/>
          <w:szCs w:val="20"/>
          <w:color w:val="auto"/>
        </w:rPr>
      </w:pPr>
    </w:p>
    <w:p>
      <w:pPr>
        <w:ind w:left="1020" w:hanging="263"/>
        <w:spacing w:after="0"/>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Upon the occurrence of the Fifth Amendment Effective Date, the Loan Agreement is hereby amended as follows:</w:t>
      </w:r>
    </w:p>
    <w:p>
      <w:pPr>
        <w:spacing w:after="0" w:line="21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New Definition</w:t>
      </w:r>
      <w:r>
        <w:rPr>
          <w:rFonts w:ascii="Times New Roman" w:cs="Times New Roman" w:eastAsia="Times New Roman" w:hAnsi="Times New Roman"/>
          <w:sz w:val="20"/>
          <w:szCs w:val="20"/>
          <w:color w:val="auto"/>
        </w:rPr>
        <w:t>.  The following definitions are added to Section 1.1 of the Loan Agreement in their proper</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alphabetical order:</w:t>
      </w:r>
    </w:p>
    <w:p>
      <w:pPr>
        <w:spacing w:after="0" w:line="1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has the meaning assigned to such term in the Fifth Amendment.</w:t>
      </w:r>
    </w:p>
    <w:p>
      <w:pPr>
        <w:spacing w:after="0" w:line="216" w:lineRule="exact"/>
        <w:rPr>
          <w:sz w:val="20"/>
          <w:szCs w:val="20"/>
          <w:color w:val="auto"/>
        </w:rPr>
      </w:pPr>
    </w:p>
    <w:p>
      <w:pPr>
        <w:jc w:val="both"/>
        <w:ind w:left="15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Fifth Amendment</w:t>
      </w:r>
      <w:r>
        <w:rPr>
          <w:rFonts w:ascii="Times New Roman" w:cs="Times New Roman" w:eastAsia="Times New Roman" w:hAnsi="Times New Roman"/>
          <w:sz w:val="20"/>
          <w:szCs w:val="20"/>
          <w:color w:val="auto"/>
        </w:rPr>
        <w:t>” means that certain Fifth Amendment to Loan and Security Agreement, dated as of February 25, 2026, by and among the Borrower, the Agent and the Lenders party thereto.</w:t>
      </w:r>
    </w:p>
    <w:p>
      <w:pPr>
        <w:spacing w:after="0" w:line="15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Fifth Amendment Effective Date</w:t>
      </w:r>
      <w:r>
        <w:rPr>
          <w:rFonts w:ascii="Times New Roman" w:cs="Times New Roman" w:eastAsia="Times New Roman" w:hAnsi="Times New Roman"/>
          <w:sz w:val="20"/>
          <w:szCs w:val="20"/>
          <w:color w:val="auto"/>
        </w:rPr>
        <w:t>” has the meaning assigned to such term in the Fifth Amendment.</w:t>
      </w:r>
    </w:p>
    <w:p>
      <w:pPr>
        <w:spacing w:after="0" w:line="216" w:lineRule="exact"/>
        <w:rPr>
          <w:sz w:val="20"/>
          <w:szCs w:val="20"/>
          <w:color w:val="auto"/>
        </w:rPr>
      </w:pPr>
    </w:p>
    <w:p>
      <w:pPr>
        <w:jc w:val="both"/>
        <w:ind w:left="150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VII Commitment</w:t>
      </w:r>
      <w:r>
        <w:rPr>
          <w:rFonts w:ascii="Times New Roman" w:cs="Times New Roman" w:eastAsia="Times New Roman" w:hAnsi="Times New Roman"/>
          <w:sz w:val="20"/>
          <w:szCs w:val="20"/>
          <w:color w:val="auto"/>
        </w:rPr>
        <w:t>” means, as to any Lender, the obligation of such Lender, if any, to make a Tranche VII Advance to Borrower in a principal amount not to exceed the amount set forth under the heading “Tranche VII Commitment” opposite such Lender’s name on Schedule 1.1(a) to the Amended Credit Agreement.</w:t>
      </w:r>
    </w:p>
    <w:p>
      <w:pPr>
        <w:spacing w:after="0" w:line="174" w:lineRule="exact"/>
        <w:rPr>
          <w:sz w:val="20"/>
          <w:szCs w:val="20"/>
          <w:color w:val="auto"/>
        </w:rPr>
      </w:pPr>
    </w:p>
    <w:p>
      <w:pPr>
        <w:ind w:left="2040" w:hanging="535"/>
        <w:spacing w:after="0"/>
        <w:tabs>
          <w:tab w:leader="none" w:pos="20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Tranche VII Commitment</w:t>
      </w:r>
      <w:r>
        <w:rPr>
          <w:rFonts w:ascii="Times New Roman" w:cs="Times New Roman" w:eastAsia="Times New Roman" w:hAnsi="Times New Roman"/>
          <w:sz w:val="20"/>
          <w:szCs w:val="20"/>
          <w:color w:val="auto"/>
        </w:rPr>
        <w:t>.  The following new Section 2.1(a)(vii) of the Loan Agreement is hereby added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Agreement:</w:t>
      </w:r>
    </w:p>
    <w:p>
      <w:pPr>
        <w:spacing w:after="0" w:line="190" w:lineRule="exact"/>
        <w:rPr>
          <w:sz w:val="20"/>
          <w:szCs w:val="20"/>
          <w:color w:val="auto"/>
        </w:rPr>
      </w:pPr>
    </w:p>
    <w:p>
      <w:pPr>
        <w:jc w:val="both"/>
        <w:ind w:left="1500" w:firstLine="749"/>
        <w:spacing w:after="0" w:line="247" w:lineRule="auto"/>
        <w:rPr>
          <w:sz w:val="20"/>
          <w:szCs w:val="20"/>
          <w:color w:val="auto"/>
        </w:rPr>
      </w:pPr>
      <w:r>
        <w:rPr>
          <w:rFonts w:ascii="Times New Roman" w:cs="Times New Roman" w:eastAsia="Times New Roman" w:hAnsi="Times New Roman"/>
          <w:sz w:val="20"/>
          <w:szCs w:val="20"/>
          <w:color w:val="auto"/>
        </w:rPr>
        <w:t xml:space="preserve">“(vii) </w:t>
      </w:r>
      <w:r>
        <w:rPr>
          <w:rFonts w:ascii="Times New Roman" w:cs="Times New Roman" w:eastAsia="Times New Roman" w:hAnsi="Times New Roman"/>
          <w:sz w:val="20"/>
          <w:szCs w:val="20"/>
          <w:i w:val="1"/>
          <w:iCs w:val="1"/>
          <w:color w:val="auto"/>
        </w:rPr>
        <w:t>Tranche VII.</w:t>
      </w:r>
      <w:r>
        <w:rPr>
          <w:rFonts w:ascii="Times New Roman" w:cs="Times New Roman" w:eastAsia="Times New Roman" w:hAnsi="Times New Roman"/>
          <w:sz w:val="20"/>
          <w:szCs w:val="20"/>
          <w:color w:val="auto"/>
        </w:rPr>
        <w:t xml:space="preserve"> Subject to the terms and conditions of this Agreement, on the Fifth Amendment Effective Date, Lenders will severally (and not jointly) make in accordance with their Tranche VII Commitments, and Borrower agrees to draw, a Term Loan Advance in an aggregate principal amount equal to of One Hundred Seventy-Five Million Dollars ($175,000,000) to repay a portion of the Secured Obligations outstanding under this Agreement as of the Fifth Amendment Effective Date (as determined immediately prior to the drawdown of this Term Loan Advance).”</w:t>
      </w:r>
    </w:p>
    <w:p>
      <w:pPr>
        <w:spacing w:after="0" w:line="180" w:lineRule="exact"/>
        <w:rPr>
          <w:sz w:val="20"/>
          <w:szCs w:val="20"/>
          <w:color w:val="auto"/>
        </w:rPr>
      </w:pPr>
    </w:p>
    <w:p>
      <w:pPr>
        <w:jc w:val="both"/>
        <w:ind w:firstLine="757"/>
        <w:spacing w:after="0" w:line="256" w:lineRule="auto"/>
        <w:tabs>
          <w:tab w:leader="none" w:pos="10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References Within Loan Agreement</w:t>
      </w:r>
      <w:r>
        <w:rPr>
          <w:rFonts w:ascii="Times New Roman" w:cs="Times New Roman" w:eastAsia="Times New Roman" w:hAnsi="Times New Roman"/>
          <w:sz w:val="20"/>
          <w:szCs w:val="20"/>
          <w:color w:val="auto"/>
        </w:rPr>
        <w:t>. Each reference in the Loan Agreement to “this Agreement” and the words “hereof,”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 “hereunder”, or words of like import, shall mean and be a reference to the Loan Agreement as amended by this Amendment. This Amendment shall be a Loan Document.</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9"/>
          <w:szCs w:val="19"/>
          <w:b w:val="1"/>
          <w:bCs w:val="1"/>
          <w:color w:val="auto"/>
        </w:rPr>
        <w:t>Amendments to the Agreement</w:t>
      </w:r>
      <w:r>
        <w:rPr>
          <w:rFonts w:ascii="Times New Roman" w:cs="Times New Roman" w:eastAsia="Times New Roman" w:hAnsi="Times New Roman"/>
          <w:sz w:val="19"/>
          <w:szCs w:val="19"/>
          <w:color w:val="auto"/>
        </w:rPr>
        <w:t>. Upon the occurrence of the Fifth Amendment Disbursement Time, the Loan Agreement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 xml:space="preserve">hereby amended by (i) deleting the stricken text (indicated textually in 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xml:space="preserve">), and (ii) adding the double underlined text (indicated textually in the same manner as the following example: </w:t>
      </w:r>
      <w:r>
        <w:rPr>
          <w:rFonts w:ascii="Times New Roman" w:cs="Times New Roman" w:eastAsia="Times New Roman" w:hAnsi="Times New Roman"/>
          <w:sz w:val="19"/>
          <w:szCs w:val="19"/>
          <w:u w:val="single" w:color="auto"/>
          <w:color w:val="0070C0"/>
        </w:rPr>
        <w:t>double-underlined text</w:t>
      </w:r>
      <w:r>
        <w:rPr>
          <w:rFonts w:ascii="Times New Roman" w:cs="Times New Roman" w:eastAsia="Times New Roman" w:hAnsi="Times New Roman"/>
          <w:sz w:val="19"/>
          <w:szCs w:val="19"/>
          <w:color w:val="auto"/>
        </w:rPr>
        <w:t xml:space="preserve">) as set forth in the amended Agreement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Amended Credit Agreement</w:t>
      </w:r>
      <w:r>
        <w:rPr>
          <w:rFonts w:ascii="Times New Roman" w:cs="Times New Roman" w:eastAsia="Times New Roman" w:hAnsi="Times New Roman"/>
          <w:sz w:val="19"/>
          <w:szCs w:val="19"/>
          <w:color w:val="auto"/>
        </w:rPr>
        <w:t xml:space="preserve">”). For the avoidance of doubt, the Amended Credit Agreement will supersede the amendments set forth in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above.</w:t>
      </w:r>
    </w:p>
    <w:p>
      <w:pPr>
        <w:spacing w:after="0" w:line="200" w:lineRule="exact"/>
        <w:rPr>
          <w:sz w:val="20"/>
          <w:szCs w:val="20"/>
          <w:color w:val="auto"/>
        </w:rPr>
      </w:pPr>
    </w:p>
    <w:p>
      <w:pPr>
        <w:spacing w:after="0" w:line="36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9" w:name="page200"/>
    <w:bookmarkEnd w:id="199"/>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9"/>
          <w:szCs w:val="19"/>
          <w:b w:val="1"/>
          <w:bCs w:val="1"/>
          <w:color w:val="auto"/>
        </w:rPr>
        <w:t>Tranche VII Facility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Borrower will pay to Agent, for the ratable account of the Lenders (after giving effect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drawdown of the Tranche VII Advance and the other transactions contemplated under this Amendment), a facility fee (the “</w:t>
      </w:r>
      <w:r>
        <w:rPr>
          <w:rFonts w:ascii="Times New Roman" w:cs="Times New Roman" w:eastAsia="Times New Roman" w:hAnsi="Times New Roman"/>
          <w:sz w:val="19"/>
          <w:szCs w:val="19"/>
          <w:u w:val="single" w:color="auto"/>
          <w:color w:val="auto"/>
        </w:rPr>
        <w:t>Tranche VII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Facility Fee</w:t>
      </w:r>
      <w:r>
        <w:rPr>
          <w:rFonts w:ascii="Times New Roman" w:cs="Times New Roman" w:eastAsia="Times New Roman" w:hAnsi="Times New Roman"/>
          <w:sz w:val="19"/>
          <w:szCs w:val="19"/>
          <w:color w:val="auto"/>
        </w:rPr>
        <w:t>”) equal to One Million Seven Hundred Fifty Thousand Dollars ($1,750,000). The Tranche VII Facility Fee shall be fully earned, due and payable on the Fifth Amendment Effective Date.</w:t>
      </w:r>
    </w:p>
    <w:p>
      <w:pPr>
        <w:spacing w:after="0" w:line="15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9"/>
          <w:szCs w:val="19"/>
          <w:b w:val="1"/>
          <w:bCs w:val="1"/>
          <w:color w:val="auto"/>
        </w:rPr>
        <w:t>Conditions of Effectiveness</w:t>
      </w:r>
      <w:r>
        <w:rPr>
          <w:rFonts w:ascii="Times New Roman" w:cs="Times New Roman" w:eastAsia="Times New Roman" w:hAnsi="Times New Roman"/>
          <w:sz w:val="19"/>
          <w:szCs w:val="19"/>
          <w:color w:val="auto"/>
        </w:rPr>
        <w:t>. The effectiveness of this Amendment (the “</w:t>
      </w:r>
      <w:r>
        <w:rPr>
          <w:rFonts w:ascii="Times New Roman" w:cs="Times New Roman" w:eastAsia="Times New Roman" w:hAnsi="Times New Roman"/>
          <w:sz w:val="19"/>
          <w:szCs w:val="19"/>
          <w:u w:val="single" w:color="auto"/>
          <w:color w:val="auto"/>
        </w:rPr>
        <w:t>Fifth Amendment Effective Date</w:t>
      </w:r>
      <w:r>
        <w:rPr>
          <w:rFonts w:ascii="Times New Roman" w:cs="Times New Roman" w:eastAsia="Times New Roman" w:hAnsi="Times New Roman"/>
          <w:sz w:val="19"/>
          <w:szCs w:val="19"/>
          <w:color w:val="auto"/>
        </w:rPr>
        <w:t>”) shall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Agent’s receipt of the following documents, in form and substance satisfactory to Agent, or, as applicable, the following conditions being met:</w:t>
      </w:r>
    </w:p>
    <w:p>
      <w:pPr>
        <w:spacing w:after="0" w:line="384" w:lineRule="exact"/>
        <w:rPr>
          <w:sz w:val="20"/>
          <w:szCs w:val="20"/>
          <w:color w:val="auto"/>
        </w:rPr>
      </w:pPr>
    </w:p>
    <w:p>
      <w:pPr>
        <w:ind w:left="1020" w:hanging="263"/>
        <w:spacing w:after="0"/>
        <w:tabs>
          <w:tab w:leader="none" w:pos="1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Amendment, executed by Agent, each Lender and Borrower;</w:t>
      </w:r>
    </w:p>
    <w:p>
      <w:pPr>
        <w:spacing w:after="0" w:line="21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Updated Perfection Certificate, executed by Borrower;</w:t>
      </w:r>
    </w:p>
    <w:p>
      <w:pPr>
        <w:spacing w:after="0" w:line="21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Fifth Amendment Supplemental IPSA, executed by Borrower;</w:t>
      </w:r>
    </w:p>
    <w:p>
      <w:pPr>
        <w:spacing w:after="0" w:line="21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updated Performance Covenant C Schedule;</w:t>
      </w:r>
    </w:p>
    <w:p>
      <w:pPr>
        <w:spacing w:after="0" w:line="21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shall have submitted an Advance Request for the Tranche VII Advance (as defined in the Amended Credit</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Agreement);</w:t>
      </w:r>
    </w:p>
    <w:p>
      <w:pPr>
        <w:spacing w:after="0" w:line="193" w:lineRule="exact"/>
        <w:rPr>
          <w:rFonts w:ascii="Times New Roman" w:cs="Times New Roman" w:eastAsia="Times New Roman" w:hAnsi="Times New Roman"/>
          <w:sz w:val="18"/>
          <w:szCs w:val="18"/>
          <w:color w:val="auto"/>
        </w:rPr>
      </w:pPr>
    </w:p>
    <w:p>
      <w:pPr>
        <w:jc w:val="both"/>
        <w:ind w:firstLine="757"/>
        <w:spacing w:after="0" w:line="244" w:lineRule="auto"/>
        <w:tabs>
          <w:tab w:leader="none" w:pos="101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shall have paid (i) the Tranche VII Facility Fee, (ii) all other amounts such that the Secured Obligations outstanding under the Loan Agreement as of the Fifth Amendment Effective Date (as determined immediately prior to the drawdown of the Tranche VII Advance) are repaid in full on the Fifth Amendment Effective Date, except for any Prepayment Charge owing to Lenders (other than Sagard Healthcare Partners (Delaware), LP (“</w:t>
      </w:r>
      <w:r>
        <w:rPr>
          <w:rFonts w:ascii="Times New Roman" w:cs="Times New Roman" w:eastAsia="Times New Roman" w:hAnsi="Times New Roman"/>
          <w:sz w:val="20"/>
          <w:szCs w:val="20"/>
          <w:u w:val="single" w:color="auto"/>
          <w:color w:val="auto"/>
        </w:rPr>
        <w:t>Sagard</w:t>
      </w:r>
      <w:r>
        <w:rPr>
          <w:rFonts w:ascii="Times New Roman" w:cs="Times New Roman" w:eastAsia="Times New Roman" w:hAnsi="Times New Roman"/>
          <w:sz w:val="20"/>
          <w:szCs w:val="20"/>
          <w:color w:val="auto"/>
        </w:rPr>
        <w:t xml:space="preserve">”)) in connection therewith, which the Lenders (other than Sagard) hereby waives, (iii) without duplication of amounts owing under </w:t>
      </w:r>
      <w:r>
        <w:rPr>
          <w:rFonts w:ascii="Times New Roman" w:cs="Times New Roman" w:eastAsia="Times New Roman" w:hAnsi="Times New Roman"/>
          <w:sz w:val="20"/>
          <w:szCs w:val="20"/>
          <w:u w:val="single" w:color="auto"/>
          <w:color w:val="auto"/>
        </w:rPr>
        <w:t>clause (f)(ii)</w:t>
      </w:r>
      <w:r>
        <w:rPr>
          <w:rFonts w:ascii="Times New Roman" w:cs="Times New Roman" w:eastAsia="Times New Roman" w:hAnsi="Times New Roman"/>
          <w:sz w:val="20"/>
          <w:szCs w:val="20"/>
          <w:color w:val="auto"/>
        </w:rPr>
        <w:t xml:space="preserve"> above, an End of Term Charge of Eleven Million Five Hundred Thousand Dollars ($11,500,000) owed to the Lenders on the Fifth Amendment Effective Date, (iv) all invoiced costs and expenses then due in accordance with </w:t>
      </w:r>
      <w:r>
        <w:rPr>
          <w:rFonts w:ascii="Times New Roman" w:cs="Times New Roman" w:eastAsia="Times New Roman" w:hAnsi="Times New Roman"/>
          <w:sz w:val="20"/>
          <w:szCs w:val="20"/>
          <w:u w:val="single" w:color="auto"/>
          <w:color w:val="auto"/>
        </w:rPr>
        <w:t>Section 11(d)</w:t>
      </w:r>
      <w:r>
        <w:rPr>
          <w:rFonts w:ascii="Times New Roman" w:cs="Times New Roman" w:eastAsia="Times New Roman" w:hAnsi="Times New Roman"/>
          <w:sz w:val="20"/>
          <w:szCs w:val="20"/>
          <w:color w:val="auto"/>
        </w:rPr>
        <w:t>, and (v) all other fees, costs and expenses, if any, due and payable as of the date hereof under the Loan Agreement;</w:t>
      </w:r>
    </w:p>
    <w:p>
      <w:pPr>
        <w:spacing w:after="0" w:line="185" w:lineRule="exact"/>
        <w:rPr>
          <w:rFonts w:ascii="Times New Roman" w:cs="Times New Roman" w:eastAsia="Times New Roman" w:hAnsi="Times New Roman"/>
          <w:sz w:val="18"/>
          <w:szCs w:val="18"/>
          <w:color w:val="auto"/>
        </w:rPr>
      </w:pPr>
    </w:p>
    <w:p>
      <w:pPr>
        <w:ind w:firstLine="757"/>
        <w:spacing w:after="0" w:line="269" w:lineRule="auto"/>
        <w:tabs>
          <w:tab w:leader="none" w:pos="101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 flow of funds statement demonstrating that, among other things, the payments due and owing from Borrower under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above shall be paid on the Fifth Amendment Effective Date;</w:t>
      </w:r>
    </w:p>
    <w:p>
      <w:pPr>
        <w:spacing w:after="0" w:line="159" w:lineRule="exact"/>
        <w:rPr>
          <w:rFonts w:ascii="Times New Roman" w:cs="Times New Roman" w:eastAsia="Times New Roman" w:hAnsi="Times New Roman"/>
          <w:sz w:val="18"/>
          <w:szCs w:val="18"/>
          <w:color w:val="auto"/>
        </w:rPr>
      </w:pPr>
    </w:p>
    <w:p>
      <w:pPr>
        <w:jc w:val="both"/>
        <w:ind w:firstLine="757"/>
        <w:spacing w:after="0" w:line="246" w:lineRule="auto"/>
        <w:tabs>
          <w:tab w:leader="none" w:pos="101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copies, certified in a certificate executed by a duly authorized officer of Borrower to be true and complete as of the date hereof, of each of (A) the governing documents of Borrower as in effect on the date hereof, (B) the resolutions of Borrower authorizing the execution and delivery of this Amendment, the other documents executed in connection herewith and Borrower’s performance of all of the transactions contemplated hereby, and (C) an incumbency certificate giving the name and bearing a specimen signature of each individual who shall be so authorized on behalf of Borrower,</w:t>
      </w:r>
    </w:p>
    <w:p>
      <w:pPr>
        <w:spacing w:after="0" w:line="184"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good standing certificate of Borrower, certified by the Secretary of State of Delaware, dated as of a date no earlier than thirty</w:t>
      </w:r>
    </w:p>
    <w:p>
      <w:pPr>
        <w:spacing w:after="0" w:line="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prior to the date hereof;</w:t>
      </w:r>
    </w:p>
    <w:p>
      <w:pPr>
        <w:spacing w:after="0" w:line="193"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certified copies, dated as of a recent date, of financing statement and other lien searches of Borrower, as Agent may request and which shall be obtained by Agent, accompanied by written evidence (including any UCC termination statements) that the Liens revealed in any such searches either (i) will be terminated prior to or in connection with the execution of this Amendment, or (ii) in the sole discretion of Agent, will constitute Permitted Liens;</w:t>
      </w:r>
    </w:p>
    <w:p>
      <w:pPr>
        <w:spacing w:after="0" w:line="200" w:lineRule="exact"/>
        <w:rPr>
          <w:sz w:val="20"/>
          <w:szCs w:val="20"/>
          <w:color w:val="auto"/>
        </w:rPr>
      </w:pPr>
    </w:p>
    <w:p>
      <w:pPr>
        <w:spacing w:after="0" w:line="3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0" w:name="page201"/>
    <w:bookmarkEnd w:id="200"/>
    <w:p>
      <w:pPr>
        <w:ind w:firstLine="757"/>
        <w:spacing w:after="0" w:line="269" w:lineRule="auto"/>
        <w:tabs>
          <w:tab w:leader="none" w:pos="10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evidence reasonably satisfactory to Agent that the insurance policies required for Borrower are in full force and effect, together with appropriate evidence showing lender loss payable, notice of cancellation, and additional insured clauses in favor of Agent; and</w:t>
      </w:r>
    </w:p>
    <w:p>
      <w:pPr>
        <w:spacing w:after="0" w:line="15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on the Fifth Amendment Effective Date, immediately after giving effect to the amendment of the Loan Agreement contemplated</w:t>
      </w:r>
    </w:p>
    <w:p>
      <w:pPr>
        <w:spacing w:after="0" w:line="3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hereby:</w:t>
      </w:r>
    </w:p>
    <w:p>
      <w:pPr>
        <w:spacing w:after="0" w:line="193" w:lineRule="exact"/>
        <w:rPr>
          <w:rFonts w:ascii="Times New Roman" w:cs="Times New Roman" w:eastAsia="Times New Roman" w:hAnsi="Times New Roman"/>
          <w:sz w:val="17"/>
          <w:szCs w:val="17"/>
          <w:color w:val="auto"/>
        </w:rPr>
      </w:pPr>
    </w:p>
    <w:p>
      <w:pPr>
        <w:ind w:right="20" w:firstLine="1505"/>
        <w:spacing w:after="0" w:line="269" w:lineRule="auto"/>
        <w:tabs>
          <w:tab w:leader="none" w:pos="203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representations and warranties contained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shall be true and correct on and as of the Fifth Amendment Effective Date as though made on and as of such date; and</w:t>
      </w:r>
    </w:p>
    <w:p>
      <w:pPr>
        <w:spacing w:after="0" w:line="159"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exist no Events of Default or events that with the passage of time would result in an Event of Default.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9"/>
          <w:szCs w:val="19"/>
          <w:b w:val="1"/>
          <w:bCs w:val="1"/>
          <w:color w:val="auto"/>
        </w:rPr>
        <w:t>Post-Closing Conditions.</w:t>
      </w:r>
    </w:p>
    <w:p>
      <w:pPr>
        <w:spacing w:after="0" w:line="231" w:lineRule="exact"/>
        <w:rPr>
          <w:sz w:val="20"/>
          <w:szCs w:val="20"/>
          <w:color w:val="auto"/>
        </w:rPr>
      </w:pPr>
    </w:p>
    <w:p>
      <w:pPr>
        <w:jc w:val="both"/>
        <w:ind w:firstLine="757"/>
        <w:spacing w:after="0" w:line="254" w:lineRule="auto"/>
        <w:tabs>
          <w:tab w:leader="none" w:pos="10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later than thirty (30) days after the Fifth Amendment Effective Date (or such later date that is acceptable to Agent), Borrower shall deliver to Agent lender loss payable, notice of cancellation, and additional insured endorsements naming Agent for the insurance policies required under the Loan Agreement.</w:t>
      </w:r>
    </w:p>
    <w:p>
      <w:pPr>
        <w:spacing w:after="0" w:line="174"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later than sixty (60) days after the Fifth Amendment Effective Date (or such later date that is acceptable to Agent), Borrower shall deliver to Agent an Account Control Agreement, in form and substance reasonably satisfactory to Agent, for the accounts disclosed in the Updated Perfection Certificate ending in account numbers 1311 and 1368.</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9"/>
          <w:szCs w:val="19"/>
          <w:b w:val="1"/>
          <w:bCs w:val="1"/>
          <w:color w:val="auto"/>
        </w:rPr>
        <w:t>Representations and Warranties</w:t>
      </w:r>
      <w:r>
        <w:rPr>
          <w:rFonts w:ascii="Times New Roman" w:cs="Times New Roman" w:eastAsia="Times New Roman" w:hAnsi="Times New Roman"/>
          <w:sz w:val="19"/>
          <w:szCs w:val="19"/>
          <w:color w:val="auto"/>
        </w:rPr>
        <w:t>. To induce Agent and Lenders to enter into this Amendment, Borrower hereby confirms,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 xml:space="preserve">of the date hereof, that the representations and warranties made by it in Section 5 of the Loan Agreement and in the other Loan Documents are true and correct in all material respects;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such materiality qualifier shall not be applicable to any representations and warranties that already are qualified or modified by materiality in the text thereof;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to the extent such representations and warranties by their terms expressly relate only to a prior date such representations and warranties shall be true and correct as of such prior date, and (a) that no Event of Default has occurred and is continuing; (b) that there has not been and there does not exist a Material Adverse Effect; (c) Lenders have and shall continue to have valid, enforceable and perfected first-priority liens, subject only to Permitted Liens, on and security interests in the Collateral and all other collateral heretofore granted by Borrower to Lenders, pursuant to the Loan Documents or otherwise granted to or held by Lenders; (d) 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and (e) 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 For the purposes of this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each reference in Section 5 of the Loan Agreement to “this Agreement,” and the words “hereof”, “herein”, “hereunder”, or words of like import in such Section, shall mean and be a reference to the Loan Agreement as amended by this Amendment. For the avoidance of doubt, each Lender party to this Amendment confirms that it has waived in full any Prepayment Charge owing to such Lender directly arising from the repayment in full of the Secured Obligations on the Fifth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1" w:name="page202"/>
    <w:bookmarkEnd w:id="201"/>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In consideration of the agreements of Agent and each Lender contained herein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consideration, the receipt and sufficiency of which are hereby acknowledged, Borrower, on behalf of itself and its successors, assigns, and other legal representatives, hereby to the extent possible under applicable law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Lenders and all such other persons being hereinafter referred to collectively as the “</w:t>
      </w:r>
      <w:r>
        <w:rPr>
          <w:rFonts w:ascii="Times New Roman" w:cs="Times New Roman" w:eastAsia="Times New Roman" w:hAnsi="Times New Roman"/>
          <w:sz w:val="19"/>
          <w:szCs w:val="19"/>
          <w:u w:val="single" w:color="auto"/>
          <w:color w:val="auto"/>
        </w:rPr>
        <w:t>Releasees</w:t>
      </w:r>
      <w:r>
        <w:rPr>
          <w:rFonts w:ascii="Times New Roman" w:cs="Times New Roman" w:eastAsia="Times New Roman" w:hAnsi="Times New Roman"/>
          <w:sz w:val="19"/>
          <w:szCs w:val="19"/>
          <w:color w:val="auto"/>
        </w:rPr>
        <w:t>” and individually as a “</w:t>
      </w:r>
      <w:r>
        <w:rPr>
          <w:rFonts w:ascii="Times New Roman" w:cs="Times New Roman" w:eastAsia="Times New Roman" w:hAnsi="Times New Roman"/>
          <w:sz w:val="19"/>
          <w:szCs w:val="19"/>
          <w:u w:val="single" w:color="auto"/>
          <w:color w:val="auto"/>
        </w:rPr>
        <w:t>Releasee</w:t>
      </w:r>
      <w:r>
        <w:rPr>
          <w:rFonts w:ascii="Times New Roman" w:cs="Times New Roman" w:eastAsia="Times New Roman" w:hAnsi="Times New Roman"/>
          <w:sz w:val="19"/>
          <w:szCs w:val="19"/>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for or on account of, or in relation to, or in any way in connection with the Loan Agreement, or any of the other Loan Documents or transactions thereunder 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w:t>
      </w: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9"/>
          <w:szCs w:val="19"/>
          <w:b w:val="1"/>
          <w:bCs w:val="1"/>
          <w:color w:val="auto"/>
        </w:rPr>
        <w:t>Updated Perfection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In connection with this Amendment, Borrower has delivered an updated Perfection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Updated Perfection Certificate</w:t>
      </w:r>
      <w:r>
        <w:rPr>
          <w:rFonts w:ascii="Times New Roman" w:cs="Times New Roman" w:eastAsia="Times New Roman" w:hAnsi="Times New Roman"/>
          <w:sz w:val="19"/>
          <w:szCs w:val="19"/>
          <w:color w:val="auto"/>
        </w:rPr>
        <w:t>”). Borrower and Agent acknowledge and agree that, from and after the date of this Amendment, each reference in the Loan Documents to the “Perfection Certificate” shall be deemed to be a reference to the Updated Perfection Certificate. Borrower acknowledges, confirms and agrees the disclosures and information Borrower provided to Agent in the Updated Perfection Certificate have not changed as of the date hereof.</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9"/>
          <w:szCs w:val="19"/>
          <w:b w:val="1"/>
          <w:bCs w:val="1"/>
          <w:color w:val="auto"/>
        </w:rPr>
        <w:t>Lender Joinder Clause.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Effective as of the Fifth Amendment Effective Date, each New Lender: (a) becomes a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under the Loan Agreement and each other Loan Document, with all the rights, remedies, protections, indemnities and obligations of a Lender thereunder, as if an original signatory thereto, and agrees to be bound by the Loan Agreement and each other Loan Document to which the Lenders are party; and (b) appoints and authorizes Agent to take such action as administrative agent and collateral agent on its behalf and to exercise such powers and perform such duties as are delegated to Agent under the Loan Documents, together with such powers as are reasonably incidental thereto.</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9"/>
          <w:szCs w:val="19"/>
          <w:b w:val="1"/>
          <w:bCs w:val="1"/>
          <w:color w:val="auto"/>
        </w:rPr>
        <w:t>Miscellaneous.</w:t>
      </w:r>
    </w:p>
    <w:p>
      <w:pPr>
        <w:spacing w:after="0" w:line="227" w:lineRule="exact"/>
        <w:rPr>
          <w:sz w:val="20"/>
          <w:szCs w:val="20"/>
          <w:color w:val="auto"/>
        </w:rPr>
      </w:pPr>
    </w:p>
    <w:p>
      <w:pPr>
        <w:ind w:left="1020" w:hanging="263"/>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Loan Documents Otherwise Not Affected; Reaffirmation; No Novation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18"/>
          <w:szCs w:val="18"/>
          <w:color w:val="auto"/>
        </w:rPr>
      </w:pPr>
    </w:p>
    <w:p>
      <w:pPr>
        <w:jc w:val="both"/>
        <w:ind w:firstLine="1505"/>
        <w:spacing w:after="0" w:line="249" w:lineRule="auto"/>
        <w:tabs>
          <w:tab w:leader="none" w:pos="203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expressly amended pursuant hereto or referenced herein, the Loan Agreement and the other Loan Documents shall remain unchanged and in full force and effect and are hereby ratified and confirmed in all respects. The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79" w:lineRule="exact"/>
        <w:rPr>
          <w:rFonts w:ascii="Times New Roman" w:cs="Times New Roman" w:eastAsia="Times New Roman" w:hAnsi="Times New Roman"/>
          <w:sz w:val="18"/>
          <w:szCs w:val="18"/>
          <w:color w:val="auto"/>
        </w:rPr>
      </w:pPr>
    </w:p>
    <w:p>
      <w:pPr>
        <w:ind w:firstLine="1505"/>
        <w:spacing w:after="0" w:line="269" w:lineRule="auto"/>
        <w:tabs>
          <w:tab w:leader="none" w:pos="203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hereby expressly (1) reaffirms, ratifies and confirms its Secured Obligations under the Loan Agreement and the other Loan Documents, (2) reaffirms, ratifies and confirms</w:t>
      </w:r>
    </w:p>
    <w:p>
      <w:pPr>
        <w:spacing w:after="0" w:line="200" w:lineRule="exact"/>
        <w:rPr>
          <w:sz w:val="20"/>
          <w:szCs w:val="20"/>
          <w:color w:val="auto"/>
        </w:rPr>
      </w:pPr>
    </w:p>
    <w:p>
      <w:pPr>
        <w:spacing w:after="0" w:line="36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02" w:name="page203"/>
    <w:bookmarkEnd w:id="202"/>
    <w:p>
      <w:pPr>
        <w:jc w:val="both"/>
        <w:spacing w:after="0" w:line="245" w:lineRule="auto"/>
        <w:rPr>
          <w:sz w:val="20"/>
          <w:szCs w:val="20"/>
          <w:color w:val="auto"/>
        </w:rPr>
      </w:pPr>
      <w:r>
        <w:rPr>
          <w:rFonts w:ascii="Times New Roman" w:cs="Times New Roman" w:eastAsia="Times New Roman" w:hAnsi="Times New Roman"/>
          <w:sz w:val="20"/>
          <w:szCs w:val="20"/>
          <w:color w:val="auto"/>
        </w:rPr>
        <w:t>the grant of security under Section 3 of the Loan Agreement, (3) reaffirms that such grant of security in the Collateral secures all Secured Obligations under the Loan Agreement, and with effect from (and including) the Fifth Amendment Effective Date, such grant of security in the Collateral: (x) remains in full force and effect notwithstanding the amendments expressly referenced herein; and (y) secures all Secured Obligations under the Loan Agreement, as amended by this Amendment, and the other Loan Documents, (4) agrees that this Amendment shall be a “Loan Document” under the Loan Agreement, and (5) agrees that the Loan Agreement and each other Loan Document shall remain in full force and effect following any action contemplated in connection herewith.</w:t>
      </w:r>
    </w:p>
    <w:p>
      <w:pPr>
        <w:spacing w:after="0" w:line="184" w:lineRule="exact"/>
        <w:rPr>
          <w:sz w:val="20"/>
          <w:szCs w:val="20"/>
          <w:color w:val="auto"/>
        </w:rPr>
      </w:pPr>
    </w:p>
    <w:p>
      <w:pPr>
        <w:jc w:val="both"/>
        <w:ind w:firstLine="1505"/>
        <w:spacing w:after="0" w:line="246" w:lineRule="auto"/>
        <w:tabs>
          <w:tab w:leader="none" w:pos="203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Lenders) security titles to or other liens on any Collateral for the Secured Obligations.</w:t>
      </w:r>
    </w:p>
    <w:p>
      <w:pPr>
        <w:spacing w:after="0" w:line="180" w:lineRule="exact"/>
        <w:rPr>
          <w:rFonts w:ascii="Times New Roman" w:cs="Times New Roman" w:eastAsia="Times New Roman" w:hAnsi="Times New Roman"/>
          <w:sz w:val="18"/>
          <w:szCs w:val="18"/>
          <w:color w:val="auto"/>
        </w:rPr>
      </w:pPr>
    </w:p>
    <w:p>
      <w:pPr>
        <w:jc w:val="both"/>
        <w:ind w:firstLine="757"/>
        <w:spacing w:after="0" w:line="250" w:lineRule="auto"/>
        <w:tabs>
          <w:tab w:leader="none" w:pos="10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For purposes of determining compliance with the conditions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each Lender that has signed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shall be deemed to have consented to, approved or accepted or to be satisfied with, each document or other matter required thereunder to be consented to or approved by or acceptable or satisfactory to the Lenders unless Agent shall have received notice from such Lender prior to the date hereof specifying its objection thereto.</w:t>
      </w:r>
    </w:p>
    <w:p>
      <w:pPr>
        <w:spacing w:after="0" w:line="175"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No Reliance</w:t>
      </w:r>
      <w:r>
        <w:rPr>
          <w:rFonts w:ascii="Times New Roman" w:cs="Times New Roman" w:eastAsia="Times New Roman" w:hAnsi="Times New Roman"/>
          <w:sz w:val="20"/>
          <w:szCs w:val="20"/>
          <w:color w:val="auto"/>
        </w:rPr>
        <w:t>. Borrower hereby acknowledges and confirms to Agent and Lenders that Borrower is executing this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basis of its own investigation and for its own reasons without reliance upon any agreement, representation, understanding or communication by or on behalf of any other Person.</w:t>
      </w:r>
    </w:p>
    <w:p>
      <w:pPr>
        <w:spacing w:after="0" w:line="168" w:lineRule="exact"/>
        <w:rPr>
          <w:rFonts w:ascii="Times New Roman" w:cs="Times New Roman" w:eastAsia="Times New Roman" w:hAnsi="Times New Roman"/>
          <w:sz w:val="18"/>
          <w:szCs w:val="18"/>
          <w:color w:val="auto"/>
        </w:rPr>
      </w:pPr>
    </w:p>
    <w:p>
      <w:pPr>
        <w:jc w:val="both"/>
        <w:ind w:firstLine="757"/>
        <w:spacing w:after="0" w:line="250" w:lineRule="auto"/>
        <w:tabs>
          <w:tab w:leader="none" w:pos="10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Costs and Expenses</w:t>
      </w:r>
      <w:r>
        <w:rPr>
          <w:rFonts w:ascii="Times New Roman" w:cs="Times New Roman" w:eastAsia="Times New Roman" w:hAnsi="Times New Roman"/>
          <w:sz w:val="20"/>
          <w:szCs w:val="20"/>
          <w:color w:val="auto"/>
        </w:rPr>
        <w:t>. Borrower agrees to pay to Agent on the date hereof the out-of-pocket costs and expenses of Agent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Lender party hereto, and the documented out-of-pocket fees and disbursements of counsel to Agent and each Lender party hereto in connection with the negotiation, preparation, execution and delivery of this Amendment and any other documents to be delivered in connection herewith on the date hereof.</w:t>
      </w:r>
    </w:p>
    <w:p>
      <w:pPr>
        <w:spacing w:after="0" w:line="17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This Amendment binds and is for the benefit of the successors and permitted assigns of each party.</w:t>
      </w:r>
    </w:p>
    <w:p>
      <w:pPr>
        <w:spacing w:after="0" w:line="215"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AMENDMENT AND THE OTHER LOAN DOCUMENTS SHALL BE GOVERNED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AND ENFORCED IN ACCORDANCE WITH, THE LAWS OF THE STATE OF CALIFORNIA, EXCLUDING CONFLICT OF LAWS PRINCIPLES THAT WOULD CAUSE THE APPLICATION OF LAWS OF ANY OTHER JURISDICTION.</w:t>
      </w:r>
    </w:p>
    <w:p>
      <w:pPr>
        <w:spacing w:after="0" w:line="168" w:lineRule="exact"/>
        <w:rPr>
          <w:rFonts w:ascii="Times New Roman" w:cs="Times New Roman" w:eastAsia="Times New Roman" w:hAnsi="Times New Roman"/>
          <w:sz w:val="18"/>
          <w:szCs w:val="18"/>
          <w:color w:val="auto"/>
        </w:rPr>
      </w:pPr>
    </w:p>
    <w:p>
      <w:pPr>
        <w:jc w:val="both"/>
        <w:ind w:firstLine="757"/>
        <w:spacing w:after="0" w:line="250" w:lineRule="auto"/>
        <w:tabs>
          <w:tab w:leader="none" w:pos="10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Complete Agreement; Amendments</w:t>
      </w:r>
      <w:r>
        <w:rPr>
          <w:rFonts w:ascii="Times New Roman" w:cs="Times New Roman" w:eastAsia="Times New Roman" w:hAnsi="Times New Roman"/>
          <w:sz w:val="20"/>
          <w:szCs w:val="20"/>
          <w:color w:val="auto"/>
        </w:rPr>
        <w:t>. This Amendment and the Loan Documents represent the entire agreement about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75" w:lineRule="exact"/>
        <w:rPr>
          <w:rFonts w:ascii="Times New Roman" w:cs="Times New Roman" w:eastAsia="Times New Roman" w:hAnsi="Times New Roman"/>
          <w:sz w:val="18"/>
          <w:szCs w:val="18"/>
          <w:color w:val="auto"/>
        </w:rPr>
      </w:pPr>
    </w:p>
    <w:p>
      <w:pPr>
        <w:ind w:firstLine="757"/>
        <w:spacing w:after="0" w:line="273" w:lineRule="auto"/>
        <w:tabs>
          <w:tab w:leader="none" w:pos="10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Severability of Provisions. </w:t>
      </w:r>
      <w:r>
        <w:rPr>
          <w:rFonts w:ascii="Times New Roman" w:cs="Times New Roman" w:eastAsia="Times New Roman" w:hAnsi="Times New Roman"/>
          <w:sz w:val="20"/>
          <w:szCs w:val="20"/>
          <w:color w:val="auto"/>
        </w:rPr>
        <w:t>Each provision of this Amendment is severable from every other provision in determining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enforceability of any provision.</w:t>
      </w:r>
    </w:p>
    <w:p>
      <w:pPr>
        <w:spacing w:after="0" w:line="200" w:lineRule="exact"/>
        <w:rPr>
          <w:sz w:val="20"/>
          <w:szCs w:val="20"/>
          <w:color w:val="auto"/>
        </w:rPr>
      </w:pPr>
    </w:p>
    <w:p>
      <w:pPr>
        <w:spacing w:after="0" w:line="35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3" w:name="page204"/>
    <w:bookmarkEnd w:id="203"/>
    <w:p>
      <w:pPr>
        <w:jc w:val="both"/>
        <w:ind w:firstLine="757"/>
        <w:spacing w:after="0" w:line="250" w:lineRule="auto"/>
        <w:tabs>
          <w:tab w:leader="none" w:pos="101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Amendment may be executed in any number of counterparts and by different parties on separate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75" w:lineRule="exact"/>
        <w:rPr>
          <w:rFonts w:ascii="Times New Roman" w:cs="Times New Roman" w:eastAsia="Times New Roman" w:hAnsi="Times New Roman"/>
          <w:sz w:val="18"/>
          <w:szCs w:val="18"/>
          <w:color w:val="auto"/>
        </w:rPr>
      </w:pPr>
    </w:p>
    <w:p>
      <w:pPr>
        <w:jc w:val="both"/>
        <w:ind w:firstLine="757"/>
        <w:spacing w:after="0" w:line="244" w:lineRule="auto"/>
        <w:tabs>
          <w:tab w:leader="none" w:pos="101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Electronic Execution of Certain Other Documents</w:t>
      </w:r>
      <w:r>
        <w:rPr>
          <w:rFonts w:ascii="Times New Roman" w:cs="Times New Roman" w:eastAsia="Times New Roman" w:hAnsi="Times New Roman"/>
          <w:sz w:val="20"/>
          <w:szCs w:val="20"/>
          <w:color w:val="auto"/>
        </w:rPr>
        <w:t>. The words “execution,” “execute”, “signed,” “signature,” and words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Transactions Act, or any other similar state laws based on the Uniform Electronic Transactions Act.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9"/>
          <w:szCs w:val="19"/>
          <w:color w:val="auto"/>
        </w:rPr>
        <w:t>IN WITNESS WHEREOF, the parties hereto have duly executed this Amendment, as of the date first above written.</w:t>
      </w:r>
    </w:p>
    <w:p>
      <w:pPr>
        <w:spacing w:after="0" w:line="2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BORROWER:</w:t>
      </w:r>
    </w:p>
    <w:p>
      <w:pPr>
        <w:spacing w:after="0" w:line="2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PHATHOM PHARMACEUTICALS, INC.</w:t>
      </w:r>
    </w:p>
    <w:p>
      <w:pPr>
        <w:spacing w:after="0" w:line="201" w:lineRule="exact"/>
        <w:rPr>
          <w:sz w:val="20"/>
          <w:szCs w:val="20"/>
          <w:color w:val="auto"/>
        </w:rPr>
      </w:pPr>
    </w:p>
    <w:tbl>
      <w:tblPr>
        <w:tblLayout w:type="fixed"/>
        <w:tblInd w:w="448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Steven Basta___________</w:t>
            </w:r>
          </w:p>
        </w:tc>
      </w:tr>
      <w:tr>
        <w:trPr>
          <w:trHeight w:val="20"/>
        </w:trPr>
        <w:tc>
          <w:tcPr>
            <w:tcW w:w="1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tcPr>
          <w:p>
            <w:pPr>
              <w:spacing w:after="0" w:line="20" w:lineRule="exact"/>
              <w:rPr>
                <w:sz w:val="1"/>
                <w:szCs w:val="1"/>
                <w:color w:val="auto"/>
              </w:rPr>
            </w:pPr>
          </w:p>
        </w:tc>
      </w:tr>
      <w:tr>
        <w:trPr>
          <w:trHeight w:val="42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Steven Basta______________</w:t>
            </w:r>
          </w:p>
        </w:tc>
      </w:tr>
      <w:tr>
        <w:trPr>
          <w:trHeight w:val="20"/>
        </w:trPr>
        <w:tc>
          <w:tcPr>
            <w:tcW w:w="1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2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CEO, President____________</w:t>
            </w:r>
          </w:p>
        </w:tc>
      </w:tr>
      <w:tr>
        <w:trPr>
          <w:trHeight w:val="20"/>
        </w:trPr>
        <w:tc>
          <w:tcPr>
            <w:tcW w:w="1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[SIGNATURES CONTINUE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1029970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3" w:right="1440" w:bottom="1440" w:gutter="0" w:footer="0" w:header="0"/>
        </w:sectPr>
      </w:pPr>
    </w:p>
    <w:bookmarkStart w:id="205" w:name="page206"/>
    <w:bookmarkEnd w:id="205"/>
    <w:p>
      <w:pPr>
        <w:ind w:left="5240"/>
        <w:spacing w:after="0"/>
        <w:rPr>
          <w:sz w:val="20"/>
          <w:szCs w:val="20"/>
          <w:color w:val="auto"/>
        </w:rPr>
      </w:pPr>
      <w:r>
        <w:rPr>
          <w:rFonts w:ascii="Times New Roman" w:cs="Times New Roman" w:eastAsia="Times New Roman" w:hAnsi="Times New Roman"/>
          <w:sz w:val="20"/>
          <w:szCs w:val="20"/>
          <w:color w:val="auto"/>
        </w:rPr>
        <w:t>AGENT:</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HERCULES CAPITAL, INC.</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Signature:</w:t>
            </w:r>
          </w:p>
        </w:tc>
        <w:tc>
          <w:tcPr>
            <w:tcW w:w="49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 Maclean Greedy_______</w:t>
            </w:r>
          </w:p>
        </w:tc>
      </w:tr>
      <w:tr>
        <w:trPr>
          <w:trHeight w:val="20"/>
        </w:trPr>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72"/>
        </w:trPr>
        <w:tc>
          <w:tcPr>
            <w:tcW w:w="632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Print Name:</w:t>
            </w:r>
          </w:p>
        </w:tc>
        <w:tc>
          <w:tcPr>
            <w:tcW w:w="49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Maclean Greedy</w:t>
            </w:r>
          </w:p>
        </w:tc>
      </w:tr>
      <w:tr>
        <w:trPr>
          <w:trHeight w:val="446"/>
        </w:trPr>
        <w:tc>
          <w:tcPr>
            <w:tcW w:w="632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Title:</w:t>
            </w:r>
          </w:p>
        </w:tc>
        <w:tc>
          <w:tcPr>
            <w:tcW w:w="49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Associate General Counsel</w:t>
            </w:r>
          </w:p>
        </w:tc>
      </w:tr>
      <w:tr>
        <w:trPr>
          <w:trHeight w:val="2593"/>
        </w:trPr>
        <w:tc>
          <w:tcPr>
            <w:tcW w:w="6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6" w:name="page207"/>
    <w:bookmarkEnd w:id="206"/>
    <w:p>
      <w:pPr>
        <w:spacing w:after="0" w:line="29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EXISTING LENDERS:</w:t>
      </w:r>
    </w:p>
    <w:p>
      <w:pPr>
        <w:spacing w:after="0" w:line="21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HERCULES CAPITAL, INC.</w:t>
      </w:r>
    </w:p>
    <w:p>
      <w:pPr>
        <w:spacing w:after="0" w:line="200" w:lineRule="exact"/>
        <w:rPr>
          <w:sz w:val="20"/>
          <w:szCs w:val="20"/>
          <w:color w:val="auto"/>
        </w:rPr>
      </w:pPr>
    </w:p>
    <w:p>
      <w:pPr>
        <w:spacing w:after="0" w:line="231"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2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 Maclean Greedy________</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Maclean Greedy</w:t>
            </w:r>
          </w:p>
        </w:tc>
        <w:tc>
          <w:tcPr>
            <w:tcW w:w="800" w:type="dxa"/>
            <w:vAlign w:val="bottom"/>
          </w:tcPr>
          <w:p>
            <w:pPr>
              <w:spacing w:after="0"/>
              <w:rPr>
                <w:sz w:val="24"/>
                <w:szCs w:val="24"/>
                <w:color w:val="auto"/>
              </w:rPr>
            </w:pP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Associate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HERCULES VENTURE GROWTH</w:t>
      </w:r>
    </w:p>
    <w:p>
      <w:pPr>
        <w:spacing w:after="0" w:line="2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CREDIT OPPORTUNITIES FUND 1 L.P.</w:t>
      </w:r>
    </w:p>
    <w:p>
      <w:pPr>
        <w:spacing w:after="0" w:line="194" w:lineRule="exact"/>
        <w:rPr>
          <w:sz w:val="20"/>
          <w:szCs w:val="20"/>
          <w:color w:val="auto"/>
        </w:rPr>
      </w:pPr>
    </w:p>
    <w:p>
      <w:pPr>
        <w:ind w:left="4120" w:right="180"/>
        <w:spacing w:after="0" w:line="269" w:lineRule="auto"/>
        <w:rPr>
          <w:sz w:val="20"/>
          <w:szCs w:val="20"/>
          <w:color w:val="auto"/>
        </w:rPr>
      </w:pPr>
      <w:r>
        <w:rPr>
          <w:rFonts w:ascii="Times New Roman" w:cs="Times New Roman" w:eastAsia="Times New Roman" w:hAnsi="Times New Roman"/>
          <w:sz w:val="20"/>
          <w:szCs w:val="20"/>
          <w:color w:val="auto"/>
        </w:rPr>
        <w:t>By: Hercules Venture Growth Credit Opportunities Fund GP I LLC, its General Partner</w:t>
      </w:r>
    </w:p>
    <w:p>
      <w:pPr>
        <w:spacing w:after="0" w:line="371"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2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 Maclean Greedy________</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Maclean Greedy</w:t>
            </w:r>
          </w:p>
        </w:tc>
        <w:tc>
          <w:tcPr>
            <w:tcW w:w="800" w:type="dxa"/>
            <w:vAlign w:val="bottom"/>
          </w:tcPr>
          <w:p>
            <w:pPr>
              <w:spacing w:after="0"/>
              <w:rPr>
                <w:sz w:val="24"/>
                <w:szCs w:val="24"/>
                <w:color w:val="auto"/>
              </w:rPr>
            </w:pP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HERCULES PRIVATE CREDIT FUND 1 L.P.</w:t>
      </w:r>
    </w:p>
    <w:p>
      <w:pPr>
        <w:spacing w:after="0" w:line="220" w:lineRule="exact"/>
        <w:rPr>
          <w:sz w:val="20"/>
          <w:szCs w:val="20"/>
          <w:color w:val="auto"/>
        </w:rPr>
      </w:pPr>
    </w:p>
    <w:p>
      <w:pPr>
        <w:ind w:left="4120"/>
        <w:spacing w:after="0" w:line="269" w:lineRule="auto"/>
        <w:rPr>
          <w:sz w:val="20"/>
          <w:szCs w:val="20"/>
          <w:color w:val="auto"/>
        </w:rPr>
      </w:pPr>
      <w:r>
        <w:rPr>
          <w:rFonts w:ascii="Times New Roman" w:cs="Times New Roman" w:eastAsia="Times New Roman" w:hAnsi="Times New Roman"/>
          <w:sz w:val="20"/>
          <w:szCs w:val="20"/>
          <w:color w:val="auto"/>
        </w:rPr>
        <w:t>By: Hercules Private Global Venture Growth Fund GP I LLC, its General Partner</w:t>
      </w:r>
    </w:p>
    <w:p>
      <w:pPr>
        <w:spacing w:after="0" w:line="200" w:lineRule="exact"/>
        <w:rPr>
          <w:sz w:val="20"/>
          <w:szCs w:val="20"/>
          <w:color w:val="auto"/>
        </w:rPr>
      </w:pPr>
    </w:p>
    <w:p>
      <w:pPr>
        <w:spacing w:after="0" w:line="373"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274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/s/ Maclean Greedy____________</w:t>
            </w:r>
          </w:p>
        </w:tc>
      </w:tr>
      <w:tr>
        <w:trPr>
          <w:trHeight w:val="20"/>
        </w:trPr>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85"/>
        </w:trPr>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Print Name:</w:t>
            </w:r>
          </w:p>
        </w:tc>
        <w:tc>
          <w:tcPr>
            <w:tcW w:w="2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Maclean Greedy</w:t>
            </w:r>
          </w:p>
        </w:tc>
      </w:tr>
      <w:tr>
        <w:trPr>
          <w:trHeight w:val="44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0" w:type="dxa"/>
            <w:vAlign w:val="bottom"/>
          </w:tcPr>
          <w:p>
            <w:pPr>
              <w:spacing w:after="0"/>
              <w:rPr>
                <w:sz w:val="24"/>
                <w:szCs w:val="24"/>
                <w:color w:val="auto"/>
              </w:rPr>
            </w:pPr>
          </w:p>
        </w:tc>
        <w:tc>
          <w:tcPr>
            <w:tcW w:w="2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2160905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440" w:right="499" w:bottom="1440" w:gutter="0" w:footer="0" w:header="0"/>
        </w:sectPr>
      </w:pPr>
    </w:p>
    <w:bookmarkStart w:id="207" w:name="page208"/>
    <w:bookmarkEnd w:id="207"/>
    <w:p>
      <w:pPr>
        <w:ind w:left="5240" w:right="340"/>
        <w:spacing w:after="0" w:line="273" w:lineRule="auto"/>
        <w:rPr>
          <w:sz w:val="20"/>
          <w:szCs w:val="20"/>
          <w:color w:val="auto"/>
        </w:rPr>
      </w:pPr>
      <w:r>
        <w:rPr>
          <w:rFonts w:ascii="Times New Roman" w:cs="Times New Roman" w:eastAsia="Times New Roman" w:hAnsi="Times New Roman"/>
          <w:sz w:val="20"/>
          <w:szCs w:val="20"/>
          <w:b w:val="1"/>
          <w:bCs w:val="1"/>
          <w:color w:val="auto"/>
        </w:rPr>
        <w:t>HERCULES PRIVATE GLOBAL VENTURE GROWTH FUND I L.P.</w:t>
      </w:r>
    </w:p>
    <w:p>
      <w:pPr>
        <w:spacing w:after="0" w:line="1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 Hercules Private Global Venture Growth Fund GP I LLC, its General</w:t>
      </w:r>
    </w:p>
    <w:p>
      <w:pPr>
        <w:spacing w:after="0" w:line="2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color w:val="auto"/>
        </w:rPr>
        <w:t>Partner</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Signature:</w:t>
            </w: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Maclean Greedy_________</w:t>
            </w:r>
          </w:p>
        </w:tc>
      </w:tr>
      <w:tr>
        <w:trPr>
          <w:trHeight w:val="472"/>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Print Name:</w:t>
            </w: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Maclean Greedy</w:t>
            </w:r>
          </w:p>
        </w:tc>
        <w:tc>
          <w:tcPr>
            <w:tcW w:w="3260" w:type="dxa"/>
            <w:vAlign w:val="bottom"/>
          </w:tcPr>
          <w:p>
            <w:pPr>
              <w:spacing w:after="0"/>
              <w:rPr>
                <w:sz w:val="24"/>
                <w:szCs w:val="24"/>
                <w:color w:val="auto"/>
              </w:rPr>
            </w:pPr>
          </w:p>
        </w:tc>
      </w:tr>
      <w:tr>
        <w:trPr>
          <w:trHeight w:val="446"/>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Title:</w:t>
            </w: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Authorized Signatory</w:t>
            </w:r>
          </w:p>
        </w:tc>
      </w:tr>
      <w:tr>
        <w:trPr>
          <w:trHeight w:val="1621"/>
        </w:trPr>
        <w:tc>
          <w:tcPr>
            <w:tcW w:w="64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8" w:name="page209"/>
    <w:bookmarkEnd w:id="208"/>
    <w:p>
      <w:pPr>
        <w:spacing w:after="0" w:line="29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NEW LENDERS:</w:t>
      </w:r>
    </w:p>
    <w:p>
      <w:pPr>
        <w:spacing w:after="0" w:line="21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HERCULES SBIC V, L.P.</w:t>
      </w: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Hercules Technology SBIC Management, LLC, its General Partner</w:t>
      </w:r>
    </w:p>
    <w:p>
      <w:pPr>
        <w:spacing w:after="0" w:line="2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Hercules Capital, Inc., its Manager</w:t>
      </w:r>
    </w:p>
    <w:p>
      <w:pPr>
        <w:spacing w:after="0" w:line="200" w:lineRule="exact"/>
        <w:rPr>
          <w:sz w:val="20"/>
          <w:szCs w:val="20"/>
          <w:color w:val="auto"/>
        </w:rPr>
      </w:pPr>
    </w:p>
    <w:p>
      <w:pPr>
        <w:spacing w:after="0" w:line="227"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2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 Maclean Greedy_______</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Maclean Greedy</w:t>
            </w:r>
          </w:p>
        </w:tc>
        <w:tc>
          <w:tcPr>
            <w:tcW w:w="700" w:type="dxa"/>
            <w:vAlign w:val="bottom"/>
          </w:tcPr>
          <w:p>
            <w:pPr>
              <w:spacing w:after="0"/>
              <w:rPr>
                <w:sz w:val="24"/>
                <w:szCs w:val="24"/>
                <w:color w:val="auto"/>
              </w:rPr>
            </w:pP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Associate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HERCULES FUNDING IV, LLC</w:t>
      </w:r>
    </w:p>
    <w:p>
      <w:pPr>
        <w:spacing w:after="0" w:line="200" w:lineRule="exact"/>
        <w:rPr>
          <w:sz w:val="20"/>
          <w:szCs w:val="20"/>
          <w:color w:val="auto"/>
        </w:rPr>
      </w:pPr>
    </w:p>
    <w:p>
      <w:pPr>
        <w:spacing w:after="0" w:line="231"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 Maclean Greedy_________</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Maclean Greedy</w:t>
            </w:r>
          </w:p>
        </w:tc>
        <w:tc>
          <w:tcPr>
            <w:tcW w:w="900" w:type="dxa"/>
            <w:vAlign w:val="bottom"/>
          </w:tcPr>
          <w:p>
            <w:pPr>
              <w:spacing w:after="0"/>
              <w:rPr>
                <w:sz w:val="24"/>
                <w:szCs w:val="24"/>
                <w:color w:val="auto"/>
              </w:rPr>
            </w:pP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HERCULES GROWTH LENDING FUND IV LP</w:t>
      </w: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Hercules Growth Lending Fund GP LLC, its General Partner</w:t>
      </w:r>
    </w:p>
    <w:p>
      <w:pPr>
        <w:spacing w:after="0" w:line="200" w:lineRule="exact"/>
        <w:rPr>
          <w:sz w:val="20"/>
          <w:szCs w:val="20"/>
          <w:color w:val="auto"/>
        </w:rPr>
      </w:pPr>
    </w:p>
    <w:p>
      <w:pPr>
        <w:spacing w:after="0" w:line="213"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304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/s/ Maclean Greedy_______________</w:t>
            </w:r>
          </w:p>
        </w:tc>
      </w:tr>
      <w:tr>
        <w:trPr>
          <w:trHeight w:val="20"/>
        </w:trPr>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5"/>
        </w:trPr>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Print Name:</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Maclean Greedy</w:t>
            </w:r>
          </w:p>
        </w:tc>
      </w:tr>
      <w:tr>
        <w:trPr>
          <w:trHeight w:val="44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0" w:type="dxa"/>
            <w:vAlign w:val="bottom"/>
          </w:tcPr>
          <w:p>
            <w:pPr>
              <w:spacing w:after="0"/>
              <w:rPr>
                <w:sz w:val="24"/>
                <w:szCs w:val="24"/>
                <w:color w:val="auto"/>
              </w:rPr>
            </w:pP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2460625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80"/>
          </w:cols>
          <w:pgMar w:left="1440" w:top="1440" w:right="679" w:bottom="1440" w:gutter="0" w:footer="0" w:header="0"/>
        </w:sectPr>
      </w:pPr>
    </w:p>
    <w:bookmarkStart w:id="209" w:name="page210"/>
    <w:bookmarkEnd w:id="209"/>
    <w:p>
      <w:pPr>
        <w:ind w:left="5240"/>
        <w:spacing w:after="0"/>
        <w:rPr>
          <w:sz w:val="20"/>
          <w:szCs w:val="20"/>
          <w:color w:val="auto"/>
        </w:rPr>
      </w:pPr>
      <w:r>
        <w:rPr>
          <w:rFonts w:ascii="Times New Roman" w:cs="Times New Roman" w:eastAsia="Times New Roman" w:hAnsi="Times New Roman"/>
          <w:sz w:val="20"/>
          <w:szCs w:val="20"/>
          <w:b w:val="1"/>
          <w:bCs w:val="1"/>
          <w:color w:val="auto"/>
        </w:rPr>
        <w:t>HERCULES EVERGREEN FUND LP</w:t>
      </w: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 Hercules Evergreen Fund GP LLC, its General Partner</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Signature:</w:t>
            </w: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Maclean Greedy________</w:t>
            </w:r>
          </w:p>
        </w:tc>
      </w:tr>
      <w:tr>
        <w:trPr>
          <w:trHeight w:val="472"/>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Print Name:</w:t>
            </w: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Maclean Greedy</w:t>
            </w:r>
          </w:p>
        </w:tc>
        <w:tc>
          <w:tcPr>
            <w:tcW w:w="3260" w:type="dxa"/>
            <w:vAlign w:val="bottom"/>
          </w:tcPr>
          <w:p>
            <w:pPr>
              <w:spacing w:after="0"/>
              <w:rPr>
                <w:sz w:val="24"/>
                <w:szCs w:val="24"/>
                <w:color w:val="auto"/>
              </w:rPr>
            </w:pPr>
          </w:p>
        </w:tc>
      </w:tr>
      <w:tr>
        <w:trPr>
          <w:trHeight w:val="445"/>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Title:</w:t>
            </w: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Authorized Signatory</w:t>
            </w:r>
          </w:p>
        </w:tc>
      </w:tr>
      <w:tr>
        <w:trPr>
          <w:trHeight w:val="1621"/>
        </w:trPr>
        <w:tc>
          <w:tcPr>
            <w:tcW w:w="64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0" w:name="page211"/>
    <w:bookmarkEnd w:id="210"/>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886460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333333"/>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333333"/>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consent to the incorporation by reference in the following Registration Statements:</w:t>
      </w:r>
    </w:p>
    <w:p>
      <w:pPr>
        <w:spacing w:after="0" w:line="333" w:lineRule="exact"/>
        <w:rPr>
          <w:sz w:val="20"/>
          <w:szCs w:val="20"/>
          <w:color w:val="auto"/>
        </w:rPr>
      </w:pPr>
    </w:p>
    <w:p>
      <w:pPr>
        <w:ind w:left="1020" w:right="440" w:hanging="503"/>
        <w:spacing w:after="0" w:line="282" w:lineRule="auto"/>
        <w:tabs>
          <w:tab w:leader="none" w:pos="1020" w:val="left"/>
        </w:tabs>
        <w:numPr>
          <w:ilvl w:val="0"/>
          <w:numId w:val="12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333-234357) pertaining to the 2019 Equity Incentive Plan, 2019 Incentive Award Plan, and 2019 Employee Stock Purchase Plan of Phathom Pharmaceuticals, Inc.,</w:t>
      </w:r>
    </w:p>
    <w:p>
      <w:pPr>
        <w:spacing w:after="0" w:line="53" w:lineRule="exact"/>
        <w:rPr>
          <w:rFonts w:ascii="Times New Roman" w:cs="Times New Roman" w:eastAsia="Times New Roman" w:hAnsi="Times New Roman"/>
          <w:sz w:val="18"/>
          <w:szCs w:val="18"/>
          <w:color w:val="333333"/>
        </w:rPr>
      </w:pPr>
    </w:p>
    <w:p>
      <w:pPr>
        <w:ind w:left="1020" w:right="60" w:hanging="503"/>
        <w:spacing w:after="0" w:line="282" w:lineRule="auto"/>
        <w:tabs>
          <w:tab w:leader="none" w:pos="1020" w:val="left"/>
        </w:tabs>
        <w:numPr>
          <w:ilvl w:val="0"/>
          <w:numId w:val="12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333-263420) pertaining to the 2019 Incentive Award Plan and 2019 Employee Stock Purchase Plan of Phathom Pharmaceuticals, Inc.,</w:t>
      </w:r>
    </w:p>
    <w:p>
      <w:pPr>
        <w:spacing w:after="0" w:line="53" w:lineRule="exact"/>
        <w:rPr>
          <w:rFonts w:ascii="Times New Roman" w:cs="Times New Roman" w:eastAsia="Times New Roman" w:hAnsi="Times New Roman"/>
          <w:sz w:val="18"/>
          <w:szCs w:val="18"/>
          <w:color w:val="333333"/>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333-275431) of Phathom Pharmaceuticals, Inc.,</w:t>
      </w:r>
    </w:p>
    <w:p>
      <w:pPr>
        <w:spacing w:after="0" w:line="117" w:lineRule="exact"/>
        <w:rPr>
          <w:rFonts w:ascii="Times New Roman" w:cs="Times New Roman" w:eastAsia="Times New Roman" w:hAnsi="Times New Roman"/>
          <w:sz w:val="18"/>
          <w:szCs w:val="18"/>
          <w:color w:val="333333"/>
        </w:rPr>
      </w:pPr>
    </w:p>
    <w:p>
      <w:pPr>
        <w:ind w:left="1020" w:right="360" w:hanging="503"/>
        <w:spacing w:after="0" w:line="282" w:lineRule="auto"/>
        <w:tabs>
          <w:tab w:leader="none" w:pos="1020" w:val="left"/>
        </w:tabs>
        <w:numPr>
          <w:ilvl w:val="0"/>
          <w:numId w:val="12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333-285617) pertaining to the 2019 Incentive Award Plan and the 2019 Employee Stock Purchase Plan of Phathom Pharmaceuticals, Inc., and</w:t>
      </w:r>
    </w:p>
    <w:p>
      <w:pPr>
        <w:spacing w:after="0" w:line="53" w:lineRule="exact"/>
        <w:rPr>
          <w:rFonts w:ascii="Times New Roman" w:cs="Times New Roman" w:eastAsia="Times New Roman" w:hAnsi="Times New Roman"/>
          <w:sz w:val="18"/>
          <w:szCs w:val="18"/>
          <w:color w:val="333333"/>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S-3ASR No. 333-292596) of Phathom Pharmaceuticals, Inc.</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333333"/>
        </w:rPr>
        <w:t>of our report dated February 26, 2026, with respect to the financial statements of Phathom Pharmaceuticals, Inc. included in this Annual Report (Form 10-K) of Phathom Pharmaceuticals, Inc. for the year ended December 31, 2025.</w:t>
      </w: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Steven Basta, certify that:</w:t>
      </w:r>
    </w:p>
    <w:p>
      <w:pPr>
        <w:spacing w:after="0" w:line="237" w:lineRule="exact"/>
        <w:rPr>
          <w:sz w:val="20"/>
          <w:szCs w:val="20"/>
          <w:color w:val="auto"/>
        </w:rPr>
      </w:pPr>
    </w:p>
    <w:p>
      <w:pPr>
        <w:ind w:left="840" w:hanging="832"/>
        <w:spacing w:after="0"/>
        <w:tabs>
          <w:tab w:leader="none" w:pos="8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Phathom Pharmaceuticals, Inc.</w:t>
      </w:r>
    </w:p>
    <w:p>
      <w:pPr>
        <w:spacing w:after="0" w:line="196" w:lineRule="exact"/>
        <w:rPr>
          <w:rFonts w:ascii="Times New Roman" w:cs="Times New Roman" w:eastAsia="Times New Roman" w:hAnsi="Times New Roman"/>
          <w:sz w:val="17"/>
          <w:szCs w:val="17"/>
          <w:color w:val="auto"/>
        </w:rPr>
      </w:pPr>
    </w:p>
    <w:p>
      <w:pPr>
        <w:jc w:val="both"/>
        <w:ind w:left="840" w:right="420" w:hanging="832"/>
        <w:spacing w:after="0" w:line="265" w:lineRule="auto"/>
        <w:tabs>
          <w:tab w:leader="none" w:pos="8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7"/>
          <w:szCs w:val="17"/>
          <w:color w:val="auto"/>
        </w:rPr>
      </w:pPr>
    </w:p>
    <w:p>
      <w:pPr>
        <w:ind w:left="840" w:right="400" w:hanging="832"/>
        <w:spacing w:after="0" w:line="281" w:lineRule="auto"/>
        <w:tabs>
          <w:tab w:leader="none" w:pos="8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7"/>
          <w:szCs w:val="17"/>
          <w:color w:val="auto"/>
        </w:rPr>
      </w:pPr>
    </w:p>
    <w:p>
      <w:pPr>
        <w:ind w:left="840" w:right="20" w:hanging="832"/>
        <w:spacing w:after="0" w:line="265" w:lineRule="auto"/>
        <w:tabs>
          <w:tab w:leader="none" w:pos="8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7"/>
          <w:szCs w:val="17"/>
          <w:color w:val="auto"/>
        </w:rPr>
      </w:pPr>
    </w:p>
    <w:p>
      <w:pPr>
        <w:ind w:left="1660" w:right="20" w:hanging="829"/>
        <w:spacing w:after="0" w:line="265" w:lineRule="auto"/>
        <w:tabs>
          <w:tab w:leader="none" w:pos="166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7"/>
          <w:szCs w:val="17"/>
          <w:color w:val="auto"/>
        </w:rPr>
      </w:pPr>
    </w:p>
    <w:p>
      <w:pPr>
        <w:ind w:left="1660" w:right="160" w:hanging="829"/>
        <w:spacing w:after="0" w:line="265" w:lineRule="auto"/>
        <w:tabs>
          <w:tab w:leader="none" w:pos="166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7"/>
          <w:szCs w:val="17"/>
          <w:color w:val="010000"/>
        </w:rPr>
        <w:t>;</w:t>
      </w:r>
    </w:p>
    <w:p>
      <w:pPr>
        <w:spacing w:after="0" w:line="135" w:lineRule="exact"/>
        <w:rPr>
          <w:rFonts w:ascii="Times New Roman" w:cs="Times New Roman" w:eastAsia="Times New Roman" w:hAnsi="Times New Roman"/>
          <w:sz w:val="17"/>
          <w:szCs w:val="17"/>
          <w:color w:val="auto"/>
        </w:rPr>
      </w:pPr>
    </w:p>
    <w:p>
      <w:pPr>
        <w:jc w:val="both"/>
        <w:ind w:left="1660" w:right="300" w:hanging="829"/>
        <w:spacing w:after="0" w:line="281" w:lineRule="auto"/>
        <w:tabs>
          <w:tab w:leader="none" w:pos="166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7"/>
          <w:szCs w:val="17"/>
          <w:color w:val="auto"/>
        </w:rPr>
      </w:pPr>
    </w:p>
    <w:p>
      <w:pPr>
        <w:ind w:left="1660" w:right="20" w:hanging="829"/>
        <w:spacing w:after="0" w:line="265" w:lineRule="auto"/>
        <w:tabs>
          <w:tab w:leader="none" w:pos="166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7"/>
          <w:szCs w:val="17"/>
          <w:color w:val="auto"/>
        </w:rPr>
      </w:pPr>
    </w:p>
    <w:p>
      <w:pPr>
        <w:ind w:left="840" w:right="320" w:hanging="832"/>
        <w:spacing w:after="0" w:line="281" w:lineRule="auto"/>
        <w:tabs>
          <w:tab w:leader="none" w:pos="8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7"/>
          <w:szCs w:val="17"/>
          <w:color w:val="auto"/>
        </w:rPr>
      </w:pPr>
    </w:p>
    <w:p>
      <w:pPr>
        <w:ind w:left="1660" w:right="540" w:hanging="829"/>
        <w:spacing w:after="0" w:line="281" w:lineRule="auto"/>
        <w:tabs>
          <w:tab w:leader="none" w:pos="166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1660" w:right="240" w:hanging="829"/>
        <w:spacing w:after="0" w:line="281" w:lineRule="auto"/>
        <w:tabs>
          <w:tab w:leader="none" w:pos="166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Date: February 26, 2026</w:t>
      </w:r>
    </w:p>
    <w:p>
      <w:pPr>
        <w:spacing w:after="0" w:line="2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/s/ Steven Basta</w:t>
      </w:r>
    </w:p>
    <w:p>
      <w:pPr>
        <w:spacing w:after="0" w:line="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Steven Basta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-121920</wp:posOffset>
            </wp:positionV>
            <wp:extent cx="26746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Chief Executive Officer and President</w:t>
      </w:r>
    </w:p>
    <w:p>
      <w:pPr>
        <w:spacing w:after="0" w:line="2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1074420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Sanjeev Narula, certify that:</w:t>
      </w:r>
    </w:p>
    <w:p>
      <w:pPr>
        <w:spacing w:after="0" w:line="237" w:lineRule="exact"/>
        <w:rPr>
          <w:sz w:val="20"/>
          <w:szCs w:val="20"/>
          <w:color w:val="auto"/>
        </w:rPr>
      </w:pPr>
    </w:p>
    <w:p>
      <w:pPr>
        <w:ind w:left="840" w:hanging="832"/>
        <w:spacing w:after="0"/>
        <w:tabs>
          <w:tab w:leader="none" w:pos="8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Phathom Pharmaceuticals, Inc.</w:t>
      </w:r>
    </w:p>
    <w:p>
      <w:pPr>
        <w:spacing w:after="0" w:line="196" w:lineRule="exact"/>
        <w:rPr>
          <w:rFonts w:ascii="Times New Roman" w:cs="Times New Roman" w:eastAsia="Times New Roman" w:hAnsi="Times New Roman"/>
          <w:sz w:val="17"/>
          <w:szCs w:val="17"/>
          <w:color w:val="auto"/>
        </w:rPr>
      </w:pPr>
    </w:p>
    <w:p>
      <w:pPr>
        <w:jc w:val="both"/>
        <w:ind w:left="840" w:right="420" w:hanging="832"/>
        <w:spacing w:after="0" w:line="265" w:lineRule="auto"/>
        <w:tabs>
          <w:tab w:leader="none" w:pos="8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7"/>
          <w:szCs w:val="17"/>
          <w:color w:val="auto"/>
        </w:rPr>
      </w:pPr>
    </w:p>
    <w:p>
      <w:pPr>
        <w:ind w:left="840" w:right="400" w:hanging="832"/>
        <w:spacing w:after="0" w:line="281" w:lineRule="auto"/>
        <w:tabs>
          <w:tab w:leader="none" w:pos="8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7"/>
          <w:szCs w:val="17"/>
          <w:color w:val="auto"/>
        </w:rPr>
      </w:pPr>
    </w:p>
    <w:p>
      <w:pPr>
        <w:ind w:left="840" w:right="20" w:hanging="832"/>
        <w:spacing w:after="0" w:line="265" w:lineRule="auto"/>
        <w:tabs>
          <w:tab w:leader="none" w:pos="8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7"/>
          <w:szCs w:val="17"/>
          <w:color w:val="auto"/>
        </w:rPr>
      </w:pPr>
    </w:p>
    <w:p>
      <w:pPr>
        <w:ind w:left="1660" w:right="20" w:hanging="829"/>
        <w:spacing w:after="0" w:line="265" w:lineRule="auto"/>
        <w:tabs>
          <w:tab w:leader="none" w:pos="166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7"/>
          <w:szCs w:val="17"/>
          <w:color w:val="auto"/>
        </w:rPr>
      </w:pPr>
    </w:p>
    <w:p>
      <w:pPr>
        <w:ind w:left="1660" w:right="160" w:hanging="829"/>
        <w:spacing w:after="0" w:line="265" w:lineRule="auto"/>
        <w:tabs>
          <w:tab w:leader="none" w:pos="166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7"/>
          <w:szCs w:val="17"/>
          <w:color w:val="010000"/>
        </w:rPr>
        <w:t>;</w:t>
      </w:r>
    </w:p>
    <w:p>
      <w:pPr>
        <w:spacing w:after="0" w:line="135" w:lineRule="exact"/>
        <w:rPr>
          <w:rFonts w:ascii="Times New Roman" w:cs="Times New Roman" w:eastAsia="Times New Roman" w:hAnsi="Times New Roman"/>
          <w:sz w:val="17"/>
          <w:szCs w:val="17"/>
          <w:color w:val="auto"/>
        </w:rPr>
      </w:pPr>
    </w:p>
    <w:p>
      <w:pPr>
        <w:jc w:val="both"/>
        <w:ind w:left="1660" w:right="300" w:hanging="829"/>
        <w:spacing w:after="0" w:line="281" w:lineRule="auto"/>
        <w:tabs>
          <w:tab w:leader="none" w:pos="166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7"/>
          <w:szCs w:val="17"/>
          <w:color w:val="auto"/>
        </w:rPr>
      </w:pPr>
    </w:p>
    <w:p>
      <w:pPr>
        <w:ind w:left="1660" w:right="20" w:hanging="829"/>
        <w:spacing w:after="0" w:line="265" w:lineRule="auto"/>
        <w:tabs>
          <w:tab w:leader="none" w:pos="166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7"/>
          <w:szCs w:val="17"/>
          <w:color w:val="auto"/>
        </w:rPr>
      </w:pPr>
    </w:p>
    <w:p>
      <w:pPr>
        <w:ind w:left="840" w:right="320" w:hanging="832"/>
        <w:spacing w:after="0" w:line="281" w:lineRule="auto"/>
        <w:tabs>
          <w:tab w:leader="none" w:pos="8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7"/>
          <w:szCs w:val="17"/>
          <w:color w:val="auto"/>
        </w:rPr>
      </w:pPr>
    </w:p>
    <w:p>
      <w:pPr>
        <w:ind w:left="1660" w:right="540" w:hanging="829"/>
        <w:spacing w:after="0" w:line="281" w:lineRule="auto"/>
        <w:tabs>
          <w:tab w:leader="none" w:pos="166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1660" w:right="240" w:hanging="829"/>
        <w:spacing w:after="0" w:line="281" w:lineRule="auto"/>
        <w:tabs>
          <w:tab w:leader="none" w:pos="166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1180"/>
        <w:spacing w:after="0"/>
        <w:tabs>
          <w:tab w:leader="none" w:pos="5240" w:val="left"/>
        </w:tabs>
        <w:rPr>
          <w:sz w:val="20"/>
          <w:szCs w:val="20"/>
          <w:color w:val="auto"/>
        </w:rPr>
      </w:pPr>
      <w:r>
        <w:rPr>
          <w:rFonts w:ascii="Times New Roman" w:cs="Times New Roman" w:eastAsia="Times New Roman" w:hAnsi="Times New Roman"/>
          <w:sz w:val="17"/>
          <w:szCs w:val="17"/>
          <w:color w:val="auto"/>
        </w:rPr>
        <w:t>Date: February 26, 2026</w:t>
      </w:r>
      <w:r>
        <w:rPr>
          <w:sz w:val="20"/>
          <w:szCs w:val="20"/>
          <w:color w:val="auto"/>
        </w:rPr>
        <w:tab/>
      </w:r>
      <w:r>
        <w:rPr>
          <w:rFonts w:ascii="Times New Roman" w:cs="Times New Roman" w:eastAsia="Times New Roman" w:hAnsi="Times New Roman"/>
          <w:sz w:val="17"/>
          <w:szCs w:val="17"/>
          <w:color w:val="auto"/>
        </w:rPr>
        <w:t>/s/ Sanjeev Narula</w:t>
      </w:r>
    </w:p>
    <w:p>
      <w:pPr>
        <w:spacing w:after="0" w:line="4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-118110</wp:posOffset>
            </wp:positionV>
            <wp:extent cx="30435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5">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Chief Financial and Business Officer</w:t>
      </w:r>
    </w:p>
    <w:p>
      <w:pPr>
        <w:spacing w:after="0" w:line="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1288415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14" w:name="page215"/>
    <w:bookmarkEnd w:id="214"/>
    <w:p>
      <w:pPr>
        <w:spacing w:after="0" w:line="14"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2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Phathom Pharmaceuticals, Inc. (the “Company”) for the year ended December 31, 2025 as filed with the Securities and Exchange Commission on the date hereof (the “Report”), I, Steven Basta, as Chief Executive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20"/>
        <w:spacing w:after="0"/>
        <w:tabs>
          <w:tab w:leader="none" w:pos="546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7"/>
          <w:szCs w:val="17"/>
          <w:color w:val="auto"/>
        </w:rPr>
        <w:t>/s/ Steven Basta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17145</wp:posOffset>
            </wp:positionV>
            <wp:extent cx="27686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4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Steven Basta</w:t>
      </w:r>
    </w:p>
    <w:p>
      <w:pPr>
        <w:spacing w:after="0" w:line="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5"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5" w:name="page216"/>
    <w:bookmarkEnd w:id="215"/>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jc w:val="both"/>
        <w:ind w:right="2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Phathom Pharmaceuticals, Inc. (the “Company”) for the year ended December 31, 2025 as filed with the Securities and Exchange Commission on the date hereof (the “Report”), I, Sanjeev Narula, as Chief Financial and Business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20"/>
        <w:spacing w:after="0"/>
        <w:tabs>
          <w:tab w:leader="none" w:pos="506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7"/>
          <w:szCs w:val="17"/>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327469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Sanjeev Narula</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50"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16" w:name="page217"/>
    <w:bookmarkEnd w:id="2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1)"/>
      <w:numFmt w:val="decimal"/>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endash "/>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1)"/>
      <w:numFmt w:val="lowerLetter"/>
      <w:start w:val="2"/>
    </w:lvl>
  </w:abstractNum>
  <w:abstractNum w:abstractNumId="41">
    <w:nsid w:val="6F6DD9AC"/>
    <w:multiLevelType w:val="hybridMultilevel"/>
    <w:lvl w:ilvl="0">
      <w:lvlJc w:val="left"/>
      <w:lvlText w:val="(%1)"/>
      <w:numFmt w:val="lowerLetter"/>
      <w:start w:val="2"/>
    </w:lvl>
  </w:abstractNum>
  <w:abstractNum w:abstractNumId="42">
    <w:nsid w:val="94211F2"/>
    <w:multiLevelType w:val="hybridMultilevel"/>
    <w:lvl w:ilvl="0">
      <w:lvlJc w:val="left"/>
      <w:lvlText w:val="(%1)"/>
      <w:numFmt w:val="lowerRoman"/>
      <w:start w:val="1"/>
    </w:lvl>
    <w:lvl w:ilvl="1">
      <w:lvlJc w:val="left"/>
      <w:lvlText w:val="%2."/>
      <w:numFmt w:val="lowerLetter"/>
      <w:start w:val="1"/>
    </w:lvl>
  </w:abstractNum>
  <w:abstractNum w:abstractNumId="43">
    <w:nsid w:val="885E1B"/>
    <w:multiLevelType w:val="hybridMultilevel"/>
    <w:lvl w:ilvl="0">
      <w:lvlJc w:val="left"/>
      <w:lvlText w:val="%1."/>
      <w:numFmt w:val="lowerRoman"/>
      <w:start w:val="1"/>
    </w:lvl>
    <w:lvl w:ilvl="1">
      <w:lvlJc w:val="left"/>
      <w:lvlText w:val="%2."/>
      <w:numFmt w:val="lowerLetter"/>
      <w:start w:val="1"/>
    </w:lvl>
  </w:abstractNum>
  <w:abstractNum w:abstractNumId="44">
    <w:nsid w:val="76272110"/>
    <w:multiLevelType w:val="hybridMultilevel"/>
    <w:lvl w:ilvl="0">
      <w:lvlJc w:val="left"/>
      <w:lvlText w:val="(%1)"/>
      <w:numFmt w:val="lowerLetter"/>
      <w:start w:val="2"/>
    </w:lvl>
  </w:abstractNum>
  <w:abstractNum w:abstractNumId="45">
    <w:nsid w:val="4C04A8AF"/>
    <w:multiLevelType w:val="hybridMultilevel"/>
    <w:lvl w:ilvl="0">
      <w:lvlJc w:val="left"/>
      <w:lvlText w:val="(%1)"/>
      <w:numFmt w:val="lowerLetter"/>
      <w:start w:val="61"/>
    </w:lvl>
  </w:abstractNum>
  <w:abstractNum w:abstractNumId="46">
    <w:nsid w:val="1716703B"/>
    <w:multiLevelType w:val="hybridMultilevel"/>
    <w:lvl w:ilvl="0">
      <w:lvlJc w:val="left"/>
      <w:lvlText w:val="•"/>
      <w:numFmt w:val="bullet"/>
      <w:start w:val="1"/>
    </w:lvl>
  </w:abstractNum>
  <w:abstractNum w:abstractNumId="47">
    <w:nsid w:val="14E17E33"/>
    <w:multiLevelType w:val="hybridMultilevel"/>
    <w:lvl w:ilvl="0">
      <w:lvlJc w:val="left"/>
      <w:lvlText w:val="%1."/>
      <w:numFmt w:val="lowerRoman"/>
      <w:start w:val="1"/>
    </w:lvl>
    <w:lvl w:ilvl="1">
      <w:lvlJc w:val="left"/>
      <w:lvlText w:val="%2."/>
      <w:numFmt w:val="lowerLetter"/>
      <w:start w:val="1"/>
    </w:lvl>
  </w:abstractNum>
  <w:abstractNum w:abstractNumId="48">
    <w:nsid w:val="3222E7CD"/>
    <w:multiLevelType w:val="hybridMultilevel"/>
    <w:lvl w:ilvl="0">
      <w:lvlJc w:val="left"/>
      <w:lvlText w:val="%1."/>
      <w:numFmt w:val="decimal"/>
      <w:start w:val="1"/>
    </w:lvl>
  </w:abstractNum>
  <w:abstractNum w:abstractNumId="49">
    <w:nsid w:val="74DE0EE3"/>
    <w:multiLevelType w:val="hybridMultilevel"/>
    <w:lvl w:ilvl="0">
      <w:lvlJc w:val="left"/>
      <w:lvlText w:val="%1."/>
      <w:numFmt w:val="decimal"/>
      <w:start w:val="2"/>
    </w:lvl>
  </w:abstractNum>
  <w:abstractNum w:abstractNumId="50">
    <w:nsid w:val="68EBC550"/>
    <w:multiLevelType w:val="hybridMultilevel"/>
    <w:lvl w:ilvl="0">
      <w:lvlJc w:val="left"/>
      <w:lvlText w:val="%1."/>
      <w:numFmt w:val="decimal"/>
      <w:start w:val="3"/>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1)"/>
      <w:numFmt w:val="lowerRoman"/>
      <w:start w:val="1"/>
    </w:lvl>
    <w:lvl w:ilvl="1">
      <w:lvlJc w:val="left"/>
      <w:lvlText w:val="%2."/>
      <w:numFmt w:val="lowerLetter"/>
      <w:start w:val="1"/>
    </w:lvl>
  </w:abstractNum>
  <w:abstractNum w:abstractNumId="53">
    <w:nsid w:val="4A2AC315"/>
    <w:multiLevelType w:val="hybridMultilevel"/>
    <w:lvl w:ilvl="0">
      <w:lvlJc w:val="left"/>
      <w:lvlText w:val="(%1)"/>
      <w:numFmt w:val="decimal"/>
      <w:start w:val="1"/>
    </w:lvl>
  </w:abstractNum>
  <w:abstractNum w:abstractNumId="54">
    <w:nsid w:val="39EE015C"/>
    <w:multiLevelType w:val="hybridMultilevel"/>
    <w:lvl w:ilvl="0">
      <w:lvlJc w:val="left"/>
      <w:lvlText w:val="%1."/>
      <w:numFmt w:val="lowerRoman"/>
      <w:start w:val="1"/>
    </w:lvl>
    <w:lvl w:ilvl="1">
      <w:lvlJc w:val="left"/>
      <w:lvlText w:val="%2."/>
      <w:numFmt w:val="lowerLetter"/>
      <w:start w:val="1"/>
    </w:lvl>
  </w:abstractNum>
  <w:abstractNum w:abstractNumId="55">
    <w:nsid w:val="57FC4FBB"/>
    <w:multiLevelType w:val="hybridMultilevel"/>
    <w:lvl w:ilvl="0">
      <w:lvlJc w:val="left"/>
      <w:lvlText w:val="*"/>
      <w:numFmt w:val="bullet"/>
      <w:start w:val="1"/>
    </w:lvl>
  </w:abstractNum>
  <w:abstractNum w:abstractNumId="56">
    <w:nsid w:val="CC1016F"/>
    <w:multiLevelType w:val="hybridMultilevel"/>
    <w:lvl w:ilvl="0">
      <w:lvlJc w:val="left"/>
      <w:lvlText w:val="^"/>
      <w:numFmt w:val="bullet"/>
      <w:start w:val="1"/>
    </w:lvl>
  </w:abstractNum>
  <w:abstractNum w:abstractNumId="57">
    <w:nsid w:val="43F18422"/>
    <w:multiLevelType w:val="hybridMultilevel"/>
    <w:lvl w:ilvl="0">
      <w:lvlJc w:val="left"/>
      <w:lvlText w:val="(%1)"/>
      <w:numFmt w:val="lowerLetter"/>
      <w:start w:val="1"/>
    </w:lvl>
  </w:abstractNum>
  <w:abstractNum w:abstractNumId="58">
    <w:nsid w:val="60EF0119"/>
    <w:multiLevelType w:val="hybridMultilevel"/>
    <w:lvl w:ilvl="0">
      <w:lvlJc w:val="left"/>
      <w:lvlText w:val="(%1)"/>
      <w:numFmt w:val="lowerLetter"/>
      <w:start w:val="1"/>
    </w:lvl>
  </w:abstractNum>
  <w:abstractNum w:abstractNumId="59">
    <w:nsid w:val="26F324BA"/>
    <w:multiLevelType w:val="hybridMultilevel"/>
    <w:lvl w:ilvl="0">
      <w:lvlJc w:val="left"/>
      <w:lvlText w:val="(%1)"/>
      <w:numFmt w:val="lowerLetter"/>
      <w:start w:val="1"/>
    </w:lvl>
  </w:abstractNum>
  <w:abstractNum w:abstractNumId="60">
    <w:nsid w:val="7F01579B"/>
    <w:multiLevelType w:val="hybridMultilevel"/>
    <w:lvl w:ilvl="0">
      <w:lvlJc w:val="left"/>
      <w:lvlText w:val="(%1)"/>
      <w:numFmt w:val="lowerLetter"/>
      <w:start w:val="1"/>
    </w:lvl>
  </w:abstractNum>
  <w:abstractNum w:abstractNumId="61">
    <w:nsid w:val="49DA307D"/>
    <w:multiLevelType w:val="hybridMultilevel"/>
    <w:lvl w:ilvl="0">
      <w:lvlJc w:val="left"/>
      <w:lvlText w:val="(%1)"/>
      <w:numFmt w:val="lowerLetter"/>
      <w:start w:val="6"/>
    </w:lvl>
  </w:abstractNum>
  <w:abstractNum w:abstractNumId="62">
    <w:nsid w:val="7055A5F5"/>
    <w:multiLevelType w:val="hybridMultilevel"/>
    <w:lvl w:ilvl="0">
      <w:lvlJc w:val="left"/>
      <w:lvlText w:val="[***]"/>
      <w:numFmt w:val="bullet"/>
      <w:start w:val="1"/>
    </w:lvl>
  </w:abstractNum>
  <w:abstractNum w:abstractNumId="63">
    <w:nsid w:val="5FB8370B"/>
    <w:multiLevelType w:val="hybridMultilevel"/>
    <w:lvl w:ilvl="0">
      <w:lvlJc w:val="left"/>
      <w:lvlText w:val="(%1)"/>
      <w:numFmt w:val="lowerLetter"/>
      <w:start w:val="1"/>
    </w:lvl>
  </w:abstractNum>
  <w:abstractNum w:abstractNumId="64">
    <w:nsid w:val="50801EE1"/>
    <w:multiLevelType w:val="hybridMultilevel"/>
    <w:lvl w:ilvl="0">
      <w:lvlJc w:val="left"/>
      <w:lvlText w:val="(%1)"/>
      <w:numFmt w:val="lowerLetter"/>
      <w:start w:val="8"/>
    </w:lvl>
  </w:abstractNum>
  <w:abstractNum w:abstractNumId="65">
    <w:nsid w:val="488AC1A"/>
    <w:multiLevelType w:val="hybridMultilevel"/>
    <w:lvl w:ilvl="0">
      <w:lvlJc w:val="left"/>
      <w:lvlText w:val="(%1)"/>
      <w:numFmt w:val="lowerLetter"/>
      <w:start w:val="1"/>
    </w:lvl>
  </w:abstractNum>
  <w:abstractNum w:abstractNumId="66">
    <w:nsid w:val="5FB8011C"/>
    <w:multiLevelType w:val="hybridMultilevel"/>
    <w:lvl w:ilvl="0">
      <w:lvlJc w:val="left"/>
      <w:lvlText w:val="(%1)"/>
      <w:numFmt w:val="lowerLetter"/>
      <w:start w:val="2"/>
    </w:lvl>
    <w:lvl w:ilvl="1">
      <w:lvlJc w:val="left"/>
      <w:lvlText w:val="(%2)"/>
      <w:numFmt w:val="lowerRoman"/>
      <w:start w:val="1"/>
    </w:lvl>
  </w:abstractNum>
  <w:abstractNum w:abstractNumId="67">
    <w:nsid w:val="6AA78F7F"/>
    <w:multiLevelType w:val="hybridMultilevel"/>
    <w:lvl w:ilvl="0">
      <w:lvlJc w:val="left"/>
      <w:lvlText w:val="(%1)"/>
      <w:numFmt w:val="lowerLetter"/>
      <w:start w:val="3"/>
    </w:lvl>
  </w:abstractNum>
  <w:abstractNum w:abstractNumId="68">
    <w:nsid w:val="7672BD23"/>
    <w:multiLevelType w:val="hybridMultilevel"/>
    <w:lvl w:ilvl="0">
      <w:lvlJc w:val="left"/>
      <w:lvlText w:val="(%1)"/>
      <w:numFmt w:val="lowerLetter"/>
      <w:start w:val="4"/>
    </w:lvl>
  </w:abstractNum>
  <w:abstractNum w:abstractNumId="69">
    <w:nsid w:val="6FC75AF8"/>
    <w:multiLevelType w:val="hybridMultilevel"/>
    <w:lvl w:ilvl="0">
      <w:lvlJc w:val="left"/>
      <w:lvlText w:val="(%1)"/>
      <w:numFmt w:val="lowerLetter"/>
      <w:start w:val="1"/>
    </w:lvl>
  </w:abstractNum>
  <w:abstractNum w:abstractNumId="70">
    <w:nsid w:val="6A5F7029"/>
    <w:multiLevelType w:val="hybridMultilevel"/>
    <w:lvl w:ilvl="0">
      <w:lvlJc w:val="left"/>
      <w:lvlText w:val="(%1)"/>
      <w:numFmt w:val="lowerRoman"/>
      <w:start w:val="1"/>
    </w:lvl>
  </w:abstractNum>
  <w:abstractNum w:abstractNumId="71">
    <w:nsid w:val="7D5E18F8"/>
    <w:multiLevelType w:val="hybridMultilevel"/>
    <w:lvl w:ilvl="0">
      <w:lvlJc w:val="left"/>
      <w:lvlText w:val="(%1)"/>
      <w:numFmt w:val="lowerLetter"/>
      <w:start w:val="1"/>
    </w:lvl>
  </w:abstractNum>
  <w:abstractNum w:abstractNumId="72">
    <w:nsid w:val="5F3534A4"/>
    <w:multiLevelType w:val="hybridMultilevel"/>
    <w:lvl w:ilvl="0">
      <w:lvlJc w:val="left"/>
      <w:lvlText w:val="(%1)"/>
      <w:numFmt w:val="lowerLetter"/>
      <w:start w:val="3"/>
    </w:lvl>
  </w:abstractNum>
  <w:abstractNum w:abstractNumId="73">
    <w:nsid w:val="73A1821B"/>
    <w:multiLevelType w:val="hybridMultilevel"/>
    <w:lvl w:ilvl="0">
      <w:lvlJc w:val="left"/>
      <w:lvlText w:val="(%1)"/>
      <w:numFmt w:val="lowerLetter"/>
      <w:start w:val="1"/>
    </w:lvl>
  </w:abstractNum>
  <w:abstractNum w:abstractNumId="74">
    <w:nsid w:val="7DE67713"/>
    <w:multiLevelType w:val="hybridMultilevel"/>
    <w:lvl w:ilvl="0">
      <w:lvlJc w:val="left"/>
      <w:lvlText w:val="(%1)"/>
      <w:numFmt w:val="lowerLetter"/>
      <w:start w:val="1"/>
    </w:lvl>
  </w:abstractNum>
  <w:abstractNum w:abstractNumId="75">
    <w:nsid w:val="555C55B5"/>
    <w:multiLevelType w:val="hybridMultilevel"/>
    <w:lvl w:ilvl="0">
      <w:lvlJc w:val="left"/>
      <w:lvlText w:val="(%1)"/>
      <w:numFmt w:val="lowerLetter"/>
      <w:start w:val="2"/>
    </w:lvl>
  </w:abstractNum>
  <w:abstractNum w:abstractNumId="76">
    <w:nsid w:val="3FA62ACA"/>
    <w:multiLevelType w:val="hybridMultilevel"/>
    <w:lvl w:ilvl="0">
      <w:lvlJc w:val="left"/>
      <w:lvlText w:val="(%1)"/>
      <w:numFmt w:val="lowerLetter"/>
      <w:start w:val="1"/>
    </w:lvl>
  </w:abstractNum>
  <w:abstractNum w:abstractNumId="77">
    <w:nsid w:val="14FCE74E"/>
    <w:multiLevelType w:val="hybridMultilevel"/>
    <w:lvl w:ilvl="0">
      <w:lvlJc w:val="left"/>
      <w:lvlText w:val="(%1)"/>
      <w:numFmt w:val="lowerLetter"/>
      <w:start w:val="6"/>
    </w:lvl>
  </w:abstractNum>
  <w:abstractNum w:abstractNumId="78">
    <w:nsid w:val="6A3DD3E8"/>
    <w:multiLevelType w:val="hybridMultilevel"/>
    <w:lvl w:ilvl="0">
      <w:lvlJc w:val="left"/>
      <w:lvlText w:val="(%1)"/>
      <w:numFmt w:val="lowerLetter"/>
      <w:start w:val="1"/>
    </w:lvl>
  </w:abstractNum>
  <w:abstractNum w:abstractNumId="79">
    <w:nsid w:val="71C91298"/>
    <w:multiLevelType w:val="hybridMultilevel"/>
    <w:lvl w:ilvl="0">
      <w:lvlJc w:val="left"/>
      <w:lvlText w:val="(%1)"/>
      <w:numFmt w:val="lowerLetter"/>
      <w:start w:val="1"/>
    </w:lvl>
  </w:abstractNum>
  <w:abstractNum w:abstractNumId="80">
    <w:nsid w:val="9DAF632"/>
    <w:multiLevelType w:val="hybridMultilevel"/>
    <w:lvl w:ilvl="0">
      <w:lvlJc w:val="left"/>
      <w:lvlText w:val="(%1)"/>
      <w:numFmt w:val="lowerLetter"/>
      <w:start w:val="3"/>
    </w:lvl>
    <w:lvl w:ilvl="1">
      <w:lvlJc w:val="left"/>
      <w:lvlText w:val="(%2)"/>
      <w:numFmt w:val="lowerRoman"/>
      <w:start w:val="1"/>
    </w:lvl>
  </w:abstractNum>
  <w:abstractNum w:abstractNumId="81">
    <w:nsid w:val="53299938"/>
    <w:multiLevelType w:val="hybridMultilevel"/>
    <w:lvl w:ilvl="0">
      <w:lvlJc w:val="left"/>
      <w:lvlText w:val="%1"/>
      <w:numFmt w:val="lowerLetter"/>
      <w:start w:val="1"/>
    </w:lvl>
    <w:lvl w:ilvl="1">
      <w:lvlJc w:val="left"/>
      <w:lvlText w:val="(%2)"/>
      <w:numFmt w:val="lowerRoman"/>
      <w:start w:val="3"/>
    </w:lvl>
  </w:abstractNum>
  <w:abstractNum w:abstractNumId="82">
    <w:nsid w:val="1FBFE8E0"/>
    <w:multiLevelType w:val="hybridMultilevel"/>
    <w:lvl w:ilvl="0">
      <w:lvlJc w:val="left"/>
      <w:lvlText w:val="(%1)"/>
      <w:numFmt w:val="lowerLetter"/>
      <w:start w:val="8"/>
    </w:lvl>
    <w:lvl w:ilvl="1">
      <w:lvlJc w:val="left"/>
      <w:lvlText w:val="%2"/>
      <w:numFmt w:val="lowerRoman"/>
      <w:start w:val="1"/>
    </w:lvl>
  </w:abstractNum>
  <w:abstractNum w:abstractNumId="83">
    <w:nsid w:val="5092CA79"/>
    <w:multiLevelType w:val="hybridMultilevel"/>
    <w:lvl w:ilvl="0">
      <w:lvlJc w:val="left"/>
      <w:lvlText w:val="(%1)"/>
      <w:numFmt w:val="lowerRoman"/>
      <w:start w:val="1"/>
    </w:lvl>
  </w:abstractNum>
  <w:abstractNum w:abstractNumId="84">
    <w:nsid w:val="1D545C4D"/>
    <w:multiLevelType w:val="hybridMultilevel"/>
    <w:lvl w:ilvl="0">
      <w:lvlJc w:val="left"/>
      <w:lvlText w:val="(%1)"/>
      <w:numFmt w:val="lowerLetter"/>
      <w:start w:val="9"/>
    </w:lvl>
    <w:lvl w:ilvl="1">
      <w:lvlJc w:val="left"/>
      <w:lvlText w:val="(%2)"/>
      <w:numFmt w:val="lowerRoman"/>
      <w:start w:val="1"/>
    </w:lvl>
  </w:abstractNum>
  <w:abstractNum w:abstractNumId="85">
    <w:nsid w:val="59ADEA3D"/>
    <w:multiLevelType w:val="hybridMultilevel"/>
    <w:lvl w:ilvl="0">
      <w:lvlJc w:val="left"/>
      <w:lvlText w:val="%1"/>
      <w:numFmt w:val="lowerLetter"/>
      <w:start w:val="1"/>
    </w:lvl>
    <w:lvl w:ilvl="1">
      <w:lvlJc w:val="left"/>
      <w:lvlText w:val="(%2)"/>
      <w:numFmt w:val="lowerRoman"/>
      <w:start w:val="6"/>
    </w:lvl>
  </w:abstractNum>
  <w:abstractNum w:abstractNumId="86">
    <w:nsid w:val="288F1A34"/>
    <w:multiLevelType w:val="hybridMultilevel"/>
    <w:lvl w:ilvl="0">
      <w:lvlJc w:val="left"/>
      <w:lvlText w:val="(%1)"/>
      <w:numFmt w:val="lowerLetter"/>
      <w:start w:val="12"/>
    </w:lvl>
    <w:lvl w:ilvl="1">
      <w:lvlJc w:val="left"/>
      <w:lvlText w:val="%2"/>
      <w:numFmt w:val="lowerRoman"/>
      <w:start w:val="1"/>
    </w:lvl>
  </w:abstractNum>
  <w:abstractNum w:abstractNumId="87">
    <w:nsid w:val="2A155DBC"/>
    <w:multiLevelType w:val="hybridMultilevel"/>
    <w:lvl w:ilvl="0">
      <w:lvlJc w:val="left"/>
      <w:lvlText w:val="(%1)"/>
      <w:numFmt w:val="lowerLetter"/>
      <w:start w:val="18"/>
    </w:lvl>
  </w:abstractNum>
  <w:abstractNum w:abstractNumId="88">
    <w:nsid w:val="1D9F6E5F"/>
    <w:multiLevelType w:val="hybridMultilevel"/>
    <w:lvl w:ilvl="0">
      <w:lvlJc w:val="left"/>
      <w:lvlText w:val="(%1)"/>
      <w:numFmt w:val="lowerLetter"/>
      <w:start w:val="1"/>
    </w:lvl>
  </w:abstractNum>
  <w:abstractNum w:abstractNumId="89">
    <w:nsid w:val="97E1B4E"/>
    <w:multiLevelType w:val="hybridMultilevel"/>
    <w:lvl w:ilvl="0">
      <w:lvlJc w:val="left"/>
      <w:lvlText w:val="(%1)"/>
      <w:numFmt w:val="lowerLetter"/>
      <w:start w:val="9"/>
    </w:lvl>
    <w:lvl w:ilvl="1">
      <w:lvlJc w:val="left"/>
      <w:lvlText w:val="(%2)"/>
      <w:numFmt w:val="lowerLetter"/>
      <w:start w:val="6"/>
    </w:lvl>
  </w:abstractNum>
  <w:abstractNum w:abstractNumId="90">
    <w:nsid w:val="51088277"/>
    <w:multiLevelType w:val="hybridMultilevel"/>
    <w:lvl w:ilvl="0">
      <w:lvlJc w:val="left"/>
      <w:lvlText w:val="(%1)"/>
      <w:numFmt w:val="lowerLetter"/>
      <w:start w:val="1"/>
    </w:lvl>
  </w:abstractNum>
  <w:abstractNum w:abstractNumId="91">
    <w:nsid w:val="1CA0C5FA"/>
    <w:multiLevelType w:val="hybridMultilevel"/>
    <w:lvl w:ilvl="0">
      <w:lvlJc w:val="left"/>
      <w:lvlText w:val="(%1)"/>
      <w:numFmt w:val="lowerLetter"/>
      <w:start w:val="2"/>
    </w:lvl>
  </w:abstractNum>
  <w:abstractNum w:abstractNumId="92">
    <w:nsid w:val="53584BCB"/>
    <w:multiLevelType w:val="hybridMultilevel"/>
    <w:lvl w:ilvl="0">
      <w:lvlJc w:val="left"/>
      <w:lvlText w:val="(%1)"/>
      <w:numFmt w:val="lowerLetter"/>
      <w:start w:val="1"/>
    </w:lvl>
  </w:abstractNum>
  <w:abstractNum w:abstractNumId="93">
    <w:nsid w:val="415E286C"/>
    <w:multiLevelType w:val="hybridMultilevel"/>
    <w:lvl w:ilvl="0">
      <w:lvlJc w:val="left"/>
      <w:lvlText w:val="(%1)"/>
      <w:numFmt w:val="lowerLetter"/>
      <w:start w:val="2"/>
    </w:lvl>
  </w:abstractNum>
  <w:abstractNum w:abstractNumId="94">
    <w:nsid w:val="7C58FD05"/>
    <w:multiLevelType w:val="hybridMultilevel"/>
    <w:lvl w:ilvl="0">
      <w:lvlJc w:val="left"/>
      <w:lvlText w:val="(%1)"/>
      <w:numFmt w:val="lowerLetter"/>
      <w:start w:val="1"/>
    </w:lvl>
  </w:abstractNum>
  <w:abstractNum w:abstractNumId="95">
    <w:nsid w:val="23D86AAC"/>
    <w:multiLevelType w:val="hybridMultilevel"/>
    <w:lvl w:ilvl="0">
      <w:lvlJc w:val="left"/>
      <w:lvlText w:val="(%1)"/>
      <w:numFmt w:val="lowerLetter"/>
      <w:start w:val="1"/>
    </w:lvl>
  </w:abstractNum>
  <w:abstractNum w:abstractNumId="96">
    <w:nsid w:val="45E6D486"/>
    <w:multiLevelType w:val="hybridMultilevel"/>
    <w:lvl w:ilvl="0">
      <w:lvlJc w:val="left"/>
      <w:lvlText w:val="(%1)"/>
      <w:numFmt w:val="lowerLetter"/>
      <w:start w:val="1"/>
    </w:lvl>
  </w:abstractNum>
  <w:abstractNum w:abstractNumId="97">
    <w:nsid w:val="5C10FE21"/>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98">
    <w:nsid w:val="E7FFA2B"/>
    <w:multiLevelType w:val="hybridMultilevel"/>
    <w:lvl w:ilvl="0">
      <w:lvlJc w:val="left"/>
      <w:lvlText w:val="(%1)"/>
      <w:numFmt w:val="lowerLetter"/>
      <w:start w:val="1"/>
    </w:lvl>
  </w:abstractNum>
  <w:abstractNum w:abstractNumId="99">
    <w:nsid w:val="3C5991AA"/>
    <w:multiLevelType w:val="hybridMultilevel"/>
    <w:lvl w:ilvl="0">
      <w:lvlJc w:val="left"/>
      <w:lvlText w:val="%1"/>
      <w:numFmt w:val="lowerLetter"/>
      <w:start w:val="1"/>
    </w:lvl>
    <w:lvl w:ilvl="1">
      <w:lvlJc w:val="left"/>
      <w:lvlText w:val="(%2)"/>
      <w:numFmt w:val="lowerLetter"/>
      <w:start w:val="1"/>
    </w:lvl>
  </w:abstractNum>
  <w:abstractNum w:abstractNumId="100">
    <w:nsid w:val="4BD8591A"/>
    <w:multiLevelType w:val="hybridMultilevel"/>
    <w:lvl w:ilvl="0">
      <w:lvlJc w:val="left"/>
      <w:lvlText w:val="(%1)"/>
      <w:numFmt w:val="lowerLetter"/>
      <w:start w:val="61"/>
    </w:lvl>
    <w:lvl w:ilvl="1">
      <w:lvlJc w:val="left"/>
      <w:lvlText w:val="(%2)"/>
      <w:numFmt w:val="lowerLetter"/>
      <w:start w:val="2"/>
    </w:lvl>
  </w:abstractNum>
  <w:abstractNum w:abstractNumId="101">
    <w:nsid w:val="78DF6A55"/>
    <w:multiLevelType w:val="hybridMultilevel"/>
    <w:lvl w:ilvl="0">
      <w:lvlJc w:val="left"/>
      <w:lvlText w:val="(%1)"/>
      <w:numFmt w:val="lowerLetter"/>
      <w:start w:val="1"/>
    </w:lvl>
  </w:abstractNum>
  <w:abstractNum w:abstractNumId="102">
    <w:nsid w:val="39B7AAA2"/>
    <w:multiLevelType w:val="hybridMultilevel"/>
    <w:lvl w:ilvl="0">
      <w:lvlJc w:val="left"/>
      <w:lvlText w:val="(%1)"/>
      <w:numFmt w:val="lowerLetter"/>
      <w:start w:val="1"/>
    </w:lvl>
  </w:abstractNum>
  <w:abstractNum w:abstractNumId="103">
    <w:nsid w:val="2B0D8DBE"/>
    <w:multiLevelType w:val="hybridMultilevel"/>
    <w:lvl w:ilvl="0">
      <w:lvlJc w:val="left"/>
      <w:lvlText w:val="(%1)"/>
      <w:numFmt w:val="lowerLetter"/>
      <w:start w:val="1"/>
    </w:lvl>
    <w:lvl w:ilvl="1">
      <w:lvlJc w:val="left"/>
      <w:lvlText w:val="(%2)"/>
      <w:numFmt w:val="lowerRoman"/>
      <w:start w:val="1"/>
    </w:lvl>
  </w:abstractNum>
  <w:abstractNum w:abstractNumId="104">
    <w:nsid w:val="6C80EC70"/>
    <w:multiLevelType w:val="hybridMultilevel"/>
    <w:lvl w:ilvl="0">
      <w:lvlJc w:val="left"/>
      <w:lvlText w:val="%1"/>
      <w:numFmt w:val="lowerLetter"/>
      <w:start w:val="1"/>
    </w:lvl>
    <w:lvl w:ilvl="1">
      <w:lvlJc w:val="left"/>
      <w:lvlText w:val="(%2)"/>
      <w:numFmt w:val="lowerRoman"/>
      <w:start w:val="8"/>
    </w:lvl>
  </w:abstractNum>
  <w:abstractNum w:abstractNumId="105">
    <w:nsid w:val="379E21B5"/>
    <w:multiLevelType w:val="hybridMultilevel"/>
    <w:lvl w:ilvl="0">
      <w:lvlJc w:val="left"/>
      <w:lvlText w:val="(%1)"/>
      <w:numFmt w:val="lowerLetter"/>
      <w:start w:val="2"/>
    </w:lvl>
    <w:lvl w:ilvl="1">
      <w:lvlJc w:val="left"/>
      <w:lvlText w:val="%2"/>
      <w:numFmt w:val="lowerRoman"/>
      <w:start w:val="1"/>
    </w:lvl>
  </w:abstractNum>
  <w:abstractNum w:abstractNumId="106">
    <w:nsid w:val="69E373"/>
    <w:multiLevelType w:val="hybridMultilevel"/>
    <w:lvl w:ilvl="0">
      <w:lvlJc w:val="left"/>
      <w:lvlText w:val="(%1)"/>
      <w:numFmt w:val="lowerRoman"/>
      <w:start w:val="10"/>
    </w:lvl>
  </w:abstractNum>
  <w:abstractNum w:abstractNumId="107">
    <w:nsid w:val="2C27173B"/>
    <w:multiLevelType w:val="hybridMultilevel"/>
    <w:lvl w:ilvl="0">
      <w:lvlJc w:val="left"/>
      <w:lvlText w:val="(%1)"/>
      <w:numFmt w:val="lowerLetter"/>
      <w:start w:val="1"/>
    </w:lvl>
  </w:abstractNum>
  <w:abstractNum w:abstractNumId="108">
    <w:nsid w:val="4C9B0904"/>
    <w:multiLevelType w:val="hybridMultilevel"/>
    <w:lvl w:ilvl="0">
      <w:lvlJc w:val="left"/>
      <w:lvlText w:val="(%1)"/>
      <w:numFmt w:val="lowerLetter"/>
      <w:start w:val="1"/>
    </w:lvl>
  </w:abstractNum>
  <w:abstractNum w:abstractNumId="109">
    <w:nsid w:val="6AA7B75C"/>
    <w:multiLevelType w:val="hybridMultilevel"/>
    <w:lvl w:ilvl="0">
      <w:lvlJc w:val="left"/>
      <w:lvlText w:val="(%1)"/>
      <w:numFmt w:val="lowerLetter"/>
      <w:start w:val="2"/>
    </w:lvl>
  </w:abstractNum>
  <w:abstractNum w:abstractNumId="110">
    <w:nsid w:val="1DF029D3"/>
    <w:multiLevelType w:val="hybridMultilevel"/>
    <w:lvl w:ilvl="0">
      <w:lvlJc w:val="left"/>
      <w:lvlText w:val="%1."/>
      <w:numFmt w:val="upperLetter"/>
      <w:start w:val="1"/>
    </w:lvl>
  </w:abstractNum>
  <w:abstractNum w:abstractNumId="111">
    <w:nsid w:val="5675FF36"/>
    <w:multiLevelType w:val="hybridMultilevel"/>
    <w:lvl w:ilvl="0">
      <w:lvlJc w:val="left"/>
      <w:lvlText w:val="(%1)"/>
      <w:numFmt w:val="lowerLetter"/>
      <w:start w:val="1"/>
    </w:lvl>
    <w:lvl w:ilvl="1">
      <w:lvlJc w:val="left"/>
      <w:lvlText w:val="(%2)"/>
      <w:numFmt w:val="lowerRoman"/>
      <w:start w:val="1"/>
    </w:lvl>
  </w:abstractNum>
  <w:abstractNum w:abstractNumId="112">
    <w:nsid w:val="3DD15094"/>
    <w:multiLevelType w:val="hybridMultilevel"/>
    <w:lvl w:ilvl="0">
      <w:lvlJc w:val="left"/>
      <w:lvlText w:val="(%1)"/>
      <w:numFmt w:val="lowerLetter"/>
      <w:start w:val="2"/>
    </w:lvl>
  </w:abstractNum>
  <w:abstractNum w:abstractNumId="113">
    <w:nsid w:val="3DB012B3"/>
    <w:multiLevelType w:val="hybridMultilevel"/>
    <w:lvl w:ilvl="0">
      <w:lvlJc w:val="left"/>
      <w:lvlText w:val="(%1)"/>
      <w:numFmt w:val="lowerLetter"/>
      <w:start w:val="1"/>
    </w:lvl>
    <w:lvl w:ilvl="1">
      <w:lvlJc w:val="left"/>
      <w:lvlText w:val="(%2)"/>
      <w:numFmt w:val="lowerLetter"/>
      <w:start w:val="9"/>
    </w:lvl>
  </w:abstractNum>
  <w:abstractNum w:abstractNumId="114">
    <w:nsid w:val="2708C9AF"/>
    <w:multiLevelType w:val="hybridMultilevel"/>
    <w:lvl w:ilvl="0">
      <w:lvlJc w:val="left"/>
      <w:lvlText w:val="(%1)"/>
      <w:numFmt w:val="lowerRoman"/>
      <w:start w:val="2"/>
    </w:lvl>
  </w:abstractNum>
  <w:abstractNum w:abstractNumId="115">
    <w:nsid w:val="5B25ACE2"/>
    <w:multiLevelType w:val="hybridMultilevel"/>
    <w:lvl w:ilvl="0">
      <w:lvlJc w:val="left"/>
      <w:lvlText w:val="(%1)"/>
      <w:numFmt w:val="lowerLetter"/>
      <w:start w:val="2"/>
    </w:lvl>
  </w:abstractNum>
  <w:abstractNum w:abstractNumId="116">
    <w:nsid w:val="175DFCF0"/>
    <w:multiLevelType w:val="hybridMultilevel"/>
    <w:lvl w:ilvl="0">
      <w:lvlJc w:val="left"/>
      <w:lvlText w:val="%1"/>
      <w:numFmt w:val="decimal"/>
      <w:start w:val="1"/>
    </w:lvl>
    <w:lvl w:ilvl="1">
      <w:lvlJc w:val="left"/>
      <w:lvlText w:val="(%2)"/>
      <w:numFmt w:val="lowerLetter"/>
      <w:start w:val="1"/>
    </w:lvl>
  </w:abstractNum>
  <w:abstractNum w:abstractNumId="117">
    <w:nsid w:val="4F97E3E4"/>
    <w:multiLevelType w:val="hybridMultilevel"/>
    <w:lvl w:ilvl="0">
      <w:lvlJc w:val="left"/>
      <w:lvlText w:val="(%1)"/>
      <w:numFmt w:val="decimal"/>
      <w:start w:val="30"/>
    </w:lvl>
    <w:lvl w:ilvl="1">
      <w:lvlJc w:val="left"/>
      <w:lvlText w:val="(%2)"/>
      <w:numFmt w:val="lowerLetter"/>
      <w:start w:val="10"/>
    </w:lvl>
  </w:abstractNum>
  <w:abstractNum w:abstractNumId="118">
    <w:nsid w:val="53B0A9E"/>
    <w:multiLevelType w:val="hybridMultilevel"/>
    <w:lvl w:ilvl="0">
      <w:lvlJc w:val="left"/>
      <w:lvlText w:val="(%1)"/>
      <w:numFmt w:val="lowerLetter"/>
      <w:start w:val="11"/>
    </w:lvl>
    <w:lvl w:ilvl="1">
      <w:lvlJc w:val="left"/>
      <w:lvlText w:val="(%2)"/>
      <w:numFmt w:val="lowerRoman"/>
      <w:start w:val="1"/>
    </w:lvl>
  </w:abstractNum>
  <w:abstractNum w:abstractNumId="119">
    <w:nsid w:val="34FD6B4F"/>
    <w:multiLevelType w:val="hybridMultilevel"/>
    <w:lvl w:ilvl="0">
      <w:lvlJc w:val="left"/>
      <w:lvlText w:val="(%1)"/>
      <w:numFmt w:val="lowerLetter"/>
      <w:start w:val="1"/>
    </w:lvl>
  </w:abstractNum>
  <w:abstractNum w:abstractNumId="120">
    <w:nsid w:val="5915FF32"/>
    <w:multiLevelType w:val="hybridMultilevel"/>
    <w:lvl w:ilvl="0">
      <w:lvlJc w:val="left"/>
      <w:lvlText w:val="(%1)"/>
      <w:numFmt w:val="lowerLetter"/>
      <w:start w:val="1"/>
    </w:lvl>
    <w:lvl w:ilvl="1">
      <w:lvlJc w:val="left"/>
      <w:lvlText w:val="(%2)"/>
      <w:numFmt w:val="lowerRoman"/>
      <w:start w:val="1"/>
    </w:lvl>
  </w:abstractNum>
  <w:abstractNum w:abstractNumId="121">
    <w:nsid w:val="56438D15"/>
    <w:multiLevelType w:val="hybridMultilevel"/>
    <w:lvl w:ilvl="0">
      <w:lvlJc w:val="left"/>
      <w:lvlText w:val="%1"/>
      <w:numFmt w:val="lowerLetter"/>
      <w:start w:val="1"/>
    </w:lvl>
    <w:lvl w:ilvl="1">
      <w:lvlJc w:val="left"/>
      <w:lvlText w:val="(%2)"/>
      <w:numFmt w:val="lowerLetter"/>
      <w:start w:val="61"/>
    </w:lvl>
  </w:abstractNum>
  <w:abstractNum w:abstractNumId="122">
    <w:nsid w:val="519E3149"/>
    <w:multiLevelType w:val="hybridMultilevel"/>
    <w:lvl w:ilvl="0">
      <w:lvlJc w:val="left"/>
      <w:lvlText w:val="(%1)"/>
      <w:numFmt w:val="lowerLetter"/>
      <w:start w:val="2"/>
    </w:lvl>
    <w:lvl w:ilvl="1">
      <w:lvlJc w:val="left"/>
      <w:lvlText w:val="%2"/>
      <w:numFmt w:val="lowerLetter"/>
      <w:start w:val="1"/>
    </w:lvl>
  </w:abstractNum>
  <w:abstractNum w:abstractNumId="123">
    <w:nsid w:val="2C6E4AFD"/>
    <w:multiLevelType w:val="hybridMultilevel"/>
    <w:lvl w:ilvl="0">
      <w:lvlJc w:val="left"/>
      <w:lvlText w:val="(%1)"/>
      <w:numFmt w:val="lowerLetter"/>
      <w:start w:val="9"/>
    </w:lvl>
  </w:abstractNum>
  <w:abstractNum w:abstractNumId="124">
    <w:nsid w:val="17A1B582"/>
    <w:multiLevelType w:val="hybridMultilevel"/>
    <w:lvl w:ilvl="0">
      <w:lvlJc w:val="left"/>
      <w:lvlText w:val="(%1)"/>
      <w:numFmt w:val="decimal"/>
      <w:start w:val="1"/>
    </w:lvl>
  </w:abstractNum>
  <w:abstractNum w:abstractNumId="125">
    <w:nsid w:val="4DF72E4E"/>
    <w:multiLevelType w:val="hybridMultilevel"/>
    <w:lvl w:ilvl="0">
      <w:lvlJc w:val="left"/>
      <w:lvlText w:val="%1."/>
      <w:numFmt w:val="decimal"/>
      <w:start w:val="1"/>
    </w:lvl>
    <w:lvl w:ilvl="1">
      <w:lvlJc w:val="left"/>
      <w:lvlText w:val="%2)"/>
      <w:numFmt w:val="lowerLetter"/>
      <w:start w:val="1"/>
    </w:lvl>
  </w:abstractNum>
  <w:abstractNum w:abstractNumId="126">
    <w:nsid w:val="5046B5A9"/>
    <w:multiLevelType w:val="hybridMultilevel"/>
    <w:lvl w:ilvl="0">
      <w:lvlJc w:val="left"/>
      <w:lvlText w:val="%1."/>
      <w:numFmt w:val="decimal"/>
      <w:start w:val="1"/>
    </w:lvl>
    <w:lvl w:ilvl="1">
      <w:lvlJc w:val="left"/>
      <w:lvlText w:val="%2)"/>
      <w:numFmt w:val="lowerLetter"/>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63"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9"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4" Type="http://schemas.openxmlformats.org/officeDocument/2006/relationships/image" Target="media/image245.png"/><Relationship Id="rId275"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3" Type="http://schemas.openxmlformats.org/officeDocument/2006/relationships/image" Target="media/image258.png"/><Relationship Id="rId294" Type="http://schemas.openxmlformats.org/officeDocument/2006/relationships/image" Target="media/image259.png"/><Relationship Id="rId296" Type="http://schemas.openxmlformats.org/officeDocument/2006/relationships/image" Target="media/image260.png"/><Relationship Id="rId297" Type="http://schemas.openxmlformats.org/officeDocument/2006/relationships/image" Target="media/image261.png"/><Relationship Id="rId298" Type="http://schemas.openxmlformats.org/officeDocument/2006/relationships/image" Target="media/image262.png"/><Relationship Id="rId299" Type="http://schemas.openxmlformats.org/officeDocument/2006/relationships/image" Target="media/image263.png"/><Relationship Id="rId300" Type="http://schemas.openxmlformats.org/officeDocument/2006/relationships/image" Target="media/image264.png"/><Relationship Id="rId301" Type="http://schemas.openxmlformats.org/officeDocument/2006/relationships/image" Target="media/image265.png"/><Relationship Id="rId303" Type="http://schemas.openxmlformats.org/officeDocument/2006/relationships/image" Target="media/image266.png"/><Relationship Id="rId304" Type="http://schemas.openxmlformats.org/officeDocument/2006/relationships/image" Target="media/image267.png"/><Relationship Id="rId305"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1" Type="http://schemas.openxmlformats.org/officeDocument/2006/relationships/image" Target="media/image279.png"/><Relationship Id="rId322" Type="http://schemas.openxmlformats.org/officeDocument/2006/relationships/image" Target="media/image280.png"/><Relationship Id="rId323" Type="http://schemas.openxmlformats.org/officeDocument/2006/relationships/image" Target="media/image281.png"/><Relationship Id="rId325" Type="http://schemas.openxmlformats.org/officeDocument/2006/relationships/image" Target="media/image282.png"/><Relationship Id="rId326" Type="http://schemas.openxmlformats.org/officeDocument/2006/relationships/image" Target="media/image283.png"/><Relationship Id="rId327" Type="http://schemas.openxmlformats.org/officeDocument/2006/relationships/image" Target="media/image284.png"/><Relationship Id="rId329"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3" Type="http://schemas.openxmlformats.org/officeDocument/2006/relationships/image" Target="media/image288.png"/><Relationship Id="rId335" Type="http://schemas.openxmlformats.org/officeDocument/2006/relationships/image" Target="media/image289.png"/><Relationship Id="rId336" Type="http://schemas.openxmlformats.org/officeDocument/2006/relationships/image" Target="media/image290.png"/><Relationship Id="rId337" Type="http://schemas.openxmlformats.org/officeDocument/2006/relationships/image" Target="media/image291.png"/><Relationship Id="rId338" Type="http://schemas.openxmlformats.org/officeDocument/2006/relationships/image" Target="media/image292.png"/><Relationship Id="rId349" Type="http://schemas.openxmlformats.org/officeDocument/2006/relationships/image" Target="media/image293.png"/><Relationship Id="rId350" Type="http://schemas.openxmlformats.org/officeDocument/2006/relationships/image" Target="media/image294.png"/><Relationship Id="rId351" Type="http://schemas.openxmlformats.org/officeDocument/2006/relationships/image" Target="media/image295.png"/><Relationship Id="rId352" Type="http://schemas.openxmlformats.org/officeDocument/2006/relationships/image" Target="media/image296.png"/><Relationship Id="rId353" Type="http://schemas.openxmlformats.org/officeDocument/2006/relationships/image" Target="media/image297.png"/><Relationship Id="rId354" Type="http://schemas.openxmlformats.org/officeDocument/2006/relationships/image" Target="media/image298.png"/><Relationship Id="rId355" Type="http://schemas.openxmlformats.org/officeDocument/2006/relationships/image" Target="media/image299.png"/><Relationship Id="rId356" Type="http://schemas.openxmlformats.org/officeDocument/2006/relationships/image" Target="media/image300.png"/><Relationship Id="rId357" Type="http://schemas.openxmlformats.org/officeDocument/2006/relationships/image" Target="media/image301.png"/><Relationship Id="rId358" Type="http://schemas.openxmlformats.org/officeDocument/2006/relationships/image" Target="media/image302.png"/><Relationship Id="rId359" Type="http://schemas.openxmlformats.org/officeDocument/2006/relationships/image" Target="media/image303.png"/><Relationship Id="rId360" Type="http://schemas.openxmlformats.org/officeDocument/2006/relationships/image" Target="media/image304.png"/><Relationship Id="rId361" Type="http://schemas.openxmlformats.org/officeDocument/2006/relationships/image" Target="media/image305.png"/><Relationship Id="rId362" Type="http://schemas.openxmlformats.org/officeDocument/2006/relationships/image" Target="media/image306.png"/><Relationship Id="rId363" Type="http://schemas.openxmlformats.org/officeDocument/2006/relationships/image" Target="media/image307.png"/><Relationship Id="rId364" Type="http://schemas.openxmlformats.org/officeDocument/2006/relationships/image" Target="media/image308.png"/><Relationship Id="rId365" Type="http://schemas.openxmlformats.org/officeDocument/2006/relationships/image" Target="media/image309.png"/><Relationship Id="rId366" Type="http://schemas.openxmlformats.org/officeDocument/2006/relationships/image" Target="media/image310.png"/><Relationship Id="rId367" Type="http://schemas.openxmlformats.org/officeDocument/2006/relationships/image" Target="media/image311.png"/><Relationship Id="rId368" Type="http://schemas.openxmlformats.org/officeDocument/2006/relationships/image" Target="media/image312.png"/><Relationship Id="rId369" Type="http://schemas.openxmlformats.org/officeDocument/2006/relationships/image" Target="media/image313.png"/><Relationship Id="rId370" Type="http://schemas.openxmlformats.org/officeDocument/2006/relationships/image" Target="media/image314.png"/><Relationship Id="rId371" Type="http://schemas.openxmlformats.org/officeDocument/2006/relationships/image" Target="media/image315.png"/><Relationship Id="rId372" Type="http://schemas.openxmlformats.org/officeDocument/2006/relationships/image" Target="media/image316.png"/><Relationship Id="rId373" Type="http://schemas.openxmlformats.org/officeDocument/2006/relationships/image" Target="media/image317.png"/><Relationship Id="rId374" Type="http://schemas.openxmlformats.org/officeDocument/2006/relationships/image" Target="media/image318.png"/><Relationship Id="rId375" Type="http://schemas.openxmlformats.org/officeDocument/2006/relationships/image" Target="media/image319.png"/><Relationship Id="rId376" Type="http://schemas.openxmlformats.org/officeDocument/2006/relationships/image" Target="media/image320.png"/><Relationship Id="rId377" Type="http://schemas.openxmlformats.org/officeDocument/2006/relationships/image" Target="media/image321.png"/><Relationship Id="rId378" Type="http://schemas.openxmlformats.org/officeDocument/2006/relationships/image" Target="media/image322.png"/><Relationship Id="rId379" Type="http://schemas.openxmlformats.org/officeDocument/2006/relationships/image" Target="media/image323.png"/><Relationship Id="rId380" Type="http://schemas.openxmlformats.org/officeDocument/2006/relationships/image" Target="media/image324.png"/><Relationship Id="rId381" Type="http://schemas.openxmlformats.org/officeDocument/2006/relationships/image" Target="media/image325.png"/><Relationship Id="rId382" Type="http://schemas.openxmlformats.org/officeDocument/2006/relationships/image" Target="media/image326.png"/><Relationship Id="rId383" Type="http://schemas.openxmlformats.org/officeDocument/2006/relationships/image" Target="media/image327.png"/><Relationship Id="rId384" Type="http://schemas.openxmlformats.org/officeDocument/2006/relationships/image" Target="media/image328.png"/><Relationship Id="rId385" Type="http://schemas.openxmlformats.org/officeDocument/2006/relationships/image" Target="media/image329.png"/><Relationship Id="rId386" Type="http://schemas.openxmlformats.org/officeDocument/2006/relationships/image" Target="media/image330.png"/><Relationship Id="rId387" Type="http://schemas.openxmlformats.org/officeDocument/2006/relationships/image" Target="media/image331.png"/><Relationship Id="rId388" Type="http://schemas.openxmlformats.org/officeDocument/2006/relationships/image" Target="media/image332.png"/><Relationship Id="rId389" Type="http://schemas.openxmlformats.org/officeDocument/2006/relationships/image" Target="media/image333.png"/><Relationship Id="rId390" Type="http://schemas.openxmlformats.org/officeDocument/2006/relationships/image" Target="media/image334.png"/><Relationship Id="rId391" Type="http://schemas.openxmlformats.org/officeDocument/2006/relationships/image" Target="media/image335.png"/><Relationship Id="rId392" Type="http://schemas.openxmlformats.org/officeDocument/2006/relationships/image" Target="media/image336.png"/><Relationship Id="rId393" Type="http://schemas.openxmlformats.org/officeDocument/2006/relationships/image" Target="media/image337.png"/><Relationship Id="rId394" Type="http://schemas.openxmlformats.org/officeDocument/2006/relationships/image" Target="media/image338.png"/><Relationship Id="rId395" Type="http://schemas.openxmlformats.org/officeDocument/2006/relationships/image" Target="media/image339.png"/><Relationship Id="rId396" Type="http://schemas.openxmlformats.org/officeDocument/2006/relationships/image" Target="media/image340.png"/><Relationship Id="rId397" Type="http://schemas.openxmlformats.org/officeDocument/2006/relationships/image" Target="media/image341.png"/><Relationship Id="rId398" Type="http://schemas.openxmlformats.org/officeDocument/2006/relationships/image" Target="media/image342.png"/><Relationship Id="rId399" Type="http://schemas.openxmlformats.org/officeDocument/2006/relationships/image" Target="media/image343.png"/><Relationship Id="rId400" Type="http://schemas.openxmlformats.org/officeDocument/2006/relationships/image" Target="media/image344.png"/><Relationship Id="rId401" Type="http://schemas.openxmlformats.org/officeDocument/2006/relationships/image" Target="media/image345.png"/><Relationship Id="rId402" Type="http://schemas.openxmlformats.org/officeDocument/2006/relationships/image" Target="media/image346.png"/><Relationship Id="rId403" Type="http://schemas.openxmlformats.org/officeDocument/2006/relationships/image" Target="media/image347.png"/><Relationship Id="rId404" Type="http://schemas.openxmlformats.org/officeDocument/2006/relationships/image" Target="media/image348.png"/><Relationship Id="rId405" Type="http://schemas.openxmlformats.org/officeDocument/2006/relationships/image" Target="media/image349.png"/><Relationship Id="rId406" Type="http://schemas.openxmlformats.org/officeDocument/2006/relationships/image" Target="media/image350.png"/><Relationship Id="rId407" Type="http://schemas.openxmlformats.org/officeDocument/2006/relationships/image" Target="media/image351.png"/><Relationship Id="rId408" Type="http://schemas.openxmlformats.org/officeDocument/2006/relationships/image" Target="media/image352.png"/><Relationship Id="rId409" Type="http://schemas.openxmlformats.org/officeDocument/2006/relationships/image" Target="media/image353.png"/><Relationship Id="rId410" Type="http://schemas.openxmlformats.org/officeDocument/2006/relationships/image" Target="media/image354.png"/><Relationship Id="rId411" Type="http://schemas.openxmlformats.org/officeDocument/2006/relationships/image" Target="media/image355.png"/><Relationship Id="rId412" Type="http://schemas.openxmlformats.org/officeDocument/2006/relationships/image" Target="media/image356.png"/><Relationship Id="rId413" Type="http://schemas.openxmlformats.org/officeDocument/2006/relationships/image" Target="media/image357.png"/><Relationship Id="rId414" Type="http://schemas.openxmlformats.org/officeDocument/2006/relationships/image" Target="media/image358.png"/><Relationship Id="rId415" Type="http://schemas.openxmlformats.org/officeDocument/2006/relationships/image" Target="media/image359.png"/><Relationship Id="rId416" Type="http://schemas.openxmlformats.org/officeDocument/2006/relationships/image" Target="media/image360.png"/><Relationship Id="rId417" Type="http://schemas.openxmlformats.org/officeDocument/2006/relationships/image" Target="media/image361.png"/><Relationship Id="rId418" Type="http://schemas.openxmlformats.org/officeDocument/2006/relationships/image" Target="media/image362.png"/><Relationship Id="rId419" Type="http://schemas.openxmlformats.org/officeDocument/2006/relationships/image" Target="media/image363.png"/><Relationship Id="rId420" Type="http://schemas.openxmlformats.org/officeDocument/2006/relationships/image" Target="media/image364.png"/><Relationship Id="rId421" Type="http://schemas.openxmlformats.org/officeDocument/2006/relationships/image" Target="media/image365.png"/><Relationship Id="rId422" Type="http://schemas.openxmlformats.org/officeDocument/2006/relationships/image" Target="media/image366.png"/><Relationship Id="rId423" Type="http://schemas.openxmlformats.org/officeDocument/2006/relationships/image" Target="media/image367.png"/><Relationship Id="rId424" Type="http://schemas.openxmlformats.org/officeDocument/2006/relationships/image" Target="media/image368.png"/><Relationship Id="rId425" Type="http://schemas.openxmlformats.org/officeDocument/2006/relationships/image" Target="media/image369.png"/><Relationship Id="rId426" Type="http://schemas.openxmlformats.org/officeDocument/2006/relationships/image" Target="media/image370.png"/><Relationship Id="rId427" Type="http://schemas.openxmlformats.org/officeDocument/2006/relationships/image" Target="media/image371.png"/><Relationship Id="rId428" Type="http://schemas.openxmlformats.org/officeDocument/2006/relationships/image" Target="media/image372.png"/><Relationship Id="rId429" Type="http://schemas.openxmlformats.org/officeDocument/2006/relationships/image" Target="media/image373.png"/><Relationship Id="rId430" Type="http://schemas.openxmlformats.org/officeDocument/2006/relationships/image" Target="media/image374.png"/><Relationship Id="rId431" Type="http://schemas.openxmlformats.org/officeDocument/2006/relationships/image" Target="media/image375.png"/><Relationship Id="rId432" Type="http://schemas.openxmlformats.org/officeDocument/2006/relationships/image" Target="media/image376.png"/><Relationship Id="rId433" Type="http://schemas.openxmlformats.org/officeDocument/2006/relationships/image" Target="media/image377.png"/><Relationship Id="rId434" Type="http://schemas.openxmlformats.org/officeDocument/2006/relationships/image" Target="media/image378.png"/><Relationship Id="rId435" Type="http://schemas.openxmlformats.org/officeDocument/2006/relationships/image" Target="media/image379.png"/><Relationship Id="rId436" Type="http://schemas.openxmlformats.org/officeDocument/2006/relationships/image" Target="media/image380.png"/><Relationship Id="rId437" Type="http://schemas.openxmlformats.org/officeDocument/2006/relationships/image" Target="media/image381.png"/><Relationship Id="rId438" Type="http://schemas.openxmlformats.org/officeDocument/2006/relationships/image" Target="media/image382.png"/><Relationship Id="rId439" Type="http://schemas.openxmlformats.org/officeDocument/2006/relationships/image" Target="media/image383.png"/><Relationship Id="rId440" Type="http://schemas.openxmlformats.org/officeDocument/2006/relationships/image" Target="media/image384.png"/><Relationship Id="rId441" Type="http://schemas.openxmlformats.org/officeDocument/2006/relationships/image" Target="media/image385.png"/><Relationship Id="rId442" Type="http://schemas.openxmlformats.org/officeDocument/2006/relationships/image" Target="media/image386.png"/><Relationship Id="rId443" Type="http://schemas.openxmlformats.org/officeDocument/2006/relationships/image" Target="media/image387.png"/><Relationship Id="rId444" Type="http://schemas.openxmlformats.org/officeDocument/2006/relationships/image" Target="media/image388.png"/><Relationship Id="rId445" Type="http://schemas.openxmlformats.org/officeDocument/2006/relationships/image" Target="media/image389.png"/><Relationship Id="rId446" Type="http://schemas.openxmlformats.org/officeDocument/2006/relationships/image" Target="media/image390.png"/><Relationship Id="rId447" Type="http://schemas.openxmlformats.org/officeDocument/2006/relationships/image" Target="media/image391.png"/><Relationship Id="rId448" Type="http://schemas.openxmlformats.org/officeDocument/2006/relationships/image" Target="media/image392.png"/><Relationship Id="rId449" Type="http://schemas.openxmlformats.org/officeDocument/2006/relationships/image" Target="media/image393.png"/><Relationship Id="rId450" Type="http://schemas.openxmlformats.org/officeDocument/2006/relationships/image" Target="media/image394.png"/><Relationship Id="rId451" Type="http://schemas.openxmlformats.org/officeDocument/2006/relationships/image" Target="media/image395.png"/><Relationship Id="rId452" Type="http://schemas.openxmlformats.org/officeDocument/2006/relationships/image" Target="media/image396.png"/><Relationship Id="rId453" Type="http://schemas.openxmlformats.org/officeDocument/2006/relationships/image" Target="media/image397.png"/><Relationship Id="rId454" Type="http://schemas.openxmlformats.org/officeDocument/2006/relationships/image" Target="media/image398.png"/><Relationship Id="rId455" Type="http://schemas.openxmlformats.org/officeDocument/2006/relationships/image" Target="media/image399.png"/><Relationship Id="rId456" Type="http://schemas.openxmlformats.org/officeDocument/2006/relationships/image" Target="media/image400.png"/><Relationship Id="rId457" Type="http://schemas.openxmlformats.org/officeDocument/2006/relationships/image" Target="media/image401.png"/><Relationship Id="rId458" Type="http://schemas.openxmlformats.org/officeDocument/2006/relationships/image" Target="media/image402.png"/><Relationship Id="rId459" Type="http://schemas.openxmlformats.org/officeDocument/2006/relationships/image" Target="media/image403.png"/><Relationship Id="rId460" Type="http://schemas.openxmlformats.org/officeDocument/2006/relationships/image" Target="media/image404.png"/><Relationship Id="rId245" Type="http://schemas.openxmlformats.org/officeDocument/2006/relationships/hyperlink" Target="https://www.sec.gov/Archives/edgar/data/1783183/000119312519277761/d795888dex31.htm" TargetMode="External"/><Relationship Id="rId246" Type="http://schemas.openxmlformats.org/officeDocument/2006/relationships/hyperlink" Target="https://www.sec.gov/Archives/edgar/data/1783183/000119312523156713/d487635dex31.htm" TargetMode="External"/><Relationship Id="rId247" Type="http://schemas.openxmlformats.org/officeDocument/2006/relationships/hyperlink" Target="https://www.sec.gov/Archives/edgar/data/1783183/000119312523296630/d602391dex31.htm" TargetMode="External"/><Relationship Id="rId248" Type="http://schemas.openxmlformats.org/officeDocument/2006/relationships/hyperlink" Target="https://www.sec.gov/Archives/edgar/data/1783183/000119312519267053/d63338dex41.htm" TargetMode="External"/><Relationship Id="rId249" Type="http://schemas.openxmlformats.org/officeDocument/2006/relationships/hyperlink" Target="https://www.sec.gov/Archives/edgar/data/1783183/000119312519258922/d63338dex43.htm" TargetMode="External"/><Relationship Id="rId250" Type="http://schemas.openxmlformats.org/officeDocument/2006/relationships/hyperlink" Target="https://www.sec.gov/Archives/edgar/data/1783183/000119312519258922/d63338dex44.htm" TargetMode="External"/><Relationship Id="rId251" Type="http://schemas.openxmlformats.org/officeDocument/2006/relationships/hyperlink" Target="https://www.sec.gov/Archives/edgar/data/1783183/000156459021055073/phat-ex102_212.htm" TargetMode="External"/><Relationship Id="rId252" Type="http://schemas.openxmlformats.org/officeDocument/2006/relationships/hyperlink" Target="https://www.sec.gov/Archives/edgar/data/1783183/000095017023020109/phat-ex4_6.htm" TargetMode="External"/><Relationship Id="rId253" Type="http://schemas.openxmlformats.org/officeDocument/2006/relationships/hyperlink" Target="https://www.sec.gov/Archives/edgar/data/1783183/000095017023020109/phat-ex4_5.htm" TargetMode="External"/><Relationship Id="rId254" Type="http://schemas.openxmlformats.org/officeDocument/2006/relationships/hyperlink" Target="https://www.sec.gov/Archives/edgar/data/1783183/000119312524202879/d816262dex41.htm" TargetMode="External"/><Relationship Id="rId255" Type="http://schemas.openxmlformats.org/officeDocument/2006/relationships/hyperlink" Target="https://www.sec.gov/Archives/edgar/data/1783183/000119312526007660/d680858dex41.htm" TargetMode="External"/><Relationship Id="rId256" Type="http://schemas.openxmlformats.org/officeDocument/2006/relationships/hyperlink" Target="https://www.sec.gov/Archives/edgar/data/1783183/000119312519258922/d63338dex101.htm" TargetMode="External"/><Relationship Id="rId257" Type="http://schemas.openxmlformats.org/officeDocument/2006/relationships/hyperlink" Target="https://www.sec.gov/Archives/edgar/data/1783183/000119312519258922/d63338dex102.htm" TargetMode="External"/><Relationship Id="rId258" Type="http://schemas.openxmlformats.org/officeDocument/2006/relationships/hyperlink" Target="https://www.sec.gov/Archives/edgar/data/1783183/000119312519258922/d63338dex103.htm" TargetMode="External"/><Relationship Id="rId259" Type="http://schemas.openxmlformats.org/officeDocument/2006/relationships/hyperlink" Target="https://www.sec.gov/Archives/edgar/data/1783183/000119312519267053/d63338dex104.htm" TargetMode="External"/><Relationship Id="rId260" Type="http://schemas.openxmlformats.org/officeDocument/2006/relationships/hyperlink" Target="https://www.sec.gov/Archives/edgar/data/1783183/000156459020037296/phat-ex103_248.htm" TargetMode="External"/><Relationship Id="rId261" Type="http://schemas.openxmlformats.org/officeDocument/2006/relationships/hyperlink" Target="https://www.sec.gov/Archives/edgar/data/1783183/000119312519267053/d63338dex105.htm" TargetMode="External"/><Relationship Id="rId262" Type="http://schemas.openxmlformats.org/officeDocument/2006/relationships/hyperlink" Target="https://www.sec.gov/Archives/edgar/data/1783183/000095017024093885/phat-ex10_1.htm" TargetMode="External"/><Relationship Id="rId264" Type="http://schemas.openxmlformats.org/officeDocument/2006/relationships/hyperlink" Target="https://www.sec.gov/Archives/edgar/data/1783183/000119312519258922/d63338dex109.htm" TargetMode="External"/><Relationship Id="rId268" Type="http://schemas.openxmlformats.org/officeDocument/2006/relationships/hyperlink" Target="https://www.sec.gov/Archives/edgar/data/1783183/000119312519258922/d63338dex1011.htm" TargetMode="External"/><Relationship Id="rId270" Type="http://schemas.openxmlformats.org/officeDocument/2006/relationships/hyperlink" Target="https://www.sec.gov/Archives/edgar/data/1783183/000119312519258922/d63338dex1012.htm" TargetMode="External"/><Relationship Id="rId273" Type="http://schemas.openxmlformats.org/officeDocument/2006/relationships/hyperlink" Target="https://www.sec.gov/Archives/edgar/data/1783183/000119312519258922/d63338dex1014.htm" TargetMode="External"/><Relationship Id="rId276" Type="http://schemas.openxmlformats.org/officeDocument/2006/relationships/hyperlink" Target="https://www.sec.gov/Archives/edgar/data/1783183/000156459021016682/phat-ex1020_1409.htm" TargetMode="External"/><Relationship Id="rId279" Type="http://schemas.openxmlformats.org/officeDocument/2006/relationships/hyperlink" Target="https://www.sec.gov/Archives/edgar/data/1783183/000156459021016682/phat-ex1021_1410.htm" TargetMode="External"/><Relationship Id="rId282" Type="http://schemas.openxmlformats.org/officeDocument/2006/relationships/hyperlink" Target="https://www.sec.gov/Archives/edgar/data/1783183/000156459021042895/phat-ex104_267.htm" TargetMode="External"/><Relationship Id="rId285" Type="http://schemas.openxmlformats.org/officeDocument/2006/relationships/hyperlink" Target="https://www.sec.gov/Archives/edgar/data/1783183/000156459021055073/phat-ex101_211.htm" TargetMode="External"/><Relationship Id="rId288" Type="http://schemas.openxmlformats.org/officeDocument/2006/relationships/hyperlink" Target="https://www.sec.gov/Archives/edgar/data/1783183/000095017022002536/phat-ex10_30.htm" TargetMode="External"/><Relationship Id="rId292" Type="http://schemas.openxmlformats.org/officeDocument/2006/relationships/hyperlink" Target="https://www.sec.gov/Archives/edgar/data/1783183/000095017022008741/phat-ex10_1.htm" TargetMode="External"/><Relationship Id="rId295" Type="http://schemas.openxmlformats.org/officeDocument/2006/relationships/hyperlink" Target="https://www.sec.gov/Archives/edgar/data/1783183/000095017022013743/phat-ex10_2.htm" TargetMode="External"/><Relationship Id="rId302" Type="http://schemas.openxmlformats.org/officeDocument/2006/relationships/hyperlink" Target="https://www.sec.gov/Archives/edgar/data/1783183/000095017022013743/phat-ex10_4.htm" TargetMode="External"/><Relationship Id="rId306" Type="http://schemas.openxmlformats.org/officeDocument/2006/relationships/hyperlink" Target="https://www.sec.gov/Archives/edgar/data/1783183/000095017022023372/phat-ex10_1.htm" TargetMode="External"/><Relationship Id="rId309" Type="http://schemas.openxmlformats.org/officeDocument/2006/relationships/hyperlink" Target="https://www.sec.gov/Archives/edgar/data/1783183/000095017022023372/phat-ex10_2.htm" TargetMode="External"/><Relationship Id="rId313" Type="http://schemas.openxmlformats.org/officeDocument/2006/relationships/hyperlink" Target="https://www.sec.gov/Archives/edgar/data/1783183/000095017023004875/phat-ex10_37.htm" TargetMode="External"/><Relationship Id="rId317" Type="http://schemas.openxmlformats.org/officeDocument/2006/relationships/hyperlink" Target="https://www.sec.gov/Archives/edgar/data/1783183/000095017023020109/phat-ex10_1.htm" TargetMode="External"/><Relationship Id="rId320" Type="http://schemas.openxmlformats.org/officeDocument/2006/relationships/hyperlink" Target="https://www.sec.gov/Archives/edgar/data/1783183/000095017023040977/phat-ex10_1.htm" TargetMode="External"/><Relationship Id="rId324" Type="http://schemas.openxmlformats.org/officeDocument/2006/relationships/hyperlink" Target="https://www.sec.gov/Archives/edgar/data/1783183/000095017024027910/phat-ex10_26.htm" TargetMode="External"/><Relationship Id="rId328" Type="http://schemas.openxmlformats.org/officeDocument/2006/relationships/hyperlink" Target="https://www.sec.gov/Archives/edgar/data/1783183/000095017024027910/phat-ex10_27.htm" TargetMode="External"/><Relationship Id="rId332" Type="http://schemas.openxmlformats.org/officeDocument/2006/relationships/hyperlink" Target="https://www.sec.gov/Archives/edgar/data/1783183/000095017024027910/phat-ex10_28.htm" TargetMode="External"/><Relationship Id="rId334" Type="http://schemas.openxmlformats.org/officeDocument/2006/relationships/hyperlink" Target="https://www.sec.gov/Archives/edgar/data/1783183/000095017024123264/phat-ex10_1.htm" TargetMode="External"/><Relationship Id="rId339" Type="http://schemas.openxmlformats.org/officeDocument/2006/relationships/hyperlink" Target="https://www.sec.gov/Archives/edgar/data/1783183/000095017025034183/phat-ex10_30.htm" TargetMode="External"/><Relationship Id="rId340" Type="http://schemas.openxmlformats.org/officeDocument/2006/relationships/hyperlink" Target="https://www.sec.gov/Archives/edgar/data/1783183/000119312525072460/d906811dex101.htm" TargetMode="External"/><Relationship Id="rId341" Type="http://schemas.openxmlformats.org/officeDocument/2006/relationships/hyperlink" Target="https://www.sec.gov/Archives/edgar/data/1783183/000095017025061440/phat-ex10_1.htm" TargetMode="External"/><Relationship Id="rId342" Type="http://schemas.openxmlformats.org/officeDocument/2006/relationships/hyperlink" Target="https://www.sec.gov/Archives/edgar/data/1783183/000095017025061440/phat-ex10_2.htm" TargetMode="External"/><Relationship Id="rId343" Type="http://schemas.openxmlformats.org/officeDocument/2006/relationships/hyperlink" Target="https://www.sec.gov/Archives/edgar/data/1783183/000095017025104548/phat-ex10_1.htm" TargetMode="External"/><Relationship Id="rId344" Type="http://schemas.openxmlformats.org/officeDocument/2006/relationships/hyperlink" Target="https://www.sec.gov/Archives/edgar/data/1783183/000095017025104548/phat-ex10_2.htm" TargetMode="External"/><Relationship Id="rId345" Type="http://schemas.openxmlformats.org/officeDocument/2006/relationships/hyperlink" Target="https://www.sec.gov/Archives/edgar/data/1783183/000095017025104548/phat-ex10_3.htm" TargetMode="External"/><Relationship Id="rId346" Type="http://schemas.openxmlformats.org/officeDocument/2006/relationships/hyperlink" Target="https://www.sec.gov/Archives/edgar/data/1783183/000119312525257390/phat-ex10_1.htm" TargetMode="External"/><Relationship Id="rId347" Type="http://schemas.openxmlformats.org/officeDocument/2006/relationships/hyperlink" Target="https://www.sec.gov/Archives/edgar/data/1783183/000095017025034183/phat-ex19.htm" TargetMode="External"/><Relationship Id="rId348" Type="http://schemas.openxmlformats.org/officeDocument/2006/relationships/hyperlink" Target="https://www.sec.gov/Archives/edgar/data/1783183/000095017024027910/phat-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2026-02-26T06:19:26Z</dcterms:created>
  <dcterms:modified xsi:type="dcterms:W3CDTF">2026-02-26T06:19:26Z</dcterms:modified>
</cp:coreProperties>
</file>