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96520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95" w:lineRule="exact"/>
        <w:rPr>
          <w:sz w:val="24"/>
          <w:szCs w:val="24"/>
          <w:color w:val="auto"/>
        </w:rPr>
      </w:pPr>
    </w:p>
    <w:p>
      <w:pPr>
        <w:ind w:left="520" w:right="340" w:hanging="512"/>
        <w:spacing w:after="0" w:line="262" w:lineRule="auto"/>
        <w:tabs>
          <w:tab w:leader="none" w:pos="371"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360" w:hanging="512"/>
        <w:spacing w:after="0" w:line="262" w:lineRule="auto"/>
        <w:tabs>
          <w:tab w:leader="none" w:pos="371"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480"/>
        <w:spacing w:after="0"/>
        <w:tabs>
          <w:tab w:leader="none" w:pos="6700" w:val="left"/>
          <w:tab w:leader="none" w:pos="7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3720465</wp:posOffset>
            </wp:positionH>
            <wp:positionV relativeFrom="paragraph">
              <wp:posOffset>-5080</wp:posOffset>
            </wp:positionV>
            <wp:extent cx="1180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001-39094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82-4151574</w:t>
            </w:r>
          </w:p>
        </w:tc>
      </w:tr>
      <w:tr>
        <w:trPr>
          <w:trHeight w:val="148"/>
        </w:trPr>
        <w:tc>
          <w:tcPr>
            <w:tcW w:w="436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100 Campus Drive, Suite 102</w:t>
            </w:r>
          </w:p>
        </w:tc>
        <w:tc>
          <w:tcPr>
            <w:tcW w:w="3120" w:type="dxa"/>
            <w:vAlign w:val="bottom"/>
          </w:tcPr>
          <w:p>
            <w:pPr>
              <w:spacing w:after="0"/>
              <w:rPr>
                <w:sz w:val="24"/>
                <w:szCs w:val="24"/>
                <w:color w:val="auto"/>
              </w:rPr>
            </w:pPr>
          </w:p>
        </w:tc>
      </w:tr>
      <w:tr>
        <w:trPr>
          <w:trHeight w:val="214"/>
        </w:trPr>
        <w:tc>
          <w:tcPr>
            <w:tcW w:w="436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9"/>
              </w:rPr>
              <w:t>Florham Park, New Jersey</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07932</w:t>
            </w:r>
          </w:p>
        </w:tc>
      </w:tr>
      <w:tr>
        <w:trPr>
          <w:trHeight w:val="190"/>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742-8466</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PHAT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27, 2026, the registrant had 81,291,520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60" w:type="dxa"/>
            <w:vAlign w:val="bottom"/>
            <w:gridSpan w:val="6"/>
          </w:tcPr>
          <w:p>
            <w:pPr>
              <w:ind w:left="100"/>
              <w:spacing w:after="0"/>
              <w:rPr>
                <w:sz w:val="20"/>
                <w:szCs w:val="20"/>
                <w:color w:val="auto"/>
              </w:rPr>
            </w:pPr>
            <w:r>
              <w:rPr>
                <w:rFonts w:ascii="Arial" w:cs="Arial" w:eastAsia="Arial" w:hAnsi="Arial"/>
                <w:sz w:val="18"/>
                <w:szCs w:val="18"/>
                <w:b w:val="1"/>
                <w:bCs w:val="1"/>
                <w:color w:val="231F20"/>
              </w:rPr>
              <w:t>TABLE OF CONTENTS</w:t>
            </w:r>
          </w:p>
        </w:tc>
        <w:tc>
          <w:tcPr>
            <w:tcW w:w="2520" w:type="dxa"/>
            <w:vAlign w:val="bottom"/>
          </w:tcPr>
          <w:p>
            <w:pPr>
              <w:spacing w:after="0"/>
              <w:rPr>
                <w:sz w:val="21"/>
                <w:szCs w:val="21"/>
                <w:color w:val="auto"/>
              </w:rPr>
            </w:pPr>
          </w:p>
        </w:tc>
      </w:tr>
      <w:tr>
        <w:trPr>
          <w:trHeight w:val="380"/>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 FINANCIAL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708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Condensed Balance Sheets</w:t>
            </w:r>
          </w:p>
        </w:tc>
        <w:tc>
          <w:tcPr>
            <w:tcW w:w="40" w:type="dxa"/>
            <w:vAlign w:val="bottom"/>
            <w:tcBorders>
              <w:top w:val="single" w:sz="8" w:color="0000FF"/>
              <w:bottom w:val="single" w:sz="8" w:color="0000EE"/>
            </w:tcBorders>
          </w:tcPr>
          <w:p>
            <w:pPr>
              <w:spacing w:after="0"/>
              <w:rPr>
                <w:sz w:val="20"/>
                <w:szCs w:val="20"/>
                <w:color w:val="auto"/>
              </w:rPr>
            </w:pPr>
          </w:p>
        </w:tc>
        <w:tc>
          <w:tcPr>
            <w:tcW w:w="360" w:type="dxa"/>
            <w:vAlign w:val="bottom"/>
            <w:tcBorders>
              <w:top w:val="single" w:sz="8" w:color="0000FF"/>
            </w:tcBorders>
            <w:gridSpan w:val="2"/>
          </w:tcPr>
          <w:p>
            <w:pPr>
              <w:spacing w:after="0"/>
              <w:rPr>
                <w:sz w:val="20"/>
                <w:szCs w:val="20"/>
                <w:color w:val="auto"/>
              </w:rPr>
            </w:pPr>
          </w:p>
        </w:tc>
        <w:tc>
          <w:tcPr>
            <w:tcW w:w="4440" w:type="dxa"/>
            <w:vAlign w:val="bottom"/>
            <w:gridSpan w:val="8"/>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rPr>
              <w:t>Condensed Statements of Operations and Comprehensive Loss</w:t>
            </w:r>
          </w:p>
        </w:tc>
        <w:tc>
          <w:tcPr>
            <w:tcW w:w="19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Condensed Statements of Stockholders’ Deficit</w:t>
            </w:r>
          </w:p>
        </w:tc>
        <w:tc>
          <w:tcPr>
            <w:tcW w:w="2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Statements of Cash Flows</w:t>
            </w:r>
          </w:p>
        </w:tc>
        <w:tc>
          <w:tcPr>
            <w:tcW w:w="40" w:type="dxa"/>
            <w:vAlign w:val="bottom"/>
            <w:tcBorders>
              <w:top w:val="single" w:sz="8" w:color="0000FF"/>
              <w:bottom w:val="single" w:sz="8" w:color="0000EE"/>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3320" w:type="dxa"/>
            <w:vAlign w:val="bottom"/>
            <w:gridSpan w:val="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Notes to Condensed Unaudited Financial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1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II. OTHER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558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1A</w:t>
            </w:r>
          </w:p>
        </w:tc>
        <w:tc>
          <w:tcPr>
            <w:tcW w:w="708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220" w:type="dxa"/>
            <w:vAlign w:val="bottom"/>
            <w:gridSpan w:val="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4520" w:type="dxa"/>
            <w:vAlign w:val="bottom"/>
            <w:gridSpan w:val="9"/>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5140" w:type="dxa"/>
            <w:vAlign w:val="bottom"/>
            <w:gridSpan w:val="1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5</w:t>
            </w:r>
          </w:p>
        </w:tc>
        <w:tc>
          <w:tcPr>
            <w:tcW w:w="708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20"/>
                <w:szCs w:val="20"/>
                <w:color w:val="auto"/>
              </w:rPr>
            </w:pPr>
          </w:p>
        </w:tc>
        <w:tc>
          <w:tcPr>
            <w:tcW w:w="740" w:type="dxa"/>
            <w:vAlign w:val="bottom"/>
            <w:tcBorders>
              <w:top w:val="single" w:sz="8" w:color="0000FF"/>
            </w:tcBorders>
            <w:gridSpan w:val="3"/>
          </w:tcPr>
          <w:p>
            <w:pPr>
              <w:spacing w:after="0"/>
              <w:rPr>
                <w:sz w:val="20"/>
                <w:szCs w:val="20"/>
                <w:color w:val="auto"/>
              </w:rPr>
            </w:pPr>
          </w:p>
        </w:tc>
        <w:tc>
          <w:tcPr>
            <w:tcW w:w="5680" w:type="dxa"/>
            <w:vAlign w:val="bottom"/>
            <w:gridSpan w:val="1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2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432"/>
        </w:trPr>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PHATHOM PHARMACEUTICALS, INC.</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Balance Sheets</w:t>
      </w:r>
    </w:p>
    <w:p>
      <w:pPr>
        <w:jc w:val="center"/>
        <w:spacing w:after="0" w:line="23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184,558</w:t>
            </w:r>
          </w:p>
        </w:tc>
        <w:tc>
          <w:tcPr>
            <w:tcW w:w="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129,972</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15,353</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107,602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78,129</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7,632</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5,518</w:t>
            </w: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308,014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228,972</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1,064</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2,310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2,603</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2,861</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Inventory, non-current</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27,331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20,732</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3,566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2,917</w:t>
            </w:r>
          </w:p>
        </w:tc>
      </w:tr>
      <w:tr>
        <w:trPr>
          <w:trHeight w:val="23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345,020</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259,149</w:t>
            </w:r>
          </w:p>
        </w:tc>
      </w:tr>
      <w:tr>
        <w:trPr>
          <w:trHeight w:val="183"/>
        </w:trPr>
        <w:tc>
          <w:tcPr>
            <w:tcW w:w="78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11,109</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4,983</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121,147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89,831</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1,833</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Operating lease liabilities, current</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648</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revenue interest financing liability</w:t>
            </w: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40,520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27,249</w:t>
            </w:r>
          </w:p>
        </w:tc>
      </w:tr>
      <w:tr>
        <w:trPr>
          <w:trHeight w:val="203"/>
        </w:trPr>
        <w:tc>
          <w:tcPr>
            <w:tcW w:w="78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7,500</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5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174,902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132,044</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debt, net of discount</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165,540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209,087</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Revenue interest financing liability</w:t>
            </w: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346,973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350,122</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2,065</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3,500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4,000</w:t>
            </w:r>
          </w:p>
        </w:tc>
      </w:tr>
      <w:tr>
        <w:trPr>
          <w:trHeight w:val="196"/>
        </w:trPr>
        <w:tc>
          <w:tcPr>
            <w:tcW w:w="7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692,659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697,318</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3)</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184"/>
        </w:trPr>
        <w:tc>
          <w:tcPr>
            <w:tcW w:w="7860" w:type="dxa"/>
            <w:vAlign w:val="bottom"/>
          </w:tcPr>
          <w:p>
            <w:pPr>
              <w:ind w:left="160"/>
              <w:spacing w:after="0" w:line="183" w:lineRule="exact"/>
              <w:rPr>
                <w:sz w:val="20"/>
                <w:szCs w:val="20"/>
                <w:color w:val="auto"/>
              </w:rPr>
            </w:pPr>
            <w:r>
              <w:rPr>
                <w:rFonts w:ascii="Arial" w:cs="Arial" w:eastAsia="Arial" w:hAnsi="Arial"/>
                <w:sz w:val="18"/>
                <w:szCs w:val="18"/>
                <w:color w:val="auto"/>
              </w:rPr>
              <w:t>Preferred stock, $0.0001 par value; authorized shares — 40,000,000 at September 30, 2026</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and December 31, 2025; no shares issued and outstanding at September 30, 2026 and</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1"/>
        </w:trPr>
        <w:tc>
          <w:tcPr>
            <w:tcW w:w="7860" w:type="dxa"/>
            <w:vAlign w:val="bottom"/>
          </w:tcPr>
          <w:p>
            <w:pPr>
              <w:ind w:left="160"/>
              <w:spacing w:after="0"/>
              <w:rPr>
                <w:sz w:val="20"/>
                <w:szCs w:val="20"/>
                <w:color w:val="auto"/>
              </w:rPr>
            </w:pPr>
            <w:r>
              <w:rPr>
                <w:rFonts w:ascii="Arial" w:cs="Arial" w:eastAsia="Arial" w:hAnsi="Arial"/>
                <w:sz w:val="18"/>
                <w:szCs w:val="18"/>
                <w:color w:val="auto"/>
              </w:rPr>
              <w:t>December 31, 2025</w:t>
            </w:r>
          </w:p>
        </w:tc>
        <w:tc>
          <w:tcPr>
            <w:tcW w:w="1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184"/>
        </w:trPr>
        <w:tc>
          <w:tcPr>
            <w:tcW w:w="786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Common stock, $0.0001 par value; authorized shares — 400,000,000 at September 30, 2026</w:t>
            </w: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and December 31, 2025; issued and outstanding shares — 81,222,933 and 71,419,025 at</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21"/>
        </w:trPr>
        <w:tc>
          <w:tcPr>
            <w:tcW w:w="7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September 30, 2026 and December 31, 2025, respectively</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Treasury stock — 19 shares at September 30, 2026 and December 31, 2025</w:t>
            </w:r>
          </w:p>
        </w:tc>
        <w:tc>
          <w:tcPr>
            <w:tcW w:w="10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1,198,459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1,046,083</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(1,546,106)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(1,484,258)</w:t>
            </w:r>
          </w:p>
        </w:tc>
      </w:tr>
      <w:tr>
        <w:trPr>
          <w:trHeight w:val="196"/>
        </w:trPr>
        <w:tc>
          <w:tcPr>
            <w:tcW w:w="7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stockholders’ deficit</w:t>
            </w: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(347,639)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(438,169)</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345,020</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259,149</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-3565525</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-3548380</wp:posOffset>
            </wp:positionV>
            <wp:extent cx="102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-2510790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-1722120</wp:posOffset>
            </wp:positionV>
            <wp:extent cx="102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-161925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84,722</w:t>
            </w: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49,504</w:t>
            </w:r>
          </w:p>
        </w:tc>
        <w:tc>
          <w:tcPr>
            <w:tcW w:w="3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217,297</w:t>
            </w: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117,526</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18,367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6,190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45,458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14,951</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66,355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43,314</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171,839</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102,575</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8,745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7,027</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24,330</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25,287</w:t>
            </w:r>
          </w:p>
        </w:tc>
        <w:tc>
          <w:tcPr>
            <w:tcW w:w="0" w:type="dxa"/>
            <w:vAlign w:val="bottom"/>
          </w:tcPr>
          <w:p>
            <w:pPr>
              <w:spacing w:after="0"/>
              <w:rPr>
                <w:sz w:val="1"/>
                <w:szCs w:val="1"/>
                <w:color w:val="auto"/>
              </w:rPr>
            </w:pPr>
          </w:p>
        </w:tc>
      </w:tr>
      <w:tr>
        <w:trPr>
          <w:trHeight w:val="203"/>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57,695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51,558</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167,037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231,346</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66,440</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58,585</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191,367</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256,633</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(15,271)</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(19,528)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(154,058)</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4,846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(15,387)</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(16,108)</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(46,287)</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(51,696)</w:t>
            </w:r>
          </w:p>
        </w:tc>
        <w:tc>
          <w:tcPr>
            <w:tcW w:w="0" w:type="dxa"/>
            <w:vAlign w:val="bottom"/>
          </w:tcPr>
          <w:p>
            <w:pPr>
              <w:spacing w:after="0"/>
              <w:rPr>
                <w:sz w:val="1"/>
                <w:szCs w:val="1"/>
                <w:color w:val="auto"/>
              </w:rPr>
            </w:pPr>
          </w:p>
        </w:tc>
      </w:tr>
      <w:tr>
        <w:trPr>
          <w:trHeight w:val="203"/>
        </w:trPr>
        <w:tc>
          <w:tcPr>
            <w:tcW w:w="5820" w:type="dxa"/>
            <w:vAlign w:val="bottom"/>
          </w:tcPr>
          <w:p>
            <w:pPr>
              <w:ind w:left="60"/>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(879)</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(13,812)</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(14,702)</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(42,320)</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(46,041)</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(13,897)</w:t>
            </w: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(29,973)</w:t>
            </w:r>
          </w:p>
        </w:tc>
        <w:tc>
          <w:tcPr>
            <w:tcW w:w="3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(61,848)</w:t>
            </w: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(200,099)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(0.41)</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(0.74)</w:t>
            </w: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64"/>
        </w:trPr>
        <w:tc>
          <w:tcPr>
            <w:tcW w:w="582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Weighted-average shares of common stock outstanding, basic and</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84,892,631</w:t>
            </w: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73,396,435</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83,573,861</w:t>
            </w: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72,615,910</w:t>
            </w:r>
          </w:p>
        </w:tc>
        <w:tc>
          <w:tcPr>
            <w:tcW w:w="0" w:type="dxa"/>
            <w:vAlign w:val="bottom"/>
          </w:tcPr>
          <w:p>
            <w:pPr>
              <w:spacing w:after="0"/>
              <w:rPr>
                <w:sz w:val="1"/>
                <w:szCs w:val="1"/>
                <w:color w:val="auto"/>
              </w:rPr>
            </w:pPr>
          </w:p>
        </w:tc>
      </w:tr>
      <w:tr>
        <w:trPr>
          <w:trHeight w:val="181"/>
        </w:trPr>
        <w:tc>
          <w:tcPr>
            <w:tcW w:w="5820" w:type="dxa"/>
            <w:vAlign w:val="bottom"/>
          </w:tcPr>
          <w:p>
            <w:pPr>
              <w:spacing w:after="0" w:line="161"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-1370965</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-1370965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-1370965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-573405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-573405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-573405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-281940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-264795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-281940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-264795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-281940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-264795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198"/>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138"/>
              <w:spacing w:after="0" w:line="189" w:lineRule="exact"/>
              <w:rPr>
                <w:sz w:val="20"/>
                <w:szCs w:val="20"/>
                <w:color w:val="auto"/>
              </w:rPr>
            </w:pPr>
            <w:r>
              <w:rPr>
                <w:rFonts w:ascii="Arial" w:cs="Arial" w:eastAsia="Arial" w:hAnsi="Arial"/>
                <w:sz w:val="18"/>
                <w:szCs w:val="18"/>
                <w:b w:val="1"/>
                <w:bCs w:val="1"/>
                <w:color w:val="auto"/>
                <w:w w:val="97"/>
              </w:rPr>
              <w:t>Additional</w:t>
            </w:r>
          </w:p>
        </w:tc>
        <w:tc>
          <w:tcPr>
            <w:tcW w:w="120" w:type="dxa"/>
            <w:vAlign w:val="bottom"/>
          </w:tcPr>
          <w:p>
            <w:pPr>
              <w:spacing w:after="0"/>
              <w:rPr>
                <w:sz w:val="16"/>
                <w:szCs w:val="16"/>
                <w:color w:val="auto"/>
              </w:rPr>
            </w:pPr>
          </w:p>
        </w:tc>
        <w:tc>
          <w:tcPr>
            <w:tcW w:w="120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2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Common Stock</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278"/>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518"/>
              <w:spacing w:after="0"/>
              <w:rPr>
                <w:sz w:val="20"/>
                <w:szCs w:val="20"/>
                <w:color w:val="auto"/>
              </w:rPr>
            </w:pPr>
            <w:r>
              <w:rPr>
                <w:rFonts w:ascii="Arial" w:cs="Arial" w:eastAsia="Arial" w:hAnsi="Arial"/>
                <w:sz w:val="18"/>
                <w:szCs w:val="18"/>
                <w:b w:val="1"/>
                <w:bCs w:val="1"/>
                <w:color w:val="auto"/>
              </w:rPr>
              <w:t>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198"/>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280" w:type="dxa"/>
            <w:vAlign w:val="bottom"/>
            <w:tcBorders>
              <w:bottom w:val="single" w:sz="8" w:color="auto"/>
            </w:tcBorders>
          </w:tcPr>
          <w:p>
            <w:pPr>
              <w:jc w:val="right"/>
              <w:ind w:right="318"/>
              <w:spacing w:after="0" w:line="196" w:lineRule="exact"/>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7"/>
                <w:szCs w:val="17"/>
                <w:color w:val="auto"/>
              </w:rPr>
            </w:pPr>
          </w:p>
        </w:tc>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8"/>
              <w:spacing w:after="0" w:line="196" w:lineRule="exact"/>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8"/>
              <w:spacing w:after="0" w:line="196" w:lineRule="exact"/>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98"/>
              <w:spacing w:after="0" w:line="196" w:lineRule="exact"/>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2025</w:t>
            </w:r>
          </w:p>
        </w:tc>
        <w:tc>
          <w:tcPr>
            <w:tcW w:w="1280" w:type="dxa"/>
            <w:vAlign w:val="bottom"/>
            <w:shd w:val="clear" w:color="auto" w:fill="CFF0FC"/>
          </w:tcPr>
          <w:p>
            <w:pPr>
              <w:jc w:val="right"/>
              <w:ind w:right="58"/>
              <w:spacing w:after="0" w:line="183" w:lineRule="exact"/>
              <w:rPr>
                <w:sz w:val="20"/>
                <w:szCs w:val="20"/>
                <w:color w:val="auto"/>
              </w:rPr>
            </w:pPr>
            <w:r>
              <w:rPr>
                <w:rFonts w:ascii="Arial" w:cs="Arial" w:eastAsia="Arial" w:hAnsi="Arial"/>
                <w:sz w:val="16"/>
                <w:szCs w:val="16"/>
                <w:color w:val="auto"/>
              </w:rPr>
              <w:t>71,419,025</w:t>
            </w: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w:t>
            </w: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8"/>
              <w:spacing w:after="0" w:line="183" w:lineRule="exact"/>
              <w:rPr>
                <w:sz w:val="20"/>
                <w:szCs w:val="20"/>
                <w:color w:val="auto"/>
              </w:rPr>
            </w:pPr>
            <w:r>
              <w:rPr>
                <w:rFonts w:ascii="Arial" w:cs="Arial" w:eastAsia="Arial" w:hAnsi="Arial"/>
                <w:sz w:val="16"/>
                <w:szCs w:val="16"/>
                <w:color w:val="auto"/>
              </w:rPr>
              <w:t>1,046,083</w:t>
            </w: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(1,484,258)</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(438,169)</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132,035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2,074</w:t>
            </w: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Vesting of restricted stock units and performance</w:t>
            </w: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 units, net of employee tax obligations</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740,564</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5,534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5,534</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211,837</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1,538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63,906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Issuance of common stock and pre-funded</w:t>
            </w: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warrants in connection with the underwritten</w:t>
            </w: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public offering, net</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6,875,000</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121,973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121,974</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(30,369)</w:t>
            </w: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2026</w:t>
            </w:r>
          </w:p>
        </w:tc>
        <w:tc>
          <w:tcPr>
            <w:tcW w:w="1280" w:type="dxa"/>
            <w:vAlign w:val="bottom"/>
            <w:shd w:val="clear" w:color="auto" w:fill="CFF0FC"/>
          </w:tcPr>
          <w:p>
            <w:pPr>
              <w:jc w:val="right"/>
              <w:ind w:right="58"/>
              <w:spacing w:after="0" w:line="183" w:lineRule="exact"/>
              <w:rPr>
                <w:sz w:val="20"/>
                <w:szCs w:val="20"/>
                <w:color w:val="auto"/>
              </w:rPr>
            </w:pPr>
            <w:r>
              <w:rPr>
                <w:rFonts w:ascii="Arial" w:cs="Arial" w:eastAsia="Arial" w:hAnsi="Arial"/>
                <w:sz w:val="16"/>
                <w:szCs w:val="16"/>
                <w:color w:val="auto"/>
              </w:rPr>
              <w:t>79,442,367</w:t>
            </w: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w:t>
            </w: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8"/>
              <w:spacing w:after="0" w:line="183" w:lineRule="exact"/>
              <w:rPr>
                <w:sz w:val="20"/>
                <w:szCs w:val="20"/>
                <w:color w:val="auto"/>
              </w:rPr>
            </w:pPr>
            <w:r>
              <w:rPr>
                <w:rFonts w:ascii="Arial" w:cs="Arial" w:eastAsia="Arial" w:hAnsi="Arial"/>
                <w:sz w:val="16"/>
                <w:szCs w:val="16"/>
                <w:color w:val="auto"/>
              </w:rPr>
              <w:t>1,177,665</w:t>
            </w: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(1,514,627)</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(336,955)</w:t>
            </w:r>
          </w:p>
        </w:tc>
        <w:tc>
          <w:tcPr>
            <w:tcW w:w="0" w:type="dxa"/>
            <w:vAlign w:val="bottom"/>
          </w:tcPr>
          <w:p>
            <w:pPr>
              <w:spacing w:after="0"/>
              <w:rPr>
                <w:sz w:val="1"/>
                <w:szCs w:val="1"/>
                <w:color w:val="auto"/>
              </w:rPr>
            </w:pPr>
          </w:p>
        </w:tc>
      </w:tr>
      <w:tr>
        <w:trPr>
          <w:trHeight w:val="169"/>
        </w:trPr>
        <w:tc>
          <w:tcPr>
            <w:tcW w:w="368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Vesting of restricted stock units</w:t>
            </w:r>
          </w:p>
        </w:tc>
        <w:tc>
          <w:tcPr>
            <w:tcW w:w="1280" w:type="dxa"/>
            <w:vAlign w:val="bottom"/>
            <w:tcBorders>
              <w:top w:val="single" w:sz="8" w:color="auto"/>
            </w:tcBorders>
          </w:tcPr>
          <w:p>
            <w:pPr>
              <w:jc w:val="right"/>
              <w:ind w:right="58"/>
              <w:spacing w:after="0" w:line="170" w:lineRule="exact"/>
              <w:rPr>
                <w:sz w:val="20"/>
                <w:szCs w:val="20"/>
                <w:color w:val="auto"/>
              </w:rPr>
            </w:pPr>
            <w:r>
              <w:rPr>
                <w:rFonts w:ascii="Arial" w:cs="Arial" w:eastAsia="Arial" w:hAnsi="Arial"/>
                <w:sz w:val="16"/>
                <w:szCs w:val="16"/>
                <w:color w:val="auto"/>
              </w:rPr>
              <w:t>133,370</w:t>
            </w:r>
          </w:p>
        </w:tc>
        <w:tc>
          <w:tcPr>
            <w:tcW w:w="140" w:type="dxa"/>
            <w:vAlign w:val="bottom"/>
            <w:tcBorders>
              <w:top w:val="single" w:sz="8" w:color="CFF0FC"/>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8"/>
              <w:spacing w:after="0" w:line="170"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8"/>
              <w:spacing w:after="0" w:line="170"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8"/>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6,712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6,712</w:t>
            </w: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494,311</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3,551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(17,582)</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(17,582)</w:t>
            </w:r>
          </w:p>
        </w:tc>
        <w:tc>
          <w:tcPr>
            <w:tcW w:w="0" w:type="dxa"/>
            <w:vAlign w:val="bottom"/>
          </w:tcPr>
          <w:p>
            <w:pPr>
              <w:spacing w:after="0"/>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Balance at June 30, 2026</w:t>
            </w:r>
          </w:p>
        </w:tc>
        <w:tc>
          <w:tcPr>
            <w:tcW w:w="1280" w:type="dxa"/>
            <w:vAlign w:val="bottom"/>
          </w:tcPr>
          <w:p>
            <w:pPr>
              <w:jc w:val="right"/>
              <w:ind w:right="58"/>
              <w:spacing w:after="0" w:line="183" w:lineRule="exact"/>
              <w:rPr>
                <w:sz w:val="20"/>
                <w:szCs w:val="20"/>
                <w:color w:val="auto"/>
              </w:rPr>
            </w:pPr>
            <w:r>
              <w:rPr>
                <w:rFonts w:ascii="Arial" w:cs="Arial" w:eastAsia="Arial" w:hAnsi="Arial"/>
                <w:sz w:val="16"/>
                <w:szCs w:val="16"/>
                <w:color w:val="auto"/>
              </w:rPr>
              <w:t>80,070,048</w:t>
            </w:r>
          </w:p>
        </w:tc>
        <w:tc>
          <w:tcPr>
            <w:tcW w:w="54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8</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19</w:t>
            </w: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38"/>
              <w:spacing w:after="0" w:line="183" w:lineRule="exact"/>
              <w:rPr>
                <w:sz w:val="20"/>
                <w:szCs w:val="20"/>
                <w:color w:val="auto"/>
              </w:rPr>
            </w:pPr>
            <w:r>
              <w:rPr>
                <w:rFonts w:ascii="Arial" w:cs="Arial" w:eastAsia="Arial" w:hAnsi="Arial"/>
                <w:sz w:val="16"/>
                <w:szCs w:val="16"/>
                <w:color w:val="auto"/>
              </w:rPr>
              <w:t>1,187,928</w:t>
            </w:r>
          </w:p>
        </w:tc>
        <w:tc>
          <w:tcPr>
            <w:tcW w:w="30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(1,532,209)</w:t>
            </w:r>
          </w:p>
        </w:tc>
        <w:tc>
          <w:tcPr>
            <w:tcW w:w="28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(344,273)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401(k) matching contribution</w:t>
            </w:r>
          </w:p>
        </w:tc>
        <w:tc>
          <w:tcPr>
            <w:tcW w:w="1280" w:type="dxa"/>
            <w:vAlign w:val="bottom"/>
            <w:shd w:val="clear" w:color="auto" w:fill="CFF0FC"/>
          </w:tcPr>
          <w:p>
            <w:pPr>
              <w:jc w:val="right"/>
              <w:ind w:right="58"/>
              <w:spacing w:after="0" w:line="170" w:lineRule="exact"/>
              <w:rPr>
                <w:sz w:val="20"/>
                <w:szCs w:val="20"/>
                <w:color w:val="auto"/>
              </w:rPr>
            </w:pPr>
            <w:r>
              <w:rPr>
                <w:rFonts w:ascii="Arial" w:cs="Arial" w:eastAsia="Arial" w:hAnsi="Arial"/>
                <w:sz w:val="16"/>
                <w:szCs w:val="16"/>
                <w:color w:val="auto"/>
              </w:rPr>
              <w:t>265,909</w:t>
            </w: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38"/>
              <w:spacing w:after="0" w:line="170" w:lineRule="exact"/>
              <w:rPr>
                <w:sz w:val="20"/>
                <w:szCs w:val="20"/>
                <w:color w:val="auto"/>
              </w:rPr>
            </w:pPr>
            <w:r>
              <w:rPr>
                <w:rFonts w:ascii="Arial" w:cs="Arial" w:eastAsia="Arial" w:hAnsi="Arial"/>
                <w:sz w:val="16"/>
                <w:szCs w:val="16"/>
                <w:color w:val="auto"/>
              </w:rPr>
              <w:t>2,887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8"/>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38"/>
              <w:spacing w:after="0" w:line="170" w:lineRule="exact"/>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259,346</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5,921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5,921</w:t>
            </w: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481,382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146,248</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1,372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(13,897)</w:t>
            </w: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2026</w:t>
            </w:r>
          </w:p>
        </w:tc>
        <w:tc>
          <w:tcPr>
            <w:tcW w:w="1280" w:type="dxa"/>
            <w:vAlign w:val="bottom"/>
            <w:shd w:val="clear" w:color="auto" w:fill="CFF0FC"/>
          </w:tcPr>
          <w:p>
            <w:pPr>
              <w:jc w:val="right"/>
              <w:ind w:right="58"/>
              <w:spacing w:after="0" w:line="183" w:lineRule="exact"/>
              <w:rPr>
                <w:sz w:val="20"/>
                <w:szCs w:val="20"/>
                <w:color w:val="auto"/>
              </w:rPr>
            </w:pPr>
            <w:r>
              <w:rPr>
                <w:rFonts w:ascii="Arial" w:cs="Arial" w:eastAsia="Arial" w:hAnsi="Arial"/>
                <w:sz w:val="16"/>
                <w:szCs w:val="16"/>
                <w:color w:val="auto"/>
              </w:rPr>
              <w:t>81,222,933</w:t>
            </w: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w:t>
            </w: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8"/>
              <w:spacing w:after="0" w:line="183" w:lineRule="exact"/>
              <w:rPr>
                <w:sz w:val="20"/>
                <w:szCs w:val="20"/>
                <w:color w:val="auto"/>
              </w:rPr>
            </w:pPr>
            <w:r>
              <w:rPr>
                <w:rFonts w:ascii="Arial" w:cs="Arial" w:eastAsia="Arial" w:hAnsi="Arial"/>
                <w:sz w:val="16"/>
                <w:szCs w:val="16"/>
                <w:color w:val="auto"/>
              </w:rPr>
              <w:t>1,198,459</w:t>
            </w: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(1,546,106)</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(347,639)</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-1773555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-1757045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-1773555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-1757045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-1773555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-1757045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-1773555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-1757045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-1773555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-1757045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-1148080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-1148080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-1148080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-1148080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-1148080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6"/>
                <w:szCs w:val="16"/>
                <w:color w:val="auto"/>
              </w:rPr>
            </w:pPr>
          </w:p>
        </w:tc>
        <w:tc>
          <w:tcPr>
            <w:tcW w:w="13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d</w:t>
            </w: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160" w:type="dxa"/>
            <w:vAlign w:val="bottom"/>
            <w:tcBorders>
              <w:bottom w:val="single" w:sz="8" w:color="auto"/>
            </w:tcBorders>
          </w:tcPr>
          <w:p>
            <w:pPr>
              <w:jc w:val="right"/>
              <w:ind w:right="198"/>
              <w:spacing w:after="0" w:line="196" w:lineRule="exact"/>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7"/>
                <w:szCs w:val="17"/>
                <w:color w:val="auto"/>
              </w:rPr>
            </w:pPr>
          </w:p>
        </w:tc>
        <w:tc>
          <w:tcPr>
            <w:tcW w:w="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2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8"/>
              <w:spacing w:after="0" w:line="196" w:lineRule="exact"/>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8"/>
              <w:spacing w:after="0" w:line="196" w:lineRule="exact"/>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98"/>
              <w:spacing w:after="0" w:line="196" w:lineRule="exact"/>
              <w:rPr>
                <w:sz w:val="20"/>
                <w:szCs w:val="20"/>
                <w:color w:val="auto"/>
              </w:rPr>
            </w:pPr>
            <w:r>
              <w:rPr>
                <w:rFonts w:ascii="Arial" w:cs="Arial" w:eastAsia="Arial" w:hAnsi="Arial"/>
                <w:sz w:val="18"/>
                <w:szCs w:val="18"/>
                <w:b w:val="1"/>
                <w:bCs w:val="1"/>
                <w:color w:val="auto"/>
                <w:w w:val="98"/>
              </w:rPr>
              <w:t>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2024</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68,518,238</w:t>
            </w:r>
          </w:p>
        </w:tc>
        <w:tc>
          <w:tcPr>
            <w:tcW w:w="660" w:type="dxa"/>
            <w:vAlign w:val="bottom"/>
            <w:gridSpan w:val="2"/>
            <w:shd w:val="clear" w:color="auto" w:fill="CFF0FC"/>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1,009,425</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(1,263,011)</w:t>
            </w:r>
          </w:p>
        </w:tc>
        <w:tc>
          <w:tcPr>
            <w:tcW w:w="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(253,580)</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160" w:type="dxa"/>
            <w:vAlign w:val="bottom"/>
          </w:tcPr>
          <w:p>
            <w:pPr>
              <w:jc w:val="right"/>
              <w:spacing w:after="0"/>
              <w:rPr>
                <w:sz w:val="20"/>
                <w:szCs w:val="20"/>
                <w:color w:val="auto"/>
              </w:rPr>
            </w:pPr>
            <w:r>
              <w:rPr>
                <w:rFonts w:ascii="Arial" w:cs="Arial" w:eastAsia="Arial" w:hAnsi="Arial"/>
                <w:sz w:val="16"/>
                <w:szCs w:val="16"/>
                <w:color w:val="auto"/>
              </w:rPr>
              <w:t>290,165</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508,568</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5,540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321,099</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(94,316)</w:t>
            </w:r>
          </w:p>
        </w:tc>
        <w:tc>
          <w:tcPr>
            <w:tcW w:w="1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(94,316)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2025</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69,638,070</w:t>
            </w:r>
          </w:p>
        </w:tc>
        <w:tc>
          <w:tcPr>
            <w:tcW w:w="660" w:type="dxa"/>
            <w:vAlign w:val="bottom"/>
            <w:gridSpan w:val="2"/>
            <w:shd w:val="clear" w:color="auto" w:fill="CFF0FC"/>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1,018,945</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(1,357,327)</w:t>
            </w:r>
          </w:p>
        </w:tc>
        <w:tc>
          <w:tcPr>
            <w:tcW w:w="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(338,376)</w:t>
            </w:r>
          </w:p>
        </w:tc>
        <w:tc>
          <w:tcPr>
            <w:tcW w:w="0" w:type="dxa"/>
            <w:vAlign w:val="bottom"/>
          </w:tcPr>
          <w:p>
            <w:pPr>
              <w:spacing w:after="0"/>
              <w:rPr>
                <w:sz w:val="1"/>
                <w:szCs w:val="1"/>
                <w:color w:val="auto"/>
              </w:rPr>
            </w:pPr>
          </w:p>
        </w:tc>
      </w:tr>
      <w:tr>
        <w:trPr>
          <w:trHeight w:val="170"/>
        </w:trPr>
        <w:tc>
          <w:tcPr>
            <w:tcW w:w="368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Vesting of restricted stock units</w:t>
            </w:r>
          </w:p>
        </w:tc>
        <w:tc>
          <w:tcPr>
            <w:tcW w:w="11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456,677</w:t>
            </w:r>
          </w:p>
        </w:tc>
        <w:tc>
          <w:tcPr>
            <w:tcW w:w="260" w:type="dxa"/>
            <w:vAlign w:val="bottom"/>
            <w:tcBorders>
              <w:top w:val="single" w:sz="8" w:color="CFF0FC"/>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9,672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(75,810)</w:t>
            </w: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(75,810)</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Balance at June 30, 2025</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70,104,419</w:t>
            </w:r>
          </w:p>
        </w:tc>
        <w:tc>
          <w:tcPr>
            <w:tcW w:w="660" w:type="dxa"/>
            <w:vAlign w:val="bottom"/>
            <w:gridSpan w:val="2"/>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1,027,297</w:t>
            </w:r>
          </w:p>
        </w:tc>
        <w:tc>
          <w:tcPr>
            <w:tcW w:w="140" w:type="dxa"/>
            <w:vAlign w:val="bottom"/>
          </w:tcPr>
          <w:p>
            <w:pPr>
              <w:spacing w:after="0"/>
              <w:rPr>
                <w:sz w:val="15"/>
                <w:szCs w:val="15"/>
                <w:color w:val="auto"/>
              </w:rPr>
            </w:pPr>
          </w:p>
        </w:tc>
        <w:tc>
          <w:tcPr>
            <w:tcW w:w="260" w:type="dxa"/>
            <w:vAlign w:val="bottom"/>
            <w:gridSpan w:val="2"/>
          </w:tcPr>
          <w:p>
            <w:pPr>
              <w:ind w:left="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(1,433,137)</w:t>
            </w: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(405,834)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401(k) matching contribution</w:t>
            </w:r>
          </w:p>
        </w:tc>
        <w:tc>
          <w:tcPr>
            <w:tcW w:w="11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326,212</w:t>
            </w: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3,131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line="170"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3,131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Vesting of restricted stock units and performance</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units, net of employee tax obligation</w:t>
            </w:r>
          </w:p>
        </w:tc>
        <w:tc>
          <w:tcPr>
            <w:tcW w:w="1160" w:type="dxa"/>
            <w:vAlign w:val="bottom"/>
          </w:tcPr>
          <w:p>
            <w:pPr>
              <w:jc w:val="right"/>
              <w:spacing w:after="0"/>
              <w:rPr>
                <w:sz w:val="20"/>
                <w:szCs w:val="20"/>
                <w:color w:val="auto"/>
              </w:rPr>
            </w:pPr>
            <w:r>
              <w:rPr>
                <w:rFonts w:ascii="Arial" w:cs="Arial" w:eastAsia="Arial" w:hAnsi="Arial"/>
                <w:sz w:val="16"/>
                <w:szCs w:val="16"/>
                <w:color w:val="auto"/>
              </w:rPr>
              <w:t>392,592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35,732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184,194</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(29,973)</w:t>
            </w:r>
          </w:p>
        </w:tc>
        <w:tc>
          <w:tcPr>
            <w:tcW w:w="1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(29,973)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2025</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71,043,149</w:t>
            </w:r>
          </w:p>
        </w:tc>
        <w:tc>
          <w:tcPr>
            <w:tcW w:w="660" w:type="dxa"/>
            <w:vAlign w:val="bottom"/>
            <w:gridSpan w:val="2"/>
            <w:shd w:val="clear" w:color="auto" w:fill="CFF0FC"/>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1,040,570</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(1,463,110)</w:t>
            </w:r>
          </w:p>
        </w:tc>
        <w:tc>
          <w:tcPr>
            <w:tcW w:w="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(422,534)</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-1893570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-1876425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-1893570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-1876425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-1893570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-1876425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-1893570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-1876425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-1893570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-1876425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-1268095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-1268095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-1268095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-1268095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-1268095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-24765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7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spacing w:after="0"/>
              <w:rPr>
                <w:sz w:val="19"/>
                <w:szCs w:val="19"/>
                <w:color w:val="auto"/>
              </w:rPr>
            </w:pPr>
          </w:p>
        </w:tc>
      </w:tr>
      <w:tr>
        <w:trPr>
          <w:trHeight w:val="196"/>
        </w:trPr>
        <w:tc>
          <w:tcPr>
            <w:tcW w:w="7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2026</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2025</w:t>
            </w: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(61,848)</w:t>
            </w:r>
          </w:p>
        </w:tc>
        <w:tc>
          <w:tcPr>
            <w:tcW w:w="6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(200,099)</w:t>
            </w: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344</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505</w:t>
            </w: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18,167</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23,109</w:t>
            </w: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Accrued payment-in-kind interest on debt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712</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3,479</w:t>
            </w: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Accrued interest on revenue interest financing liability, net of payments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10,122</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20,290</w:t>
            </w: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2,709</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2,205</w:t>
            </w: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Loss on extinguishment of debt</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829</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Inventory reserve</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917</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819</w:t>
            </w: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4,081</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4,340</w:t>
            </w: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7,131</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7,638</w:t>
            </w:r>
          </w:p>
        </w:tc>
      </w:tr>
      <w:tr>
        <w:trPr>
          <w:trHeight w:val="203"/>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(29,473)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(16,992)</w:t>
            </w:r>
          </w:p>
        </w:tc>
      </w:tr>
      <w:tr>
        <w:trPr>
          <w:trHeight w:val="203"/>
        </w:trPr>
        <w:tc>
          <w:tcPr>
            <w:tcW w:w="7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41,233</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6,530</w:t>
            </w:r>
          </w:p>
        </w:tc>
      </w:tr>
      <w:tr>
        <w:trPr>
          <w:trHeight w:val="203"/>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w:t>
            </w:r>
          </w:p>
        </w:tc>
      </w:tr>
      <w:tr>
        <w:trPr>
          <w:trHeight w:val="203"/>
        </w:trPr>
        <w:tc>
          <w:tcPr>
            <w:tcW w:w="7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right-of-use assets and lease liabilities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132</w:t>
            </w:r>
          </w:p>
        </w:tc>
      </w:tr>
      <w:tr>
        <w:trPr>
          <w:trHeight w:val="203"/>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(9,631)</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(13,783)</w:t>
            </w:r>
          </w:p>
        </w:tc>
      </w:tr>
      <w:tr>
        <w:trPr>
          <w:trHeight w:val="203"/>
        </w:trPr>
        <w:tc>
          <w:tcPr>
            <w:tcW w:w="74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(649)</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(15,738)</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(161,774)</w:t>
            </w: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Cash paid for property and equipment</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w:t>
            </w:r>
          </w:p>
        </w:tc>
      </w:tr>
      <w:tr>
        <w:trPr>
          <w:trHeight w:val="196"/>
        </w:trPr>
        <w:tc>
          <w:tcPr>
            <w:tcW w:w="7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issuance of common stock from exercise of stock options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4,514</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373</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Proceeds from issuance of long-term debt, net of issuance costs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173,250</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Repayment of long-term debt</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(229,047)</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Net proceeds from underwritten public offering</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121,974</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 of employee tax obligations related to vesting of PSUs and RSUs</w:t>
            </w:r>
          </w:p>
        </w:tc>
        <w:tc>
          <w:tcPr>
            <w:tcW w:w="3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(149)</w:t>
            </w:r>
          </w:p>
        </w:tc>
        <w:tc>
          <w:tcPr>
            <w:tcW w:w="180" w:type="dxa"/>
            <w:vAlign w:val="bottom"/>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(564)</w:t>
            </w: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70,542</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w:t>
            </w: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54,589</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(162,107)</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Cash and cash equivalents and restricted cash – beginning of period</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132,833</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300,125</w:t>
            </w:r>
          </w:p>
        </w:tc>
      </w:tr>
      <w:tr>
        <w:trPr>
          <w:trHeight w:val="23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 and restricted cash – end of period</w:t>
            </w:r>
          </w:p>
        </w:tc>
        <w:tc>
          <w:tcPr>
            <w:tcW w:w="7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187,422</w:t>
            </w:r>
          </w:p>
        </w:tc>
        <w:tc>
          <w:tcPr>
            <w:tcW w:w="680" w:type="dxa"/>
            <w:vAlign w:val="bottom"/>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138,018</w:t>
            </w:r>
          </w:p>
        </w:tc>
      </w:tr>
      <w:tr>
        <w:trPr>
          <w:trHeight w:val="183"/>
        </w:trPr>
        <w:tc>
          <w:tcPr>
            <w:tcW w:w="740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Interest paid</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13,716</w:t>
            </w:r>
          </w:p>
        </w:tc>
        <w:tc>
          <w:tcPr>
            <w:tcW w:w="6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15,938</w:t>
            </w:r>
          </w:p>
        </w:tc>
      </w:tr>
      <w:tr>
        <w:trPr>
          <w:trHeight w:val="20"/>
        </w:trPr>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Property and equipment purchases included in accounts payable and accrued expenses</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w:t>
            </w:r>
          </w:p>
        </w:tc>
      </w:tr>
      <w:tr>
        <w:trPr>
          <w:trHeight w:val="20"/>
        </w:trPr>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4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Settlement of ESPP liability in common stock</w:t>
            </w:r>
          </w:p>
        </w:tc>
        <w:tc>
          <w:tcPr>
            <w:tcW w:w="7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2,910</w:t>
            </w:r>
          </w:p>
        </w:tc>
        <w:tc>
          <w:tcPr>
            <w:tcW w:w="6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2,969</w:t>
            </w:r>
          </w:p>
        </w:tc>
      </w:tr>
      <w:tr>
        <w:trPr>
          <w:trHeight w:val="20"/>
        </w:trPr>
        <w:tc>
          <w:tcPr>
            <w:tcW w:w="7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8"/>
                <w:szCs w:val="18"/>
                <w:color w:val="auto"/>
              </w:rPr>
              <w:t>Settlement of 401(k) liability in common stock</w:t>
            </w:r>
          </w:p>
        </w:tc>
        <w:tc>
          <w:tcPr>
            <w:tcW w:w="70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4,961</w:t>
            </w:r>
          </w:p>
        </w:tc>
        <w:tc>
          <w:tcPr>
            <w:tcW w:w="680" w:type="dxa"/>
            <w:vAlign w:val="bottom"/>
            <w:gridSpan w:val="2"/>
          </w:tcPr>
          <w:p>
            <w:pPr>
              <w:jc w:val="right"/>
              <w:ind w:right="400"/>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183" w:lineRule="exact"/>
              <w:rPr>
                <w:sz w:val="20"/>
                <w:szCs w:val="20"/>
                <w:color w:val="auto"/>
              </w:rPr>
            </w:pPr>
            <w:r>
              <w:rPr>
                <w:rFonts w:ascii="Arial" w:cs="Arial" w:eastAsia="Arial" w:hAnsi="Arial"/>
                <w:sz w:val="18"/>
                <w:szCs w:val="18"/>
                <w:color w:val="auto"/>
              </w:rPr>
              <w:t>5,258</w:t>
            </w:r>
          </w:p>
        </w:tc>
      </w:tr>
      <w:tr>
        <w:trPr>
          <w:trHeight w:val="20"/>
        </w:trPr>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4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Final interest payment fee</w:t>
            </w:r>
          </w:p>
        </w:tc>
        <w:tc>
          <w:tcPr>
            <w:tcW w:w="7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3,500</w:t>
            </w:r>
          </w:p>
        </w:tc>
        <w:tc>
          <w:tcPr>
            <w:tcW w:w="6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r>
      <w:tr>
        <w:trPr>
          <w:trHeight w:val="20"/>
        </w:trPr>
        <w:tc>
          <w:tcPr>
            <w:tcW w:w="7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-3042285</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-2502535</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-1734820</wp:posOffset>
            </wp:positionV>
            <wp:extent cx="13652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65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-1182370</wp:posOffset>
            </wp:positionV>
            <wp:extent cx="111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-1165225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-333375</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Unaudited Financial Statements</w:t>
      </w:r>
    </w:p>
    <w:p>
      <w:pPr>
        <w:spacing w:after="0" w:line="153" w:lineRule="exact"/>
        <w:rPr>
          <w:sz w:val="20"/>
          <w:szCs w:val="20"/>
          <w:color w:val="auto"/>
        </w:rPr>
      </w:pPr>
    </w:p>
    <w:p>
      <w:pPr>
        <w:ind w:right="3800"/>
        <w:spacing w:after="0" w:line="446" w:lineRule="auto"/>
        <w:rPr>
          <w:sz w:val="20"/>
          <w:szCs w:val="20"/>
          <w:color w:val="auto"/>
        </w:rPr>
      </w:pPr>
      <w:r>
        <w:rPr>
          <w:rFonts w:ascii="Arial" w:cs="Arial" w:eastAsia="Arial" w:hAnsi="Arial"/>
          <w:sz w:val="18"/>
          <w:szCs w:val="18"/>
          <w:b w:val="1"/>
          <w:bCs w:val="1"/>
          <w:color w:val="auto"/>
        </w:rPr>
        <w:t xml:space="preserve">1. Organization, Basis of Presentation and Summary of Significant Accounting Policies </w:t>
      </w:r>
      <w:r>
        <w:rPr>
          <w:rFonts w:ascii="Arial" w:cs="Arial" w:eastAsia="Arial" w:hAnsi="Arial"/>
          <w:sz w:val="18"/>
          <w:szCs w:val="18"/>
          <w:b w:val="1"/>
          <w:bCs w:val="1"/>
          <w:i w:val="1"/>
          <w:iCs w:val="1"/>
          <w:color w:val="auto"/>
        </w:rPr>
        <w:t>Organization</w:t>
      </w:r>
    </w:p>
    <w:p>
      <w:pPr>
        <w:ind w:right="220" w:firstLine="509"/>
        <w:spacing w:after="0" w:line="247" w:lineRule="auto"/>
        <w:rPr>
          <w:sz w:val="20"/>
          <w:szCs w:val="20"/>
          <w:color w:val="auto"/>
        </w:rPr>
      </w:pPr>
      <w:r>
        <w:rPr>
          <w:rFonts w:ascii="Arial" w:cs="Arial" w:eastAsia="Arial" w:hAnsi="Arial"/>
          <w:sz w:val="18"/>
          <w:szCs w:val="18"/>
          <w:color w:val="auto"/>
        </w:rPr>
        <w:t>Phathom Pharmaceuticals, Inc., or the Company or Phathom, was incorporated in the state of Delaware in January 2018. The Company is a commercial-stage biopharmaceutical company focused on commercializing and developing novel treatments for gastrointestinal, or GI, diseases. The Company’s financial statements are prepared in accordance with U.S. generally accepted accounting principles, or GAAP.</w:t>
      </w:r>
    </w:p>
    <w:p>
      <w:pPr>
        <w:spacing w:after="0" w:line="13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 xml:space="preserve">In May 2022, the U.S. Food and Drug Administration, or FDA, approved the Company's new drug applications, or NDAs, for vonoprazan triple therapy, under the brand name VOQUEZNA TRIPLE PAK, and vonoprazan dual therapy, under the brand name VOQUEZNA DUAL PAK for the treatment of Helicobacter pylori, 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On November 1, 2023, the FDA approved the Company's NDA for VOQUEZNA 10 mg and 20 mg tablets for the treatment of erosive gastroesophageal reflux disease, or Erosive GERD. The Company initiated commercial launch of VOQUEZNA in the U.S. for both the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indications, and VOQUEZNA TRIPLE PAK and VOQUEZNA DUAL PAK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Additionally, on July 17, 2024, the FDA approved VOQUEZNA 10 mg tablets for the relief of heartburn associated with non-erosive gastroesophageal reflux disease, or Non-Erosive GERD.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From inception to September 30, 2026, the Company has devoted substantially all of its efforts to organizing and staffing the Company, business planning, raising capital, in-licensing vonoprazan, meeting with regulatory authorities, managing the clinical trials of vonoprazan, preparing for commercialization of its initial products containing vonoprazan, commercially launching its approved products in the U.S., and providing other selling, general and administrative support for these operations. The Company has a limited operating history as a commercial company. Although the Company has generated product revenue to date, the amount of future sales and income potential from its business remains uncertain. The Company has incurred net losses and negative cash flows from operating activities since its inception and despite the Company's plans and expectations, could continue to incur additional net losses in the future. The Company has funded its operations primarily through commercial bank debt, the revenue interest financing debt and various equity offerings, including the Company's at-the-market, or ATM, offerings. From inception through September 30, 2026, the Company sold 41,612,032 shares of common stock and 3,859,000 pre-funded warrants, generating net proceeds of approximately $665.3 million, after deducting underwriting discounts, commissions and offering costs.</w:t>
      </w:r>
    </w:p>
    <w:p>
      <w:pPr>
        <w:spacing w:after="0" w:line="1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accompanying unaudited interim condensed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58"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unaudited interim condensed financial statements were issued. There can be no assurance that the Company’s projections of its future working capital needs will prove accurate, that the Company will be successful in acquiring additional funding, if needed, or that any additional funding, if needed, would be sufficient to continue operations in future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unaudited interim condensed financial statements included herein have been prepared by the Company in accordance with GAAP, and pursuant to the rules and regulations of the Securities and Exchange Commission, or the SEC. In the opinion of management, the accompanying unaudited interim condensed financial statements include all adjustments, consisting of normal recurring adjustments, which are necessary to present fairly the Company’s financial position, results of operations, and cash flows. The interim results of operations are not necessarily indicative of the results that may occur for the full fiscal year. Certain information in the footnote disclosures of the financial statements has been condensed or omitted where it substantially duplicates information provided in the Company’s latest audited financial statements, in accordance with the rules and regulations of the SEC. These unaudited interim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jc w:val="both"/>
        <w:ind w:right="80"/>
        <w:spacing w:after="0" w:line="271" w:lineRule="auto"/>
        <w:rPr>
          <w:sz w:val="20"/>
          <w:szCs w:val="20"/>
          <w:color w:val="auto"/>
        </w:rPr>
      </w:pPr>
      <w:r>
        <w:rPr>
          <w:rFonts w:ascii="Arial" w:cs="Arial" w:eastAsia="Arial" w:hAnsi="Arial"/>
          <w:sz w:val="18"/>
          <w:szCs w:val="18"/>
          <w:color w:val="auto"/>
        </w:rPr>
        <w:t>condensed financial statements should be read in conjunction with the Company’s audited financial statements and footnotes included in its Annual Report on Form 10-K for the fiscal year ended December 31, 2025, or the 2025 Form 10-K, filed with the SEC on February 26, 2026.</w:t>
      </w:r>
    </w:p>
    <w:p>
      <w:pPr>
        <w:spacing w:after="0" w:line="12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During the nine months ended September 30, 2026, there were no significant changes to the Company’s summary of significant accounting policies contained in the Company’s 2025 Form 10-K. The Company’s complete listing of significant accounting policies is set forth in Note 1 of the notes to the audited financial statements in the Company's 2025 Form 10-K. Selected significant accounting policies are discussed in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the Company’s unaudited condensed interim financial statements requires management to make estimates and assumptions that impact the reported amounts of assets, liabilities, revenues and expenses, and the disclosure of contingent assets and liabilities in the Company’s unaudited condensed interim financial statements and accompanying notes. The most significant estimates in the Company’s unaudited condensed interim financial statements relate to accruals for net product revenues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71" w:lineRule="exact"/>
        <w:rPr>
          <w:sz w:val="20"/>
          <w:szCs w:val="20"/>
          <w:color w:val="auto"/>
        </w:rPr>
      </w:pPr>
    </w:p>
    <w:p>
      <w:pPr>
        <w:ind w:right="1040" w:firstLine="509"/>
        <w:spacing w:after="0" w:line="271" w:lineRule="auto"/>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13"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 maturities.</w:t>
      </w:r>
    </w:p>
    <w:p>
      <w:pPr>
        <w:spacing w:after="0" w:line="142" w:lineRule="exact"/>
        <w:rPr>
          <w:sz w:val="20"/>
          <w:szCs w:val="20"/>
          <w:color w:val="auto"/>
        </w:rPr>
      </w:pPr>
    </w:p>
    <w:p>
      <w:pPr>
        <w:ind w:right="440" w:firstLine="509"/>
        <w:spacing w:after="0" w:line="301"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90"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As of September 30, 2026 and December 31, 2025,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3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Company is also subject to credit risk from its accounts receivable related to its product sales. The Company monitors exposure within accounts receivable and records an allowance for credit losses as necessary. The Company extends credit primarily to wholesale distributors. Customer creditworthiness is monitored and collateral is not required. The allowance for credit losses reflects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 w:name="page10"/>
    <w:bookmarkEnd w:id="9"/>
    <w:p>
      <w:pPr>
        <w:ind w:right="140"/>
        <w:spacing w:after="0"/>
        <w:rPr>
          <w:sz w:val="20"/>
          <w:szCs w:val="20"/>
          <w:color w:val="auto"/>
        </w:rPr>
      </w:pPr>
      <w:r>
        <w:rPr>
          <w:rFonts w:ascii="Arial" w:cs="Arial" w:eastAsia="Arial" w:hAnsi="Arial"/>
          <w:sz w:val="18"/>
          <w:szCs w:val="18"/>
          <w:color w:val="auto"/>
        </w:rPr>
        <w:t>the best estimate of expected credit losses of the accounts receivable portfolio determined on the basis of historical experience, current information, and forecasts of future economic conditions. The Company determines its allowance methodology by pooling receivable balances at the customer level. The Company considers various factors, including its previous loss history, individual credit risk associated with each customer, and the current and future conditions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p>
    <w:p>
      <w:pPr>
        <w:spacing w:after="0" w:line="15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As of September 30, 2026, three customers accounted for 80% of the accounts receivable balance, with each of these individual customers ranging from 23% to 30% of the accounts receivable balance. As of December 31, 2025, three customers accounted for 78% of the accounts receivable balance, with each of these individual customers ranging from 19% to 30% of the accounts receivable balance. For the three and nine months ended September 30, 2026, three customers accounted for 67% and 68% of product sales, respectively, with each of these individual customers ranging from 20% to 24% of product sales. For the three and nine months ended September 30, 2025, three customers accounted for 70% of product sales in each period, with each of these individual customers ranging from 22% to 25% of product sales in both periods.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and pre-funded warrants outstanding for the period, without consideration for other potentially dilutive securities. For the three and nine months ended September 30, 2026 and 2025, basic shares outstanding include the weighted average effect of the Company’s outstanding pre-funded warrants, the exercise of which requires little or no consideration for the delivery of shares of common stock. For the three and nine months ended September 30, 2026 and 2025, the Company had no weighted-average unvested shares to exclude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restricted stock units)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1"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There were no recently adopted accounting standards which would have a material impact on the Company's unaudited interim condensed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5" w:lineRule="exact"/>
        <w:rPr>
          <w:sz w:val="20"/>
          <w:szCs w:val="20"/>
          <w:color w:val="auto"/>
        </w:rPr>
      </w:pPr>
    </w:p>
    <w:p>
      <w:pPr>
        <w:jc w:val="both"/>
        <w:ind w:right="280" w:firstLine="509"/>
        <w:spacing w:after="0" w:line="242" w:lineRule="auto"/>
        <w:rPr>
          <w:sz w:val="20"/>
          <w:szCs w:val="20"/>
          <w:color w:val="auto"/>
        </w:rPr>
      </w:pPr>
      <w:r>
        <w:rPr>
          <w:rFonts w:ascii="Arial" w:cs="Arial" w:eastAsia="Arial" w:hAnsi="Arial"/>
          <w:sz w:val="18"/>
          <w:szCs w:val="18"/>
          <w:color w:val="auto"/>
        </w:rPr>
        <w:t xml:space="preserve">In November 2024, the FASB issued </w:t>
      </w:r>
      <w:r>
        <w:rPr>
          <w:rFonts w:ascii="Arial" w:cs="Arial" w:eastAsia="Arial" w:hAnsi="Arial"/>
          <w:sz w:val="18"/>
          <w:szCs w:val="18"/>
          <w:i w:val="1"/>
          <w:iCs w:val="1"/>
          <w:color w:val="auto"/>
        </w:rPr>
        <w:t>ASU 2024-03 - Disaggregation of Income Statement Expenses</w:t>
      </w:r>
      <w:r>
        <w:rPr>
          <w:rFonts w:ascii="Arial" w:cs="Arial" w:eastAsia="Arial" w:hAnsi="Arial"/>
          <w:sz w:val="18"/>
          <w:szCs w:val="18"/>
          <w:color w:val="auto"/>
        </w:rPr>
        <w:t>, which requires more detailed disclosures about specified categories of expenses (including employee compensation, depreciation, and amortization) included in certain expense captions presented on the face of the income statement. ASU 2024-03 is effective for fiscal years beginning after December 15, 2026, and for interim periods within fiscal years beginning after December 15, 2027, may be applied prospectively or retrospectively, and allows for early adoption. This standard is not expected to have an impact on any amounts recognized in the financial statements, but will result in more detailed disclosures addressing the categorization of expenses.</w:t>
      </w:r>
    </w:p>
    <w:p>
      <w:pPr>
        <w:spacing w:after="0" w:line="138"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Company assesses the adoption impact of recently issued accounting standards by the Financial Accounting Standards Board or other standard setting bodies on the Company's financial statements as well as material updates to previous assessments, if any, from the Company’s 2025 Form 10-K. There were no new accounting standards issued in the third quarter of 2026 that are expected to materially impact the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7"/>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 Balance Sheet Details</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Accrued expenses consist of the following (in thousands):</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21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compensation expenses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14,389</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14,841</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professional &amp; consulting expenses</w:t>
            </w:r>
          </w:p>
        </w:tc>
        <w:tc>
          <w:tcPr>
            <w:tcW w:w="200" w:type="dxa"/>
            <w:vAlign w:val="bottom"/>
          </w:tcPr>
          <w:p>
            <w:pPr>
              <w:spacing w:after="0"/>
              <w:rPr>
                <w:sz w:val="17"/>
                <w:szCs w:val="17"/>
                <w:color w:val="auto"/>
              </w:rPr>
            </w:pP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1,414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568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revenue allowances</w:t>
            </w:r>
          </w:p>
        </w:tc>
        <w:tc>
          <w:tcPr>
            <w:tcW w:w="200" w:type="dxa"/>
            <w:vAlign w:val="bottom"/>
          </w:tcPr>
          <w:p>
            <w:pPr>
              <w:spacing w:after="0"/>
              <w:rPr>
                <w:sz w:val="17"/>
                <w:szCs w:val="17"/>
                <w:color w:val="auto"/>
              </w:rPr>
            </w:pP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98,151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65,462</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other</w:t>
            </w: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6,625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tcPr>
          <w:p>
            <w:pPr>
              <w:spacing w:after="0" w:line="196" w:lineRule="exact"/>
              <w:rPr>
                <w:sz w:val="20"/>
                <w:szCs w:val="20"/>
                <w:color w:val="auto"/>
              </w:rPr>
            </w:pPr>
            <w:r>
              <w:rPr>
                <w:rFonts w:ascii="Arial" w:cs="Arial" w:eastAsia="Arial" w:hAnsi="Arial"/>
                <w:sz w:val="18"/>
                <w:szCs w:val="18"/>
                <w:color w:val="auto"/>
              </w:rPr>
              <w:t>Total accrued expenses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121,147</w:t>
            </w:r>
          </w:p>
        </w:tc>
        <w:tc>
          <w:tcPr>
            <w:tcW w:w="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89,831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Inventory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Inventory consists of the following (in thousands):</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21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Finished goods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1,170</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6,462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inventory, current</w:t>
            </w: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7,632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 non-current</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27,331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20,732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inventory</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34,963</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-1713865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Raw materials consist of materials, including active pharmaceutical ingredients, to be consumed in the production of inventory related to FDA-approved products. Inventory that is used for clinical development purposes is expensed to research and development expense when consumed. Inventory, non-current includes inventory expected to remain on-hand beyond one year from the balance sheet dates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4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consideration of the Takeda License, the Company (i) paid Takeda $25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 million in sales milestones upon the achievement of specified levels of product sales, and a low double-digit royalty rate on aggregate net sales of licensed products, subject to certain adjustments. The Takeda Warrant had an exercise price of</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7" w:right="439" w:bottom="1440" w:gutter="0" w:footer="0" w:header="0"/>
        </w:sectPr>
      </w:pPr>
    </w:p>
    <w:bookmarkStart w:id="11" w:name="page12"/>
    <w:bookmarkEnd w:id="11"/>
    <w:p>
      <w:pPr>
        <w:spacing w:after="0" w:line="271" w:lineRule="auto"/>
        <w:rPr>
          <w:sz w:val="20"/>
          <w:szCs w:val="20"/>
          <w:color w:val="auto"/>
        </w:rPr>
      </w:pPr>
      <w:r>
        <w:rPr>
          <w:rFonts w:ascii="Arial" w:cs="Arial" w:eastAsia="Arial" w:hAnsi="Arial"/>
          <w:sz w:val="18"/>
          <w:szCs w:val="18"/>
          <w:color w:val="auto"/>
        </w:rPr>
        <w:t>$0.00004613 per share, and was to expire on May 7, 2029 and became exercisable upon the consummation of the IPO. All Takeda Warrants were exercised by March 2022.</w:t>
      </w:r>
    </w:p>
    <w:p>
      <w:pPr>
        <w:spacing w:after="0" w:line="127"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During the three months ended September 30, 2026 and 2025, the Company recorded $8.5 million and $5.0 million, respectively, of royalty expense under the Takeda License, of which $8.5 million is included within accrued expenses as of September 30, 2026. During the nine months ended September 30, 2026 and 2025, the Company recorded $21.7 million and $11.8 million, respectively, of royalty expense under the Takeda License.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In December 2020, the Company entered into a supply agreement with Sandoz pursuant to which Sandoz supplies commercial quantities of amoxicillin capsules and clarithromycin tablets, packages these antibiotics with vonoprazan, and provides finished convenience packs which the Company sells as the VOQUEZNA DUAL PAK and the VOQUEZNA TRIPLE PAK. The supply agreement commits the Company to annual minimum purchase obligations. In March 2026, the Company entered into the second amendment to the supply agreement, or the Second Amendment, and as amended, the Amended Supply Agreement, whereby the parties agreed to the payment amount to be made by the Company to satisfy the remaining portion of the 2025 minimum purchase obligation of approximately $1.1 million, which was paid during the second quarter of 2026, and agreed to set the minimum purchase quantity for 2026. The parties further agreed that the determination of the minimum purchase obligation for years after 2026 would be mutually agreed by the parties at a specified time period prior to the end of the immediately preceding calendar year. The Second Amendment also included a price adjustment. The supply agreement with Sandoz will expire in November 2028.</w:t>
      </w:r>
    </w:p>
    <w:p>
      <w:pPr>
        <w:spacing w:after="0" w:line="153" w:lineRule="exact"/>
        <w:rPr>
          <w:sz w:val="20"/>
          <w:szCs w:val="20"/>
          <w:color w:val="auto"/>
        </w:rPr>
      </w:pPr>
    </w:p>
    <w:p>
      <w:pPr>
        <w:jc w:val="both"/>
        <w:ind w:right="420" w:firstLine="509"/>
        <w:spacing w:after="0" w:line="253" w:lineRule="auto"/>
        <w:rPr>
          <w:sz w:val="20"/>
          <w:szCs w:val="20"/>
          <w:color w:val="auto"/>
        </w:rPr>
      </w:pPr>
      <w:r>
        <w:rPr>
          <w:rFonts w:ascii="Arial" w:cs="Arial" w:eastAsia="Arial" w:hAnsi="Arial"/>
          <w:sz w:val="18"/>
          <w:szCs w:val="18"/>
          <w:color w:val="auto"/>
        </w:rPr>
        <w:t>The Company incurred no expense and $1.5 million of expense under the agreement with Sandoz during the three months ended September 30, 2026 and 2025, respectively. During the nine months ended September 30, 2026 and 2025, the Company incurred $0.5 million and $1.7 million, respectively, under the agreement.</w:t>
      </w:r>
    </w:p>
    <w:p>
      <w:pPr>
        <w:spacing w:after="0" w:line="12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had previously been informed by Sandoz that there could be a disruption in the supply of clarithromycin tablets, a component of the VOQUEZNA TRIPLE PAK, which could lead to a disruption in supply of the VOQUEZNA TRIPLE PAKs. Given more recent communications, however, the Company does not currently anticipate any near-term disruptions. The Company plans to continue to actively monitor the situation to determine if a supply disruption may arise in the future. The VOQUEZNA TRIPLE PAK represented approximately</w:t>
      </w:r>
    </w:p>
    <w:p>
      <w:pPr>
        <w:spacing w:after="0" w:line="242" w:lineRule="auto"/>
        <w:rPr>
          <w:sz w:val="20"/>
          <w:szCs w:val="20"/>
          <w:color w:val="auto"/>
        </w:rPr>
      </w:pPr>
      <w:r>
        <w:rPr>
          <w:rFonts w:ascii="Arial" w:cs="Arial" w:eastAsia="Arial" w:hAnsi="Arial"/>
          <w:sz w:val="18"/>
          <w:szCs w:val="18"/>
          <w:color w:val="auto"/>
        </w:rPr>
        <w:t>1% of the Company's total revenue for 2025. While the Company has not experienced any commercial disruption to date, any disruption for such supply would result in the Company's inability to continue to commercialize the VOQUEZNA TRIPLE PAK. The VOQUEZNA bottles and the VOQUEZNA DUAL PAKs are not impacted, as they do not include clarithromycin.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8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 Commitments</w:t>
      </w:r>
    </w:p>
    <w:p>
      <w:pPr>
        <w:spacing w:after="0" w:line="17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 of September 30, 2026, the Company had operating leases for office space in both Buffalo Grove, Illinois and Florham Park, New Jersey, with weighted average remaining lease terms of 3.7 years and 4.4 years, respectively. In September 2025, the Company entered into amendments to its lease agreements for the New Jersey office space to extend the terms of the leases through February 2031. All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49"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The total rent expense for each of the three months ended September 30, 2026 and 2025 was $0.2 million. Total rent expense for the nine months ended September 30, 2026 and 2025 was $0.6 million and $0.8 million, respectively. Total short-term lease costs relating to leased vehicles were $1.9 million and $1.6 million for the three months ended September 30, 2026 and 2025, respectively. Total short-term lease costs relating to leased vehicles were approximately $5.6 million and $5.2 million for the nine months ended September 30, 2026 and 2025, respectively.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As of September 30, 2026, the future minimum annual lease payments under the operating leases were as follows (in thousands):</w:t>
      </w:r>
    </w:p>
    <w:p>
      <w:pPr>
        <w:spacing w:after="0" w:line="199"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1060" w:type="dxa"/>
            <w:vAlign w:val="bottom"/>
          </w:tcPr>
          <w:p>
            <w:pPr>
              <w:jc w:val="right"/>
              <w:ind w:right="85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144</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2027</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719</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2028</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736</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2029</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753</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2030</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702</w:t>
            </w:r>
          </w:p>
        </w:tc>
      </w:tr>
      <w:tr>
        <w:trPr>
          <w:trHeight w:val="203"/>
        </w:trPr>
        <w:tc>
          <w:tcPr>
            <w:tcW w:w="57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Thereafter</w:t>
            </w:r>
          </w:p>
        </w:tc>
        <w:tc>
          <w:tcPr>
            <w:tcW w:w="1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100</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1060" w:type="dxa"/>
            <w:vAlign w:val="bottom"/>
          </w:tcPr>
          <w:p>
            <w:pPr>
              <w:spacing w:after="0"/>
              <w:rPr>
                <w:sz w:val="17"/>
                <w:szCs w:val="17"/>
                <w:color w:val="auto"/>
              </w:rPr>
            </w:pPr>
          </w:p>
        </w:tc>
        <w:tc>
          <w:tcPr>
            <w:tcW w:w="16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3,154</w:t>
            </w:r>
          </w:p>
        </w:tc>
      </w:tr>
      <w:tr>
        <w:trPr>
          <w:trHeight w:val="203"/>
        </w:trPr>
        <w:tc>
          <w:tcPr>
            <w:tcW w:w="5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(737)</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60" w:type="dxa"/>
            <w:vAlign w:val="bottom"/>
          </w:tcPr>
          <w:p>
            <w:pPr>
              <w:spacing w:after="0"/>
              <w:rPr>
                <w:sz w:val="17"/>
                <w:szCs w:val="17"/>
                <w:color w:val="auto"/>
              </w:rPr>
            </w:pPr>
          </w:p>
        </w:tc>
        <w:tc>
          <w:tcPr>
            <w:tcW w:w="16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2,417</w:t>
            </w:r>
          </w:p>
        </w:tc>
      </w:tr>
      <w:tr>
        <w:trPr>
          <w:trHeight w:val="203"/>
        </w:trPr>
        <w:tc>
          <w:tcPr>
            <w:tcW w:w="5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operating lease liabilities, current</w:t>
            </w:r>
          </w:p>
        </w:tc>
        <w:tc>
          <w:tcPr>
            <w:tcW w:w="1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(673)</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Operating lease liabilities, non-current</w:t>
            </w:r>
          </w:p>
        </w:tc>
        <w:tc>
          <w:tcPr>
            <w:tcW w:w="106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1,744</w:t>
            </w:r>
          </w:p>
        </w:tc>
      </w:tr>
      <w:tr>
        <w:trPr>
          <w:trHeight w:val="20"/>
        </w:trPr>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5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 (in years)</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4.24</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incremental borrowing rate</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13.83%</w:t>
            </w:r>
          </w:p>
        </w:tc>
      </w:tr>
    </w:tbl>
    <w:p>
      <w:pPr>
        <w:spacing w:after="0" w:line="157"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Operating cash flows for the nine months ended September 30, 2026 and 2025 included cash payments for operating leases of approximately $0.7 million and $0.6 million,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980" w:type="dxa"/>
            <w:vAlign w:val="bottom"/>
            <w:gridSpan w:val="2"/>
          </w:tcPr>
          <w:p>
            <w:pPr>
              <w:spacing w:after="0"/>
              <w:rPr>
                <w:sz w:val="20"/>
                <w:szCs w:val="20"/>
                <w:color w:val="auto"/>
              </w:rPr>
            </w:pPr>
            <w:r>
              <w:rPr>
                <w:rFonts w:ascii="Arial" w:cs="Arial" w:eastAsia="Arial" w:hAnsi="Arial"/>
                <w:sz w:val="20"/>
                <w:szCs w:val="20"/>
                <w:b w:val="1"/>
                <w:bCs w:val="1"/>
                <w:color w:val="auto"/>
              </w:rPr>
              <w:t>5</w:t>
            </w:r>
            <w:r>
              <w:rPr>
                <w:rFonts w:ascii="Arial" w:cs="Arial" w:eastAsia="Arial" w:hAnsi="Arial"/>
                <w:sz w:val="17"/>
                <w:szCs w:val="17"/>
                <w:b w:val="1"/>
                <w:bCs w:val="1"/>
                <w:color w:val="auto"/>
              </w:rPr>
              <w:t>. Debt</w:t>
            </w: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375"/>
        </w:trPr>
        <w:tc>
          <w:tcPr>
            <w:tcW w:w="5980" w:type="dxa"/>
            <w:vAlign w:val="bottom"/>
            <w:gridSpan w:val="2"/>
          </w:tcPr>
          <w:p>
            <w:pPr>
              <w:ind w:left="520"/>
              <w:spacing w:after="0"/>
              <w:rPr>
                <w:sz w:val="20"/>
                <w:szCs w:val="20"/>
                <w:color w:val="auto"/>
              </w:rPr>
            </w:pPr>
            <w:r>
              <w:rPr>
                <w:rFonts w:ascii="Arial" w:cs="Arial" w:eastAsia="Arial" w:hAnsi="Arial"/>
                <w:sz w:val="18"/>
                <w:szCs w:val="18"/>
                <w:color w:val="auto"/>
              </w:rPr>
              <w:t>Total debt consists of the following (in thousands):</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2"/>
        </w:trPr>
        <w:tc>
          <w:tcPr>
            <w:tcW w:w="1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4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196"/>
        </w:trPr>
        <w:tc>
          <w:tcPr>
            <w:tcW w:w="1420" w:type="dxa"/>
            <w:vAlign w:val="bottom"/>
          </w:tcPr>
          <w:p>
            <w:pPr>
              <w:spacing w:after="0"/>
              <w:rPr>
                <w:sz w:val="17"/>
                <w:szCs w:val="17"/>
                <w:color w:val="auto"/>
              </w:rPr>
            </w:pPr>
          </w:p>
        </w:tc>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 current portion</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14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Long-term debt, non-current portion</w:t>
            </w:r>
          </w:p>
        </w:tc>
        <w:tc>
          <w:tcPr>
            <w:tcW w:w="200" w:type="dxa"/>
            <w:vAlign w:val="bottom"/>
          </w:tcPr>
          <w:p>
            <w:pPr>
              <w:spacing w:after="0"/>
              <w:rPr>
                <w:sz w:val="17"/>
                <w:szCs w:val="17"/>
                <w:color w:val="auto"/>
              </w:rPr>
            </w:pP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216,495</w:t>
            </w:r>
          </w:p>
        </w:tc>
      </w:tr>
      <w:tr>
        <w:trPr>
          <w:trHeight w:val="203"/>
        </w:trPr>
        <w:tc>
          <w:tcPr>
            <w:tcW w:w="1420" w:type="dxa"/>
            <w:vAlign w:val="bottom"/>
          </w:tcPr>
          <w:p>
            <w:pPr>
              <w:spacing w:after="0"/>
              <w:rPr>
                <w:sz w:val="17"/>
                <w:szCs w:val="17"/>
                <w:color w:val="auto"/>
              </w:rPr>
            </w:pPr>
          </w:p>
        </w:tc>
        <w:tc>
          <w:tcPr>
            <w:tcW w:w="4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Unamortized debt discount</w:t>
            </w: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(9,460)</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(7,408)</w:t>
            </w:r>
          </w:p>
        </w:tc>
      </w:tr>
      <w:tr>
        <w:trPr>
          <w:trHeight w:val="210"/>
        </w:trPr>
        <w:tc>
          <w:tcPr>
            <w:tcW w:w="14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165,540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209,087</w:t>
            </w:r>
          </w:p>
        </w:tc>
      </w:tr>
      <w:tr>
        <w:trPr>
          <w:trHeight w:val="20"/>
        </w:trPr>
        <w:tc>
          <w:tcPr>
            <w:tcW w:w="1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-170815</wp:posOffset>
            </wp:positionV>
            <wp:extent cx="93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3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September 17, 2021, or the Closing Date, the Company entered into a Loan and Security Agreement, or, the Loan Agreement, with Hercules Capital, Inc., or Hercules, in its capacity as administrative agent and collateral agent and as a lender, or, in such capacity, the Agent or Hercules, and the other financial institutions that from time to time become parties to the Loan Agreement as lenders. The Loan Agreement initially provided for term loans in an aggregate principal amount of up to $200 million under multiple tranches. The Company has entered into several amendments to the Loan Agreement since the initial advance and the current loan terms provided for in the latest amendment are described below.</w:t>
      </w:r>
    </w:p>
    <w:p>
      <w:pPr>
        <w:spacing w:after="0" w:line="15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February 25, 2026, or the Fifth Amendment Closing Date, the Company entered into the Fifth Amendment to the Loan and Security Agreement, or the Fifth Loan Amendment, which, among other things, (i) provided for a new term loan advance of $175 million, or the Term Loan Advance, the proceeds of which, along with cash on the Company's balance sheet, were used to repay in full the existing secured obligations outstanding under the Loan Agreement, including principal, capitalized payment-in-kind interest, cash interest, existing final fee payments, and any applicable prepayment fees, (ii) provided for an additional loan tranche of up to $25 million which shall be available to the Company in the lenders’ discretion, (iii) extended the maturity date from December 1, 2027 to February 1, 2029, or the Maturity Date, subject to further extension to December 1, 2030 upon the achievement of a specified revenue milestone and subject to a certain pro forma liquidity test, (iv) extended the interest only period from October 2026 to December 2027, thereafter, monthly payment of interest and principal repayments at 2.5% of the aggregate original principal balance of the Term Loan Advance through the Maturity Date, with any remaining payments to be repaid in full on the Maturity Date, (v) set the cash interest rate at a floating rate based on the greater of (a) US WSJ Prime + 3.10% or (b) 9.85%, (vi) eliminated the payment-in-kind interest rate of 2.15% per annum, (vii) amended the prepayment charge, which is a percentage of the principal amount advanced under the Term Loans under the Fifth Loan Amendment, or each a Term Loan Advance and together, the Term Loan Advances, as follows: (a) if the Term Loan Advances are prepaid after the Fifth Amendment Closing Date but prior to the twelve month anniversary of the Fifth Amendment Closing Date, 2.50%; (b) if the Term Loan Advances are prepaid on or after the twelve month anniversary of the Fifth Amendment Closing Date but prior to the twenty-four month anniversary of the Fifth Amendment Closing Date, 2.00%; (c) if the Term Loan Advances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3" w:name="page14"/>
    <w:bookmarkEnd w:id="13"/>
    <w:p>
      <w:pPr>
        <w:ind w:right="20"/>
        <w:spacing w:after="0"/>
        <w:rPr>
          <w:sz w:val="20"/>
          <w:szCs w:val="20"/>
          <w:color w:val="auto"/>
        </w:rPr>
      </w:pPr>
      <w:r>
        <w:rPr>
          <w:rFonts w:ascii="Arial" w:cs="Arial" w:eastAsia="Arial" w:hAnsi="Arial"/>
          <w:sz w:val="18"/>
          <w:szCs w:val="18"/>
          <w:color w:val="auto"/>
        </w:rPr>
        <w:t>are prepaid on or after the twenty-four month anniversary of the Fifth Amendment Closing Date but prior to the thirty-six month anniversary of the Fifth Amendment Closing Date, 1.50%; (d) thereafter, 1.00%; provided that (x) any such prepayment charge shall be reduced by 50.0% if such prepayment is a result of a change in control and (y) upon any refinancing by Hercules such prepayment charge shall be waived in full; and (viii) provided for a new final payment fee which is as a percentage of the Term Loan Advance, calculated as follows: (a) if the Term Loan Advances are repaid prior to September 2027, 1.25%; (b) if the Term Loan Advances are repaid after September 1, 2027 but on or prior to February 1, 2029, 2.00%; (c) if the Term Loan Advances are repaid after February 1, 2029 but on or prior to January 1, 2030, 3.00%, and (d) if the Term Loan Advances are repaid after January 1, 2030, 3.50%. As of September 30, 2026, the Company recorded $3.5 million within other long-term liabilities for the new final payment fee based on the Term Loan Advance being repaid by the Maturity Date.</w:t>
      </w:r>
    </w:p>
    <w:p>
      <w:pPr>
        <w:spacing w:after="0" w:line="15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 xml:space="preserve">The Company accounted for the Fifth Loan Amendment in accordance with </w:t>
      </w:r>
      <w:r>
        <w:rPr>
          <w:rFonts w:ascii="Arial" w:cs="Arial" w:eastAsia="Arial" w:hAnsi="Arial"/>
          <w:sz w:val="18"/>
          <w:szCs w:val="18"/>
          <w:i w:val="1"/>
          <w:iCs w:val="1"/>
          <w:color w:val="auto"/>
        </w:rPr>
        <w:t>ASC 470-50, Modification and Extinguishments</w:t>
      </w:r>
      <w:r>
        <w:rPr>
          <w:rFonts w:ascii="Arial" w:cs="Arial" w:eastAsia="Arial" w:hAnsi="Arial"/>
          <w:sz w:val="18"/>
          <w:szCs w:val="18"/>
          <w:color w:val="auto"/>
        </w:rPr>
        <w:t>, or ASC 470-50, to determine if the transaction was treated as a modification or an extinguishment of debt. The Company reviewed the debt terms and determined the change would be accounted for prospectively as a partial debt extinguishment in accordance with ASC 470-50. As a result, the Company expensed a portion of the remaining deferred debt issuance costs and fees of $0.8 million associated with the debt prior to the Fifth Loan Amendment, as a loss on partial debt extinguishment within other expense, net in the condensed statements of operations and comprehensive loss during the first quarter of the 2026 fiscal year. Prior to the Fifth Loan Amendment, there were approximately $6.9 million of deferred debt issuance costs remaining to be amortized. The partial extinguishment and modification resulted in a net reduction in deferred issuance fees of $0.5 million with a remaining balance of $6.4 million in debt issuance costs capitalized to be amortized over the three year life of the new debt.</w:t>
      </w:r>
    </w:p>
    <w:p>
      <w:pPr>
        <w:spacing w:after="0" w:line="10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As collateral for the obligations, the Company has granted to Hercules a senior security interest in all of the Company’s right, title, and interest in, to and under substantially all of the Company’s property, inclusive of intellectual property.</w:t>
      </w:r>
    </w:p>
    <w:p>
      <w:pPr>
        <w:spacing w:after="0" w:line="127"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Fifth Loan Amendment include (i) a minimum cash covenant and (ii) a performance covenant as follows:</w:t>
      </w:r>
    </w:p>
    <w:p>
      <w:pPr>
        <w:spacing w:after="0" w:line="61" w:lineRule="exact"/>
        <w:rPr>
          <w:sz w:val="20"/>
          <w:szCs w:val="20"/>
          <w:color w:val="auto"/>
        </w:rPr>
      </w:pPr>
    </w:p>
    <w:p>
      <w:pPr>
        <w:ind w:left="1020" w:right="80" w:hanging="503"/>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Minimum cash covenant - The Company must maintain a minimum cash balance of 20% of the outstanding principal balance at all times, which will decrease to 15% of the outstanding principal amount upon the Company reporting and maintaining $75 million of trailing three months net product revenue.</w:t>
      </w:r>
    </w:p>
    <w:p>
      <w:pPr>
        <w:spacing w:after="0" w:line="6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covenant - In addition, the Company must satisfy any one of the following:</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Market capitalization exceeding $900 million;</w:t>
      </w:r>
    </w:p>
    <w:p>
      <w:pPr>
        <w:spacing w:after="0" w:line="103" w:lineRule="exact"/>
        <w:rPr>
          <w:rFonts w:ascii="Arial" w:cs="Arial" w:eastAsia="Arial" w:hAnsi="Arial"/>
          <w:sz w:val="18"/>
          <w:szCs w:val="18"/>
          <w:color w:val="auto"/>
        </w:rPr>
      </w:pPr>
    </w:p>
    <w:p>
      <w:pPr>
        <w:ind w:left="1540" w:right="80" w:hanging="514"/>
        <w:spacing w:after="0" w:line="253" w:lineRule="auto"/>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Minimum cash balance of 50% of the outstanding principal amount of the term loans, which will decrease to 40% upon achieving $65 million of trailing three months net product revenue, and to 30% upon achieving $85 million of trailing three months net product revenue; or</w:t>
      </w:r>
    </w:p>
    <w:p>
      <w:pPr>
        <w:spacing w:after="0" w:line="60" w:lineRule="exact"/>
        <w:rPr>
          <w:rFonts w:ascii="Arial" w:cs="Arial" w:eastAsia="Arial" w:hAnsi="Arial"/>
          <w:sz w:val="18"/>
          <w:szCs w:val="18"/>
          <w:color w:val="auto"/>
        </w:rPr>
      </w:pPr>
    </w:p>
    <w:p>
      <w:pPr>
        <w:ind w:left="1540" w:right="300" w:hanging="514"/>
        <w:spacing w:after="0" w:line="271" w:lineRule="auto"/>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Trailing three months net product revenue equal to 75% of projected revenue in 2026 and 70% of projected revenue in 2027 and beyond, tested on a quarterly basis.</w:t>
      </w:r>
    </w:p>
    <w:p>
      <w:pPr>
        <w:spacing w:after="0" w:line="11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the Company may be declared immediately due and payable by Hercules, as collateral agent.</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2026, the Company was in compliance with all applicable covenants under the Loan Agreement.</w:t>
      </w:r>
    </w:p>
    <w:p>
      <w:pPr>
        <w:spacing w:after="0" w:line="1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connection with the entry into the initial Loan Agreement, the Company issued to Hercules a warrant, or the Warrant, to purchase a number of shares of the Company’s common stock equal to 2.5% of the aggregate amount of the Term Loan advances. On the Closing Date, the Company issued a Warrant for 74,782 shares of common stock. The Warrant will be exercisable until September 17, 2028 (seven years from the date of issuance) at a per-share exercise price equal to $33.43, which was the closing price of the Company’s common stock on September 16, 2021. The Warrant issued with the initial tranche was not modified as part of the Fifth Loan Amendment. The exercise price and terms of the outstanding Warrant remain unchanged.</w:t>
      </w:r>
    </w:p>
    <w:p>
      <w:pPr>
        <w:spacing w:after="0" w:line="13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$3.5 million of final payment fees and $1.8 million facility fee incurred as part of the Fifth Loan Amendment, along with the $6.4 million of unamortized debt issuance costs as a result of the debt modification, have been recorded as debt discount and are being amortized to interest expense using the effective interest method over the remaining term of the Loan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4" w:name="page15"/>
    <w:bookmarkEnd w:id="14"/>
    <w:p>
      <w:pPr>
        <w:ind w:right="320" w:firstLine="509"/>
        <w:spacing w:after="0" w:line="271" w:lineRule="auto"/>
        <w:rPr>
          <w:sz w:val="20"/>
          <w:szCs w:val="20"/>
          <w:color w:val="auto"/>
        </w:rPr>
      </w:pPr>
      <w:r>
        <w:rPr>
          <w:rFonts w:ascii="Arial" w:cs="Arial" w:eastAsia="Arial" w:hAnsi="Arial"/>
          <w:sz w:val="18"/>
          <w:szCs w:val="18"/>
          <w:color w:val="auto"/>
        </w:rPr>
        <w:t>Future minimum principal payments under the Loan Agreement, including the final payment fees, as of September 30, 2026 are as follows (in thousands):</w:t>
      </w:r>
    </w:p>
    <w:p>
      <w:pPr>
        <w:spacing w:after="0" w:line="141"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6380" w:type="dxa"/>
            <w:vAlign w:val="bottom"/>
          </w:tcPr>
          <w:p>
            <w:pPr>
              <w:jc w:val="right"/>
              <w:ind w:right="5790"/>
              <w:spacing w:after="0" w:line="202" w:lineRule="exact"/>
              <w:rPr>
                <w:sz w:val="20"/>
                <w:szCs w:val="20"/>
                <w:color w:val="auto"/>
              </w:rPr>
            </w:pPr>
            <w:r>
              <w:rPr>
                <w:rFonts w:ascii="Arial" w:cs="Arial" w:eastAsia="Arial" w:hAnsi="Arial"/>
                <w:sz w:val="18"/>
                <w:szCs w:val="18"/>
                <w:color w:val="auto"/>
              </w:rPr>
              <w:t>2026</w:t>
            </w:r>
          </w:p>
        </w:tc>
        <w:tc>
          <w:tcPr>
            <w:tcW w:w="700" w:type="dxa"/>
            <w:vAlign w:val="bottom"/>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380" w:type="dxa"/>
            <w:vAlign w:val="bottom"/>
            <w:shd w:val="clear" w:color="auto" w:fill="CFF0FC"/>
          </w:tcPr>
          <w:p>
            <w:pPr>
              <w:jc w:val="right"/>
              <w:ind w:right="5790"/>
              <w:spacing w:after="0" w:line="202" w:lineRule="exact"/>
              <w:rPr>
                <w:sz w:val="20"/>
                <w:szCs w:val="20"/>
                <w:color w:val="auto"/>
              </w:rPr>
            </w:pPr>
            <w:r>
              <w:rPr>
                <w:rFonts w:ascii="Arial" w:cs="Arial" w:eastAsia="Arial" w:hAnsi="Arial"/>
                <w:sz w:val="18"/>
                <w:szCs w:val="18"/>
                <w:color w:val="auto"/>
              </w:rPr>
              <w:t>2027</w:t>
            </w: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380" w:type="dxa"/>
            <w:vAlign w:val="bottom"/>
          </w:tcPr>
          <w:p>
            <w:pPr>
              <w:jc w:val="right"/>
              <w:ind w:right="5790"/>
              <w:spacing w:after="0" w:line="202" w:lineRule="exact"/>
              <w:rPr>
                <w:sz w:val="20"/>
                <w:szCs w:val="20"/>
                <w:color w:val="auto"/>
              </w:rPr>
            </w:pPr>
            <w:r>
              <w:rPr>
                <w:rFonts w:ascii="Arial" w:cs="Arial" w:eastAsia="Arial" w:hAnsi="Arial"/>
                <w:sz w:val="18"/>
                <w:szCs w:val="18"/>
                <w:color w:val="auto"/>
              </w:rPr>
              <w:t>2028</w:t>
            </w:r>
          </w:p>
        </w:tc>
        <w:tc>
          <w:tcPr>
            <w:tcW w:w="7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52,500</w:t>
            </w:r>
          </w:p>
        </w:tc>
      </w:tr>
      <w:tr>
        <w:trPr>
          <w:trHeight w:val="203"/>
        </w:trPr>
        <w:tc>
          <w:tcPr>
            <w:tcW w:w="6380" w:type="dxa"/>
            <w:vAlign w:val="bottom"/>
            <w:tcBorders>
              <w:bottom w:val="single" w:sz="8" w:color="CFF0FC"/>
            </w:tcBorders>
            <w:shd w:val="clear" w:color="auto" w:fill="CFF0FC"/>
          </w:tcPr>
          <w:p>
            <w:pPr>
              <w:jc w:val="right"/>
              <w:ind w:right="5790"/>
              <w:spacing w:after="0" w:line="202" w:lineRule="exact"/>
              <w:rPr>
                <w:sz w:val="20"/>
                <w:szCs w:val="20"/>
                <w:color w:val="auto"/>
              </w:rPr>
            </w:pPr>
            <w:r>
              <w:rPr>
                <w:rFonts w:ascii="Arial" w:cs="Arial" w:eastAsia="Arial" w:hAnsi="Arial"/>
                <w:sz w:val="18"/>
                <w:szCs w:val="18"/>
                <w:color w:val="auto"/>
              </w:rPr>
              <w:t>2029</w:t>
            </w:r>
          </w:p>
        </w:tc>
        <w:tc>
          <w:tcPr>
            <w:tcW w:w="7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126,000</w:t>
            </w: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rPr>
              <w:t>Total principal payments</w:t>
            </w:r>
          </w:p>
        </w:tc>
        <w:tc>
          <w:tcPr>
            <w:tcW w:w="700" w:type="dxa"/>
            <w:vAlign w:val="bottom"/>
          </w:tcPr>
          <w:p>
            <w:pPr>
              <w:spacing w:after="0"/>
              <w:rPr>
                <w:sz w:val="17"/>
                <w:szCs w:val="17"/>
                <w:color w:val="auto"/>
              </w:rPr>
            </w:pP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178,500</w:t>
            </w:r>
          </w:p>
        </w:tc>
      </w:tr>
      <w:tr>
        <w:trPr>
          <w:trHeight w:val="203"/>
        </w:trPr>
        <w:tc>
          <w:tcPr>
            <w:tcW w:w="6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final payment fees</w:t>
            </w:r>
          </w:p>
        </w:tc>
        <w:tc>
          <w:tcPr>
            <w:tcW w:w="7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(3,500)</w:t>
            </w: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rPr>
              <w:t>Total term loan borrowings</w:t>
            </w:r>
          </w:p>
        </w:tc>
        <w:tc>
          <w:tcPr>
            <w:tcW w:w="7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175,000</w:t>
            </w: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During the three months ended September 30, 2026 and 2025, the Company recognized $5.4 million and $7.4 million, respectively, of interest expense, including amortization of the debt discount, in connection with the Loan Agreement. During the nine months ended September 30, 2026 and 2025, the Company recognized $17.1 million and $21.6 million, respectively, of interest expense, including amortization of the debt discount, in connection with the Loan Agreement. As of September 30, 2026, the Company had an outstanding loan balance of $175.0 million and accrued interest of $1.5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Interest Financing Liability</w:t>
      </w:r>
    </w:p>
    <w:p>
      <w:pPr>
        <w:spacing w:after="0" w:line="18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On May 3, 2022, the Company entered into a Revenue Interest Financing Agreement with Initial Investors NovaQuest Capital Management, or NQ, Sagard Holdings Manager LP, or Sagard, and Hercules pursuant to which the Company had the right to receive up to $260 million in funding from the Initial Investors. Under the terms of the Revenue Interest Financing Agreement, the Company received $100 million at the initial closing and received an additional $160 million upon FDA approval of VOQUEZNA for treatment of Erosive GERD during the fourth quarter of 2023.</w:t>
      </w:r>
    </w:p>
    <w:p>
      <w:pPr>
        <w:spacing w:after="0" w:line="136"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Additionally, on October 31, 2022, the Company entered into a Joinder Agreement with the Initial Investors and CO Finance LVS XXXVII LLC, or the Additional Investor, and Hercules, together as the investors. Under the terms of the Joinder Agreement, the Company received $15 million in additional funding upon FDA approval of vonoprazan for Erosive GERD, or Approval Additional Funding, during the fourth quarter of 2023, and provided for $25 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joined the Revenue Interest Financing Agreement to extend commitments for the Additional Investor Funding. On December 23, 2024, CO Finance LVS XXXVII LLC agreed to assign and transfer to OC</w:t>
      </w:r>
    </w:p>
    <w:p>
      <w:pPr>
        <w:spacing w:after="0" w:line="4" w:lineRule="exact"/>
        <w:rPr>
          <w:sz w:val="20"/>
          <w:szCs w:val="20"/>
          <w:color w:val="auto"/>
        </w:rPr>
      </w:pPr>
    </w:p>
    <w:p>
      <w:pPr>
        <w:jc w:val="both"/>
        <w:ind w:firstLine="8"/>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LVS LX LP all of its rights, title and interest as an Additional Investor and in connection therewith, OC III LVS LX LP executed a Joinder Agreement. The total amount funded by the Initial Investors and any subsequent investors is referred to herein as the Investment Amount, which amounted to a total of $275 million. As of September 30, 2026, no additional funding is available under the Revenue Interest Financing Agreement.</w:t>
      </w:r>
    </w:p>
    <w:p>
      <w:pPr>
        <w:spacing w:after="0" w:line="14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Under the Revenue Interest Financing Agreement, the Investors and the Additional Investor are entitled to receive a 10% royalty on net sales of products containing vonoprazan. The royalty rate is subject to a step-down on net sales exceeding certain annual thresholds and when the Company received FDA approval for vonoprazan for an indication relating to the treatment of heartburn associated with Non-Erosive GERD, which occurred on July 17, 2024. The investors’ right to receive royalties on net sales will terminate when the investors have received aggregate payments equal to 200% of the Investment Amount. In addition, at any time after April 30, 2024, the Company has the right to make a cap payment equal to 200% of the Investment Amount less any royalties already paid, at which time the agreement will terminate.</w:t>
      </w:r>
    </w:p>
    <w:p>
      <w:pPr>
        <w:spacing w:after="0" w:line="15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sufficient to gross the investors up to the applicable Minimum Amount. As of September 30, 2026, the aggregate payments made to investors under the Revenue Interest Financing Agreement equaled $36.4 million.</w:t>
      </w:r>
    </w:p>
    <w:p>
      <w:pPr>
        <w:spacing w:after="0" w:line="133"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the Company is obligated to pay 1.65 times the Investment Amount and 2.0 times the Investment Amount, respectively, less any amounts the Company previously paid pursuant to the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15" w:name="page16"/>
    <w:bookmarkEnd w:id="15"/>
    <w:p>
      <w:pPr>
        <w:ind w:right="60" w:firstLine="509"/>
        <w:spacing w:after="0"/>
        <w:rPr>
          <w:sz w:val="20"/>
          <w:szCs w:val="20"/>
          <w:color w:val="auto"/>
        </w:rPr>
      </w:pPr>
      <w:r>
        <w:rPr>
          <w:rFonts w:ascii="Arial" w:cs="Arial" w:eastAsia="Arial" w:hAnsi="Arial"/>
          <w:sz w:val="18"/>
          <w:szCs w:val="18"/>
          <w:color w:val="auto"/>
        </w:rPr>
        <w:t>Additionally, under the terms of Revenue Interest Financing Agreement, the Company is subject to a minimum cash covenant of at least (a) beginning on the date that the Hercules Loan Agreement is terminated and each day thereafter until September 30, 2026, $30 million, and (b) beginning on October 1, 2026 and on each day thereafter until September 30, 2029, a certain percentage of the minimum cash reference amount defined as the difference between the Investment Amount and the amount of all royalty payments received by the investors as of each such date as follows: (i) 50% from October 1, 2026 to September 30, 2027, (ii) 75% from October 1, 2027 to September 30, 2028, and (iii) 100% from October 1, 2028 to September 30, 2029. As of October 1, 2026, the minimum cash amount required is $119.3 million.</w:t>
      </w:r>
    </w:p>
    <w:p>
      <w:pPr>
        <w:spacing w:after="0" w:line="158"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As of September 30, 2026, the Company was in compliance with all applicable covenants under the Revenue Interest Financing Agreement.</w:t>
      </w:r>
    </w:p>
    <w:p>
      <w:pPr>
        <w:spacing w:after="0" w:line="11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As of September 30, 2026, the effective interest rate of the revenue interest financing liability was approximately 10.17%. Changes in future payments from previous estimates are included in the current and future interest expense. The carrying value of the revenue interest financing liability was $387.5 million and $377.4 million as of September 30, 2026 and December 31, 2025, respectively.</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 interest financing liability consists of the following (in thousands):</w:t>
            </w:r>
          </w:p>
        </w:tc>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2"/>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2025</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353,038</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(14,719)</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39,052</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December 31, 2025</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377,371</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(27,249)</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December 31, 2025</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350,122</w:t>
            </w: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2026</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377,371</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(19,016)</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29,138</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September 30, 2026</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387,493</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(40,520)</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September 30, 2026</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346,973</w:t>
            </w: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During the three months ended September 30, 2026 and 2025, the Company recognized $10.0 million and $8.7 million, respectively, of interest expense in connection with the revenue interest financing liability. During the nine months ended September 30, 2026 and 2025, the Company recognized $29.1 million and $30.1 million, respectively, of interest expense in connection with the revenue interest financing liability.</w:t>
      </w:r>
    </w:p>
    <w:p>
      <w:pPr>
        <w:spacing w:after="0" w:line="13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default events and achievement of the sales milestone.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From inception through September 30, 2026, the Company sold 41,612,032 shares of common stock and 3,859,000 pre-funded warrants, generating net proceeds of approximately $665.3 million, after deducting underwriting discounts, commissions and offering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w:t>
      </w:r>
    </w:p>
    <w:p>
      <w:pPr>
        <w:spacing w:after="0" w:line="18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January 2026, the Company sold 6,875,000 shares of common stock at a price of $16.00 per share and pre-funded warrants to purchase 1,250,078 shares of common stock at a price of $15.999 per pre-funded warrant, which represents the per share price for the common stock less the $0.001 per share exercise price for each such pre-funded warrant. The Company received gross proceeds of $130.0 million, before deducting underwriting discounts and commissions. The net purchase price after deducting the underwriting discounts and commissions and other offering expenses, was $15.01 per share or net proceeds of $122.0 million. Certain affiliates of Frazier Life Sciences IX, L.P., or Frazier, a significant stockholder, and Dr. James Topper, who currently serves on the Company's Board of Directors, share voting and investment power of the securities held by Frazier. Frazier participated in the offering by purchasing pre-funded warrants on the same terms as all other investors at a purchase price of $15.999, which represents the per share public offering price for the common stock less the $0.001 per share exercise price for each pre-funded warrant. Each pre-funded warrant became exercisable upon issuance and will not expire until exercised in full. The pre-funded warrants may not be exercised if the aggregate number of shares of common stock beneficially owned by the holders thereof immediately following such exercise would exceed a specified beneficial ownership limitation.</w:t>
      </w:r>
    </w:p>
    <w:p>
      <w:pPr>
        <w:spacing w:after="0" w:line="1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pre-funded warrants from the offering were classified as a component of equity in the Company's condensed balance sheets as they are freestanding financial instruments that are immediately exercisable, do not embody an obligation for the Company to repurchase its own shares and permit the holders to receive a fixed number of shares of common stock upon exercise. The Company valued the pre-funded warrants at issuance, concluding that their sales price approximated their fair value, and allocated net proceeds from the sale proportionately to the common stock and pre-funded warrants, of which $18.8 million was allocated to the pre-funded warrants and recorded as a component of additional paid-in capital during the first fiscal quarter of the 2026 fiscal year. As of September 30, 2026, none of the pre-funded warrants have been exercised.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Offerings</w:t>
      </w:r>
    </w:p>
    <w:p>
      <w:pPr>
        <w:spacing w:after="0" w:line="196" w:lineRule="exact"/>
        <w:rPr>
          <w:sz w:val="20"/>
          <w:szCs w:val="20"/>
          <w:color w:val="auto"/>
        </w:rPr>
      </w:pPr>
    </w:p>
    <w:p>
      <w:pPr>
        <w:jc w:val="both"/>
        <w:ind w:right="140" w:firstLine="509"/>
        <w:spacing w:after="0" w:line="223" w:lineRule="auto"/>
        <w:rPr>
          <w:sz w:val="20"/>
          <w:szCs w:val="20"/>
          <w:color w:val="auto"/>
        </w:rPr>
      </w:pPr>
      <w:r>
        <w:rPr>
          <w:rFonts w:ascii="Arial" w:cs="Arial" w:eastAsia="Arial" w:hAnsi="Arial"/>
          <w:sz w:val="18"/>
          <w:szCs w:val="18"/>
          <w:color w:val="auto"/>
        </w:rPr>
        <w:t>In November 2020, the Company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the Company may, from time to time, sell shares of common stock having an aggregate offering price of up to an amount registered under an effective registration statement through the Sales Agent.</w:t>
      </w:r>
    </w:p>
    <w:p>
      <w:pPr>
        <w:spacing w:after="0" w:line="14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November 2023, the Company filed a shelf registration statement on Form S-3 which was declared effective by the SEC on November 17, 2023, which included an at-the-market prospectus pursuant to which the Company may, from time to time, sell up to an aggregate of $150 million of the Company's common stock through the Sales Agent, or the 2023 ATM Offering. The Company is not obligated to, and cannot provide any assurances that the Company will, make any sales of the shares under the Sales Agreement. The Sales Agreement may be terminated by the Sales Agent or the Company at any time. No shares were sold during the three and nine months ended September 30, 2026 and 2025. As of September 30, 2026, all of the available $150 million under the 2023 ATM Offering remains available.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Common Stock Reserves</w:t>
            </w:r>
          </w:p>
        </w:tc>
        <w:tc>
          <w:tcPr>
            <w:tcW w:w="2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00" w:type="dxa"/>
            <w:vAlign w:val="bottom"/>
            <w:gridSpan w:val="2"/>
          </w:tcPr>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2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4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30, 2026</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warrants including pre-funded warrants</w:t>
            </w:r>
          </w:p>
        </w:tc>
        <w:tc>
          <w:tcPr>
            <w:tcW w:w="224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3,950,228</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6180" w:type="dxa"/>
            <w:vAlign w:val="bottom"/>
          </w:tcPr>
          <w:p>
            <w:pPr>
              <w:spacing w:after="0" w:line="183" w:lineRule="exact"/>
              <w:rPr>
                <w:sz w:val="20"/>
                <w:szCs w:val="20"/>
                <w:color w:val="auto"/>
              </w:rPr>
            </w:pPr>
            <w:r>
              <w:rPr>
                <w:rFonts w:ascii="Arial" w:cs="Arial" w:eastAsia="Arial" w:hAnsi="Arial"/>
                <w:sz w:val="18"/>
                <w:szCs w:val="18"/>
                <w:color w:val="auto"/>
              </w:rPr>
              <w:t>Stock options, performance stock units and restricted stock units</w:t>
            </w:r>
          </w:p>
        </w:tc>
        <w:tc>
          <w:tcPr>
            <w:tcW w:w="2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outstanding</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10,391,518</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2019 Incentive Plan</w:t>
            </w:r>
          </w:p>
        </w:tc>
        <w:tc>
          <w:tcPr>
            <w:tcW w:w="22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4,853,530</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Shares available for issuance under the ESPP Plan</w:t>
            </w:r>
          </w:p>
        </w:tc>
        <w:tc>
          <w:tcPr>
            <w:tcW w:w="2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1,713,613</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Inducement Plan</w:t>
            </w:r>
          </w:p>
        </w:tc>
        <w:tc>
          <w:tcPr>
            <w:tcW w:w="22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409,661</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180" w:type="dxa"/>
            <w:vAlign w:val="bottom"/>
          </w:tcPr>
          <w:p>
            <w:pPr>
              <w:spacing w:after="0" w:line="196" w:lineRule="exact"/>
              <w:rPr>
                <w:sz w:val="20"/>
                <w:szCs w:val="20"/>
                <w:color w:val="auto"/>
              </w:rPr>
            </w:pPr>
            <w:r>
              <w:rPr>
                <w:rFonts w:ascii="Arial" w:cs="Arial" w:eastAsia="Arial" w:hAnsi="Arial"/>
                <w:sz w:val="18"/>
                <w:szCs w:val="18"/>
                <w:color w:val="auto"/>
              </w:rPr>
              <w:t>Balance at September 30, 2026</w:t>
            </w:r>
          </w:p>
        </w:tc>
        <w:tc>
          <w:tcPr>
            <w:tcW w:w="2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21,318,550</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18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F-15</w:t>
            </w:r>
          </w:p>
        </w:tc>
        <w:tc>
          <w:tcPr>
            <w:tcW w:w="22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42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3"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Company is authorized to issue up to 40 million shares of preferred stock. As of September 30, 2026 and December 31, 2025, there were no shares of preferred stock issued or outstanding.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6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2019 Equity Incentive Plan, or the Prior Incentive Plan, provided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Prior Incentive Plan, of which, 1,400,528 stock options and 16,260 restricted stock awards were granted in 2019. As a result of the adoption of the 2019 Incentive Award Plan, or the 2019 Plan, in October 2019, no further awards may be available for issuance under the Prior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or RSUs, performance stock units, or PSUs,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Prior Incentive Plan that expire or otherwise terminate without having been exercised in full after the effective date of the 2019 Plan and unvested shares issued pursuant to awards granted under the Prior Incentive Plan that are forfeited to or repurchased by the Company after the effective date of the 2019 Plan, with the maximum number of shares to be added to the 2019 Plan pursuant to clause (i) not to exceed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p>
    <w:p>
      <w:pPr>
        <w:spacing w:after="0" w:line="13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As of September 30, 2026, 4,853,530 shares remain available for issuance under the 2019 Plan, which reflects 2,209,663 stock options, RSUs and PSUs granted, and 870,747 of awards cancelled or forfeited, during the nine months ended September 30, 2026 as well as an increase of 3,570,952 shares authorized effective as of January 1, 2026.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Employment Inducement Incentive Award Plan</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On March 30, 2025, the Board of Directors adopted the 2025 Employment Inducement Incentive Award Plan, or the Inducement Plan, and reserved 2,500,000 shares of the Company’s common stock for issuance pursuant to equity awards granted under the Inducement Plan to individuals not previously employees or non-employee directors of the Company (or following such individuals’ bona fide period of non-employment with the Company) as an inducement to join the Company. The Inducement Plan provides for the grant of equity-based awards, including nonstatutory stock options, RSUs, restricted stock, stock appreciation rights, performance shares and PSUs, and its terms are substantially similar to the Company’s 2019 Plan, but with such other terms and conditions intended to comply with the Nasdaq inducement award exception or to comply with the Nasdaq acquisition and merger exception. As of September 30, 2026, the Company has granted 2,090,339 stock options, RSUs and PSUs under the Inducement Plan and 409,661 shares remain available for issuance.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18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 xml:space="preserve">In 2025, the Board of Directors approved the grant of PSUs, whereby vesting depends on certain revenue performance milestones for 2025 and over the next two years and stock price hurdle PSUs.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Recognition of stock-based compensation expense related to the stock price hurdle PSUs commenced on the date of grant and the expense is being recognized ratably over the requisite service period of the award. The stock price hurdle PSUs are considered a market condition under FASB </w:t>
      </w:r>
      <w:r>
        <w:rPr>
          <w:rFonts w:ascii="Arial" w:cs="Arial" w:eastAsia="Arial" w:hAnsi="Arial"/>
          <w:sz w:val="18"/>
          <w:szCs w:val="18"/>
          <w:i w:val="1"/>
          <w:iCs w:val="1"/>
          <w:color w:val="auto"/>
        </w:rPr>
        <w:t>ASC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Stock Compensation </w:t>
      </w:r>
      <w:r>
        <w:rPr>
          <w:rFonts w:ascii="Arial" w:cs="Arial" w:eastAsia="Arial" w:hAnsi="Arial"/>
          <w:sz w:val="18"/>
          <w:szCs w:val="18"/>
          <w:color w:val="auto"/>
        </w:rPr>
        <w:t>and the fair value was estimated on the grant date using Monte Carlo simulations. The key</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used in determining this valuation included an expected volatility of 86.84%, a dividend yield of zero, a risk-free interest rate of 3.67%, and an expected term of 3.75 years.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following table summarizes PSU activity during the nine months ended September 30, 2026:</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Date Fair</w:t>
            </w:r>
          </w:p>
        </w:tc>
      </w:tr>
      <w:tr>
        <w:trPr>
          <w:trHeight w:val="203"/>
        </w:trPr>
        <w:tc>
          <w:tcPr>
            <w:tcW w:w="568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568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Per Share</w:t>
            </w:r>
          </w:p>
        </w:tc>
        <w:tc>
          <w:tcPr>
            <w:tcW w:w="80" w:type="dxa"/>
            <w:vAlign w:val="bottom"/>
          </w:tcPr>
          <w:p>
            <w:pPr>
              <w:spacing w:after="0"/>
              <w:rPr>
                <w:sz w:val="19"/>
                <w:szCs w:val="19"/>
                <w:color w:val="auto"/>
              </w:rPr>
            </w:pP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2026</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495,124</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7.39</w:t>
            </w:r>
          </w:p>
        </w:tc>
        <w:tc>
          <w:tcPr>
            <w:tcW w:w="80" w:type="dxa"/>
            <w:vAlign w:val="bottom"/>
            <w:shd w:val="clear" w:color="auto" w:fill="CFF0FC"/>
          </w:tcPr>
          <w:p>
            <w:pPr>
              <w:spacing w:after="0"/>
              <w:rPr>
                <w:sz w:val="17"/>
                <w:szCs w:val="17"/>
                <w:color w:val="auto"/>
              </w:rPr>
            </w:pP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58,914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10.86</w:t>
            </w:r>
          </w:p>
        </w:tc>
        <w:tc>
          <w:tcPr>
            <w:tcW w:w="80" w:type="dxa"/>
            <w:vAlign w:val="bottom"/>
          </w:tcPr>
          <w:p>
            <w:pPr>
              <w:spacing w:after="0"/>
              <w:rPr>
                <w:sz w:val="17"/>
                <w:szCs w:val="17"/>
                <w:color w:val="auto"/>
              </w:rPr>
            </w:pP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(154,077)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6.84</w:t>
            </w:r>
          </w:p>
        </w:tc>
        <w:tc>
          <w:tcPr>
            <w:tcW w:w="80" w:type="dxa"/>
            <w:vAlign w:val="bottom"/>
            <w:shd w:val="clear" w:color="auto" w:fill="CFF0FC"/>
          </w:tcPr>
          <w:p>
            <w:pPr>
              <w:spacing w:after="0"/>
              <w:rPr>
                <w:sz w:val="17"/>
                <w:szCs w:val="17"/>
                <w:color w:val="auto"/>
              </w:rPr>
            </w:pP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September 30, 2026</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393,636</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For performance milestone PSUs, stock-based compensation expense is recorded based on the market price of the Company's common stock on the grant date and is recognized if and when the achievement of such performance milestones is determined to be probable by the Company. During the nine months ended September 30, 2026, a revenue performance milestone was considered probable, and the Company recognized stock-based compensation expense related to the probable vesting of PSUs. The fair value of the PSUs that vested during the nine months ended September 30, 2026 was approximately $1.1 million.</w:t>
      </w:r>
    </w:p>
    <w:p>
      <w:pPr>
        <w:spacing w:after="0" w:line="136"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As of September 30, 2026, the Company had approximately $1.9 million of unrecognized stock-based compensation expense related to PSUs, which is expected to be recognized over a weighted-average period of approximately 1.2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during the nine months ended September 30, 2026:</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rPr>
              <w:t>Date Fair</w:t>
            </w:r>
          </w:p>
        </w:tc>
      </w:tr>
      <w:tr>
        <w:trPr>
          <w:trHeight w:val="203"/>
        </w:trPr>
        <w:tc>
          <w:tcPr>
            <w:tcW w:w="56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5680" w:type="dxa"/>
            <w:vAlign w:val="bottom"/>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 Share</w:t>
            </w: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2026</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2,154,584</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6.73</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1,801,540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13.10</w:t>
            </w: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(999,924)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8.88</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(136,426)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10.65</w:t>
            </w:r>
          </w:p>
        </w:tc>
      </w:tr>
      <w:tr>
        <w:trPr>
          <w:trHeight w:val="21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September 30, 2026</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2,819,774</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9.85</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0"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As of September 30, 2026, the Company had $22.4 million of unrecognized stock-based compensation expense related to RSUs, which is expected to be recognized over a weighted-average period of 2.1 years. The total fair value of RSUs vested during the nine months ended September 30, 2026, was approximately $8.9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September 30, 2026, 1,713,613 shares of common stock remain available for issuance under the ESPP, which reflects the issuance of 358,085 shares sold to employees during the nine months ended September 30, 2026 as well as an annual increase of 714,190 shares authorized on January 1, 2026.</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7" w:right="399" w:bottom="1440" w:gutter="0" w:footer="0" w:header="0"/>
        </w:sectPr>
      </w:pPr>
    </w:p>
    <w:bookmarkStart w:id="19" w:name="page20"/>
    <w:bookmarkEnd w:id="19"/>
    <w:p>
      <w:pPr>
        <w:ind w:right="100" w:firstLine="509"/>
        <w:spacing w:after="0" w:line="247" w:lineRule="auto"/>
        <w:rPr>
          <w:sz w:val="20"/>
          <w:szCs w:val="20"/>
          <w:color w:val="auto"/>
        </w:rPr>
      </w:pPr>
      <w:r>
        <w:rPr>
          <w:rFonts w:ascii="Arial" w:cs="Arial" w:eastAsia="Arial" w:hAnsi="Arial"/>
          <w:sz w:val="18"/>
          <w:szCs w:val="18"/>
          <w:color w:val="auto"/>
        </w:rPr>
        <w:t>The ESPP is considered a compensatory plan, and for the three and nine months ended September 30, 2026, the Company recorded related stock-based compensation of $0.2 million and $0.7 million, respectively, compared to $0.1 million and $0.9 million, respectively, for the same periods in 2025. The weighted-average assumptions used to estimate the fair value of ESPP awards using the Black-Scholes option valuation model were as follows:</w:t>
      </w:r>
    </w:p>
    <w:p>
      <w:pPr>
        <w:spacing w:after="0" w:line="147"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Nine Months Ended</w:t>
      </w:r>
    </w:p>
    <w:p>
      <w:pPr>
        <w:spacing w:after="0" w:line="10"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September 30,</w:t>
      </w:r>
    </w:p>
    <w:tbl>
      <w:tblPr>
        <w:tblLayout w:type="fixed"/>
        <w:tblInd w:w="142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6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2025</w:t>
            </w:r>
          </w:p>
        </w:tc>
      </w:tr>
      <w:tr>
        <w:trPr>
          <w:trHeight w:val="196"/>
        </w:trPr>
        <w:tc>
          <w:tcPr>
            <w:tcW w:w="57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0.50</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r>
      <w:tr>
        <w:trPr>
          <w:trHeight w:val="203"/>
        </w:trPr>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62.14%</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112.83%</w:t>
            </w:r>
          </w:p>
        </w:tc>
      </w:tr>
      <w:tr>
        <w:trPr>
          <w:trHeight w:val="203"/>
        </w:trPr>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3.79%</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203"/>
        </w:trPr>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jc w:val="both"/>
        <w:ind w:right="80" w:firstLine="509"/>
        <w:spacing w:after="0" w:line="261" w:lineRule="auto"/>
        <w:rPr>
          <w:sz w:val="20"/>
          <w:szCs w:val="20"/>
          <w:color w:val="auto"/>
        </w:rPr>
      </w:pPr>
      <w:r>
        <w:rPr>
          <w:rFonts w:ascii="Arial" w:cs="Arial" w:eastAsia="Arial" w:hAnsi="Arial"/>
          <w:sz w:val="18"/>
          <w:szCs w:val="18"/>
          <w:color w:val="auto"/>
        </w:rPr>
        <w:t>The estimated weighted-average fair value of ESPP awards for the nine months ended September 30, 2026 and 2025, was $4.17 and $3.62, respectively. As of September 30, 2026, the total unrecognized compensation expense related to the ESPP was $0.4 million, which is expected to be recognized over a weighted-average period of approximately 0.3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8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During 2020, the Company established a 401(k) savings plan. The Company’s contributions to the plan are discretionary. During the three and nine months ended September 30, 2026, the Company incurred $1.2 million and $4.1 million, respectively, of expense related to estimated employer contribution liabilities, which was based on a 75% match of employees’ contributions during the periods, compared to $1.2 million and $4.3 million, respectively, for the same periods in 2025. During the nine months ended September 30, 2026 and 2025, the Board of Directors approved employer matching contributions settled by contributing 397,944 and 616,377 shares of the Company's common stock,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the Company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53"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A summary of the Company’s stock option activity and related information during the nine months ended September 30, 2026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rPr>
              <w:t>Aggregate</w:t>
            </w:r>
          </w:p>
        </w:tc>
      </w:tr>
      <w:tr>
        <w:trPr>
          <w:trHeight w:val="203"/>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80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86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03"/>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Exercise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840"/>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21"/>
        </w:trPr>
        <w:tc>
          <w:tcPr>
            <w:tcW w:w="5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Price</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Term</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rPr>
              <w:t>thousands)</w:t>
            </w: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January 1, 2026</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9,443,623</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8.32</w:t>
            </w:r>
          </w:p>
        </w:tc>
        <w:tc>
          <w:tcPr>
            <w:tcW w:w="14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6.45</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80,509</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granted</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357,282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15.43</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Options 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(1,894,801)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7.28</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cancelled</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(727,996)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11.92</w:t>
            </w: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September 30, 2026</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7,178,108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8.58</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7.49</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8,158</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780" w:type="dxa"/>
            <w:vAlign w:val="bottom"/>
          </w:tcPr>
          <w:p>
            <w:pPr>
              <w:spacing w:after="0" w:line="196" w:lineRule="exact"/>
              <w:rPr>
                <w:sz w:val="20"/>
                <w:szCs w:val="20"/>
                <w:color w:val="auto"/>
              </w:rPr>
            </w:pPr>
            <w:r>
              <w:rPr>
                <w:rFonts w:ascii="Arial" w:cs="Arial" w:eastAsia="Arial" w:hAnsi="Arial"/>
                <w:sz w:val="18"/>
                <w:szCs w:val="18"/>
                <w:color w:val="auto"/>
              </w:rPr>
              <w:t>Options exercisable as of September 30, 2026</w:t>
            </w:r>
          </w:p>
        </w:tc>
        <w:tc>
          <w:tcPr>
            <w:tcW w:w="12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3,840,956</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9.73</w:t>
            </w:r>
          </w:p>
        </w:tc>
        <w:tc>
          <w:tcPr>
            <w:tcW w:w="120" w:type="dxa"/>
            <w:vAlign w:val="bottom"/>
          </w:tcPr>
          <w:p>
            <w:pPr>
              <w:spacing w:after="0"/>
              <w:rPr>
                <w:sz w:val="17"/>
                <w:szCs w:val="17"/>
                <w:color w:val="auto"/>
              </w:rPr>
            </w:pP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6.64</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2,951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 and expected to vest as of September 30, 2026</w:t>
            </w:r>
          </w:p>
        </w:tc>
        <w:tc>
          <w:tcPr>
            <w:tcW w:w="1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7,178,108</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8.58</w:t>
            </w:r>
          </w:p>
        </w:tc>
        <w:tc>
          <w:tcPr>
            <w:tcW w:w="1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7.49</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8,158</w:t>
            </w:r>
          </w:p>
        </w:tc>
        <w:tc>
          <w:tcPr>
            <w:tcW w:w="560" w:type="dxa"/>
            <w:vAlign w:val="bottom"/>
          </w:tcPr>
          <w:p>
            <w:pPr>
              <w:spacing w:after="0"/>
              <w:rPr>
                <w:sz w:val="17"/>
                <w:szCs w:val="17"/>
                <w:color w:val="auto"/>
              </w:rPr>
            </w:pPr>
          </w:p>
        </w:tc>
      </w:tr>
      <w:tr>
        <w:trPr>
          <w:trHeight w:val="648"/>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F-18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-1173480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-1173480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-1173480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0" w:name="page21"/>
    <w:bookmarkEnd w:id="20"/>
    <w:p>
      <w:pPr>
        <w:ind w:right="200" w:firstLine="509"/>
        <w:spacing w:after="0" w:line="247"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for the nine months ended September 30, 2026 and 2025 was $11.88 and $3.80, respectively. As of September 30, 2026, the Company had $16.1 million of unrecognized stock-based compensation expense related to stock options, which is expected to be recognized over a weighted-average period of 2.5 years.</w:t>
      </w:r>
    </w:p>
    <w:p>
      <w:pPr>
        <w:spacing w:after="0" w:line="14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at September 30, 2026. The total intrinsic value of stock options exercised during the nine months ended September 30, 2026 was approximately $7.8 million.</w:t>
      </w:r>
    </w:p>
    <w:p>
      <w:pPr>
        <w:spacing w:after="0" w:line="133"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were as follows:</w:t>
      </w:r>
    </w:p>
    <w:p>
      <w:pPr>
        <w:spacing w:after="0" w:line="113"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Nine Months Ended</w:t>
      </w:r>
    </w:p>
    <w:p>
      <w:pPr>
        <w:spacing w:after="0" w:line="10"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September 30,</w:t>
      </w:r>
    </w:p>
    <w:tbl>
      <w:tblPr>
        <w:tblLayout w:type="fixed"/>
        <w:tblInd w:w="142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7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2025</w:t>
            </w:r>
          </w:p>
        </w:tc>
      </w:tr>
      <w:tr>
        <w:trPr>
          <w:trHeight w:val="196"/>
        </w:trPr>
        <w:tc>
          <w:tcPr>
            <w:tcW w:w="56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6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6.06</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6.07</w:t>
            </w:r>
          </w:p>
        </w:tc>
      </w:tr>
      <w:tr>
        <w:trPr>
          <w:trHeight w:val="203"/>
        </w:trPr>
        <w:tc>
          <w:tcPr>
            <w:tcW w:w="56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91.71%</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84.59%</w:t>
            </w:r>
          </w:p>
        </w:tc>
      </w:tr>
      <w:tr>
        <w:trPr>
          <w:trHeight w:val="203"/>
        </w:trPr>
        <w:tc>
          <w:tcPr>
            <w:tcW w:w="56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4.07%</w:t>
            </w:r>
          </w:p>
        </w:tc>
      </w:tr>
      <w:tr>
        <w:trPr>
          <w:trHeight w:val="203"/>
        </w:trPr>
        <w:tc>
          <w:tcPr>
            <w:tcW w:w="56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9"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Stock-based compensation expense recognized for all equity awards has been reported in the condensed statements of operations and comprehensive loss as follows (in thousands):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3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r>
      <w:tr>
        <w:trPr>
          <w:trHeight w:val="196"/>
        </w:trPr>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74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828</w:t>
            </w:r>
          </w:p>
        </w:tc>
        <w:tc>
          <w:tcPr>
            <w:tcW w:w="42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2,063</w:t>
            </w:r>
          </w:p>
        </w:tc>
        <w:tc>
          <w:tcPr>
            <w:tcW w:w="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2,753</w:t>
            </w:r>
          </w:p>
        </w:tc>
        <w:tc>
          <w:tcPr>
            <w:tcW w:w="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5,043</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5,093</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7,234</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15,414</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18,066</w:t>
            </w:r>
          </w:p>
        </w:tc>
      </w:tr>
      <w:tr>
        <w:trPr>
          <w:trHeight w:val="216"/>
        </w:trPr>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5,921</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9,297</w:t>
            </w:r>
          </w:p>
        </w:tc>
        <w:tc>
          <w:tcPr>
            <w:tcW w:w="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18,167</w:t>
            </w:r>
          </w:p>
        </w:tc>
        <w:tc>
          <w:tcPr>
            <w:tcW w:w="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23,109</w:t>
            </w: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102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102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102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102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Recognition</w:t>
      </w:r>
    </w:p>
    <w:p>
      <w:pPr>
        <w:spacing w:after="0" w:line="171"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To date, the Company's only source of revenue has been from the U.S. sales of VOQUEZNA products, which the Company began selling during the fourth quarter of 2023. The Company records its best estimate of chargebacks, sales returns, sales discounts and other reserves to which customers are likely expected to be entitled to as contra accounts receivable charges, and within accrued expenses if payable to a third-party or related to product returns on the condensed balance sheets. During the nine months ended September 30, 2026 and 2025, the Company recognized $217.3 million and $117.5 million, respectively, of net product revenues related to sales of VOQUEZNA, VOQUEZNA DUAL PAK and VOQUEZNA TRIPLE PAK.</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the Company's revenue allowances and related accruals for the nine months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which have been deducted in arriving at product revenues, net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Customer Credits,</w:t>
            </w:r>
          </w:p>
        </w:tc>
        <w:tc>
          <w:tcPr>
            <w:tcW w:w="17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Rebates, Returns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Discounts and</w:t>
            </w:r>
          </w:p>
        </w:tc>
        <w:tc>
          <w:tcPr>
            <w:tcW w:w="200" w:type="dxa"/>
            <w:vAlign w:val="bottom"/>
          </w:tcPr>
          <w:p>
            <w:pPr>
              <w:spacing w:after="0"/>
              <w:rPr>
                <w:sz w:val="17"/>
                <w:szCs w:val="17"/>
                <w:color w:val="auto"/>
              </w:rPr>
            </w:pPr>
          </w:p>
        </w:tc>
        <w:tc>
          <w:tcPr>
            <w:tcW w:w="15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and Co-Pay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Allowances</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Assistance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(contra accounts</w:t>
            </w:r>
          </w:p>
        </w:tc>
        <w:tc>
          <w:tcPr>
            <w:tcW w:w="2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(accrued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receivable)</w:t>
            </w:r>
          </w:p>
        </w:tc>
        <w:tc>
          <w:tcPr>
            <w:tcW w:w="220" w:type="dxa"/>
            <w:vAlign w:val="bottom"/>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1, 2026</w:t>
            </w:r>
          </w:p>
        </w:tc>
        <w:tc>
          <w:tcPr>
            <w:tcW w:w="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10,646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65,462</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76,108</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08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58,408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208,684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267,092</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Utilizations</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(60,493)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(175,995)</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(236,488)</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0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September 30, 2026</w:t>
            </w:r>
          </w:p>
        </w:tc>
        <w:tc>
          <w:tcPr>
            <w:tcW w:w="3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8,561</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98,151</w:t>
            </w: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106,712</w:t>
            </w:r>
          </w:p>
        </w:tc>
        <w:tc>
          <w:tcPr>
            <w:tcW w:w="80" w:type="dxa"/>
            <w:vAlign w:val="bottom"/>
            <w:tcBorders>
              <w:top w:val="single" w:sz="8" w:color="CFF0FC"/>
            </w:tcBorders>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F-19</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-1070610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-1070610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-1070610</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Segment Information</w:t>
      </w:r>
    </w:p>
    <w:p>
      <w:pPr>
        <w:spacing w:after="0" w:line="18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chief operating decision maker, or CODM, the Chief Executive Officer, manages the Company’s business activities as a single reportable segment. The segment derives its current revenues from the sale of VOQUEZNA products. Accordingly, the CODM uses net income (loss) to measure segment profit or loss, allocate resources and assess performance. Further, the CODM reviews and utilizes functional expenses (research and development, general and administrative, sales and marketing and stock-based compensation) to manage the Company’s operations. Other segment items included in net loss are interest income, interest expense and other expense, which are reflected in the condensed statements of operations and comprehensive loss. The measure of segment assets is reported on the condensed balance sheets as total assets.</w:t>
      </w:r>
    </w:p>
    <w:p>
      <w:pPr>
        <w:spacing w:after="0" w:line="14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following table presents selected financial information with respect to the Company’s single operating segment for the nine months ended September 30, 2026 and 2025 (in thousands):</w:t>
      </w:r>
    </w:p>
    <w:p>
      <w:pPr>
        <w:spacing w:after="0" w:line="109"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Nine Months Ended</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3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7"/>
                <w:szCs w:val="17"/>
                <w:color w:val="auto"/>
              </w:rPr>
            </w:pPr>
          </w:p>
        </w:tc>
      </w:tr>
      <w:tr>
        <w:trPr>
          <w:trHeight w:val="196"/>
        </w:trPr>
        <w:tc>
          <w:tcPr>
            <w:tcW w:w="3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180" w:type="dxa"/>
            <w:vAlign w:val="bottom"/>
            <w:gridSpan w:val="2"/>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217,297</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117,526</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45,458</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14,951</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21,577</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20,244</w:t>
            </w:r>
          </w:p>
        </w:tc>
        <w:tc>
          <w:tcPr>
            <w:tcW w:w="8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22,818</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26,856</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128,805</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186,424</w:t>
            </w:r>
          </w:p>
        </w:tc>
        <w:tc>
          <w:tcPr>
            <w:tcW w:w="8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18,167</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23,109</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(4,846)</w:t>
            </w:r>
          </w:p>
        </w:tc>
        <w:tc>
          <w:tcPr>
            <w:tcW w:w="72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(5,840)</w:t>
            </w: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46,287</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51,696</w:t>
            </w:r>
          </w:p>
        </w:tc>
        <w:tc>
          <w:tcPr>
            <w:tcW w:w="80" w:type="dxa"/>
            <w:vAlign w:val="bottom"/>
            <w:shd w:val="clear" w:color="auto" w:fill="CFF0FC"/>
          </w:tcPr>
          <w:p>
            <w:pPr>
              <w:spacing w:after="0"/>
              <w:rPr>
                <w:sz w:val="17"/>
                <w:szCs w:val="17"/>
                <w:color w:val="auto"/>
              </w:rPr>
            </w:pPr>
          </w:p>
        </w:tc>
      </w:tr>
      <w:tr>
        <w:trPr>
          <w:trHeight w:val="202"/>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10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879</w:t>
            </w: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w:t>
            </w:r>
          </w:p>
        </w:tc>
        <w:tc>
          <w:tcPr>
            <w:tcW w:w="80" w:type="dxa"/>
            <w:vAlign w:val="bottom"/>
          </w:tcPr>
          <w:p>
            <w:pPr>
              <w:spacing w:after="0"/>
              <w:rPr>
                <w:sz w:val="17"/>
                <w:szCs w:val="17"/>
                <w:color w:val="auto"/>
              </w:rPr>
            </w:pPr>
          </w:p>
        </w:tc>
      </w:tr>
      <w:tr>
        <w:trPr>
          <w:trHeight w:val="216"/>
        </w:trPr>
        <w:tc>
          <w:tcPr>
            <w:tcW w:w="3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net loss</w:t>
            </w:r>
          </w:p>
        </w:tc>
        <w:tc>
          <w:tcPr>
            <w:tcW w:w="2180" w:type="dxa"/>
            <w:vAlign w:val="bottom"/>
            <w:gridSpan w:val="2"/>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(61,848)</w:t>
            </w:r>
          </w:p>
        </w:tc>
        <w:tc>
          <w:tcPr>
            <w:tcW w:w="720" w:type="dxa"/>
            <w:vAlign w:val="bottom"/>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(200,099)</w:t>
            </w: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-25400</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17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May 2025, the Company implemented a cost reduction and organizational restructuring plan to reduce cash burn and focus resources on commercial execution. In connection with the restructuring, the Company's workforce was reduced by 26 employees, or approximately 6%, including certain leadership changes all designed to right-size the organization. In 2025, the Company incurred restructuring charges of $9.2 million consisting of one-time termination benefits to affected employees for severance, non-cash stock-based compensation costs, healthcare benefits and outplacement assistance. The costs were included in research and development and selling, general, and administrative expenses on the Company’s condensed consolidated statement of operations and comprehensive loss. As of September 30, 2026, the Company had paid substantially all of the accrued restructuring charges.</w:t>
      </w:r>
    </w:p>
    <w:p>
      <w:pPr>
        <w:spacing w:after="0" w:line="14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following table summarizes activity related to the restructuring accrual during the nine months ended September 30, 2026 and 2025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4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96"/>
        </w:trPr>
        <w:tc>
          <w:tcPr>
            <w:tcW w:w="1420" w:type="dxa"/>
            <w:vAlign w:val="bottom"/>
          </w:tcPr>
          <w:p>
            <w:pPr>
              <w:spacing w:after="0"/>
              <w:rPr>
                <w:sz w:val="17"/>
                <w:szCs w:val="17"/>
                <w:color w:val="auto"/>
              </w:rPr>
            </w:pPr>
          </w:p>
        </w:tc>
        <w:tc>
          <w:tcPr>
            <w:tcW w:w="3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Restructuring accrual as of January 1</w:t>
            </w:r>
          </w:p>
        </w:tc>
        <w:tc>
          <w:tcPr>
            <w:tcW w:w="2040" w:type="dxa"/>
            <w:vAlign w:val="bottom"/>
            <w:gridSpan w:val="2"/>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w:t>
            </w:r>
          </w:p>
        </w:tc>
        <w:tc>
          <w:tcPr>
            <w:tcW w:w="2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Restructuring expenses incurred</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9,214</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paid</w:t>
            </w:r>
          </w:p>
        </w:tc>
        <w:tc>
          <w:tcPr>
            <w:tcW w:w="8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(3,242)</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Non-cash expenses</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(4,597)</w:t>
            </w:r>
          </w:p>
        </w:tc>
        <w:tc>
          <w:tcPr>
            <w:tcW w:w="1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6"/>
        </w:trPr>
        <w:tc>
          <w:tcPr>
            <w:tcW w:w="1420" w:type="dxa"/>
            <w:vAlign w:val="bottom"/>
          </w:tcPr>
          <w:p>
            <w:pPr>
              <w:spacing w:after="0"/>
              <w:rPr>
                <w:sz w:val="20"/>
                <w:szCs w:val="20"/>
                <w:color w:val="auto"/>
              </w:rPr>
            </w:pPr>
          </w:p>
        </w:tc>
        <w:tc>
          <w:tcPr>
            <w:tcW w:w="3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Restructuring accrual as of September 30</w:t>
            </w:r>
          </w:p>
        </w:tc>
        <w:tc>
          <w:tcPr>
            <w:tcW w:w="2040" w:type="dxa"/>
            <w:vAlign w:val="bottom"/>
            <w:gridSpan w:val="2"/>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1,375</w:t>
            </w:r>
          </w:p>
        </w:tc>
        <w:tc>
          <w:tcPr>
            <w:tcW w:w="80" w:type="dxa"/>
            <w:vAlign w:val="bottom"/>
            <w:shd w:val="clear" w:color="auto" w:fill="CFF0FC"/>
          </w:tcPr>
          <w:p>
            <w:pPr>
              <w:spacing w:after="0"/>
              <w:rPr>
                <w:sz w:val="20"/>
                <w:szCs w:val="20"/>
                <w:color w:val="auto"/>
              </w:rPr>
            </w:pPr>
          </w:p>
        </w:tc>
        <w:tc>
          <w:tcPr>
            <w:tcW w:w="1400" w:type="dxa"/>
            <w:vAlign w:val="bottom"/>
          </w:tcPr>
          <w:p>
            <w:pPr>
              <w:spacing w:after="0"/>
              <w:rPr>
                <w:sz w:val="20"/>
                <w:szCs w:val="20"/>
                <w:color w:val="auto"/>
              </w:rPr>
            </w:pPr>
          </w:p>
        </w:tc>
      </w:tr>
      <w:tr>
        <w:trPr>
          <w:trHeight w:val="628"/>
        </w:trPr>
        <w:tc>
          <w:tcPr>
            <w:tcW w:w="1420" w:type="dxa"/>
            <w:vAlign w:val="bottom"/>
          </w:tcPr>
          <w:p>
            <w:pPr>
              <w:spacing w:after="0"/>
              <w:rPr>
                <w:sz w:val="24"/>
                <w:szCs w:val="24"/>
                <w:color w:val="auto"/>
              </w:rPr>
            </w:pPr>
          </w:p>
        </w:tc>
        <w:tc>
          <w:tcPr>
            <w:tcW w:w="368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F-20</w:t>
            </w:r>
          </w:p>
        </w:tc>
        <w:tc>
          <w:tcPr>
            <w:tcW w:w="1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-933450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-916940</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-916940</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unaudited interim condensed financial statements and notes thereto included in this Quarterly Report on Form 10-Q and with our audited financial statements and notes thereto for the year ended December 31, 2025 and the related Management’s Discussion and Analysis of Financial Condition and Results of Operations, both of which are contained in our Annual Report on Form 10-K for the year ended December 31, 2025, or the 2025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commercialization plans and costs, research and development plans and costs, pricing and reimbursement, the potential to develop future product candidates, the timing and likelihood of success of the plans and objectives of management for current and future operations, and future results of planned commercialization activities, product development and other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 Item 1A under the heading “Risk Factors” of our Annual Report on Form 10-K and our Quarterly Reports on Form 10-Q.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are a commercial-stage biopharmaceutical company focused on commercializing and developing novel treatments for gastrointestinal, or GI, diseases. Our approved products, VOQUEZNA®, VOQUEZNA DUAL PAK® and VOQUEZNA TRIPLE PAK®, contain vonoprazan, an oral small molecule potassium-competitive acid blocker, or PCAB. PCABs are a novel class of molecules that block acid secretion in the stomach. VOQUEZNA is the only PCAB currently approved for marketing and sale in the United States.</w:t>
      </w:r>
    </w:p>
    <w:p>
      <w:pPr>
        <w:spacing w:after="0" w:line="13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 xml:space="preserve">We began U.S. commercialization of VOQUEZNA for the treatment of erosive gastroesophageal reflux disease, or Erosive GERD, and Helicobacter pylori, 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VOQUEZNA DUAL PAK and VOQUEZNA TRIPLE PAK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November 2023. The U.S. Food and Drug Administration, or FDA, approved VOQUEZNA for the relief of heartburn associated with Non-Erosive GERD, the largest category of GERD, in July 2024.</w:t>
      </w:r>
    </w:p>
    <w:p>
      <w:pPr>
        <w:spacing w:after="0" w:line="14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Vonoprazan was originally developed by Takeda Pharmaceutical Company Limited, or Takeda, and is marketed in multiple countries outside the United States. We licensed U.S., European and Canadian rights to vonoprazan from Takeda in 2019. We are independently commercializing VOQUEZNA, VOQUEZNA DUAL PAK and VOQUEZNA TRIPLE PAK in the United States.</w:t>
      </w:r>
    </w:p>
    <w:p>
      <w:pPr>
        <w:spacing w:after="0" w:line="12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During the nine months ended September 30, 2026, we generated increased revenues from sales of our VOQUEZNA products compared to the same period in the prior year, reflecting continued execution of our U.S. commercial strategy. The majority of our revenue was derived from sales of VOQUEZNA. During this period, we also experienced growth in prescription volume and prescriber adoption, with most prescriptions written for GERD indications. As of October 16, 2026, over 2 million prescriptions for VOQUEZNA, VOQUEZNA DUAL PAK and VOQUEZNA TRIPLE PAK have been filled since launch. We continue to have broad commercial coverage for VOQUEZNA, with access for over 120 million, or over 80%, of U.S. commercial lives. Our commercial efforts are supported by a targeted sales force and continued focus on prescriber engagement and payer access.</w:t>
      </w:r>
    </w:p>
    <w:p>
      <w:pPr>
        <w:spacing w:after="0" w:line="140"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In May 2021, the FDA granted qualified infectious disease product, or QIDP, designation to VOQUEZNA DUAL PAK and VOQUEZNA TRIPLE PAK, resulting in an extension of the five-year new chemical entity, or NCE, exclusivity by an additional five years. In December 2024, we submitted a citizen petition requesting that the FDA update the Orange Book listing for VOQUEZNA to reflect the same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3" w:name="page24"/>
    <w:bookmarkEnd w:id="23"/>
    <w:p>
      <w:pPr>
        <w:jc w:val="both"/>
        <w:ind w:right="80"/>
        <w:spacing w:after="0" w:line="253" w:lineRule="auto"/>
        <w:rPr>
          <w:sz w:val="20"/>
          <w:szCs w:val="20"/>
          <w:color w:val="auto"/>
        </w:rPr>
      </w:pPr>
      <w:r>
        <w:rPr>
          <w:rFonts w:ascii="Arial" w:cs="Arial" w:eastAsia="Arial" w:hAnsi="Arial"/>
          <w:sz w:val="18"/>
          <w:szCs w:val="18"/>
          <w:color w:val="auto"/>
        </w:rPr>
        <w:t>ten-year period of NCE exclusivity applicable to VOQUEZNA DUAL PAK and VOQUEZNA TRIPLE PAK. In June 2025, the FDA granted the petition and updated the Orange Book listing for VOQUEZNA to reflect the ten-year period of NCE exclusivity for vonoprazan. As a result, all three VOQUEZNA products now have NCE exclusivity extending through May 3, 2032.</w:t>
      </w:r>
    </w:p>
    <w:p>
      <w:pPr>
        <w:spacing w:after="0" w:line="142"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In the fourth quarter of 2025, we initiated a Phase 2 clinical trial evaluating vonoprazan in the treatment of adults with eosinophilic esophagitis, or EoE. In June 2026, we announced that we completed enrollment ahead of schedule in the Phase 2 EoE clinical trial study. The study has enrolled 95 patients at 41 U.S. sites. Topline results from the 12-week blinded treatment portion of the trial are expected to be reported during the fourth quarter of 2026.</w:t>
      </w:r>
    </w:p>
    <w:p>
      <w:pPr>
        <w:spacing w:after="0" w:line="133"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In September 2026, we announced the initiation of pHalcon-NERD-302, a registrational Phase 3 study evaluating an as-needed (PRN or on-demand) investigational dosing regimen of VOQUEZNA tablets in adults with Non-Erosive Gastroesophageal Reflux Disease, or Non-Erosive GERD (NERD). Topline results are expected during the first quarter of 2028. If successful, the study is intended to support a potential regulatory submission seeking a label expansion for VOQUEZNA tablets for this treatment regimen.</w:t>
      </w:r>
    </w:p>
    <w:p>
      <w:pPr>
        <w:spacing w:after="0" w:line="133"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While our current focus is on continued U.S. commercialization of VOQUEZNA products for GERD and H. pylori, we are also selectively evaluating other life-cycle management opportunities for vonoprazan. We may also explore the potential for vonoprazan in Europe and Canada, as well as opportunities to in-license or acquire additional clinical or commercial-stage product candidates for GI diseases.</w:t>
      </w:r>
    </w:p>
    <w:p>
      <w:pPr>
        <w:spacing w:after="0" w:line="125"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We commenced our operations in 2018 and have devoted substantially all of our resources to date to organizing and staffing our company, business planning, raising capital, in-licensing vonoprazan, meeting with regulatory authorities, managing our clinical trials of vonoprazan, preparing for commercialization of our products containing vonoprazan, commercially launching our approved products in the U.S., and providing other selling, general and administrative support for our operations. Our operations to date have been funded primarily through commercial bank debt, our revenue interest financing debt and various equity offerings, including our at-the-market offerings. From inception through September 30, 2026, we sold 41,612,032 shares of common stock and 3,859,000 pre-funded warrants, generating net proceeds of approximately $665.3 million, after deducting underwriting discounts, commissions and offering costs.</w:t>
      </w:r>
    </w:p>
    <w:p>
      <w:pPr>
        <w:spacing w:after="0" w:line="14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of September 30, 2026, we had cash and cash equivalents of $184.6 million. Based on our current operating plan, we believe that our existing cash and cash equivalents together with our anticipated product revenues, are sufficient to fund operations for at least the next twelve months. We have based these estimates on assumptions that may prove to be incorrect, and, if operating results, commercial performance or expenses differ materially from those contemplated by our current operating plan, our capital resources, together with anticipated product revenues, may not be sufficient to fund operations and our cash needs for as long as we currently expect. In such event,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Additional financing or other capital may not be available on favorable terms, or at all, and our failure to obtain additional capital, if and when needed, could adversely affect our financial condition and require us to delay, limit, reduce or terminate development or commercialization activities or grant rights to products or product candidates that we would otherwise prefer to retain.</w:t>
      </w:r>
    </w:p>
    <w:p>
      <w:pPr>
        <w:spacing w:after="0" w:line="14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Since inception, we have incurred significant operating losses. Our net losses were $61.8 million and $200.1 million for the nine months ended September 30, 2026 and 2025, respectively. As of September 30, 2026, we had an accumulated deficit of $1.5 billion. If we do not achieve our operating plan or, if our revenues or expenses differ materially from our current expectations, we may continue to incur operating losses longer than we currently anticipate.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69"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In May 2025, we implemented a cost reduction and organizational restructuring plan to reduce cash burn and focus resources on commercial execution. In connection with the restructuring, our workforce was reduced by 26 employees, or approximately 6%, including certain leadership changes all designed to right-size the organization. In 2025, total restructuring charges incurred were $9.2 million consisting of one-time termination benefits to affected employees for severance, non-cash stock-based compensation costs, healthcare benefits and outplacement assistance. As of September 30, 2026, we have paid substantially all of the accrued restructuring charges.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3"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are responsible at our cost for our development, manufacture and commercialization of vonoprazan products. We are required to use commercially reasonable efforts to develop and commercialize the vonoprazan products in our licensed territory.</w:t>
      </w:r>
    </w:p>
    <w:p>
      <w:pPr>
        <w:spacing w:after="0" w:line="138"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2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$ 250 million. We also agreed to make tiered royalty payments at percentages averaging in the low double digits on net sales of licensed products, subject to specified offsets and reductions. Royalties are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 We currently pay royalties to Takeda on sales of VOQUEZNA tablets, VOQUEZNA DUAL PAK and VOQUEZNA TRIPLE PAK in the U.S. During the three months ended September 30, 2026 and 2025, we recorded $8.5 million and $5.0 million, respectively, of royalty expense under the Takeda License, of which $8.5 million is included within accrued expenses as of September 30, 2026. During the nine months ended September 30, 2026 and 2025, we recorded $21.7 million and $11.8 million, respectively, of royalty expense under the Takeda License.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We began to recognize revenue from product sales, net of rebates, chargebacks, sales returns, discounts, and other adjustments, in November 2023 in conjunction with the commercial launch of VOQUEZNA, VOQUEZNA TRIPLE PAK, and VOQUEZNA DUAL PAK in the United States.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Cost of revenue includes the cost of producing and distributing inventories that are related to product sales. This also includes royalties payable to Takeda, pursuant to the Takeda License (Refer to Note 3 for further details). In addition, shipping and handling costs for product sales along with fulfillment costs are recorded as incurred. Cost of revenue also includes costs related to excess or obsolete inventory adjustment charges.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9"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 We do not track total research and development expenses by indication.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900" w:right="200" w:hanging="383"/>
        <w:spacing w:after="0" w:line="300" w:lineRule="auto"/>
        <w:tabs>
          <w:tab w:leader="none" w:pos="9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Clinical development expenses: </w:t>
      </w:r>
      <w:r>
        <w:rPr>
          <w:rFonts w:ascii="Arial" w:cs="Arial" w:eastAsia="Arial" w:hAnsi="Arial"/>
          <w:sz w:val="17"/>
          <w:szCs w:val="17"/>
          <w:color w:val="auto"/>
        </w:rPr>
        <w:t>external research and development expenses incurred under agreements with clinical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regulatory costs, and amounts paid to consultants to conduct and support our clinical trials of vonoprazan;</w:t>
      </w:r>
    </w:p>
    <w:p>
      <w:pPr>
        <w:spacing w:after="0" w:line="90"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Personnel related expenses</w:t>
      </w:r>
      <w:r>
        <w:rPr>
          <w:rFonts w:ascii="Arial" w:cs="Arial" w:eastAsia="Arial" w:hAnsi="Arial"/>
          <w:sz w:val="18"/>
          <w:szCs w:val="18"/>
          <w:color w:val="auto"/>
        </w:rPr>
        <w:t>: salaries, payroll taxes, and employee benefits, and restructuring expenses in 2025;</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Chemistry manufacturing and controls, or CMC, expenses: </w:t>
      </w:r>
      <w:r>
        <w:rPr>
          <w:rFonts w:ascii="Arial" w:cs="Arial" w:eastAsia="Arial" w:hAnsi="Arial"/>
          <w:sz w:val="18"/>
          <w:szCs w:val="18"/>
          <w:color w:val="auto"/>
        </w:rPr>
        <w:t>costs related to the manufacturing of vonoprazan for our clinical trials;</w:t>
      </w:r>
    </w:p>
    <w:p>
      <w:pPr>
        <w:spacing w:after="0" w:line="197"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Consulting, professional and other costs: </w:t>
      </w:r>
      <w:r>
        <w:rPr>
          <w:rFonts w:ascii="Arial" w:cs="Arial" w:eastAsia="Arial" w:hAnsi="Arial"/>
          <w:sz w:val="18"/>
          <w:szCs w:val="18"/>
          <w:color w:val="auto"/>
        </w:rPr>
        <w:t>external costs related to consulting and professional services and other research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w:t>
      </w:r>
    </w:p>
    <w:p>
      <w:pPr>
        <w:spacing w:after="0" w:line="11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stock-based compensation expense recognized for those individuals involved in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efforts including for any restructuring expenses in 2025.</w:t>
      </w:r>
    </w:p>
    <w:p>
      <w:pPr>
        <w:spacing w:after="0" w:line="11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following table summarizes our research and development expenses for the three and nine months ended September 30, 2026 and 2025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r>
      <w:tr>
        <w:trPr>
          <w:trHeight w:val="196"/>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4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2026</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 and regulatory</w:t>
            </w:r>
          </w:p>
        </w:tc>
        <w:tc>
          <w:tcPr>
            <w:tcW w:w="880" w:type="dxa"/>
            <w:vAlign w:val="bottom"/>
            <w:gridSpan w:val="2"/>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5,263</w:t>
            </w:r>
          </w:p>
        </w:tc>
        <w:tc>
          <w:tcPr>
            <w:tcW w:w="1140" w:type="dxa"/>
            <w:vAlign w:val="bottom"/>
            <w:gridSpan w:val="2"/>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1,410</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13,687</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7,405</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Personnel related</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2,058</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2,127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6,531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8,974</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Chemistry manufacturing and controls</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1,397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2,903</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Consulting, professional and other costs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655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962</w:t>
            </w:r>
          </w:p>
        </w:tc>
        <w:tc>
          <w:tcPr>
            <w:tcW w:w="100" w:type="dxa"/>
            <w:vAlign w:val="bottom"/>
          </w:tcPr>
          <w:p>
            <w:pPr>
              <w:spacing w:after="0"/>
              <w:rPr>
                <w:sz w:val="17"/>
                <w:szCs w:val="17"/>
                <w:color w:val="auto"/>
              </w:rPr>
            </w:pPr>
          </w:p>
        </w:tc>
      </w:tr>
      <w:tr>
        <w:trPr>
          <w:trHeight w:val="203"/>
        </w:trPr>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828</w:t>
            </w: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2,063</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2,753</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ind w:left="100"/>
              <w:spacing w:after="0" w:line="196" w:lineRule="exact"/>
              <w:rPr>
                <w:sz w:val="20"/>
                <w:szCs w:val="20"/>
                <w:color w:val="auto"/>
              </w:rPr>
            </w:pPr>
            <w:r>
              <w:rPr>
                <w:rFonts w:ascii="Arial" w:cs="Arial" w:eastAsia="Arial" w:hAnsi="Arial"/>
                <w:sz w:val="18"/>
                <w:szCs w:val="18"/>
                <w:color w:val="auto"/>
              </w:rPr>
              <w:t>Total research and development expenses</w:t>
            </w:r>
          </w:p>
        </w:tc>
        <w:tc>
          <w:tcPr>
            <w:tcW w:w="880" w:type="dxa"/>
            <w:vAlign w:val="bottom"/>
            <w:gridSpan w:val="2"/>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8,745</w:t>
            </w:r>
          </w:p>
        </w:tc>
        <w:tc>
          <w:tcPr>
            <w:tcW w:w="1140" w:type="dxa"/>
            <w:vAlign w:val="bottom"/>
            <w:gridSpan w:val="2"/>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w w:val="97"/>
              </w:rPr>
              <w:t>7,027</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24,330</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25,287</w:t>
            </w:r>
          </w:p>
        </w:tc>
        <w:tc>
          <w:tcPr>
            <w:tcW w:w="10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-161925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-161925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We plan to invest in research and development for the foreseeable future as we continue the development of vonoprazan and potentially in the future also develop additional product candidates. We cannot determine with certainty the timing, duration or costs of ongoing or future clinical trials and nonclinical studies of vonoprazan or any future product candidates due to the inherently unpredictable nature of clinical and preclinical development. Clinical and preclinical development timelines, the probability of success, actual results and development costs can differ materially from expectations. In addition, we cannot forecast which product candidates, if any, may be subject to future collaborations, when such arrangements will be secured, if at all, and to what degree such arrangements would affect our development plans, expenses and capital requirements.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3"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Selling, general and administrative expenses consist of salaries and employee-related costs, including stock-based compensation, for personnel in commercial, executive, finance, accounting, legal, human resources and other administrative functions, restructuring expenses in 2025, legal fees relating to intellectual property and corporate matters, and professional fees for accounting and consulting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Interest Financing Agreement</w:t>
      </w:r>
    </w:p>
    <w:p>
      <w:pPr>
        <w:spacing w:after="0" w:line="102"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Interest expense under the Revenue Interest Financing Agreement (as further described below under Liquidity and Capital Resources) is based on the imputed effective interest rate derived from expected future payments and the carrying value of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6" w:name="page27"/>
    <w:bookmarkEnd w:id="26"/>
    <w:p>
      <w:pPr>
        <w:ind w:right="660"/>
        <w:spacing w:after="0" w:line="271" w:lineRule="auto"/>
        <w:rPr>
          <w:sz w:val="20"/>
          <w:szCs w:val="20"/>
          <w:color w:val="auto"/>
        </w:rPr>
      </w:pPr>
      <w:r>
        <w:rPr>
          <w:rFonts w:ascii="Arial" w:cs="Arial" w:eastAsia="Arial" w:hAnsi="Arial"/>
          <w:sz w:val="18"/>
          <w:szCs w:val="18"/>
          <w:color w:val="auto"/>
        </w:rPr>
        <w:t>obligation. We recalculate the effective interest rate each period based on the current carrying value and the revised estimated future payments. Changes in future payments from previous estimates are included in current and future 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with Hercules</w:t>
      </w:r>
    </w:p>
    <w:p>
      <w:pPr>
        <w:spacing w:after="0" w:line="10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Beginning on February 25, 2026, interest expense under our Loan and Security Agreement, or the Loan Agreement, with Hercules Capital, Inc., or Hercules, in its capacity as administrative agent and collateral agent and as a lender, consists of (i) cash interest at a variable annual rate equal to the greater of (a) 9.85% and (b) the Prime Rate (as reported in the Wall Street Journal) plus 3.10%, and (ii) amortization of the Loan Agreement debt discount recorded in connection with the fair value of warrants issued to the lenders, the debt issuance costs incurred, and the obligation to make a final payment.</w:t>
      </w:r>
    </w:p>
    <w:p>
      <w:pPr>
        <w:spacing w:after="0" w:line="68"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From December 14, 2023 through February 25, 2026, interest expense under the Loan Agreement consisted of (i) cash interest at a variable annual rate equal to the greater of (a) 9.85% and (b) the Prime Rate (as reported in the Wall Street Journal) plus 1.35% and provided that the cash interest rate was to be capped at 10.35% and upon achieving certain milestones, the cash interest was to decrease by 0.35%, (ii) payment-in-kind interest was at a per annum rate of interest equal to 2.15%, and (iii) amortization of the Loan Agreement debt discount recorded in connection with the fair value of warrants issued to the lenders, the debt issuance costs incurred, and the obligation to make a final payment.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2026 and 2025</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2026 and 2025 (in thousands):</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2026</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84,722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49,504</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35,218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18,367</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66,355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43,314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23,041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8,745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7,027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57,695</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51,558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66,440</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58,585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7,855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(85)</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(15,271)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15,186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(15,387)</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(16,108)</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(13,812)</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(14,702)</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(13,897)</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(29,973)</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16,076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-959485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-959485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-161925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-161925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380" w:firstLine="509"/>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revenues were $84.7 million and $49.5 million for the three months ended September 30, 2026 and 2025,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related to sales of VOQUEZNA, VOQUEZNA TRIPLE PAK, and VOQUEZNA DUAL PAK which were launched in the fourth quarter of 2023. The increase of $35.2 million was due to continued execution of our commercial strategy.</w:t>
      </w:r>
    </w:p>
    <w:p>
      <w:pPr>
        <w:spacing w:after="0" w:line="128"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$ 18.4 million and $6.2 million for the three months ended September 30, 2026 and 2025,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of $ 12.2 million was due to the increase in revenues and the corresponding increase in Takeda royalties incurred, as well as increased fulfillment costs.</w:t>
      </w:r>
    </w:p>
    <w:p>
      <w:pPr>
        <w:spacing w:after="0" w:line="142"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$8.7 million and $7.0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2026 and 2025, respectively. The increase of $1.7 million consists of an increase of $3.9 million of higher clinical development and regulatory costs offset by $1.3 million of lower personnel-related expenses and $0.9 million of lower CMC costs.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ind w:right="240" w:firstLine="509"/>
        <w:spacing w:after="0" w:line="25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$57.7 million and $ 51.6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2026 and 2025, respectively. The increase of $6.1 million was primarily related to a $3.6 million increase in advertising and promotional expenses, and an increase of $2.5 million of personnel-related expenses.</w:t>
      </w:r>
    </w:p>
    <w:p>
      <w:pPr>
        <w:spacing w:after="0" w:line="14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i w:val="1"/>
          <w:iCs w:val="1"/>
          <w:color w:val="auto"/>
        </w:rPr>
        <w:t xml:space="preserve">Other (Expense) Income. </w:t>
      </w:r>
      <w:r>
        <w:rPr>
          <w:rFonts w:ascii="Arial" w:cs="Arial" w:eastAsia="Arial" w:hAnsi="Arial"/>
          <w:sz w:val="18"/>
          <w:szCs w:val="18"/>
          <w:color w:val="auto"/>
        </w:rPr>
        <w:t>Other expense of $13.8 million for the three months ended September 30, 2026 consisted of $15.4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under the Loan Agreement and Revenue Interest Financing Agreement, partially offset by $1.6 million of interest income related to cash held in money market funds. Other expense of $14.7 million for the three months ended September 30, 2025 consisted of $16.1 million of interest expense under the Loan Agreement and Revenue Interest Financing Agreement, partially offset by $1.4 million of interest income related to cash held in money market funds.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2026 and 2025</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2026 and 2025 (in thousands):</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2026</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217,297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117,526</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99,771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45,458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30,507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171,839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102,575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69,264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24,330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25,287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167,037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231,346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(64,309)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191,367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256,633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(65,266)</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(19,528)</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(154,058)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134,530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4,846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5,840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(46,287)</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(51,696)</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(879)</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(42,320)</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(46,041)</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(61,848)</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(200,099)</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138,251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-959485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-959485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-161925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-161925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revenues were $217.3 million and $117.5 million for the nine months ended September 30, 2026 and 2025,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related to sales of VOQUEZNA, VOQUEZNA TRIPLE PAK, and VOQUEZNA DUAL PAK which were launched during the fourth quarter of 2023. The increase of $99.8 million was due to continued execution of our commercial strategy.</w:t>
      </w:r>
    </w:p>
    <w:p>
      <w:pPr>
        <w:spacing w:after="0" w:line="128"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$ 45.5 million and $15.0 million for the nine months ended September 30, 2026 and 2025,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of $ 30.5 million was due to the increase in revenues and the corresponding increase in Takeda royalties incurred, as well as increased fulfillment costs.</w:t>
      </w:r>
    </w:p>
    <w:p>
      <w:pPr>
        <w:spacing w:after="0" w:line="14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$24.3 million and $25.3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2026 and 2025, respectively. The decrease of $1.0 million consists of $4.7 million related to lower personnel-related expenses and $2.6 million of lower CMC and consulting costs offset by an increase of $6.3 million of clinical development and regulatory costs.</w:t>
      </w:r>
    </w:p>
    <w:p>
      <w:pPr>
        <w:spacing w:after="0" w:line="13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$167.0 million and $231.3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2026 and 2025, respectively. The decrease of $64.3 million was primarily related to a $ 56.4 million reduction in advertising and promotional expenses, $7.2 million of lower personnel-related expenses, and $0.7 million of lower consulting and professional fees.</w:t>
      </w:r>
    </w:p>
    <w:p>
      <w:pPr>
        <w:spacing w:after="0" w:line="13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i w:val="1"/>
          <w:iCs w:val="1"/>
          <w:color w:val="auto"/>
        </w:rPr>
        <w:t xml:space="preserve">Other (Expense) Income. </w:t>
      </w:r>
      <w:r>
        <w:rPr>
          <w:rFonts w:ascii="Arial" w:cs="Arial" w:eastAsia="Arial" w:hAnsi="Arial"/>
          <w:sz w:val="18"/>
          <w:szCs w:val="18"/>
          <w:color w:val="auto"/>
        </w:rPr>
        <w:t>Other expense of $42.3 million for the nine months ended September 30, 2026 consisted of $46.3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under the Loan Agreement and Revenue Interest Financing Agreement, $0.8 million partial loss on extinguishment of debt recognized under the Loan Agreement, partially offset by $4.8 million of interest income related to cash held in money market funds. Other expense of $46.0 million for the nine months ended September 30, 2025 consisted of $51.7 million of interest expense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8" w:name="page29"/>
    <w:bookmarkEnd w:id="28"/>
    <w:p>
      <w:pPr>
        <w:ind w:right="40"/>
        <w:spacing w:after="0" w:line="271" w:lineRule="auto"/>
        <w:rPr>
          <w:sz w:val="20"/>
          <w:szCs w:val="20"/>
          <w:color w:val="auto"/>
        </w:rPr>
      </w:pPr>
      <w:r>
        <w:rPr>
          <w:rFonts w:ascii="Arial" w:cs="Arial" w:eastAsia="Arial" w:hAnsi="Arial"/>
          <w:sz w:val="18"/>
          <w:szCs w:val="18"/>
          <w:color w:val="auto"/>
        </w:rPr>
        <w:t>under the Loan Agreement and Revenue Interest Financing Agreement, partially offset by $5.8 million of interest income related to cash held in money market funds.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We have incurred net losses and negative cash flows from operations since our inception and while we expect to continue to incur a net loss in the near term, we expect these net losses to be lower than what we have previously incurred. As of September 30, 2026, we had cash and cash equivalents of $184.6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18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On September 17, 2021, or the Closing Date, we entered into the Loan Agreement with Hercules, in its capacity as administrative agent and collateral agent and as a lender, or, in such capacity, the Agent or Hercules, and the other financial institutions that from time to time become parties to the Loan Agreement as lenders. The Loan Agreement initially provided for term loans in an aggregate principal amount of up to $200 million under multiple tranches. We entered into several amendments to the Loan Agreement since the initial advance and the current loan terms provided for in the latest amendment are described below.</w:t>
      </w:r>
    </w:p>
    <w:p>
      <w:pPr>
        <w:spacing w:after="0" w:line="136"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On February 25, 2026, or the Fifth Amendment Closing Date, we entered into the Fifth Amendment to the Loan and Security Agreement, or the Fifth Loan Amendment, which, among other things, (i) provided for a new term loan advance of $ 175 million, or the Term Loan Advance, the proceeds of which, along with cash on our balance sheet, were used to repay in full the existing secured obligations outstanding under the Loan Agreement, including principal, capitalized payment-in-kind interest, cash interest, existing final fee payments, and any applicable prepayment fees, (ii) provided for an additional loan tranche of up to $ 25 million which shall be available to us in the lenders’ discretion, (iii) extended the maturity date from December 1, 2027 to February 1, 2029, or the Maturity Date, subject to further extension to December 1, 2030 upon the achievement of a specified revenue milestone and subject to a certain pro forma liquidity test, (iv) extended the interest only period from October 2026 to December 2027, thereafter, monthly payment of interest and principal repayments at 2.5% of aggregate original principal balance of the Term Loan Advance through the Maturity Date, with any remaining payments to be repaid in full on the Maturity Date, (v) cash interest rate set at floating rate based on the greater of (a) US WSJ Prime + 3.10% or (b) 9.85%, (vi) eliminated the payment-in-kind interest rate of 2.15% per annum, (vii) amended the prepayment charge, which is a percentage of the principal amount advanced under the Term Loans under the Fifth Loan Amendment, or each a Term Loan Advance and together, the Term Loan Advances, as follows: (a) if the Term Loan Advances are prepaid after the Fifth Amendment Closing Date but prior to the twelfth month anniversary of the Fifth Amendment Closing Date, 2.50%; (b) if the Term Loan Advances are prepaid on or after the twelfth month anniversary of the Fifth Amendment Closing Date but prior to the twenty-fourth month anniversary of the Fifth Amendment Closing Date,</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2.00%; (c) if the Term Loan Advances are prepaid on or after the twenty-fourth month anniversary of the Fifth Amendment Closing Date but prior to the thirty-sixth month anniversary of the Fifth Amendment Closing Date, 1.50%; (d) thereafter, 1.00%; provided that (x) any such prepayment charge shall be reduced by 50.0% if such prepayment is a result of a change in control and (y) upon any refinancing by Hercules such prepayment charge shall be waived in full; and (viii) provided for a new final payment fee which is as a percentage of the Term Loan Advance, calculated as follows: (a) if the Term Loan Advances are repaid prior to September 2027, 1.25%; (b) if the Term Loan Advances are repaid after September 1, 2027 but on or prior to February 1, 2029, 2.00%; (c) if the Term Loan Advances are repaid after February 1, 2029 but on or prior to January 1, 2030, 3.00%, and (d) if the Term Loan Advances are repaid after January 1, 2030, 3.50%. As of September 30, 2026, we recorded $3.5 million within other long-term liabilities for the new final payment fee based on the Term Loan Advance being repaid by the Maturity Date.</w:t>
      </w:r>
    </w:p>
    <w:p>
      <w:pPr>
        <w:spacing w:after="0" w:line="14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accounted for the Fifth Loan Amendment in accordance with ASC 470-50, Modification and Extinguishments, or ASC 470-50, to determine if the transaction was treated as a modification or an extinguishment of debt. We reviewed the debt terms and determined the change would be accounted for prospectively as a partial debt extinguishment in accordance with ASC 470-50. As a result, we expensed a portion of the remaining deferred debt issuance costs and fees of $0.8 million associated with the debt prior to the Fifth Loan Amendment, as a loss on partial debt extinguishment within other expense, net in the condensed statements of operations and comprehensive loss during the first quarter of fiscal 2026. Prior to the Fifth Loan Amendment, there were approximately $6.9 million of deferred debt issuance costs remaining to be amortized. The partial extinguishment and modification resulted in a net reduction in deferred issuance fees of $0.5 million with a remaining balance of $6.4 million in debt issuance costs capitalized to be amortized over the three year life of the new debt.</w:t>
      </w:r>
    </w:p>
    <w:p>
      <w:pPr>
        <w:spacing w:after="0" w:line="11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As collateral for the obligations, we granted to Hercules a senior security interest in all of our right, title, and interest in, to and under substantially all of our property, inclusive of intellectual property.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29" w:name="page30"/>
    <w:bookmarkEnd w:id="29"/>
    <w:p>
      <w:pPr>
        <w:ind w:right="36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Fifth Loan Amendment include (i) a minimum cash covenant and (ii) a performance covenant as follows:</w:t>
      </w:r>
    </w:p>
    <w:p>
      <w:pPr>
        <w:spacing w:after="0" w:line="61" w:lineRule="exact"/>
        <w:rPr>
          <w:sz w:val="20"/>
          <w:szCs w:val="20"/>
          <w:color w:val="auto"/>
        </w:rPr>
      </w:pPr>
    </w:p>
    <w:p>
      <w:pPr>
        <w:ind w:left="1020" w:right="180" w:hanging="503"/>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cash covenant - We must maintain a minimum cash balance of 20% of the outstanding principal balance at all times, which will decrease to 15% of the outstanding principal amount upon us reporting and maintaining $75 million of trailing three months net product revenue.</w:t>
      </w:r>
    </w:p>
    <w:p>
      <w:pPr>
        <w:spacing w:after="0" w:line="60"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covenant - In addition, we must satisfy any one of the following:</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Market capitalization exceeding $900 million;</w:t>
      </w:r>
    </w:p>
    <w:p>
      <w:pPr>
        <w:spacing w:after="0" w:line="103" w:lineRule="exact"/>
        <w:rPr>
          <w:rFonts w:ascii="Arial" w:cs="Arial" w:eastAsia="Arial" w:hAnsi="Arial"/>
          <w:sz w:val="18"/>
          <w:szCs w:val="18"/>
          <w:color w:val="auto"/>
        </w:rPr>
      </w:pPr>
    </w:p>
    <w:p>
      <w:pPr>
        <w:ind w:left="1540" w:right="80" w:hanging="514"/>
        <w:spacing w:after="0" w:line="253"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Minimum cash balance of 50% of the outstanding principal amount of the term loans, which will decrease to 40% upon achieving $65 million of trailing three months net product revenue, and to 30% upon achieving $85 million of trailing three months net product revenue; or</w:t>
      </w:r>
    </w:p>
    <w:p>
      <w:pPr>
        <w:spacing w:after="0" w:line="60" w:lineRule="exact"/>
        <w:rPr>
          <w:rFonts w:ascii="Arial" w:cs="Arial" w:eastAsia="Arial" w:hAnsi="Arial"/>
          <w:sz w:val="18"/>
          <w:szCs w:val="18"/>
          <w:color w:val="auto"/>
        </w:rPr>
      </w:pPr>
    </w:p>
    <w:p>
      <w:pPr>
        <w:ind w:left="1540" w:right="300" w:hanging="514"/>
        <w:spacing w:after="0" w:line="271"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Trailing three months net product revenue equal to 75% of projected revenue in 2026 and 70% of projected revenue in 2027 and beyond, tested on a quarterly basis.</w:t>
      </w:r>
    </w:p>
    <w:p>
      <w:pPr>
        <w:spacing w:after="0" w:line="127" w:lineRule="exact"/>
        <w:rPr>
          <w:sz w:val="20"/>
          <w:szCs w:val="20"/>
          <w:color w:val="auto"/>
        </w:rPr>
      </w:pPr>
    </w:p>
    <w:p>
      <w:pPr>
        <w:ind w:right="960" w:firstLine="50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us may be declared immediately due and payable by Hercules, as collateral agent.</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2026, we were in compliance with all applicable covenants under the Loan Agreement.</w:t>
      </w:r>
    </w:p>
    <w:p>
      <w:pPr>
        <w:spacing w:after="0" w:line="17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connection with the entry into the initial Loan Agreement, we issued to Hercules a warrant, or the Warrant, to purchase a number of shares of our common stock equal to 2.5% of the aggregate amount of the Term Loan advances. On the Closing Date, we issued a Warrant for 74,782 shares of common stock. The Warrant will be exercisable until September 17, 2028 (seven years from the date of issuance) at a per-share exercise price equal to $ 33.43, which was the closing price of our common stock on September 16, 2021. The Warrant issued with the initial tranche was not modified as part of the Fifth Loan Amendment. The exercise price and terms of the outstanding Warrant remain unchanged.</w:t>
      </w:r>
    </w:p>
    <w:p>
      <w:pPr>
        <w:spacing w:after="0" w:line="15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$3.5 million of final payment fees and $1.8 million facility fee incurred as part of the Fifth Loan Amendment, along with the $6.4 million of unamortized debt issuance costs as a result of the debt modification, have been recorded as debt discount and are being amortized to interest expense using the effective interest method over the remaining term of the Loan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May 3, 2022, we entered into a Revenue Interest Financing Agreement, or the Revenue Interest Financing Agreement, with entities managed or advised by NovaQuest Capital Management, or NQ, Sagard Holdings Manager LP, or Sagard, and Hercules, together with NQ and Sagard, or the Initial Investors, pursuant to which we had the right to receive up to $260 million in funding from the Initial Investors. Under the terms of the Revenue Interest Financing Agreement, we received $100 million at the initial closing and received an additional $ 160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in its capacity as administrative agent and collateral agent for itself and the lenders under that certain Loan Agreement, or the Joinder Agreement, in respect of the Revenue Interest Financing Agreement. Under the terms of the Joinder Agreement, we received $15 million in additional funding upon FDA approval of vonoprazan for Erosive GERD, or Approval Additional Funding, in the fourth quarter of 2023 and provided for $25 million in additional funding for achievement of a sales milestone, or Milestone Additional Funding, and, together with the Approval Additional Funding, or the Additional Investor Funding. The Initial Investors waived their right of first offer for any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which amounted to a total of $275 million. As of September 30, 2026, no additional funding is available under the Revenue Interest Financing Agreement.</w:t>
      </w:r>
    </w:p>
    <w:p>
      <w:pPr>
        <w:spacing w:after="0" w:line="161"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Under the Revenue Interest Financing Agreement, the Initial Investors and the Additional Investor are entitled to receive a 10% royalty on net sales of products containing vonoprazan. The royalty rate is subject to a step-down on net sales exceeding certain annual thresholds and upon FDA approval for vonoprazan for an indication relating to the treatment of heartburn associated with Non-Erosive GERD, which occurred on July 17, 2024. The investors’ right to receive royalties on net sales will terminate when the investors have received aggregate payments equal to 200% of the Investment Amount. In addition, at any time after April 30, 2024, we have the right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0" w:name="page31"/>
    <w:bookmarkEnd w:id="30"/>
    <w:p>
      <w:pPr>
        <w:jc w:val="right"/>
        <w:ind w:right="40"/>
        <w:spacing w:after="0" w:line="354" w:lineRule="auto"/>
        <w:rPr>
          <w:sz w:val="20"/>
          <w:szCs w:val="20"/>
          <w:color w:val="auto"/>
        </w:rPr>
      </w:pPr>
      <w:r>
        <w:rPr>
          <w:rFonts w:ascii="Arial" w:cs="Arial" w:eastAsia="Arial" w:hAnsi="Arial"/>
          <w:sz w:val="18"/>
          <w:szCs w:val="18"/>
          <w:color w:val="auto"/>
        </w:rPr>
        <w:t>to make a cap payment equal to 200% of the Investment Amount less any royalties already paid, at which time the agreement will terminate. If the investors have not received aggregate payments of at least 100% of the Investment Amount by December 31, 2028, and at least</w:t>
      </w:r>
    </w:p>
    <w:p>
      <w:pPr>
        <w:spacing w:after="0" w:line="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200% of the Investment Amount by December 31, 2037, each a Minimum Amount, then we will be obligated to make a cash payment to the investors in an amount sufficient to gross the investors up to the applicable Minimum Amount. As of September 30, 2026, the aggregate payments made to investors under the Revenue Interest Financing Agreement equaled $36.4 million.</w:t>
      </w:r>
    </w:p>
    <w:p>
      <w:pPr>
        <w:spacing w:after="0" w:line="139"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we are obligated to pay 1.65 times the Investment Amount and 2.0 times Investment Amount, respectively, less any amounts we previously paid pursuant to the agreement.</w:t>
      </w:r>
    </w:p>
    <w:p>
      <w:pPr>
        <w:spacing w:after="0" w:line="128"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Additionally, under the terms of Revenue Interest Financing Agreement, we are subject to a minimum cash covenant of at least (a) beginning on the date that the Hercules Loan Agreement is terminated and each day thereafter until September 30, 2026, $30 million, and</w:t>
      </w:r>
    </w:p>
    <w:p>
      <w:pPr>
        <w:ind w:right="40" w:firstLine="8"/>
        <w:spacing w:after="0" w:line="234"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on October 1, 2026 and on each day thereafter until September 30, 2029, a certain percentage of the minimum cash reference amount defined as the difference between the Investment Amount and the amount of all royalty payments received by the investors as of each such date as follows: (i) 50% from October 1, 2026 to September 30, 2027, (ii) 75% from October 1, 2027 to September 30, 2028, and</w:t>
      </w:r>
    </w:p>
    <w:p>
      <w:pPr>
        <w:spacing w:after="0" w:line="2"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from October 1, 2028 to September 30, 2029. As of October 1, 2026, the minimum cash amount required is $119.3 million.</w:t>
      </w:r>
    </w:p>
    <w:p>
      <w:pPr>
        <w:spacing w:after="0" w:line="167" w:lineRule="exact"/>
        <w:rPr>
          <w:sz w:val="20"/>
          <w:szCs w:val="20"/>
          <w:color w:val="auto"/>
        </w:rPr>
      </w:pPr>
    </w:p>
    <w:p>
      <w:pPr>
        <w:ind w:right="460" w:firstLine="509"/>
        <w:spacing w:after="0" w:line="406" w:lineRule="auto"/>
        <w:rPr>
          <w:sz w:val="20"/>
          <w:szCs w:val="20"/>
          <w:color w:val="auto"/>
        </w:rPr>
      </w:pPr>
      <w:r>
        <w:rPr>
          <w:rFonts w:ascii="Arial" w:cs="Arial" w:eastAsia="Arial" w:hAnsi="Arial"/>
          <w:sz w:val="18"/>
          <w:szCs w:val="18"/>
          <w:color w:val="auto"/>
        </w:rPr>
        <w:t xml:space="preserve">As of September 30, 2026, we are in compliance with all applicable covenants under the Revenue Interest Financing Agreement. </w:t>
      </w:r>
      <w:r>
        <w:rPr>
          <w:rFonts w:ascii="Arial" w:cs="Arial" w:eastAsia="Arial" w:hAnsi="Arial"/>
          <w:sz w:val="18"/>
          <w:szCs w:val="18"/>
          <w:b w:val="1"/>
          <w:bCs w:val="1"/>
          <w:i w:val="1"/>
          <w:iCs w:val="1"/>
          <w:color w:val="auto"/>
        </w:rPr>
        <w:t>At-the-Market Offerings</w:t>
      </w:r>
    </w:p>
    <w:p>
      <w:pPr>
        <w:spacing w:after="0" w:line="2" w:lineRule="exact"/>
        <w:rPr>
          <w:sz w:val="20"/>
          <w:szCs w:val="20"/>
          <w:color w:val="auto"/>
        </w:rPr>
      </w:pPr>
    </w:p>
    <w:p>
      <w:pPr>
        <w:ind w:right="460" w:firstLine="509"/>
        <w:spacing w:after="0" w:line="223" w:lineRule="auto"/>
        <w:rPr>
          <w:sz w:val="20"/>
          <w:szCs w:val="20"/>
          <w:color w:val="auto"/>
        </w:rPr>
      </w:pPr>
      <w:r>
        <w:rPr>
          <w:rFonts w:ascii="Arial" w:cs="Arial" w:eastAsia="Arial" w:hAnsi="Arial"/>
          <w:sz w:val="18"/>
          <w:szCs w:val="18"/>
          <w:color w:val="auto"/>
        </w:rPr>
        <w:t>In November 2020, we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we may, from time to time, sell shares of our common stock having an aggregate offering price of up to an amount registered under an effective registration statement through the Sales Agent.</w:t>
      </w:r>
    </w:p>
    <w:p>
      <w:pPr>
        <w:spacing w:after="0" w:line="14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November 2023, we filed a shelf registration statement on Form S-3 which was declared effective by the SEC on November 17, 2023, which included an at-the-market prospectus pursuant to which we may, from time to time, sell up to an aggregate of $150 million of our common stock through the Sales Agent, or the 2023 ATM Offering. We are not obligated to, and we cannot provide any assurances that we will, make any sales of the shares under the Sales Agreement. The Sales Agreement may be terminated by the Sales Agent or us at any time. No shares were sold during the three and nine months ended September 30, 2026 and 2025. As of September 30, 2026, all of the available $150 million under the 2023 ATM Offering remains available.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69"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On January 9, 2026, we sold 6,875,000 shares of common stock at a price of $16.00 per share and pre-funded warrants to purchase 1,250,078 shares of common stock at a price of $ 15.999 per pre-funded warrant for total gross proceeds of $130.0 million, before deducting underwriting discounts, commissions and offering costs. The net purchase price after deducting the underwriting discounts and commissions and other offering expenses, was $15.01 per share or net proceeds of $122.0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Based on our current operating plan, we believe that our existing cash and cash equivalents together with anticipated product revenues, are sufficient to fund operations for at least the next twelve months. However, our forecast of the period of time through which our financial resources may be adequate to support our operations is a forward-looking statement that involves risks and uncertainties and actual results could vary materially. We have based this estimate on assumptions that may prove to be inaccurate, and, if operating results, commercial performance or expenses differ materially from those contemplated by our current operating plan, we could deplete our capital resources sooner than we expect. Additionally, the process of testing product candidates in clinical trials is costly, and the timing of progress and expenses in ongoing and future trials is uncertain.</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900" w:right="180" w:hanging="383"/>
        <w:spacing w:after="0" w:line="252"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and maintain market acceptance, market share, coverage, reimbursement and revenues from sales of VOQUEZNA in its approved GERD indications, and patients’ willingness to pay out-of-pocket in the absence of coverage and/or adequate reimbursement from third-party payers;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1" w:name="page32"/>
    <w:bookmarkEnd w:id="31"/>
    <w:p>
      <w:pPr>
        <w:ind w:left="900" w:right="40" w:hanging="383"/>
        <w:spacing w:after="0" w:line="252"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sales and marketing activities in support of the continued commercialization of VOQUEZNA, VOQUEZNA DUAL PAK and VOQUEZNA TRIPLE PAK, or any future product candidates we may choose to pursue, if successfully developed and approved;</w:t>
      </w:r>
    </w:p>
    <w:p>
      <w:pPr>
        <w:spacing w:after="0" w:line="143" w:lineRule="exact"/>
        <w:rPr>
          <w:rFonts w:ascii="Times New Roman" w:cs="Times New Roman" w:eastAsia="Times New Roman" w:hAnsi="Times New Roman"/>
          <w:sz w:val="18"/>
          <w:szCs w:val="18"/>
          <w:color w:val="auto"/>
        </w:rPr>
      </w:pPr>
    </w:p>
    <w:p>
      <w:pPr>
        <w:ind w:left="900" w:right="180" w:hanging="38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availability of manufacturing for vonoprazan as well as the costs of manufacturing for any potential product candidates we may pursue in the future;</w:t>
      </w:r>
    </w:p>
    <w:p>
      <w:pPr>
        <w:spacing w:after="0" w:line="113" w:lineRule="exact"/>
        <w:rPr>
          <w:rFonts w:ascii="Times New Roman" w:cs="Times New Roman" w:eastAsia="Times New Roman" w:hAnsi="Times New Roman"/>
          <w:sz w:val="18"/>
          <w:szCs w:val="18"/>
          <w:color w:val="auto"/>
        </w:rPr>
      </w:pPr>
    </w:p>
    <w:p>
      <w:pPr>
        <w:ind w:left="900" w:right="220" w:hanging="383"/>
        <w:spacing w:after="0" w:line="252"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30" w:lineRule="exact"/>
        <w:rPr>
          <w:rFonts w:ascii="Times New Roman" w:cs="Times New Roman" w:eastAsia="Times New Roman" w:hAnsi="Times New Roman"/>
          <w:sz w:val="18"/>
          <w:szCs w:val="18"/>
          <w:color w:val="auto"/>
        </w:rPr>
      </w:pPr>
    </w:p>
    <w:p>
      <w:pPr>
        <w:ind w:left="900" w:right="220" w:hanging="38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future vonoprazan applications or such applications for any future product candidates;</w:t>
      </w:r>
    </w:p>
    <w:p>
      <w:pPr>
        <w:spacing w:after="0" w:line="127" w:lineRule="exact"/>
        <w:rPr>
          <w:rFonts w:ascii="Times New Roman" w:cs="Times New Roman" w:eastAsia="Times New Roman" w:hAnsi="Times New Roman"/>
          <w:sz w:val="18"/>
          <w:szCs w:val="18"/>
          <w:color w:val="auto"/>
        </w:rPr>
      </w:pPr>
    </w:p>
    <w:p>
      <w:pPr>
        <w:ind w:left="900" w:right="700" w:hanging="38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obtaining, maintaining and enforcing our patents and other intellectual property rights, and the success of our enforcement efforts;</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profile and impact of competitive products;</w:t>
      </w:r>
    </w:p>
    <w:p>
      <w:pPr>
        <w:spacing w:after="0" w:line="183" w:lineRule="exact"/>
        <w:rPr>
          <w:rFonts w:ascii="Times New Roman" w:cs="Times New Roman" w:eastAsia="Times New Roman" w:hAnsi="Times New Roman"/>
          <w:sz w:val="18"/>
          <w:szCs w:val="18"/>
          <w:color w:val="auto"/>
        </w:rPr>
      </w:pPr>
    </w:p>
    <w:p>
      <w:pPr>
        <w:ind w:left="900" w:right="540" w:hanging="38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hiring additional personnel and consultants as our business grows and enhancing our operational systems;</w:t>
      </w:r>
    </w:p>
    <w:p>
      <w:pPr>
        <w:spacing w:after="0" w:line="12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3" w:lineRule="exact"/>
        <w:rPr>
          <w:rFonts w:ascii="Times New Roman" w:cs="Times New Roman" w:eastAsia="Times New Roman" w:hAnsi="Times New Roman"/>
          <w:sz w:val="18"/>
          <w:szCs w:val="18"/>
          <w:color w:val="auto"/>
        </w:rPr>
      </w:pPr>
    </w:p>
    <w:p>
      <w:pPr>
        <w:ind w:left="900" w:right="340" w:hanging="38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impact of our obligations under our Loan and Security Agreement with Hercules Capital, Inc., and our Revenue Interest Financing Agreement; and</w:t>
      </w:r>
    </w:p>
    <w:p>
      <w:pPr>
        <w:spacing w:after="0" w:line="113" w:lineRule="exact"/>
        <w:rPr>
          <w:rFonts w:ascii="Times New Roman" w:cs="Times New Roman" w:eastAsia="Times New Roman" w:hAnsi="Times New Roman"/>
          <w:sz w:val="18"/>
          <w:szCs w:val="18"/>
          <w:color w:val="auto"/>
        </w:rPr>
      </w:pPr>
    </w:p>
    <w:p>
      <w:pPr>
        <w:ind w:left="900" w:right="120" w:hanging="383"/>
        <w:spacing w:after="0" w:line="246"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building a portfolio of product candidates through the acquisition or in-license of additional product candidates or technologies, including the terms and timing of establishing and maintaining future collaborations, licenses and other similar arrangements and the costs associated with development of any products or technologies that we may in-license or acquire.</w:t>
      </w:r>
    </w:p>
    <w:p>
      <w:pPr>
        <w:spacing w:after="0" w:line="15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If our operating results, commercial performance or expenses differ materially from those contemplated by our current operating plan, our capital resources, together with anticipated product revenues, may not be sufficient to fund operations and our cash needs for as long as we currently expect. In such event, we may need to also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products or product candidates or grant licenses on terms that may not be favorable to us and/or may reduce the value of our common stock. If we are unable to raise additional funds through equity or debt financings when and if needed, we may be required to delay, limit, reduce or terminate our product development or future commercialization efforts or grant rights to develop and market our products or product candidates that we would otherwise prefer to retain.</w:t>
      </w:r>
    </w:p>
    <w:p>
      <w:pPr>
        <w:spacing w:after="0" w:line="140"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unaudited interim condensed financial statements were issued. There can be no assurance that we will be successful in acquiring additional funding, that our projections of future revenues or working capital needs will prove accurate, or that any additional funding would be sufficient to continue operations in future years.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(15,738)</w:t>
            </w:r>
          </w:p>
        </w:tc>
        <w:tc>
          <w:tcPr>
            <w:tcW w:w="66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(161,774)</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146,036</w:t>
            </w: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70,542</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70,733</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increase (decrease) in cash</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54,589</w:t>
            </w:r>
          </w:p>
        </w:tc>
        <w:tc>
          <w:tcPr>
            <w:tcW w:w="1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(162,107)</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216,696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-24765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Net cash used in operating activities was approximately $15.7 million and $161.8 million for the nine months ended September 30, 2026 and 2025, respectively. The net cash used in operating activities for the nine months ended September 30, 2026 was due to approximately $24.0 million spent on ongoing research and development and selling, general and administrative activities and a $8.3 million net change in operating assets and liabilities. The net change in operating assets and liabilities is related to a $41.0 million increase in accounts payable and accrued expenses (including interest, operating lease assets and liabilities), a $7.1 million decrease in prepaid assets and other current assets, and a $39.8 million increase in accounts receivable, inventory and other long-term assets. The net cash used in operating activities for the nine months ended September 30, 2025 was due to approximately $145.3 million spent on ongoing research and development and selling, general and administrative activities and a $16.5 million net change in operating assets and liabilities. The net change in operating assets and liabilities is related to a $6.7 million increase in accounts payable and accrued expenses (including interest, operating lease assets and liabilities), a $7.6 million decrease in prepaid assets and other current assets, and a $30.8 million increase in accounts receivable and inventory.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9"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Net cash used in investing activities for the nine months ended September 30, 2026 and 2025, was related to payments for acquiring property and equipment.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Net cash provided by financing activities for the nine months ended September 30, 2026 related to $173.2 million of net proceeds of the issuance of long-term debt, $122.0 million of net proceeds from issuance of common stock and pre-funded warrants in connection with the underwritten public offering completed in January 2026, $ 4.5 million of proceeds from the issuance of common stock from exercise of stock options offset by $229.0 million repayment of long-term debt on our Hercules Loan Agreement and $0.1 million of payments for employee tax obligations related to vesting of PSUs and RSUs. Net cash used in financing activities for the nine months ended September 30, 2025 related to payments of employee tax obligations related to vesting of PSUs offset by proceeds from the issuance of common stock from exercise of stock options.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There were no material changes outside the ordinary course of our business during the nine months ended September 30, 2026 to the information regarding our contractual obligations that was disclosed in Management’s Discussion and Analysis of Financial Condition and Results of Operations contained in our 2025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1"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revenues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9" w:right="379" w:bottom="1440" w:gutter="0" w:footer="0" w:header="0"/>
        </w:sectPr>
      </w:pPr>
    </w:p>
    <w:bookmarkStart w:id="33" w:name="page34"/>
    <w:bookmarkEnd w:id="33"/>
    <w:p>
      <w:pPr>
        <w:ind w:right="360"/>
        <w:spacing w:after="0" w:line="271" w:lineRule="auto"/>
        <w:rPr>
          <w:sz w:val="20"/>
          <w:szCs w:val="20"/>
          <w:color w:val="auto"/>
        </w:rPr>
      </w:pPr>
      <w:r>
        <w:rPr>
          <w:rFonts w:ascii="Arial" w:cs="Arial" w:eastAsia="Arial" w:hAnsi="Arial"/>
          <w:sz w:val="18"/>
          <w:szCs w:val="18"/>
          <w:color w:val="auto"/>
        </w:rPr>
        <w:t>the carrying value of assets and liabilities that are not readily apparent from other sources. Actual results may differ from these estimates under different assumptions or conditions.</w:t>
      </w:r>
    </w:p>
    <w:p>
      <w:pPr>
        <w:spacing w:after="0" w:line="127" w:lineRule="exact"/>
        <w:rPr>
          <w:sz w:val="20"/>
          <w:szCs w:val="20"/>
          <w:color w:val="auto"/>
        </w:rPr>
      </w:pPr>
    </w:p>
    <w:p>
      <w:pPr>
        <w:ind w:right="380" w:firstLine="509"/>
        <w:spacing w:after="0" w:line="247"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2025 Form 10-K. There have not been any material changes to the critical accounting policies discussed therein during the nine months ended September 30, 2026.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Smaller Reporting Company Status</w:t>
      </w:r>
    </w:p>
    <w:p>
      <w:pPr>
        <w:spacing w:after="0" w:line="183"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We are a smaller reporting company as defined in Rule 12b-2 of the Exchange Act. We may take advantage of certain of the scaled disclosures available to smaller reporting companies and will be able to take advantage of these scaled disclosures for so long as (i) our voting and non-voting common stock held by non-affiliates is less than $250 million measured on the last business day of our second fiscal quarter or (ii) our annual revenue is less than $100 million during the most recently completed fiscal year and our voting and non-voting common stock held by non-affiliates is less than $700 million measured on the last business day of our second fiscal quarter. If we exceed these thresholds, we would not be able to avail ourselves of the scaled disclosure accommodations beginning with the first fiscal year that commences after our determination that we no longer qualify as a smaller reporting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I, Item 1 of this quarterly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As of September 30, 2026,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2025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our third fiscal quarter ended September 30, 2026 that have materially affected, or are reasonably likely to materially affect, our internal control over financial reporting.</w:t>
      </w:r>
    </w:p>
    <w:p>
      <w:pPr>
        <w:spacing w:after="0" w:line="1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7" w:right="5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620" w:firstLine="509"/>
        <w:spacing w:after="0" w:line="253"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28"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On October 21, 2026</w:t>
      </w:r>
      <w:r>
        <w:rPr>
          <w:rFonts w:ascii="Arial" w:cs="Arial" w:eastAsia="Arial" w:hAnsi="Arial"/>
          <w:sz w:val="18"/>
          <w:szCs w:val="18"/>
          <w:b w:val="1"/>
          <w:bCs w:val="1"/>
          <w:color w:val="auto"/>
        </w:rPr>
        <w:t>,</w:t>
      </w:r>
      <w:r>
        <w:rPr>
          <w:rFonts w:ascii="Arial" w:cs="Arial" w:eastAsia="Arial" w:hAnsi="Arial"/>
          <w:sz w:val="18"/>
          <w:szCs w:val="18"/>
          <w:color w:val="auto"/>
        </w:rPr>
        <w:t xml:space="preserve"> BDR Pharmaceuticals International Pvt. Ltd., or BDR, sued the FDA and related federal defendants in the U.S. District Court for the District of Columbia. The suit mainly challenges the FDA's alleged refusal to receive BDR's abbreviated new drug application, or ANDA, referencing our NDA for VOQUEZNA. BDR alleges that the FDA improperly applied the Generating Antibiotic Incentives Now Act, or the GAIN Act, to extend our New Chemical Entity, or NCE, exclusivity for VOQUEZNA tablets through May 3, 2032. We believe the FDA's decision was correct and have intervened in the litigation to continue to defend our statutory exclusivities. A second purported ANDA filer, Saba Ilac Sanayii Ve Ticaret AS, or Saba, has filed a notice in the BDR litigation. Saba claims to have a pending related case and says it intends to move to consolidate that case with BDR's. See “Risk Factors” below for risks related to this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2" w:lineRule="exact"/>
        <w:rPr>
          <w:sz w:val="20"/>
          <w:szCs w:val="20"/>
          <w:color w:val="auto"/>
        </w:rPr>
      </w:pPr>
    </w:p>
    <w:p>
      <w:pPr>
        <w:ind w:right="60" w:firstLine="509"/>
        <w:spacing w:after="0" w:line="279"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here have been no material changes to the risk factors disclosed in Part I, Item 1A, “Risk Factors” of our 2025 Form 10-K, other than</w:t>
      </w:r>
      <w:r>
        <w:rPr>
          <w:rFonts w:ascii="Arial" w:cs="Arial" w:eastAsia="Arial" w:hAnsi="Arial"/>
          <w:sz w:val="20"/>
          <w:szCs w:val="20"/>
          <w:color w:val="auto"/>
        </w:rPr>
        <w:t xml:space="preserve"> </w:t>
      </w:r>
      <w:r>
        <w:rPr>
          <w:rFonts w:ascii="Arial" w:cs="Arial" w:eastAsia="Arial" w:hAnsi="Arial"/>
          <w:sz w:val="17"/>
          <w:szCs w:val="17"/>
          <w:color w:val="auto"/>
        </w:rPr>
        <w:t>as set forth below.</w:t>
      </w:r>
    </w:p>
    <w:p>
      <w:pPr>
        <w:spacing w:after="0" w:line="10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An adverse outcome in litigation challenging FDA's recognition of GAIN Act-extended NCE exclusivity for VOQUEZNA tablets, or in related FDA proceedings, could result in earlier generic competition than expected and adversely affect our business.</w:t>
      </w:r>
    </w:p>
    <w:p>
      <w:pPr>
        <w:spacing w:after="0" w:line="99"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As previously disclosed, in June 2025, the FDA granted our Citizen Petition and updated the Orange Book to reflect NCE exclusivity for VOQUEZNA (vonoprazan) tablets through May 3, 2032, based on the extension provided under the GAIN Act. All three of our VOQUEZNA products have NCE exclusivity through that date. Subject to certain exceptions, including for ANDAs containing Paragraph IV patent certifications beginning one year earlier, the FDA generally may not receive an abbreviated new drug application, or ANDA, referencing VOQUEZNA tablets during this exclusivity period.</w:t>
      </w:r>
    </w:p>
    <w:p>
      <w:pPr>
        <w:spacing w:after="0" w:line="14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October 2026, BDR Pharmaceuticals International Pvt. Ltd., or BDR, filed a lawsuit against the FDA and related federal defendants challenging the FDA's application of the GAIN Act to extend NCE exclusivity for VOQUEZNA tablets and its alleged refusal to receive BDR's ANDA. We have intervened in the litigation to defend our statutory exclusivities. Another purported ANDA filer, Saba Ilac Sanayii Ve Ticaret AS, or Saba, has indicated that it intends to seek consolidation of a related case with BDR's litigation. Other parties may bring similar challenges or seek to participate in or benefit from the litigation. In connection with the litigation, the FDA has opened a public docket seeking comments by November 23, 2026 on related legal and regulatory questions. Members of the public may submit comments in a manner adverse to our position, and those comments may influence FDA's decision.</w:t>
      </w:r>
    </w:p>
    <w:p>
      <w:pPr>
        <w:spacing w:after="0" w:line="144"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We believe the FDA correctly determined VOQUEZNA's exclusivity, but there can be no assurance that the FDA will maintain its determination or that a court will uphold it. An adverse outcome could shorten VOQUEZNA tablets' regulatory exclusivity, permit earlier submission and potential approval of ANDAs, and result in generic competition sooner than expected. Our ability to prevent or delay generic competition would then depend more heavily on our patents, which may be challenged or circumvented, and could require additional patent litigation. Earlier generic competition could materially reduce VOQUEZNA's sales, pricing and market share and adversely affect our business, financial condition, results of operations and prospects.</w:t>
      </w:r>
    </w:p>
    <w:p>
      <w:pPr>
        <w:spacing w:after="0" w:line="13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litigation and related proceedings may be lengthy, costly and distracting to management, and their outcomes are uncertain. Developments in these matters, or perceptions regarding their potential impact on VOQUEZNA's exclusivity, could adversely affect our stock price, commercial performance and business, even if the FDA's determination is ultimately upheld.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During the three months ended September 30, 2026, none of our executive officers or directors adopted, modified or terminated any Rule 10b5-1 trading arrangements or non-Rule 10b5-1 trading arrangements.</w:t>
      </w:r>
    </w:p>
    <w:p>
      <w:pPr>
        <w:spacing w:after="0" w:line="3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7" w:right="5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Exhibit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168"/>
        </w:trPr>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18"/>
          </w:tcPr>
          <w:p>
            <w:pPr>
              <w:ind w:left="320"/>
              <w:spacing w:after="0"/>
              <w:rPr>
                <w:sz w:val="20"/>
                <w:szCs w:val="20"/>
                <w:color w:val="auto"/>
              </w:rPr>
            </w:pPr>
            <w:r>
              <w:rPr>
                <w:rFonts w:ascii="Arial" w:cs="Arial" w:eastAsia="Arial" w:hAnsi="Arial"/>
                <w:sz w:val="16"/>
                <w:szCs w:val="16"/>
                <w:b w:val="1"/>
                <w:bCs w:val="1"/>
                <w:color w:val="auto"/>
              </w:rPr>
              <w:t>Exhibit Description</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Pr>
          <w:p>
            <w:pPr>
              <w:spacing w:after="0"/>
              <w:rPr>
                <w:sz w:val="17"/>
                <w:szCs w:val="17"/>
                <w:color w:val="auto"/>
              </w:rPr>
            </w:pPr>
          </w:p>
        </w:tc>
        <w:tc>
          <w:tcPr>
            <w:tcW w:w="1040" w:type="dxa"/>
            <w:vAlign w:val="bottom"/>
          </w:tcPr>
          <w:p>
            <w:pPr>
              <w:ind w:left="340"/>
              <w:spacing w:after="0"/>
              <w:rPr>
                <w:sz w:val="20"/>
                <w:szCs w:val="20"/>
                <w:color w:val="auto"/>
              </w:rPr>
            </w:pPr>
            <w:r>
              <w:rPr>
                <w:rFonts w:ascii="Arial" w:cs="Arial" w:eastAsia="Arial" w:hAnsi="Arial"/>
                <w:sz w:val="16"/>
                <w:szCs w:val="16"/>
                <w:b w:val="1"/>
                <w:bCs w:val="1"/>
                <w:color w:val="auto"/>
              </w:rPr>
              <w:t>Date</w:t>
            </w:r>
          </w:p>
        </w:tc>
        <w:tc>
          <w:tcPr>
            <w:tcW w:w="12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56"/>
        </w:trPr>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8"/>
              </w:rPr>
              <w:t>3.1</w:t>
            </w:r>
          </w:p>
        </w:tc>
        <w:tc>
          <w:tcPr>
            <w:tcW w:w="140" w:type="dxa"/>
            <w:vAlign w:val="bottom"/>
          </w:tcPr>
          <w:p>
            <w:pPr>
              <w:spacing w:after="0"/>
              <w:rPr>
                <w:sz w:val="13"/>
                <w:szCs w:val="13"/>
                <w:color w:val="auto"/>
              </w:rPr>
            </w:pPr>
          </w:p>
        </w:tc>
        <w:tc>
          <w:tcPr>
            <w:tcW w:w="5800" w:type="dxa"/>
            <w:vAlign w:val="bottom"/>
            <w:tcBorders>
              <w:top w:val="single" w:sz="8" w:color="auto"/>
            </w:tcBorders>
            <w:gridSpan w:val="25"/>
          </w:tcPr>
          <w:p>
            <w:pPr>
              <w:spacing w:after="0" w:line="155" w:lineRule="exact"/>
              <w:rPr>
                <w:rFonts w:ascii="Arial" w:cs="Arial" w:eastAsia="Arial" w:hAnsi="Arial"/>
                <w:sz w:val="16"/>
                <w:szCs w:val="16"/>
                <w:color w:val="0000FF"/>
              </w:rPr>
            </w:pPr>
            <w:hyperlink r:id="rId188">
              <w:r>
                <w:rPr>
                  <w:rFonts w:ascii="Arial" w:cs="Arial" w:eastAsia="Arial" w:hAnsi="Arial"/>
                  <w:sz w:val="16"/>
                  <w:szCs w:val="16"/>
                  <w:color w:val="0000FF"/>
                </w:rPr>
                <w:t>Amended and Restated Certificate of Incorporation</w:t>
              </w:r>
            </w:hyperlink>
          </w:p>
        </w:tc>
        <w:tc>
          <w:tcPr>
            <w:tcW w:w="10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8-K</w:t>
            </w:r>
          </w:p>
        </w:tc>
        <w:tc>
          <w:tcPr>
            <w:tcW w:w="1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10/29/19</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89">
              <w:r>
                <w:rPr>
                  <w:rFonts w:ascii="Arial" w:cs="Arial" w:eastAsia="Arial" w:hAnsi="Arial"/>
                  <w:sz w:val="16"/>
                  <w:szCs w:val="16"/>
                  <w:color w:val="0000FF"/>
                </w:rPr>
                <w:t>Certificate of Amendment to Amended and Restated Certificate of Incorporation,</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5/30/23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as filed with the Secretary of the State of Delaware on May 26, 2023</w:t>
              </w:r>
            </w:hyperlink>
          </w:p>
        </w:tc>
        <w:tc>
          <w:tcPr>
            <w:tcW w:w="900" w:type="dxa"/>
            <w:vAlign w:val="bottom"/>
            <w:tcBorders>
              <w:top w:val="single" w:sz="8" w:color="0000FF"/>
            </w:tcBorders>
            <w:gridSpan w:val="10"/>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90">
              <w:r>
                <w:rPr>
                  <w:rFonts w:ascii="Arial" w:cs="Arial" w:eastAsia="Arial" w:hAnsi="Arial"/>
                  <w:sz w:val="16"/>
                  <w:szCs w:val="16"/>
                  <w:color w:val="0000FF"/>
                </w:rPr>
                <w:t>Amended and Restated Bylaws, effective as of December 13, 2023</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12/15/23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91">
              <w:r>
                <w:rPr>
                  <w:rFonts w:ascii="Arial" w:cs="Arial" w:eastAsia="Arial" w:hAnsi="Arial"/>
                  <w:sz w:val="16"/>
                  <w:szCs w:val="16"/>
                  <w:color w:val="0000FF"/>
                </w:rPr>
                <w:t>Form of Common Stock Certificate</w:t>
              </w:r>
            </w:hyperlink>
          </w:p>
        </w:tc>
        <w:tc>
          <w:tcPr>
            <w:tcW w:w="70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10/15/19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92">
              <w:r>
                <w:rPr>
                  <w:rFonts w:ascii="Arial" w:cs="Arial" w:eastAsia="Arial" w:hAnsi="Arial"/>
                  <w:sz w:val="16"/>
                  <w:szCs w:val="16"/>
                  <w:color w:val="0000FF"/>
                </w:rPr>
                <w:t>Warrant to purchase stock issued to Silicon Valley Bank, dated May 14, 2019</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93">
              <w:r>
                <w:rPr>
                  <w:rFonts w:ascii="Arial" w:cs="Arial" w:eastAsia="Arial" w:hAnsi="Arial"/>
                  <w:sz w:val="16"/>
                  <w:szCs w:val="16"/>
                  <w:color w:val="0000FF"/>
                </w:rPr>
                <w:t>Warrant to purchase stock issued to WestRiver Innovation Lending Fund VIII,</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w w:val="99"/>
              </w:rPr>
            </w:pPr>
            <w:hyperlink r:id="rId193">
              <w:r>
                <w:rPr>
                  <w:rFonts w:ascii="Arial" w:cs="Arial" w:eastAsia="Arial" w:hAnsi="Arial"/>
                  <w:sz w:val="16"/>
                  <w:szCs w:val="16"/>
                  <w:color w:val="0000FF"/>
                  <w:w w:val="99"/>
                </w:rPr>
                <w:t>L.P., dated May 14,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374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94">
              <w:r>
                <w:rPr>
                  <w:rFonts w:ascii="Arial" w:cs="Arial" w:eastAsia="Arial" w:hAnsi="Arial"/>
                  <w:sz w:val="16"/>
                  <w:szCs w:val="16"/>
                  <w:color w:val="0000FF"/>
                </w:rPr>
                <w:t>Warrant to purchase stock issued to Hercules Capital, dated September 17,</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11/8/21</w:t>
            </w:r>
          </w:p>
        </w:tc>
        <w:tc>
          <w:tcPr>
            <w:tcW w:w="1160" w:type="dxa"/>
            <w:vAlign w:val="bottom"/>
            <w:gridSpan w:val="2"/>
          </w:tcPr>
          <w:p>
            <w:pPr>
              <w:jc w:val="center"/>
              <w:ind w:lef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89"/>
              </w:rPr>
            </w:pPr>
            <w:hyperlink r:id="rId194">
              <w:r>
                <w:rPr>
                  <w:rFonts w:ascii="Arial" w:cs="Arial" w:eastAsia="Arial" w:hAnsi="Arial"/>
                  <w:sz w:val="16"/>
                  <w:szCs w:val="16"/>
                  <w:color w:val="0000FF"/>
                  <w:w w:val="89"/>
                </w:rPr>
                <w:t>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95">
              <w:r>
                <w:rPr>
                  <w:rFonts w:ascii="Arial" w:cs="Arial" w:eastAsia="Arial" w:hAnsi="Arial"/>
                  <w:sz w:val="16"/>
                  <w:szCs w:val="16"/>
                  <w:color w:val="0000FF"/>
                </w:rPr>
                <w:t>First Amendment to Warrant to purchase stock issued to Hercules Capital, dated</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7"/>
              </w:rPr>
            </w:pPr>
            <w:hyperlink r:id="rId195">
              <w:r>
                <w:rPr>
                  <w:rFonts w:ascii="Arial" w:cs="Arial" w:eastAsia="Arial" w:hAnsi="Arial"/>
                  <w:sz w:val="16"/>
                  <w:szCs w:val="16"/>
                  <w:color w:val="0000FF"/>
                  <w:w w:val="97"/>
                </w:rPr>
                <w:t>May 9,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4900" w:type="dxa"/>
            <w:vAlign w:val="bottom"/>
            <w:tcBorders>
              <w:top w:val="single" w:sz="8" w:color="0000FF"/>
            </w:tcBorders>
            <w:gridSpan w:val="20"/>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96">
              <w:r>
                <w:rPr>
                  <w:rFonts w:ascii="Arial" w:cs="Arial" w:eastAsia="Arial" w:hAnsi="Arial"/>
                  <w:sz w:val="16"/>
                  <w:szCs w:val="16"/>
                  <w:color w:val="0000FF"/>
                </w:rPr>
                <w:t>Form of Warrant to purchase stock issuable pursuant to the Loan and Security</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4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Agreement, as amended, by and between the Registrant and Hercules Capital,</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80" w:type="dxa"/>
            <w:vAlign w:val="bottom"/>
            <w:gridSpan w:val="22"/>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Inc.</w:t>
              </w:r>
            </w:hyperlink>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97">
              <w:r>
                <w:rPr>
                  <w:rFonts w:ascii="Arial" w:cs="Arial" w:eastAsia="Arial" w:hAnsi="Arial"/>
                  <w:sz w:val="16"/>
                  <w:szCs w:val="16"/>
                  <w:color w:val="0000FF"/>
                </w:rPr>
                <w:t>Form of Pre-Funded Warrant to purchase common stock</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8/19/24</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4.8</w:t>
            </w:r>
          </w:p>
        </w:tc>
        <w:tc>
          <w:tcPr>
            <w:tcW w:w="140" w:type="dxa"/>
            <w:vAlign w:val="bottom"/>
          </w:tcPr>
          <w:p>
            <w:pPr>
              <w:spacing w:after="0"/>
              <w:rPr>
                <w:sz w:val="24"/>
                <w:szCs w:val="24"/>
                <w:color w:val="auto"/>
              </w:rPr>
            </w:pPr>
          </w:p>
        </w:tc>
        <w:tc>
          <w:tcPr>
            <w:tcW w:w="5900" w:type="dxa"/>
            <w:vAlign w:val="bottom"/>
            <w:gridSpan w:val="26"/>
          </w:tcPr>
          <w:p>
            <w:pPr>
              <w:spacing w:after="0"/>
              <w:rPr>
                <w:rFonts w:ascii="Arial" w:cs="Arial" w:eastAsia="Arial" w:hAnsi="Arial"/>
                <w:sz w:val="16"/>
                <w:szCs w:val="16"/>
                <w:color w:val="0000FF"/>
              </w:rPr>
            </w:pPr>
            <w:hyperlink r:id="rId198">
              <w:r>
                <w:rPr>
                  <w:rFonts w:ascii="Arial" w:cs="Arial" w:eastAsia="Arial" w:hAnsi="Arial"/>
                  <w:sz w:val="16"/>
                  <w:szCs w:val="16"/>
                  <w:color w:val="0000FF"/>
                </w:rPr>
                <w:t>Form of Pre-Funded Warrant to purchase common stock</w:t>
              </w:r>
            </w:hyperlink>
          </w:p>
        </w:tc>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1/8/26</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4"/>
                <w:szCs w:val="24"/>
                <w:color w:val="auto"/>
              </w:rPr>
            </w:pPr>
          </w:p>
        </w:tc>
        <w:tc>
          <w:tcPr>
            <w:tcW w:w="5900" w:type="dxa"/>
            <w:vAlign w:val="bottom"/>
            <w:gridSpan w:val="26"/>
          </w:tcPr>
          <w:p>
            <w:pPr>
              <w:spacing w:after="0"/>
              <w:rPr>
                <w:sz w:val="20"/>
                <w:szCs w:val="20"/>
                <w:color w:val="auto"/>
              </w:rPr>
            </w:pPr>
            <w:r>
              <w:rPr>
                <w:rFonts w:ascii="Arial" w:cs="Arial" w:eastAsia="Arial" w:hAnsi="Arial"/>
                <w:sz w:val="16"/>
                <w:szCs w:val="16"/>
                <w:color w:val="0000FF"/>
              </w:rPr>
              <w:t>Certification of Chief Executive Officer of Phathom Pharmaceuticals, Inc., as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2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6"/>
                <w:szCs w:val="16"/>
                <w:color w:val="0000FF"/>
                <w:w w:val="99"/>
              </w:rPr>
              <w:t>required by Rule 13a-14(a) or Rule 15d-14(a), as adopted pursuant to Section</w:t>
            </w:r>
          </w:p>
        </w:tc>
        <w:tc>
          <w:tcPr>
            <w:tcW w:w="10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284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4"/>
                <w:szCs w:val="24"/>
                <w:color w:val="auto"/>
              </w:rPr>
            </w:pPr>
          </w:p>
        </w:tc>
        <w:tc>
          <w:tcPr>
            <w:tcW w:w="5900" w:type="dxa"/>
            <w:vAlign w:val="bottom"/>
            <w:gridSpan w:val="26"/>
          </w:tcPr>
          <w:p>
            <w:pPr>
              <w:spacing w:after="0"/>
              <w:rPr>
                <w:sz w:val="20"/>
                <w:szCs w:val="20"/>
                <w:color w:val="auto"/>
              </w:rPr>
            </w:pPr>
            <w:r>
              <w:rPr>
                <w:rFonts w:ascii="Arial" w:cs="Arial" w:eastAsia="Arial" w:hAnsi="Arial"/>
                <w:sz w:val="16"/>
                <w:szCs w:val="16"/>
                <w:color w:val="0000FF"/>
              </w:rPr>
              <w:t>Certification of Chief Financial Officer of Phathom Pharmaceuticals, Inc., as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4140" w:type="dxa"/>
            <w:vAlign w:val="bottom"/>
            <w:gridSpan w:val="9"/>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900" w:type="dxa"/>
            <w:vAlign w:val="bottom"/>
            <w:gridSpan w:val="26"/>
          </w:tcPr>
          <w:p>
            <w:pPr>
              <w:spacing w:after="0" w:line="169" w:lineRule="exact"/>
              <w:rPr>
                <w:sz w:val="20"/>
                <w:szCs w:val="20"/>
                <w:color w:val="auto"/>
              </w:rPr>
            </w:pPr>
            <w:r>
              <w:rPr>
                <w:rFonts w:ascii="Arial" w:cs="Arial" w:eastAsia="Arial" w:hAnsi="Arial"/>
                <w:sz w:val="16"/>
                <w:szCs w:val="16"/>
                <w:color w:val="0000FF"/>
              </w:rPr>
              <w:t>required by Rule 13a-14(a) or Rule 15d-14(a), as adopted pursuant to Section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284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24"/>
                <w:szCs w:val="24"/>
                <w:color w:val="auto"/>
              </w:rPr>
            </w:pPr>
          </w:p>
        </w:tc>
        <w:tc>
          <w:tcPr>
            <w:tcW w:w="5900" w:type="dxa"/>
            <w:vAlign w:val="bottom"/>
            <w:gridSpan w:val="26"/>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4380" w:type="dxa"/>
            <w:vAlign w:val="bottom"/>
            <w:gridSpan w:val="1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00" w:type="dxa"/>
            <w:vAlign w:val="bottom"/>
            <w:gridSpan w:val="23"/>
          </w:tcPr>
          <w:p>
            <w:pPr>
              <w:spacing w:after="0" w:line="169" w:lineRule="exact"/>
              <w:rPr>
                <w:sz w:val="20"/>
                <w:szCs w:val="20"/>
                <w:color w:val="auto"/>
              </w:rPr>
            </w:pPr>
            <w:r>
              <w:rPr>
                <w:rFonts w:ascii="Arial" w:cs="Arial" w:eastAsia="Arial" w:hAnsi="Arial"/>
                <w:sz w:val="16"/>
                <w:szCs w:val="16"/>
                <w:color w:val="0000FF"/>
              </w:rPr>
              <w:t>Oxley Act of 2002</w:t>
            </w:r>
          </w:p>
        </w:tc>
        <w:tc>
          <w:tcPr>
            <w:tcW w:w="2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6"/>
            <w:shd w:val="clear" w:color="auto" w:fill="0000FF"/>
          </w:tcPr>
          <w:p>
            <w:pPr>
              <w:spacing w:after="0" w:line="20" w:lineRule="exact"/>
              <w:rPr>
                <w:sz w:val="1"/>
                <w:szCs w:val="1"/>
                <w:color w:val="auto"/>
              </w:rPr>
            </w:pPr>
          </w:p>
        </w:tc>
        <w:tc>
          <w:tcPr>
            <w:tcW w:w="4380" w:type="dxa"/>
            <w:vAlign w:val="bottom"/>
            <w:gridSpan w:val="1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24"/>
                <w:szCs w:val="24"/>
                <w:color w:val="auto"/>
              </w:rPr>
            </w:pPr>
          </w:p>
        </w:tc>
        <w:tc>
          <w:tcPr>
            <w:tcW w:w="5900" w:type="dxa"/>
            <w:vAlign w:val="bottom"/>
            <w:gridSpan w:val="26"/>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60" w:type="dxa"/>
            <w:vAlign w:val="bottom"/>
            <w:gridSpan w:val="21"/>
            <w:shd w:val="clear" w:color="auto" w:fill="0000FF"/>
          </w:tcPr>
          <w:p>
            <w:pPr>
              <w:spacing w:after="0" w:line="20" w:lineRule="exact"/>
              <w:rPr>
                <w:sz w:val="1"/>
                <w:szCs w:val="1"/>
                <w:color w:val="auto"/>
              </w:rPr>
            </w:pPr>
          </w:p>
        </w:tc>
        <w:tc>
          <w:tcPr>
            <w:tcW w:w="240" w:type="dxa"/>
            <w:vAlign w:val="bottom"/>
            <w:gridSpan w:val="5"/>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60" w:type="dxa"/>
            <w:vAlign w:val="bottom"/>
            <w:gridSpan w:val="21"/>
          </w:tcPr>
          <w:p>
            <w:pPr>
              <w:spacing w:after="0" w:line="169" w:lineRule="exact"/>
              <w:rPr>
                <w:sz w:val="20"/>
                <w:szCs w:val="20"/>
                <w:color w:val="auto"/>
              </w:rPr>
            </w:pPr>
            <w:r>
              <w:rPr>
                <w:rFonts w:ascii="Arial" w:cs="Arial" w:eastAsia="Arial" w:hAnsi="Arial"/>
                <w:sz w:val="16"/>
                <w:szCs w:val="16"/>
                <w:color w:val="0000FF"/>
              </w:rPr>
              <w:t>Oxley Act of 2002</w:t>
            </w:r>
          </w:p>
        </w:tc>
        <w:tc>
          <w:tcPr>
            <w:tcW w:w="240" w:type="dxa"/>
            <w:vAlign w:val="bottom"/>
            <w:gridSpan w:val="5"/>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6"/>
            <w:shd w:val="clear" w:color="auto" w:fill="0000FF"/>
          </w:tcPr>
          <w:p>
            <w:pPr>
              <w:spacing w:after="0" w:line="20" w:lineRule="exact"/>
              <w:rPr>
                <w:sz w:val="1"/>
                <w:szCs w:val="1"/>
                <w:color w:val="auto"/>
              </w:rPr>
            </w:pPr>
          </w:p>
        </w:tc>
        <w:tc>
          <w:tcPr>
            <w:tcW w:w="4620" w:type="dxa"/>
            <w:vAlign w:val="bottom"/>
            <w:gridSpan w:val="2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jc w:val="center"/>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5900" w:type="dxa"/>
            <w:vAlign w:val="bottom"/>
            <w:gridSpan w:val="26"/>
          </w:tcPr>
          <w:p>
            <w:pPr>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900" w:type="dxa"/>
            <w:vAlign w:val="bottom"/>
            <w:gridSpan w:val="26"/>
          </w:tcPr>
          <w:p>
            <w:pPr>
              <w:spacing w:after="0"/>
              <w:rPr>
                <w:sz w:val="20"/>
                <w:szCs w:val="20"/>
                <w:color w:val="auto"/>
              </w:rPr>
            </w:pPr>
            <w:r>
              <w:rPr>
                <w:rFonts w:ascii="Arial" w:cs="Arial" w:eastAsia="Arial" w:hAnsi="Arial"/>
                <w:sz w:val="16"/>
                <w:szCs w:val="16"/>
                <w:color w:val="auto"/>
              </w:rPr>
              <w:t>Interactive Data File because XBRL tags are embedded within the Inline XBRL</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00" w:type="dxa"/>
            <w:vAlign w:val="bottom"/>
            <w:gridSpan w:val="26"/>
          </w:tcPr>
          <w:p>
            <w:pPr>
              <w:spacing w:after="0"/>
              <w:rPr>
                <w:sz w:val="20"/>
                <w:szCs w:val="20"/>
                <w:color w:val="auto"/>
              </w:rPr>
            </w:pPr>
            <w:r>
              <w:rPr>
                <w:rFonts w:ascii="Arial" w:cs="Arial" w:eastAsia="Arial" w:hAnsi="Arial"/>
                <w:sz w:val="16"/>
                <w:szCs w:val="16"/>
                <w:color w:val="auto"/>
              </w:rPr>
              <w:t>document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60" w:type="dxa"/>
            <w:vAlign w:val="bottom"/>
          </w:tcPr>
          <w:p>
            <w:pPr>
              <w:jc w:val="center"/>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24"/>
                <w:szCs w:val="24"/>
                <w:color w:val="auto"/>
              </w:rPr>
            </w:pPr>
          </w:p>
        </w:tc>
        <w:tc>
          <w:tcPr>
            <w:tcW w:w="5900" w:type="dxa"/>
            <w:vAlign w:val="bottom"/>
            <w:gridSpan w:val="26"/>
          </w:tcPr>
          <w:p>
            <w:pPr>
              <w:spacing w:after="0"/>
              <w:rPr>
                <w:sz w:val="20"/>
                <w:szCs w:val="20"/>
                <w:color w:val="auto"/>
              </w:rPr>
            </w:pPr>
            <w:r>
              <w:rPr>
                <w:rFonts w:ascii="Arial" w:cs="Arial" w:eastAsia="Arial" w:hAnsi="Arial"/>
                <w:sz w:val="16"/>
                <w:szCs w:val="16"/>
                <w:color w:val="auto"/>
              </w:rPr>
              <w:t>Inline XBRL Taxonomy Extension Schema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180" w:hanging="781"/>
        <w:spacing w:after="0"/>
        <w:tabs>
          <w:tab w:leader="none" w:pos="1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66" w:lineRule="exact"/>
        <w:rPr>
          <w:rFonts w:ascii="Arial" w:cs="Arial" w:eastAsia="Arial" w:hAnsi="Arial"/>
          <w:sz w:val="16"/>
          <w:szCs w:val="16"/>
          <w:color w:val="auto"/>
        </w:rPr>
      </w:pPr>
    </w:p>
    <w:p>
      <w:pPr>
        <w:ind w:right="240"/>
        <w:spacing w:after="0" w:line="285" w:lineRule="auto"/>
        <w:rPr>
          <w:rFonts w:ascii="Arial" w:cs="Arial" w:eastAsia="Arial" w:hAnsi="Arial"/>
          <w:sz w:val="16"/>
          <w:szCs w:val="16"/>
          <w:color w:val="auto"/>
        </w:rPr>
      </w:pPr>
      <w:r>
        <w:rPr>
          <w:rFonts w:ascii="Arial" w:cs="Arial" w:eastAsia="Arial" w:hAnsi="Arial"/>
          <w:sz w:val="14"/>
          <w:szCs w:val="14"/>
          <w:color w:val="auto"/>
        </w:rPr>
        <w:t>*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PHATHOM PHARMACEUTICALS, INC.</w:t>
      </w:r>
    </w:p>
    <w:p>
      <w:pPr>
        <w:spacing w:after="0" w:line="198"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October 29, 2026</w:t>
      </w:r>
      <w:r>
        <w:rPr>
          <w:sz w:val="20"/>
          <w:szCs w:val="20"/>
          <w:color w:val="auto"/>
        </w:rPr>
        <w:tab/>
      </w:r>
      <w:r>
        <w:rPr>
          <w:rFonts w:ascii="Arial" w:cs="Arial" w:eastAsia="Arial" w:hAnsi="Arial"/>
          <w:sz w:val="18"/>
          <w:szCs w:val="18"/>
          <w:color w:val="auto"/>
        </w:rPr>
        <w:t>By:</w:t>
        <w:tab/>
        <w:t>/s/ Steven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Steven Basta</w:t>
      </w:r>
    </w:p>
    <w:p>
      <w:pPr>
        <w:ind w:left="6480"/>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October 29, 2026</w:t>
      </w:r>
      <w:r>
        <w:rPr>
          <w:sz w:val="20"/>
          <w:szCs w:val="20"/>
          <w:color w:val="auto"/>
        </w:rPr>
        <w:tab/>
      </w:r>
      <w:r>
        <w:rPr>
          <w:rFonts w:ascii="Arial" w:cs="Arial" w:eastAsia="Arial" w:hAnsi="Arial"/>
          <w:sz w:val="18"/>
          <w:szCs w:val="18"/>
          <w:color w:val="auto"/>
        </w:rPr>
        <w:t>By:</w:t>
        <w:tab/>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Sanjeev Narula</w:t>
      </w:r>
    </w:p>
    <w:p>
      <w:pPr>
        <w:ind w:left="6480"/>
        <w:spacing w:after="0" w:line="234" w:lineRule="auto"/>
        <w:rPr>
          <w:sz w:val="20"/>
          <w:szCs w:val="20"/>
          <w:color w:val="auto"/>
        </w:rPr>
      </w:pPr>
      <w:r>
        <w:rPr>
          <w:rFonts w:ascii="Arial" w:cs="Arial" w:eastAsia="Arial" w:hAnsi="Arial"/>
          <w:sz w:val="18"/>
          <w:szCs w:val="18"/>
          <w:color w:val="auto"/>
        </w:rPr>
        <w:t>Chief Financial and Business Officer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12" w:right="6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Basta, certify that:</w:t>
      </w:r>
    </w:p>
    <w:p>
      <w:pPr>
        <w:spacing w:after="0" w:line="223"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29,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Steven Basta</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Steven Basta</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President</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Sanjeev Narula, certify that:</w:t>
      </w:r>
    </w:p>
    <w:p>
      <w:pPr>
        <w:spacing w:after="0" w:line="223"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29,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Sanjeev Narula</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Sanjeev Narula</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and Business Officer</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jc w:val="both"/>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September 30, 2026 as filed with the Securities and Exchange Commission on the date hereof (the “Report”), I, Steven Basta,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Basta</w:t>
            </w:r>
          </w:p>
        </w:tc>
      </w:tr>
      <w:tr>
        <w:trPr>
          <w:trHeight w:val="191"/>
        </w:trPr>
        <w:tc>
          <w:tcPr>
            <w:tcW w:w="4000" w:type="dxa"/>
            <w:vAlign w:val="bottom"/>
          </w:tcPr>
          <w:p>
            <w:pPr>
              <w:spacing w:after="0"/>
              <w:rPr>
                <w:sz w:val="16"/>
                <w:szCs w:val="16"/>
                <w:color w:val="auto"/>
              </w:rPr>
            </w:pP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Basta</w:t>
            </w:r>
          </w:p>
        </w:tc>
      </w:tr>
      <w:tr>
        <w:trPr>
          <w:trHeight w:val="216"/>
        </w:trPr>
        <w:tc>
          <w:tcPr>
            <w:tcW w:w="40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2" w:name="page43"/>
    <w:bookmarkEnd w:id="42"/>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jc w:val="both"/>
        <w:ind w:right="4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September 30, 2026 as filed with the Securities and Exchange Commission on the date hereof (the “Report”), I, Sanjeev Narula, as Chief Financial &amp; Business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Sanjeev Narula</w:t>
            </w:r>
          </w:p>
        </w:tc>
      </w:tr>
      <w:tr>
        <w:trPr>
          <w:trHeight w:val="191"/>
        </w:trPr>
        <w:tc>
          <w:tcPr>
            <w:tcW w:w="400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Sanjeev Narula</w:t>
            </w:r>
          </w:p>
        </w:tc>
      </w:tr>
      <w:tr>
        <w:trPr>
          <w:trHeight w:val="216"/>
        </w:trPr>
        <w:tc>
          <w:tcPr>
            <w:tcW w:w="40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Business Officer</w:t>
            </w:r>
          </w:p>
        </w:tc>
      </w:tr>
      <w:tr>
        <w:trPr>
          <w:trHeight w:val="234"/>
        </w:trPr>
        <w:tc>
          <w:tcPr>
            <w:tcW w:w="4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lvl w:ilvl="1">
      <w:lvlJc w:val="left"/>
      <w:lvlText w:val="%2."/>
      <w:numFmt w:val="lowerLetter"/>
      <w:start w:val="1"/>
    </w:lvl>
  </w:abstractNum>
  <w:abstractNum w:abstractNumId="3">
    <w:nsid w:val="12200854"/>
    <w:multiLevelType w:val="hybridMultilevel"/>
    <w:lvl w:ilvl="0">
      <w:lvlJc w:val="left"/>
      <w:lvlText w:val="%1"/>
      <w:numFmt w:val="upperLetter"/>
      <w:start w:val="6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Roman"/>
      <w:start w:val="1"/>
    </w:lvl>
    <w:lvl w:ilvl="1">
      <w:lvlJc w:val="left"/>
      <w:lvlText w:val="%2."/>
      <w:numFmt w:val="lowerLetter"/>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6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188" Type="http://schemas.openxmlformats.org/officeDocument/2006/relationships/hyperlink" Target="https://www.sec.gov/Archives/edgar/data/1783183/000119312519277761/d795888dex31.htm" TargetMode="External"/><Relationship Id="rId189" Type="http://schemas.openxmlformats.org/officeDocument/2006/relationships/hyperlink" Target="https://www.sec.gov/Archives/edgar/data/1783183/000119312523156713/d487635dex31.htm" TargetMode="External"/><Relationship Id="rId190" Type="http://schemas.openxmlformats.org/officeDocument/2006/relationships/hyperlink" Target="https://www.sec.gov/ix?doc=/Archives/edgar/data/0001783183/000119312523296630/d602391d8k.htm" TargetMode="External"/><Relationship Id="rId191" Type="http://schemas.openxmlformats.org/officeDocument/2006/relationships/hyperlink" Target="https://www.sec.gov/Archives/edgar/data/1783183/000119312519267053/d63338dex41.htm" TargetMode="External"/><Relationship Id="rId192" Type="http://schemas.openxmlformats.org/officeDocument/2006/relationships/hyperlink" Target="https://www.sec.gov/Archives/edgar/data/1783183/000119312519258922/d63338dex43.htm" TargetMode="External"/><Relationship Id="rId193" Type="http://schemas.openxmlformats.org/officeDocument/2006/relationships/hyperlink" Target="https://www.sec.gov/Archives/edgar/data/1783183/000119312519258922/d63338dex44.htm" TargetMode="External"/><Relationship Id="rId194" Type="http://schemas.openxmlformats.org/officeDocument/2006/relationships/hyperlink" Target="https://www.sec.gov/Archives/edgar/data/1783183/000156459021055073/phat-ex102_212.htm" TargetMode="External"/><Relationship Id="rId195" Type="http://schemas.openxmlformats.org/officeDocument/2006/relationships/hyperlink" Target="https://www.sec.gov/Archives/edgar/data/1783183/000095017023020109/phat-ex4_5.htm" TargetMode="External"/><Relationship Id="rId196" Type="http://schemas.openxmlformats.org/officeDocument/2006/relationships/hyperlink" Target="https://www.sec.gov/Archives/edgar/data/1783183/000095017023020109/phat-ex4_6.htm" TargetMode="External"/><Relationship Id="rId197" Type="http://schemas.openxmlformats.org/officeDocument/2006/relationships/hyperlink" Target="https://www.sec.gov/Archives/edgar/data/1783183/000119312524202879/d816262dex41.htm" TargetMode="External"/><Relationship Id="rId198" Type="http://schemas.openxmlformats.org/officeDocument/2006/relationships/hyperlink" Target="https://www.sec.gov/Archives/edgar/data/1783183/000119312526007660/d68085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2026-10-29T06:08:50Z</dcterms:created>
  <dcterms:modified xsi:type="dcterms:W3CDTF">2026-10-29T06:08:50Z</dcterms:modified>
</cp:coreProperties>
</file>