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47625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57150</wp:posOffset>
            </wp:positionV>
            <wp:extent cx="548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9" w:lineRule="exact"/>
        <w:rPr>
          <w:sz w:val="24"/>
          <w:szCs w:val="24"/>
          <w:color w:val="auto"/>
        </w:rPr>
      </w:pPr>
    </w:p>
    <w:tbl>
      <w:tblPr>
        <w:tblLayout w:type="fixed"/>
        <w:tblInd w:w="386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720" w:type="dxa"/>
            <w:vAlign w:val="bottom"/>
            <w:tcBorders>
              <w:bottom w:val="single" w:sz="8" w:color="auto"/>
            </w:tcBorders>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tcPr>
          <w:p>
            <w:pPr>
              <w:spacing w:after="0"/>
              <w:rPr>
                <w:sz w:val="14"/>
                <w:szCs w:val="14"/>
                <w:color w:val="auto"/>
              </w:rPr>
            </w:pPr>
          </w:p>
        </w:tc>
      </w:tr>
      <w:tr>
        <w:trPr>
          <w:trHeight w:val="197"/>
        </w:trPr>
        <w:tc>
          <w:tcPr>
            <w:tcW w:w="3520" w:type="dxa"/>
            <w:vAlign w:val="bottom"/>
            <w:gridSpan w:val="4"/>
          </w:tcPr>
          <w:p>
            <w:pPr>
              <w:ind w:left="660"/>
              <w:spacing w:after="0"/>
              <w:rPr>
                <w:sz w:val="20"/>
                <w:szCs w:val="20"/>
                <w:color w:val="auto"/>
              </w:rPr>
            </w:pPr>
            <w:r>
              <w:rPr>
                <w:rFonts w:ascii="Arial" w:cs="Arial" w:eastAsia="Arial" w:hAnsi="Arial"/>
                <w:sz w:val="14"/>
                <w:szCs w:val="14"/>
                <w:b w:val="1"/>
                <w:bCs w:val="1"/>
                <w:color w:val="auto"/>
              </w:rPr>
              <w:t>Commission file number: 001-39094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16510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PHATHOM PHARMACEUTICALS,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22225</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jc w:val="center"/>
              <w:ind w:left="1791"/>
              <w:spacing w:after="0"/>
              <w:rPr>
                <w:sz w:val="20"/>
                <w:szCs w:val="20"/>
                <w:color w:val="auto"/>
              </w:rPr>
            </w:pPr>
            <w:r>
              <w:rPr>
                <w:rFonts w:ascii="Arial" w:cs="Arial" w:eastAsia="Arial" w:hAnsi="Arial"/>
                <w:sz w:val="14"/>
                <w:szCs w:val="14"/>
                <w:b w:val="1"/>
                <w:bCs w:val="1"/>
                <w:color w:val="auto"/>
                <w:w w:val="94"/>
              </w:rPr>
              <w:t>Delaware</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40" w:type="dxa"/>
            <w:vAlign w:val="bottom"/>
          </w:tcPr>
          <w:p>
            <w:pPr>
              <w:jc w:val="right"/>
              <w:ind w:right="2331"/>
              <w:spacing w:after="0"/>
              <w:rPr>
                <w:sz w:val="20"/>
                <w:szCs w:val="20"/>
                <w:color w:val="auto"/>
              </w:rPr>
            </w:pPr>
            <w:r>
              <w:rPr>
                <w:rFonts w:ascii="Arial" w:cs="Arial" w:eastAsia="Arial" w:hAnsi="Arial"/>
                <w:sz w:val="14"/>
                <w:szCs w:val="14"/>
                <w:b w:val="1"/>
                <w:bCs w:val="1"/>
                <w:color w:val="auto"/>
              </w:rPr>
              <w:t>82-4151574</w:t>
            </w:r>
          </w:p>
        </w:tc>
        <w:tc>
          <w:tcPr>
            <w:tcW w:w="0" w:type="dxa"/>
            <w:vAlign w:val="bottom"/>
          </w:tcPr>
          <w:p>
            <w:pPr>
              <w:spacing w:after="0"/>
              <w:rPr>
                <w:sz w:val="1"/>
                <w:szCs w:val="1"/>
                <w:color w:val="auto"/>
              </w:rPr>
            </w:pPr>
          </w:p>
        </w:tc>
      </w:tr>
      <w:tr>
        <w:trPr>
          <w:trHeight w:val="149"/>
        </w:trPr>
        <w:tc>
          <w:tcPr>
            <w:tcW w:w="3680" w:type="dxa"/>
            <w:vAlign w:val="bottom"/>
          </w:tcPr>
          <w:p>
            <w:pPr>
              <w:jc w:val="center"/>
              <w:ind w:left="1771"/>
              <w:spacing w:after="0"/>
              <w:rPr>
                <w:sz w:val="20"/>
                <w:szCs w:val="20"/>
                <w:color w:val="auto"/>
              </w:rPr>
            </w:pPr>
            <w:r>
              <w:rPr>
                <w:rFonts w:ascii="Arial" w:cs="Arial" w:eastAsia="Arial" w:hAnsi="Arial"/>
                <w:sz w:val="13"/>
                <w:szCs w:val="13"/>
                <w:b w:val="1"/>
                <w:bCs w:val="1"/>
                <w:color w:val="auto"/>
                <w:w w:val="95"/>
              </w:rPr>
              <w:t>(State or Other Jurisdiction of</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jc w:val="center"/>
              <w:ind w:right="2091"/>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680" w:type="dxa"/>
            <w:vAlign w:val="bottom"/>
          </w:tcPr>
          <w:p>
            <w:pPr>
              <w:jc w:val="center"/>
              <w:ind w:left="1771"/>
              <w:spacing w:after="0"/>
              <w:rPr>
                <w:sz w:val="20"/>
                <w:szCs w:val="20"/>
                <w:color w:val="auto"/>
              </w:rPr>
            </w:pPr>
            <w:r>
              <w:rPr>
                <w:rFonts w:ascii="Arial" w:cs="Arial" w:eastAsia="Arial" w:hAnsi="Arial"/>
                <w:sz w:val="13"/>
                <w:szCs w:val="13"/>
                <w:b w:val="1"/>
                <w:bCs w:val="1"/>
                <w:color w:val="auto"/>
                <w:w w:val="95"/>
              </w:rPr>
              <w:t>Incorporation or Organization)</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40" w:type="dxa"/>
            <w:vAlign w:val="bottom"/>
          </w:tcPr>
          <w:p>
            <w:pPr>
              <w:jc w:val="center"/>
              <w:ind w:right="2091"/>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180"/>
        </w:trPr>
        <w:tc>
          <w:tcPr>
            <w:tcW w:w="3680" w:type="dxa"/>
            <w:vAlign w:val="bottom"/>
          </w:tcPr>
          <w:p>
            <w:pPr>
              <w:jc w:val="center"/>
              <w:ind w:left="1791"/>
              <w:spacing w:after="0"/>
              <w:rPr>
                <w:sz w:val="20"/>
                <w:szCs w:val="20"/>
                <w:color w:val="auto"/>
              </w:rPr>
            </w:pPr>
            <w:r>
              <w:rPr>
                <w:rFonts w:ascii="Arial" w:cs="Arial" w:eastAsia="Arial" w:hAnsi="Arial"/>
                <w:sz w:val="14"/>
                <w:szCs w:val="14"/>
                <w:b w:val="1"/>
                <w:bCs w:val="1"/>
                <w:color w:val="auto"/>
                <w:w w:val="93"/>
              </w:rPr>
              <w:t>100 Campus Drive, Suite 102</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680" w:type="dxa"/>
            <w:vAlign w:val="bottom"/>
          </w:tcPr>
          <w:p>
            <w:pPr>
              <w:jc w:val="center"/>
              <w:ind w:left="1771"/>
              <w:spacing w:after="0"/>
              <w:rPr>
                <w:sz w:val="20"/>
                <w:szCs w:val="20"/>
                <w:color w:val="auto"/>
              </w:rPr>
            </w:pPr>
            <w:r>
              <w:rPr>
                <w:rFonts w:ascii="Arial" w:cs="Arial" w:eastAsia="Arial" w:hAnsi="Arial"/>
                <w:sz w:val="14"/>
                <w:szCs w:val="14"/>
                <w:b w:val="1"/>
                <w:bCs w:val="1"/>
                <w:color w:val="auto"/>
                <w:w w:val="94"/>
              </w:rPr>
              <w:t>Florham Park, New Jersey</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40" w:type="dxa"/>
            <w:vAlign w:val="bottom"/>
          </w:tcPr>
          <w:p>
            <w:pPr>
              <w:jc w:val="right"/>
              <w:ind w:right="2491"/>
              <w:spacing w:after="0"/>
              <w:rPr>
                <w:sz w:val="20"/>
                <w:szCs w:val="20"/>
                <w:color w:val="auto"/>
              </w:rPr>
            </w:pPr>
            <w:r>
              <w:rPr>
                <w:rFonts w:ascii="Arial" w:cs="Arial" w:eastAsia="Arial" w:hAnsi="Arial"/>
                <w:sz w:val="14"/>
                <w:szCs w:val="14"/>
                <w:b w:val="1"/>
                <w:bCs w:val="1"/>
                <w:color w:val="auto"/>
              </w:rPr>
              <w:t>07932</w:t>
            </w:r>
          </w:p>
        </w:tc>
        <w:tc>
          <w:tcPr>
            <w:tcW w:w="0" w:type="dxa"/>
            <w:vAlign w:val="bottom"/>
          </w:tcPr>
          <w:p>
            <w:pPr>
              <w:spacing w:after="0"/>
              <w:rPr>
                <w:sz w:val="1"/>
                <w:szCs w:val="1"/>
                <w:color w:val="auto"/>
              </w:rPr>
            </w:pPr>
          </w:p>
        </w:tc>
      </w:tr>
      <w:tr>
        <w:trPr>
          <w:trHeight w:val="174"/>
        </w:trPr>
        <w:tc>
          <w:tcPr>
            <w:tcW w:w="7060" w:type="dxa"/>
            <w:vAlign w:val="bottom"/>
            <w:gridSpan w:val="7"/>
          </w:tcPr>
          <w:p>
            <w:pPr>
              <w:jc w:val="center"/>
              <w:ind w:right="154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40" w:type="dxa"/>
            <w:vAlign w:val="bottom"/>
          </w:tcPr>
          <w:p>
            <w:pPr>
              <w:jc w:val="center"/>
              <w:ind w:right="2091"/>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204"/>
        </w:trPr>
        <w:tc>
          <w:tcPr>
            <w:tcW w:w="7900" w:type="dxa"/>
            <w:vAlign w:val="bottom"/>
            <w:gridSpan w:val="10"/>
          </w:tcPr>
          <w:p>
            <w:pPr>
              <w:jc w:val="center"/>
              <w:ind w:left="3271"/>
              <w:spacing w:after="0"/>
              <w:rPr>
                <w:sz w:val="20"/>
                <w:szCs w:val="20"/>
                <w:color w:val="auto"/>
              </w:rPr>
            </w:pPr>
            <w:r>
              <w:rPr>
                <w:rFonts w:ascii="Arial" w:cs="Arial" w:eastAsia="Arial" w:hAnsi="Arial"/>
                <w:sz w:val="14"/>
                <w:szCs w:val="14"/>
                <w:b w:val="1"/>
                <w:bCs w:val="1"/>
                <w:color w:val="auto"/>
                <w:w w:val="93"/>
              </w:rPr>
              <w:t>Registrant’s Telephone Number, Including Area Code: (877) 742-8466</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6"/>
                <w:szCs w:val="16"/>
                <w:color w:val="auto"/>
              </w:rPr>
            </w:pPr>
          </w:p>
        </w:tc>
        <w:tc>
          <w:tcPr>
            <w:tcW w:w="390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80" w:type="dxa"/>
            <w:vAlign w:val="bottom"/>
          </w:tcPr>
          <w:p>
            <w:pPr>
              <w:ind w:left="1500"/>
              <w:spacing w:after="0"/>
              <w:rPr>
                <w:sz w:val="20"/>
                <w:szCs w:val="20"/>
                <w:color w:val="auto"/>
              </w:rPr>
            </w:pPr>
            <w:r>
              <w:rPr>
                <w:rFonts w:ascii="Arial" w:cs="Arial" w:eastAsia="Arial" w:hAnsi="Arial"/>
                <w:sz w:val="14"/>
                <w:szCs w:val="14"/>
                <w:b w:val="1"/>
                <w:bCs w:val="1"/>
                <w:color w:val="auto"/>
              </w:rPr>
              <w:t>Title of each class</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Trading Symbol(s)</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60" w:type="dxa"/>
            <w:vAlign w:val="bottom"/>
            <w:gridSpan w:val="2"/>
          </w:tcPr>
          <w:p>
            <w:pPr>
              <w:jc w:val="center"/>
              <w:ind w:right="411"/>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60"/>
        </w:trPr>
        <w:tc>
          <w:tcPr>
            <w:tcW w:w="3680" w:type="dxa"/>
            <w:vAlign w:val="bottom"/>
            <w:tcBorders>
              <w:top w:val="single" w:sz="8" w:color="auto"/>
            </w:tcBorders>
          </w:tcPr>
          <w:p>
            <w:pPr>
              <w:ind w:left="800"/>
              <w:spacing w:after="0"/>
              <w:rPr>
                <w:sz w:val="20"/>
                <w:szCs w:val="20"/>
                <w:color w:val="auto"/>
              </w:rPr>
            </w:pPr>
            <w:r>
              <w:rPr>
                <w:rFonts w:ascii="Arial" w:cs="Arial" w:eastAsia="Arial" w:hAnsi="Arial"/>
                <w:sz w:val="13"/>
                <w:szCs w:val="13"/>
                <w:b w:val="1"/>
                <w:bCs w:val="1"/>
                <w:color w:val="auto"/>
              </w:rPr>
              <w:t>Common Stock, par value $0.0001 per share</w:t>
            </w:r>
          </w:p>
        </w:tc>
        <w:tc>
          <w:tcPr>
            <w:tcW w:w="4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3"/>
                <w:szCs w:val="13"/>
                <w:b w:val="1"/>
                <w:bCs w:val="1"/>
                <w:color w:val="auto"/>
              </w:rPr>
              <w:t>PHAT</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340" w:type="dxa"/>
            <w:vAlign w:val="bottom"/>
            <w:tcBorders>
              <w:top w:val="single" w:sz="8" w:color="auto"/>
            </w:tcBorders>
          </w:tcPr>
          <w:p>
            <w:pPr>
              <w:jc w:val="center"/>
              <w:ind w:right="751"/>
              <w:spacing w:after="0"/>
              <w:rPr>
                <w:sz w:val="20"/>
                <w:szCs w:val="20"/>
                <w:color w:val="auto"/>
              </w:rPr>
            </w:pPr>
            <w:r>
              <w:rPr>
                <w:rFonts w:ascii="Arial" w:cs="Arial" w:eastAsia="Arial" w:hAnsi="Arial"/>
                <w:sz w:val="13"/>
                <w:szCs w:val="13"/>
                <w:b w:val="1"/>
                <w:bCs w:val="1"/>
                <w:color w:val="auto"/>
                <w:w w:val="95"/>
              </w:rPr>
              <w:t>The Nasdaq Global Select Market</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390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200" w:type="dxa"/>
            <w:vAlign w:val="bottom"/>
            <w:gridSpan w:val="4"/>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0" w:type="dxa"/>
            <w:vAlign w:val="bottom"/>
            <w:gridSpan w:val="2"/>
          </w:tcPr>
          <w:p>
            <w:pPr>
              <w:spacing w:after="0"/>
              <w:rPr>
                <w:sz w:val="3"/>
                <w:szCs w:val="3"/>
                <w:color w:val="auto"/>
              </w:rPr>
            </w:pPr>
          </w:p>
        </w:tc>
        <w:tc>
          <w:tcPr>
            <w:tcW w:w="520" w:type="dxa"/>
            <w:vAlign w:val="bottom"/>
            <w:gridSpan w:val="2"/>
            <w:vMerge w:val="restart"/>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660" w:type="dxa"/>
            <w:vAlign w:val="bottom"/>
            <w:gridSpan w:val="2"/>
            <w:vMerge w:val="restart"/>
          </w:tcPr>
          <w:p>
            <w:pPr>
              <w:jc w:val="center"/>
              <w:ind w:right="3231"/>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74"/>
        </w:trPr>
        <w:tc>
          <w:tcPr>
            <w:tcW w:w="7060" w:type="dxa"/>
            <w:vAlign w:val="bottom"/>
            <w:gridSpan w:val="7"/>
          </w:tcPr>
          <w:p>
            <w:pPr>
              <w:ind w:left="600"/>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520" w:type="dxa"/>
            <w:vAlign w:val="bottom"/>
            <w:gridSpan w:val="2"/>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060" w:type="dxa"/>
            <w:vAlign w:val="bottom"/>
            <w:gridSpan w:val="7"/>
          </w:tcPr>
          <w:p>
            <w:pPr>
              <w:ind w:left="600"/>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40" w:type="dxa"/>
            <w:vAlign w:val="bottom"/>
          </w:tcPr>
          <w:p>
            <w:pPr>
              <w:spacing w:after="0"/>
              <w:rPr>
                <w:sz w:val="18"/>
                <w:szCs w:val="18"/>
                <w:color w:val="auto"/>
              </w:rPr>
            </w:pPr>
          </w:p>
        </w:tc>
        <w:tc>
          <w:tcPr>
            <w:tcW w:w="480" w:type="dxa"/>
            <w:vAlign w:val="bottom"/>
          </w:tcPr>
          <w:p>
            <w:pPr>
              <w:ind w:left="80"/>
              <w:spacing w:after="0" w:line="150" w:lineRule="exact"/>
              <w:rPr>
                <w:sz w:val="20"/>
                <w:szCs w:val="20"/>
                <w:color w:val="auto"/>
              </w:rPr>
            </w:pPr>
            <w:r>
              <w:rPr>
                <w:rFonts w:ascii="Arial" w:cs="Arial" w:eastAsia="Arial" w:hAnsi="Arial"/>
                <w:sz w:val="13"/>
                <w:szCs w:val="13"/>
                <w:color w:val="auto"/>
                <w:w w:val="97"/>
              </w:rPr>
              <w:t xml:space="preserve">Yes </w:t>
            </w:r>
            <w:r>
              <w:rPr>
                <w:rFonts w:ascii="MS PGothic" w:cs="MS PGothic" w:eastAsia="MS PGothic" w:hAnsi="MS PGothic"/>
                <w:sz w:val="13"/>
                <w:szCs w:val="13"/>
                <w:color w:val="auto"/>
                <w:w w:val="97"/>
              </w:rPr>
              <w:t>☐</w:t>
            </w:r>
          </w:p>
        </w:tc>
        <w:tc>
          <w:tcPr>
            <w:tcW w:w="320" w:type="dxa"/>
            <w:vAlign w:val="bottom"/>
          </w:tcPr>
          <w:p>
            <w:pPr>
              <w:ind w:left="120"/>
              <w:spacing w:after="0"/>
              <w:rPr>
                <w:sz w:val="20"/>
                <w:szCs w:val="20"/>
                <w:color w:val="auto"/>
              </w:rPr>
            </w:pPr>
            <w:r>
              <w:rPr>
                <w:rFonts w:ascii="Arial" w:cs="Arial" w:eastAsia="Arial" w:hAnsi="Arial"/>
                <w:sz w:val="13"/>
                <w:szCs w:val="13"/>
                <w:color w:val="auto"/>
              </w:rPr>
              <w:t>No</w:t>
            </w:r>
          </w:p>
        </w:tc>
        <w:tc>
          <w:tcPr>
            <w:tcW w:w="334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35"/>
        </w:trPr>
        <w:tc>
          <w:tcPr>
            <w:tcW w:w="11240" w:type="dxa"/>
            <w:vAlign w:val="bottom"/>
            <w:gridSpan w:val="11"/>
          </w:tcPr>
          <w:p>
            <w:pPr>
              <w:ind w:left="600"/>
              <w:spacing w:after="0" w:line="135" w:lineRule="exact"/>
              <w:rPr>
                <w:sz w:val="20"/>
                <w:szCs w:val="20"/>
                <w:color w:val="auto"/>
              </w:rPr>
            </w:pPr>
            <w:r>
              <w:rPr>
                <w:rFonts w:ascii="Arial" w:cs="Arial" w:eastAsia="Arial" w:hAnsi="Arial"/>
                <w:sz w:val="13"/>
                <w:szCs w:val="13"/>
                <w:color w:val="auto"/>
                <w:w w:val="94"/>
              </w:rPr>
              <w:t>Indicate by check mark whether the registrant (1) has filed all reports required to be filed by Section 13 or 15(d) of the Securities Exchange Act of 1934 during the preceding 12 months (or for such</w:t>
            </w:r>
          </w:p>
        </w:tc>
        <w:tc>
          <w:tcPr>
            <w:tcW w:w="0" w:type="dxa"/>
            <w:vAlign w:val="bottom"/>
          </w:tcPr>
          <w:p>
            <w:pPr>
              <w:spacing w:after="0"/>
              <w:rPr>
                <w:sz w:val="1"/>
                <w:szCs w:val="1"/>
                <w:color w:val="auto"/>
              </w:rPr>
            </w:pPr>
          </w:p>
        </w:tc>
      </w:tr>
      <w:tr>
        <w:trPr>
          <w:trHeight w:val="204"/>
        </w:trPr>
        <w:tc>
          <w:tcPr>
            <w:tcW w:w="7580" w:type="dxa"/>
            <w:vAlign w:val="bottom"/>
            <w:gridSpan w:val="9"/>
          </w:tcPr>
          <w:p>
            <w:pPr>
              <w:spacing w:after="0"/>
              <w:rPr>
                <w:sz w:val="20"/>
                <w:szCs w:val="20"/>
                <w:color w:val="auto"/>
              </w:rPr>
            </w:pPr>
            <w:r>
              <w:rPr>
                <w:rFonts w:ascii="Arial" w:cs="Arial" w:eastAsia="Arial" w:hAnsi="Arial"/>
                <w:sz w:val="13"/>
                <w:szCs w:val="13"/>
                <w:color w:val="auto"/>
                <w:w w:val="94"/>
              </w:rPr>
              <w:t>shorter period that the registrant was required to file such reports), and (2) has been subject to such filing requirements for the past 90 days.</w:t>
            </w:r>
          </w:p>
        </w:tc>
        <w:tc>
          <w:tcPr>
            <w:tcW w:w="320" w:type="dxa"/>
            <w:vAlign w:val="bottom"/>
          </w:tcPr>
          <w:p>
            <w:pPr>
              <w:jc w:val="center"/>
              <w:spacing w:after="0"/>
              <w:rPr>
                <w:sz w:val="20"/>
                <w:szCs w:val="20"/>
                <w:color w:val="auto"/>
              </w:rPr>
            </w:pPr>
            <w:r>
              <w:rPr>
                <w:rFonts w:ascii="Arial" w:cs="Arial" w:eastAsia="Arial" w:hAnsi="Arial"/>
                <w:sz w:val="13"/>
                <w:szCs w:val="13"/>
                <w:color w:val="auto"/>
                <w:w w:val="89"/>
              </w:rPr>
              <w:t>Yes</w:t>
            </w:r>
          </w:p>
        </w:tc>
        <w:tc>
          <w:tcPr>
            <w:tcW w:w="3340" w:type="dxa"/>
            <w:vAlign w:val="bottom"/>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ind w:right="160" w:firstLine="589"/>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 w:lineRule="exact"/>
        <w:rPr>
          <w:sz w:val="24"/>
          <w:szCs w:val="24"/>
          <w:color w:val="auto"/>
        </w:rPr>
      </w:pPr>
    </w:p>
    <w:p>
      <w:pPr>
        <w:ind w:right="520" w:firstLine="589"/>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0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20"/>
              <w:spacing w:after="0"/>
              <w:rPr>
                <w:sz w:val="20"/>
                <w:szCs w:val="20"/>
                <w:color w:val="auto"/>
              </w:rPr>
            </w:pPr>
            <w:r>
              <w:rPr>
                <w:rFonts w:ascii="Arial" w:cs="Arial" w:eastAsia="Arial" w:hAnsi="Arial"/>
                <w:sz w:val="13"/>
                <w:szCs w:val="13"/>
                <w:color w:val="auto"/>
              </w:rPr>
              <w:t>Accelerated filer</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2000" w:type="dxa"/>
            <w:vAlign w:val="bottom"/>
          </w:tcPr>
          <w:p>
            <w:pPr>
              <w:spacing w:after="0"/>
              <w:rPr>
                <w:sz w:val="20"/>
                <w:szCs w:val="20"/>
                <w:color w:val="auto"/>
              </w:rPr>
            </w:pPr>
            <w:r>
              <w:rPr>
                <w:rFonts w:ascii="Arial" w:cs="Arial" w:eastAsia="Arial" w:hAnsi="Arial"/>
                <w:sz w:val="13"/>
                <w:szCs w:val="13"/>
                <w:color w:val="auto"/>
              </w:rPr>
              <w:t>Non-accelerated filer</w:t>
            </w:r>
          </w:p>
        </w:tc>
        <w:tc>
          <w:tcPr>
            <w:tcW w:w="35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20"/>
              <w:spacing w:after="0"/>
              <w:rPr>
                <w:sz w:val="20"/>
                <w:szCs w:val="20"/>
                <w:color w:val="auto"/>
              </w:rPr>
            </w:pPr>
            <w:r>
              <w:rPr>
                <w:rFonts w:ascii="Arial" w:cs="Arial" w:eastAsia="Arial" w:hAnsi="Arial"/>
                <w:sz w:val="13"/>
                <w:szCs w:val="13"/>
                <w:color w:val="auto"/>
              </w:rPr>
              <w:t>Smaller reporting company</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20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spacing w:after="0" w:line="3" w:lineRule="exact"/>
        <w:rPr>
          <w:sz w:val="24"/>
          <w:szCs w:val="24"/>
          <w:color w:val="auto"/>
        </w:rPr>
      </w:pPr>
    </w:p>
    <w:p>
      <w:pPr>
        <w:jc w:val="both"/>
        <w:ind w:right="100" w:firstLine="589"/>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600"/>
        <w:spacing w:after="0" w:line="150" w:lineRule="exact"/>
        <w:tabs>
          <w:tab w:leader="none" w:pos="67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40" w:lineRule="exact"/>
        <w:rPr>
          <w:sz w:val="24"/>
          <w:szCs w:val="24"/>
          <w:color w:val="auto"/>
        </w:rPr>
      </w:pPr>
    </w:p>
    <w:p>
      <w:pPr>
        <w:ind w:right="60" w:firstLine="589"/>
        <w:spacing w:after="0" w:line="248" w:lineRule="auto"/>
        <w:rPr>
          <w:sz w:val="20"/>
          <w:szCs w:val="20"/>
          <w:color w:val="auto"/>
        </w:rPr>
      </w:pPr>
      <w:r>
        <w:rPr>
          <w:rFonts w:ascii="Arial" w:cs="Arial" w:eastAsia="Arial" w:hAnsi="Arial"/>
          <w:sz w:val="13"/>
          <w:szCs w:val="13"/>
          <w:color w:val="auto"/>
        </w:rPr>
        <w:t>As of October 31, 2019, the aggregate market value of the registrant’s common stock held by non-affiliates of the registrant was approximately $366.4 million, based on the closing price of the registrant’s common stock on the Nasdaq Global Select Market of $23.62 per share. The registrant has elected to use October 31, 2019 as the calculation date, as on June 30, 2019 (the last business day of the registrant’s most recently completed second fiscal quarter) the registrant was a privately-held concern.</w:t>
      </w:r>
    </w:p>
    <w:p>
      <w:pPr>
        <w:spacing w:after="0" w:line="12" w:lineRule="exact"/>
        <w:rPr>
          <w:sz w:val="24"/>
          <w:szCs w:val="24"/>
          <w:color w:val="auto"/>
        </w:rPr>
      </w:pPr>
    </w:p>
    <w:p>
      <w:pPr>
        <w:ind w:left="600"/>
        <w:spacing w:after="0"/>
        <w:rPr>
          <w:sz w:val="20"/>
          <w:szCs w:val="20"/>
          <w:color w:val="auto"/>
        </w:rPr>
      </w:pPr>
      <w:r>
        <w:rPr>
          <w:rFonts w:ascii="Arial" w:cs="Arial" w:eastAsia="Arial" w:hAnsi="Arial"/>
          <w:sz w:val="13"/>
          <w:szCs w:val="13"/>
          <w:color w:val="auto"/>
        </w:rPr>
        <w:t>As of March 12, 2020, the registrant had 28,964,506 shares of common stock ($0.0001 par value) outstanding.</w:t>
      </w:r>
    </w:p>
    <w:p>
      <w:pPr>
        <w:spacing w:after="0" w:line="24" w:lineRule="exact"/>
        <w:rPr>
          <w:sz w:val="24"/>
          <w:szCs w:val="24"/>
          <w:color w:val="auto"/>
        </w:rPr>
      </w:pPr>
    </w:p>
    <w:p>
      <w:pPr>
        <w:ind w:left="40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2" w:lineRule="exact"/>
        <w:rPr>
          <w:sz w:val="24"/>
          <w:szCs w:val="24"/>
          <w:color w:val="auto"/>
        </w:rPr>
      </w:pPr>
    </w:p>
    <w:p>
      <w:pPr>
        <w:ind w:right="60" w:firstLine="589"/>
        <w:spacing w:after="0" w:line="274" w:lineRule="auto"/>
        <w:rPr>
          <w:sz w:val="20"/>
          <w:szCs w:val="20"/>
          <w:color w:val="auto"/>
        </w:rPr>
      </w:pPr>
      <w:r>
        <w:rPr>
          <w:rFonts w:ascii="Arial" w:cs="Arial" w:eastAsia="Arial" w:hAnsi="Arial"/>
          <w:sz w:val="13"/>
          <w:szCs w:val="13"/>
          <w:color w:val="auto"/>
        </w:rPr>
        <w:t>Certain sections of the registrant’s definitive proxy statement for the 2020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4"/>
          <w:szCs w:val="14"/>
          <w:color w:val="auto"/>
        </w:rPr>
        <w:t>US-DOCS\113023198.3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11"/>
          </w:tcPr>
          <w:p>
            <w:pPr>
              <w:jc w:val="center"/>
              <w:ind w:right="2100"/>
              <w:spacing w:after="0"/>
              <w:rPr>
                <w:sz w:val="20"/>
                <w:szCs w:val="20"/>
                <w:color w:val="auto"/>
              </w:rPr>
            </w:pPr>
            <w:r>
              <w:rPr>
                <w:rFonts w:ascii="Arial" w:cs="Arial" w:eastAsia="Arial" w:hAnsi="Arial"/>
                <w:sz w:val="18"/>
                <w:szCs w:val="18"/>
                <w:b w:val="1"/>
                <w:bCs w:val="1"/>
                <w:color w:val="auto"/>
              </w:rPr>
              <w:t>PHATHOM PHARMACEUTICALS, INC.</w:t>
            </w:r>
          </w:p>
        </w:tc>
        <w:tc>
          <w:tcPr>
            <w:tcW w:w="116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40" w:type="dxa"/>
            <w:vAlign w:val="bottom"/>
            <w:gridSpan w:val="8"/>
          </w:tcPr>
          <w:p>
            <w:pPr>
              <w:jc w:val="center"/>
              <w:ind w:right="3420"/>
              <w:spacing w:after="0"/>
              <w:rPr>
                <w:sz w:val="20"/>
                <w:szCs w:val="20"/>
                <w:color w:val="auto"/>
              </w:rPr>
            </w:pPr>
            <w:r>
              <w:rPr>
                <w:rFonts w:ascii="Arial" w:cs="Arial" w:eastAsia="Arial" w:hAnsi="Arial"/>
                <w:sz w:val="18"/>
                <w:szCs w:val="18"/>
                <w:b w:val="1"/>
                <w:bCs w:val="1"/>
                <w:color w:val="auto"/>
                <w:w w:val="98"/>
              </w:rPr>
              <w:t>TABLE OF CONTENTS</w:t>
            </w:r>
          </w:p>
        </w:tc>
        <w:tc>
          <w:tcPr>
            <w:tcW w:w="1160" w:type="dxa"/>
            <w:vAlign w:val="bottom"/>
          </w:tcPr>
          <w:p>
            <w:pPr>
              <w:spacing w:after="0"/>
              <w:rPr>
                <w:sz w:val="24"/>
                <w:szCs w:val="24"/>
                <w:color w:val="auto"/>
              </w:rPr>
            </w:pPr>
          </w:p>
        </w:tc>
      </w:tr>
      <w:tr>
        <w:trPr>
          <w:trHeight w:val="38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40" w:type="dxa"/>
            <w:vAlign w:val="bottom"/>
            <w:gridSpan w:val="8"/>
          </w:tcPr>
          <w:p>
            <w:pPr>
              <w:jc w:val="center"/>
              <w:ind w:right="3400"/>
              <w:spacing w:after="0"/>
              <w:rPr>
                <w:sz w:val="20"/>
                <w:szCs w:val="20"/>
                <w:color w:val="auto"/>
              </w:rPr>
            </w:pPr>
            <w:r>
              <w:rPr>
                <w:rFonts w:ascii="Arial" w:cs="Arial" w:eastAsia="Arial" w:hAnsi="Arial"/>
                <w:sz w:val="18"/>
                <w:szCs w:val="18"/>
                <w:b w:val="1"/>
                <w:bCs w:val="1"/>
                <w:color w:val="auto"/>
              </w:rPr>
              <w:t>FORM 10-K</w:t>
            </w:r>
          </w:p>
        </w:tc>
        <w:tc>
          <w:tcPr>
            <w:tcW w:w="11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160" w:type="dxa"/>
            <w:vAlign w:val="bottom"/>
          </w:tcPr>
          <w:p>
            <w:pPr>
              <w:spacing w:after="0"/>
              <w:rPr>
                <w:sz w:val="20"/>
                <w:szCs w:val="20"/>
                <w:color w:val="auto"/>
              </w:rPr>
            </w:pPr>
          </w:p>
        </w:tc>
      </w:tr>
      <w:tr>
        <w:trPr>
          <w:trHeight w:val="391"/>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80" w:type="dxa"/>
            <w:vAlign w:val="bottom"/>
            <w:gridSpan w:val="7"/>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1160" w:type="dxa"/>
            <w:vAlign w:val="bottom"/>
          </w:tcPr>
          <w:p>
            <w:pPr>
              <w:spacing w:after="0"/>
              <w:rPr>
                <w:sz w:val="24"/>
                <w:szCs w:val="24"/>
                <w:color w:val="auto"/>
              </w:rPr>
            </w:pPr>
          </w:p>
        </w:tc>
      </w:tr>
      <w:tr>
        <w:trPr>
          <w:trHeight w:val="392"/>
        </w:trPr>
        <w:tc>
          <w:tcPr>
            <w:tcW w:w="122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gridSpan w:val="4"/>
          </w:tcPr>
          <w:p>
            <w:pPr>
              <w:spacing w:after="0"/>
              <w:rPr>
                <w:sz w:val="17"/>
                <w:szCs w:val="17"/>
                <w:color w:val="auto"/>
              </w:rPr>
            </w:pPr>
          </w:p>
        </w:tc>
        <w:tc>
          <w:tcPr>
            <w:tcW w:w="334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3340" w:type="dxa"/>
            <w:vAlign w:val="bottom"/>
            <w:gridSpan w:val="1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3340" w:type="dxa"/>
            <w:vAlign w:val="bottom"/>
            <w:gridSpan w:val="1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Unresolved Staff Comments</w:t>
              </w:r>
            </w:hyperlink>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Properties</w:t>
              </w:r>
            </w:hyperlink>
          </w:p>
        </w:tc>
        <w:tc>
          <w:tcPr>
            <w:tcW w:w="1300" w:type="dxa"/>
            <w:vAlign w:val="bottom"/>
            <w:tcBorders>
              <w:top w:val="single" w:sz="8" w:color="0000EE"/>
            </w:tcBorders>
            <w:gridSpan w:val="9"/>
          </w:tcPr>
          <w:p>
            <w:pPr>
              <w:spacing w:after="0"/>
              <w:rPr>
                <w:sz w:val="17"/>
                <w:szCs w:val="17"/>
                <w:color w:val="auto"/>
              </w:rPr>
            </w:pPr>
          </w:p>
        </w:tc>
        <w:tc>
          <w:tcPr>
            <w:tcW w:w="130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Legal Proceedings</w:t>
              </w:r>
            </w:hyperlink>
          </w:p>
        </w:tc>
        <w:tc>
          <w:tcPr>
            <w:tcW w:w="200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3340" w:type="dxa"/>
            <w:vAlign w:val="bottom"/>
            <w:gridSpan w:val="1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Mine Safety Disclosures</w:t>
              </w:r>
            </w:hyperlink>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412"/>
        </w:trPr>
        <w:tc>
          <w:tcPr>
            <w:tcW w:w="1220" w:type="dxa"/>
            <w:vAlign w:val="bottom"/>
            <w:gridSpan w:val="5"/>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560" w:type="dxa"/>
            <w:vAlign w:val="bottom"/>
            <w:gridSpan w:val="3"/>
          </w:tcPr>
          <w:p>
            <w:pPr>
              <w:spacing w:after="0"/>
              <w:rPr>
                <w:sz w:val="17"/>
                <w:szCs w:val="17"/>
                <w:color w:val="auto"/>
              </w:rPr>
            </w:pPr>
          </w:p>
        </w:tc>
        <w:tc>
          <w:tcPr>
            <w:tcW w:w="8880" w:type="dxa"/>
            <w:vAlign w:val="bottom"/>
            <w:gridSpan w:val="22"/>
          </w:tcPr>
          <w:p>
            <w:pPr>
              <w:spacing w:after="0" w:line="196"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Market for Registrant’s Common Equity, Related Stockholder Matters and Issuer Purchases of Equity Securities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Selected Financial Data</w:t>
              </w:r>
            </w:hyperlink>
          </w:p>
        </w:tc>
        <w:tc>
          <w:tcPr>
            <w:tcW w:w="1620" w:type="dxa"/>
            <w:vAlign w:val="bottom"/>
            <w:tcBorders>
              <w:top w:val="single" w:sz="8" w:color="0000EE"/>
            </w:tcBorders>
            <w:gridSpan w:val="6"/>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8880" w:type="dxa"/>
            <w:vAlign w:val="bottom"/>
            <w:gridSpan w:val="22"/>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Quantitative and Qualitative Disclosures About Market Risk</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Financial Statements and Supplementary Data</w:t>
              </w:r>
            </w:hyperlink>
          </w:p>
        </w:tc>
        <w:tc>
          <w:tcPr>
            <w:tcW w:w="7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8880" w:type="dxa"/>
            <w:vAlign w:val="bottom"/>
            <w:gridSpan w:val="22"/>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Changes in and Disagreements with Accountants on Accounting and Financial Disclosure</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Controls and Procedures</w:t>
              </w:r>
            </w:hyperlink>
          </w:p>
        </w:tc>
        <w:tc>
          <w:tcPr>
            <w:tcW w:w="1560" w:type="dxa"/>
            <w:vAlign w:val="bottom"/>
            <w:tcBorders>
              <w:top w:val="single" w:sz="8" w:color="0000EE"/>
            </w:tcBorders>
            <w:gridSpan w:val="5"/>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3340" w:type="dxa"/>
            <w:vAlign w:val="bottom"/>
            <w:gridSpan w:val="1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Other Information</w:t>
              </w:r>
            </w:hyperlink>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41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PART III</w:t>
              </w:r>
            </w:hyperlink>
          </w:p>
        </w:tc>
        <w:tc>
          <w:tcPr>
            <w:tcW w:w="4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8880" w:type="dxa"/>
            <w:vAlign w:val="bottom"/>
            <w:gridSpan w:val="2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Directors, Executive Officers and Corporate Governance</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3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Executive Compensation</w:t>
              </w:r>
            </w:hyperlink>
          </w:p>
        </w:tc>
        <w:tc>
          <w:tcPr>
            <w:tcW w:w="7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7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Security Ownership of Certain Beneficial Owners and Management and Related Stockholder Matters</w:t>
              </w:r>
            </w:hyperlink>
          </w:p>
        </w:tc>
        <w:tc>
          <w:tcPr>
            <w:tcW w:w="158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8880" w:type="dxa"/>
            <w:vAlign w:val="bottom"/>
            <w:gridSpan w:val="2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Certain Relationships and Related Transactions, and Director Independence</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3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Principal Accounting Fees and Services</w:t>
              </w:r>
            </w:hyperlink>
          </w:p>
        </w:tc>
        <w:tc>
          <w:tcPr>
            <w:tcW w:w="7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41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21">
              <w:r>
                <w:rPr>
                  <w:rFonts w:ascii="Arial" w:cs="Arial" w:eastAsia="Arial" w:hAnsi="Arial"/>
                  <w:sz w:val="18"/>
                  <w:szCs w:val="18"/>
                  <w:b w:val="1"/>
                  <w:bCs w:val="1"/>
                  <w:color w:val="0000EE"/>
                  <w:w w:val="98"/>
                </w:rPr>
                <w:t>PART IV</w:t>
              </w:r>
            </w:hyperlink>
          </w:p>
        </w:tc>
        <w:tc>
          <w:tcPr>
            <w:tcW w:w="5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3340" w:type="dxa"/>
            <w:vAlign w:val="bottom"/>
            <w:gridSpan w:val="1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Exhibits, Financial Statement Schedules</w:t>
              </w:r>
            </w:hyperlink>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22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121">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40" w:type="dxa"/>
            <w:vAlign w:val="bottom"/>
            <w:gridSpan w:val="14"/>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Signatures</w:t>
              </w:r>
            </w:hyperlink>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20"/>
        </w:trPr>
        <w:tc>
          <w:tcPr>
            <w:tcW w:w="1220" w:type="dxa"/>
            <w:vAlign w:val="bottom"/>
            <w:gridSpan w:val="5"/>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85"/>
        </w:trPr>
        <w:tc>
          <w:tcPr>
            <w:tcW w:w="4560" w:type="dxa"/>
            <w:vAlign w:val="bottom"/>
            <w:gridSpan w:val="19"/>
          </w:tcPr>
          <w:p>
            <w:pPr>
              <w:spacing w:after="0"/>
              <w:rPr>
                <w:sz w:val="20"/>
                <w:szCs w:val="20"/>
                <w:color w:val="auto"/>
              </w:rPr>
            </w:pPr>
            <w:r>
              <w:rPr>
                <w:rFonts w:ascii="Arial" w:cs="Arial" w:eastAsia="Arial" w:hAnsi="Arial"/>
                <w:sz w:val="18"/>
                <w:szCs w:val="18"/>
                <w:color w:val="auto"/>
              </w:rPr>
              <w:t>US-DOCS\113023198.3</w:t>
            </w:r>
          </w:p>
        </w:tc>
        <w:tc>
          <w:tcPr>
            <w:tcW w:w="2120" w:type="dxa"/>
            <w:vAlign w:val="bottom"/>
            <w:gridSpan w:val="3"/>
          </w:tcPr>
          <w:p>
            <w:pPr>
              <w:jc w:val="center"/>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89"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Section 21E of the Securities Exchange Act of 1934, as amended, or the Exchange Act. All statements other than statements of historical facts contained in this annual report, including statements regarding our future results of operations and financial position, business strategy, research and development plans and costs,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on Form 10-K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55"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financial condition, operating results, business strategy, and short term and long term business operations and objectives. These forward-looking statements speak only as of the date of this annual report and are subject to a number of risks, uncertainties and assumptions, including those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28"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This annual report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46"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maintain a website at www.phathompharma.com, to which we regularly post copies of our press releases as well as additional information about us. Our filings with the Securities and Exchange Commission, or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US-DOCS\113023198.3</w:t>
            </w:r>
          </w:p>
        </w:tc>
        <w:tc>
          <w:tcPr>
            <w:tcW w:w="7580" w:type="dxa"/>
            <w:vAlign w:val="bottom"/>
          </w:tcPr>
          <w:p>
            <w:pPr>
              <w:jc w:val="right"/>
              <w:ind w:right="5490"/>
              <w:spacing w:after="0"/>
              <w:rPr>
                <w:sz w:val="20"/>
                <w:szCs w:val="20"/>
                <w:color w:val="auto"/>
              </w:rPr>
            </w:pPr>
            <w:r>
              <w:rPr>
                <w:rFonts w:ascii="Arial" w:cs="Arial" w:eastAsia="Arial" w:hAnsi="Arial"/>
                <w:sz w:val="18"/>
                <w:szCs w:val="18"/>
                <w:color w:val="auto"/>
              </w:rPr>
              <w:t>3</w:t>
            </w:r>
          </w:p>
        </w:tc>
      </w:tr>
      <w:tr>
        <w:trPr>
          <w:trHeight w:val="331"/>
        </w:trPr>
        <w:tc>
          <w:tcPr>
            <w:tcW w:w="368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 w:name="page4"/>
    <w:bookmarkEnd w:id="3"/>
    <w:p>
      <w:pPr>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 xml:space="preserve">We are a late clinical-stage biopharmaceutical company focused on developing and commercializing novel treatments for gastrointestinal, or GI, diseases. Our initial product candidate, vonoprazan, is an oral small molecule potassium-competitive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Arial" w:cs="Arial" w:eastAsia="Arial" w:hAnsi="Arial"/>
          <w:sz w:val="18"/>
          <w:szCs w:val="18"/>
          <w:i w:val="1"/>
          <w:iCs w:val="1"/>
          <w:color w:val="auto"/>
        </w:rPr>
        <w:t>Helicobacter pylori</w:t>
      </w:r>
      <w:r>
        <w:rPr>
          <w:rFonts w:ascii="Arial" w:cs="Arial" w:eastAsia="Arial" w:hAnsi="Arial"/>
          <w:sz w:val="18"/>
          <w:szCs w:val="18"/>
          <w:color w:val="auto"/>
        </w:rPr>
        <w:t xml:space="preserve">, or </w:t>
      </w:r>
      <w:r>
        <w:rPr>
          <w:rFonts w:ascii="Arial" w:cs="Arial" w:eastAsia="Arial" w:hAnsi="Arial"/>
          <w:sz w:val="18"/>
          <w:szCs w:val="18"/>
          <w:i w:val="1"/>
          <w:iCs w:val="1"/>
          <w:color w:val="auto"/>
        </w:rPr>
        <w:t>H. pylori</w:t>
      </w:r>
      <w:r>
        <w:rPr>
          <w:rFonts w:ascii="Arial" w:cs="Arial" w:eastAsia="Arial" w:hAnsi="Arial"/>
          <w:sz w:val="18"/>
          <w:szCs w:val="18"/>
          <w:color w:val="auto"/>
        </w:rPr>
        <w:t>, infection. Takeda Pharmaceutical Company Limited, or Takeda, developed vonoprazan and has received marketing approval in thirteen countries in Asia and Latin America. Vonoprazan generated over $500 million in net sales in its fourth full year on the market since its approval in Japan in late 2014. In May 2019, we in-licensed the U.S., European, and Canadian rights to vonoprazan from Takeda.</w:t>
      </w:r>
    </w:p>
    <w:p>
      <w:pPr>
        <w:spacing w:after="0" w:line="151"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 xml:space="preserve">We believe we can leverage Takeda’s extensive clinical data, including results from 18 Phase 3 clinical trials, to advance vonoprazan through pivotal trials in the United States and Europe. We initiated two pivotal Phase 3 clinical trials in the fourth quarter of 2019 for vonoprazan: one for the treatment of erosive GERD (PHALCON-EE), also known as erosive esophagitis, and a second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(PHALCON-HP). In March 2020, due to global efforts to combat the coronavirus, COVID-19 pandemic, which has resulted in travel restrictions imposed by many state, local and international governments as well as guidance from the American Society of Gastrointestinal Endoscopy on limiting endoscopies, which are required in both Phase 3 trials, we announced a pause in randomization of new patients in our Phase 3 trials. Despite this pause, we still expect to report top-line data from both trials in 2021. We believe that the successful completion of our Phase 3 clinical trials, together with the existing clinical data, will support regulatory submissions in 2021 and 2022 for marketing approval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erosive esophagitis, respectively. We have received qualified infectious disease product, or QIDP, and Fast Track designations from the U.S. Food and Drug Administration, or FDA, for vonoprazan in combination with certain antibiotics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QIDP designation also provides potential eligibility for priority review and extension of any regulatory exclusivity awarded, if approved. Vonoprazan has the potential to be the first gastric anti-secretory agent from a novel class approved in the United States, Europe, or Canada in over 30 years.</w:t>
      </w:r>
    </w:p>
    <w:p>
      <w:pPr>
        <w:spacing w:after="0" w:line="138" w:lineRule="exact"/>
        <w:rPr>
          <w:sz w:val="20"/>
          <w:szCs w:val="20"/>
          <w:color w:val="auto"/>
        </w:rPr>
      </w:pPr>
    </w:p>
    <w:p>
      <w:pPr>
        <w:ind w:right="140" w:firstLine="589"/>
        <w:spacing w:after="0" w:line="293" w:lineRule="auto"/>
        <w:rPr>
          <w:sz w:val="20"/>
          <w:szCs w:val="20"/>
          <w:color w:val="auto"/>
        </w:rPr>
      </w:pPr>
      <w:r>
        <w:rPr>
          <w:rFonts w:ascii="Arial" w:cs="Arial" w:eastAsia="Arial" w:hAnsi="Arial"/>
          <w:sz w:val="16"/>
          <w:szCs w:val="16"/>
          <w:color w:val="auto"/>
        </w:rPr>
        <w:t xml:space="preserve">GERD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are two of the most common acid-related GI diseases and impact millions of people. The prevalence of GERD is estimated to be 20% of the U.S. population and 15% of the population in the five major countries in Europe (France, Germany, Italy, Spain and the United Kingdom, or the EU5). GERD is a disease that develops when the reflux of acidic stomach contents causes troublesome symptoms and/or complications. Approximately 30% of GERD patients have erosive esophagitis.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is a bacterial pathogen that infects approximately 35% of the U.S. population and 45% of the EU5 population. As a result of the chronic inflammation induced by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approximately 20% of infected patients will develop a range of pathologies, including dyspepsia, peptic ulcer disease, gastric cancer, and mucosa-associated lymphoid tissue (MALT) lymphoma.</w:t>
      </w:r>
    </w:p>
    <w:p>
      <w:pPr>
        <w:spacing w:after="0" w:line="137"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 xml:space="preserve">Over the last thirty years, the proton pump inhibitor, or PPI, class, has been the standard of care for the treatment of acid-related GI diseases. PPIs are generally used as a single agent for the treatment of GERD and in combination with antibiotics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The PPI class includes drugs such as Prilosec (omeprazole), Nexium (esomeprazole), and Prevacid (lansoprazole). Prior to the introduction of generic and over-the-counter, or OTC, alternatives, annual PPI class sales reached approximately $12.5 billion in the United States, and peak sales for individual brands were approximately $3.7 billion for Prilosec, $3.5 billion for Nexium, and $3.4 billion for Prevacid in the United States.</w:t>
      </w:r>
    </w:p>
    <w:p>
      <w:pPr>
        <w:spacing w:after="0" w:line="121"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 xml:space="preserve">While PPIs are the current standard of care and have experienced significant commercial success, they have significant limitations that result in a large unmet medical need. In GERD, PPI therapy is suboptimal for many patients due to the slow onset and insufficient duration of acid control which can lead to inadequate symptom relief. Approximately 15% to 45% of GERD patients remain inadequately treated with PPIs. In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the standard of care consists of a combination of a PPI and at least two oral antibiotics. However, increasing antibiotic resistance has resulted in declining eradication rates with PPI-based therapy. We believe these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US-DOCS\113023198.3</w:t>
            </w:r>
          </w:p>
        </w:tc>
        <w:tc>
          <w:tcPr>
            <w:tcW w:w="7580" w:type="dxa"/>
            <w:vAlign w:val="bottom"/>
          </w:tcPr>
          <w:p>
            <w:pPr>
              <w:jc w:val="right"/>
              <w:ind w:right="5490"/>
              <w:spacing w:after="0"/>
              <w:rPr>
                <w:sz w:val="20"/>
                <w:szCs w:val="20"/>
                <w:color w:val="auto"/>
              </w:rPr>
            </w:pPr>
            <w:r>
              <w:rPr>
                <w:rFonts w:ascii="Arial" w:cs="Arial" w:eastAsia="Arial" w:hAnsi="Arial"/>
                <w:sz w:val="18"/>
                <w:szCs w:val="18"/>
                <w:color w:val="auto"/>
              </w:rPr>
              <w:t>4</w:t>
            </w:r>
          </w:p>
        </w:tc>
      </w:tr>
      <w:tr>
        <w:trPr>
          <w:trHeight w:val="331"/>
        </w:trPr>
        <w:tc>
          <w:tcPr>
            <w:tcW w:w="368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unmet medical needs are in part driven by limitations associated with the mechanism of action and pharmacokinetics of PPIs.</w:t>
      </w:r>
    </w:p>
    <w:p>
      <w:pPr>
        <w:spacing w:after="0" w:line="198"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PPIs reduce gastric acid secretion by irreversibly binding to and inhibiting active proton pumps expressed on the parietal cells. PPIs require activation by gastric acid, but they are unstable in the presence of acid. This instability, combined with the short circulating half-life of PPIs, limits their efficacy. Additionally, because proton pumps continuously switch between active and inactive states, multiple doses of PPIs are required to inhibit enough proton pumps to achieve a clinical benefit. As a result, PPIs have a relatively slow onset of action and limited potency and duration of effect, which may result in patients experiencing only partial relief, increasing PPI dosage, and/or cycling through multiple PPIs seeking relief.</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Vonoprazan has a differentiated mechanism of action from PPIs. Unlike PPIs, vonoprazan:</w:t>
      </w:r>
    </w:p>
    <w:p>
      <w:pPr>
        <w:spacing w:after="0" w:line="185" w:lineRule="exact"/>
        <w:rPr>
          <w:sz w:val="20"/>
          <w:szCs w:val="20"/>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does not require activation by gastric acid;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stable in the presence of acid;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binds with a slow dissociation rate to both active and inactive proton pumps;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a long plasma half-life that replenishes the drug at the site of action over the course of the day.</w:t>
      </w:r>
    </w:p>
    <w:p>
      <w:pPr>
        <w:spacing w:after="0" w:line="185"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These factors have enabled vonoprazan to demonstrate more rapid and potent acid suppression versus the PPI esomeprazole in human subjects two hours after oral dosing and maintain target acid inhibition over a 24-hour period in a randomized, open-label, crossover clinical trial. In contrast, PPIs require three to five days to reach steady state acid suppression and do not reliably maintain target acid inhibition over a 24-hour period. In addition, vonoprazan demonstrated approximately 10-to-100-fold better acid control compared to esomeprazole.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vonoprazan’s anti-secretory profile may demonstrate clinically meaningful advantages over PPIs, such as:</w:t>
      </w:r>
    </w:p>
    <w:p>
      <w:pPr>
        <w:spacing w:after="0" w:line="185" w:lineRule="exact"/>
        <w:rPr>
          <w:sz w:val="20"/>
          <w:szCs w:val="20"/>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faster, more complete, and more durable healing of erosive esophagitis;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faster, more complete, and more durable control of GERD symptoms;</w:t>
      </w:r>
    </w:p>
    <w:p>
      <w:pPr>
        <w:spacing w:after="0" w:line="184"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higher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rates in combination with antibiotics compared to standard of care triple therapy and the potential for antibiotic-sparing dual therapy; and</w:t>
      </w:r>
    </w:p>
    <w:p>
      <w:pPr>
        <w:spacing w:after="0" w:line="129" w:lineRule="exact"/>
        <w:rPr>
          <w:rFonts w:ascii="Arial" w:cs="Arial" w:eastAsia="Arial" w:hAnsi="Arial"/>
          <w:sz w:val="18"/>
          <w:szCs w:val="18"/>
          <w:color w:val="auto"/>
        </w:rPr>
      </w:pPr>
    </w:p>
    <w:p>
      <w:pPr>
        <w:ind w:left="1020" w:right="24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more flexible dosing, including dosing independent of food and time of day, and the potential for rapid symptom relief through on-demand dosing.</w:t>
      </w:r>
    </w:p>
    <w:p>
      <w:pPr>
        <w:spacing w:after="0" w:line="130"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 xml:space="preserve">Vonoprazan has demonstrated clinical advantages over PPIs in the treatment of erosive esophagitis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completed Phase 3 clinical trials conducted in Japan and other Asian countries.</w:t>
      </w:r>
    </w:p>
    <w:p>
      <w:pPr>
        <w:spacing w:after="0" w:line="130"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b w:val="1"/>
          <w:bCs w:val="1"/>
          <w:i w:val="1"/>
          <w:iCs w:val="1"/>
          <w:color w:val="auto"/>
        </w:rPr>
        <w:t>Erosive esophagitis</w:t>
      </w:r>
      <w:r>
        <w:rPr>
          <w:rFonts w:ascii="Arial" w:cs="Arial" w:eastAsia="Arial" w:hAnsi="Arial"/>
          <w:sz w:val="17"/>
          <w:szCs w:val="17"/>
          <w:color w:val="auto"/>
        </w:rPr>
        <w:t>. In two Phase 3 clinical trials conducted in Japan assessing vonoprazan versus the PPI lansoprazole in the healing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maintenance of healing of erosive esophagitis, vonoprazan met its primary endpoint in demonstrating non-inferiority to lansoprazole. In a post hoc analysis of the healing trial, vonoprazan demonstrated faster healing and a superior overall healing rate compared to lansoprazole in patients with more severe erosive esophagitis. After two weeks of treatment, 88% of erosive esophagitis patients with more severe disease were healed after treatment with vonoprazan versus 64% with lansoprazole (p=0.0008). In the maintenance of healing trial, vonoprazan demonstrated lower recurrence rates of erosive esophagitis six months after treatment versus lansoprazole across all grades of severity of erosive esophagitis. Vonoprazan achieved a 2% recurrence rate compared to 17% for lansoprazole (p&lt;0.0001).</w:t>
      </w:r>
    </w:p>
    <w:p>
      <w:pPr>
        <w:spacing w:after="0" w:line="150"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b w:val="1"/>
          <w:bCs w:val="1"/>
          <w:i w:val="1"/>
          <w:iCs w:val="1"/>
          <w:color w:val="auto"/>
        </w:rPr>
        <w:t>H. pylori</w:t>
      </w:r>
      <w:r>
        <w:rPr>
          <w:rFonts w:ascii="Arial" w:cs="Arial" w:eastAsia="Arial" w:hAnsi="Arial"/>
          <w:sz w:val="17"/>
          <w:szCs w:val="17"/>
          <w:color w:val="auto"/>
        </w:rPr>
        <w:t>. A Phase 3 clinical trial was conducted in Japan assessing vonoprazan in combination with the antibiotics amoxicillin and clarithromycin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versus lansoprazole in combination with these same antibiotics in first line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this trial, the vonoprazan-based regimen met its primary endpoint in demonstrating a non-inferior eradication rate of 93% compared to 76% for lansoprazole-based regimen (p&lt;0.0001) and was also superior in a post hoc analysis of this trial (p&lt;0.0001). In patients who failed first line therapy, vonoprazan in combination with the antibiotics metronidazole and amoxicillin demonstrated a 98% eradication rate as second line therapy.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US-DOCS\113023198.3</w:t>
            </w:r>
          </w:p>
        </w:tc>
        <w:tc>
          <w:tcPr>
            <w:tcW w:w="7580" w:type="dxa"/>
            <w:vAlign w:val="bottom"/>
          </w:tcPr>
          <w:p>
            <w:pPr>
              <w:jc w:val="right"/>
              <w:ind w:right="5490"/>
              <w:spacing w:after="0"/>
              <w:rPr>
                <w:sz w:val="20"/>
                <w:szCs w:val="20"/>
                <w:color w:val="auto"/>
              </w:rPr>
            </w:pPr>
            <w:r>
              <w:rPr>
                <w:rFonts w:ascii="Arial" w:cs="Arial" w:eastAsia="Arial" w:hAnsi="Arial"/>
                <w:sz w:val="18"/>
                <w:szCs w:val="18"/>
                <w:color w:val="auto"/>
              </w:rPr>
              <w:t>5</w:t>
            </w:r>
          </w:p>
        </w:tc>
      </w:tr>
      <w:tr>
        <w:trPr>
          <w:trHeight w:val="331"/>
        </w:trPr>
        <w:tc>
          <w:tcPr>
            <w:tcW w:w="368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 w:name="page6"/>
    <w:bookmarkEnd w:id="5"/>
    <w:p>
      <w:pPr>
        <w:jc w:val="both"/>
        <w:ind w:right="140" w:firstLine="589"/>
        <w:spacing w:after="0" w:line="263" w:lineRule="auto"/>
        <w:rPr>
          <w:sz w:val="20"/>
          <w:szCs w:val="20"/>
          <w:color w:val="auto"/>
        </w:rPr>
      </w:pPr>
      <w:r>
        <w:rPr>
          <w:rFonts w:ascii="Arial" w:cs="Arial" w:eastAsia="Arial" w:hAnsi="Arial"/>
          <w:sz w:val="18"/>
          <w:szCs w:val="18"/>
          <w:color w:val="auto"/>
        </w:rPr>
        <w:t>A p-value is the probability that the reported result was achieved purely by chance, such that a p-value of less than or equal to 0.05 or 0.01 means that there is a 5.0% or 1.0% or less probability, respectively, that the difference between the control group and the treatment group is purely due to chance. A p-value of 0.05 or less typically represents a statistically significant result.</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used this clinical experience to inform our Phase 3 clinical development program in these indications.</w:t>
      </w:r>
    </w:p>
    <w:p>
      <w:pPr>
        <w:spacing w:after="0" w:line="185" w:lineRule="exact"/>
        <w:rPr>
          <w:sz w:val="20"/>
          <w:szCs w:val="20"/>
          <w:color w:val="auto"/>
        </w:rPr>
      </w:pPr>
    </w:p>
    <w:p>
      <w:pPr>
        <w:ind w:right="240" w:firstLine="589"/>
        <w:spacing w:after="0" w:line="291" w:lineRule="auto"/>
        <w:rPr>
          <w:sz w:val="20"/>
          <w:szCs w:val="20"/>
          <w:color w:val="auto"/>
        </w:rPr>
      </w:pPr>
      <w:r>
        <w:rPr>
          <w:rFonts w:ascii="Arial" w:cs="Arial" w:eastAsia="Arial" w:hAnsi="Arial"/>
          <w:sz w:val="16"/>
          <w:szCs w:val="16"/>
          <w:color w:val="auto"/>
        </w:rPr>
        <w:t>Our founders and management team have deep expertise in developing GI therapeutics, including anti-secretory agents, and direct experience developing vonoprazan at Takeda. Our Chairman, Tadataka (Tachi) Yamada, M.D., is the former Chief Medical Officer and Chief Scientific Officer at Takeda. He is the former President of the American Gastroenterological Association and former Chief of Gastroenterology and Internal Medicine at the University of Michigan. Our Chief Executive Officer, Terrie Curran, has more than 20 years of experience in the biopharmaceutical industry. Ms. Curran served as President, Global Inflammation and Immunology (I&amp;I) Franchise and as a member of the Executive Committee at Celgene Corporation from 2017 to 2019. Ms. Curran joined Celgene in 2013 as the U.S. Commercial Head of the I&amp;I Franchise, built the capabilities and recruited the teams that executed the successful launch of OTEZLA, which was sold to Amgen in November 2019 for $13.4 billion.</w:t>
      </w:r>
    </w:p>
    <w:p>
      <w:pPr>
        <w:spacing w:after="0" w:line="126"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David Socks, our former Chief Executive Officer and current interim Chief Financial Officer, is the former Chief Executive Officer of Outpost Medicine, LLC, a GI and urology focused company. Mr. Socks was also President and Chief Operating Officer of Incline Therapeutics Inc. through its sale to the Medicines Company in 2013, and Senior Vice President, Corporate Development and Strategy of Cadence Pharmaceuticals, Inc. Azmi Nabulsi, M.D., M.P.H., our Chief Operating Officer, is the former Deputy Chief Medical and Scientific Officer at Takeda. Our Head of Regulatory, Tom Harris, is the former Senior Vice President and Head of Global Regulatory at Takeda. Dr. Yamada, Dr. Nabulsi, and Mr. Harris were extensively involved with the development of vonoprazan at Takeda.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chart summarizes our current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151765</wp:posOffset>
            </wp:positionV>
            <wp:extent cx="5271770" cy="2032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71770"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US-DOCS\113023198.3</w:t>
            </w:r>
          </w:p>
        </w:tc>
        <w:tc>
          <w:tcPr>
            <w:tcW w:w="7580" w:type="dxa"/>
            <w:vAlign w:val="bottom"/>
          </w:tcPr>
          <w:p>
            <w:pPr>
              <w:jc w:val="right"/>
              <w:ind w:right="5490"/>
              <w:spacing w:after="0"/>
              <w:rPr>
                <w:sz w:val="20"/>
                <w:szCs w:val="20"/>
                <w:color w:val="auto"/>
              </w:rPr>
            </w:pPr>
            <w:r>
              <w:rPr>
                <w:rFonts w:ascii="Arial" w:cs="Arial" w:eastAsia="Arial" w:hAnsi="Arial"/>
                <w:sz w:val="18"/>
                <w:szCs w:val="18"/>
                <w:color w:val="auto"/>
              </w:rPr>
              <w:t>6</w:t>
            </w:r>
          </w:p>
        </w:tc>
      </w:tr>
      <w:tr>
        <w:trPr>
          <w:trHeight w:val="331"/>
        </w:trPr>
        <w:tc>
          <w:tcPr>
            <w:tcW w:w="368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Our goal is to be a leader in the development and commercialization of novel treatments for GI diseases. Our strategy is initially focused on developing and commercializing vonoprazan as a potential first-in-class P-CAB in the United States, Europe, and Canada for the treatment of acid-related GI diseases. Key elements of this strategy include:</w:t>
      </w:r>
    </w:p>
    <w:p>
      <w:pPr>
        <w:spacing w:after="0" w:line="157" w:lineRule="exact"/>
        <w:rPr>
          <w:sz w:val="20"/>
          <w:szCs w:val="20"/>
          <w:color w:val="auto"/>
        </w:rPr>
      </w:pPr>
    </w:p>
    <w:p>
      <w:pPr>
        <w:ind w:left="1020" w:right="160" w:hanging="432"/>
        <w:spacing w:after="0" w:line="291"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Advance the clinical development of vonoprazan in erosive esophagitis and H. pylori infection and seek marketing approval</w:t>
      </w:r>
      <w:r>
        <w:rPr>
          <w:rFonts w:ascii="Arial" w:cs="Arial" w:eastAsia="Arial" w:hAnsi="Arial"/>
          <w:sz w:val="16"/>
          <w:szCs w:val="16"/>
          <w:color w:val="auto"/>
        </w:rPr>
        <w:t>. We believe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we can leverage the existing clinical data and post-marketing experience, as well as our management team’s experience with vonoprazan, to advance vonoprazan through our pivotal Phase 3 clinical trials. We initiated single pivotal Phase 3 clinical trials of vonoprazan in each of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the fourth quarter of 2019. We expect to report top-line data from both trials in 2021, and if successful, file regulatory submissions for marketing approval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2021 and for erosive esophagitis in 2022. If approved by the FDA as a new chemical entity, vonoprazan would receive a five-year period of marketing exclusivity within the United States and vonoprazan’s QIDP designation would extend the U.S. marketing exclusivity for an additional five years.</w:t>
      </w:r>
    </w:p>
    <w:p>
      <w:pPr>
        <w:spacing w:after="0" w:line="125" w:lineRule="exact"/>
        <w:rPr>
          <w:rFonts w:ascii="Arial" w:cs="Arial" w:eastAsia="Arial" w:hAnsi="Arial"/>
          <w:sz w:val="16"/>
          <w:szCs w:val="16"/>
          <w:color w:val="auto"/>
        </w:rPr>
      </w:pPr>
    </w:p>
    <w:p>
      <w:pPr>
        <w:ind w:left="1020" w:right="80" w:hanging="432"/>
        <w:spacing w:after="0" w:line="271"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Commercialize vonoprazan in the United States</w:t>
      </w:r>
      <w:r>
        <w:rPr>
          <w:rFonts w:ascii="Arial" w:cs="Arial" w:eastAsia="Arial" w:hAnsi="Arial"/>
          <w:sz w:val="17"/>
          <w:szCs w:val="17"/>
          <w:color w:val="auto"/>
        </w:rPr>
        <w:t>. We plan to independently commercialize vonoprazan, if approved, in the United States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building a leading specialty gastroenterology commercial infrastructure to support the adoption of vonoprazan. We believe we can successfully launch vonoprazan in the United States with a focused specialty sales force targeting high prescribers of PPIs, particularly gastroenterologists. PPI prescribing is highly concentrated, with approximately 1.5% of U.S. PPI prescribers (approximately 12,000 total) accounting for approximately 20% of PPI prescriptions and approximately 6.0% of U.S. PPI prescribers (approximately 50,000 total) accounting for approximately 50% of PPI prescriptions, according to IQVIA. We believe we have an opportunity to achieve significant share of voice and exposure to physicians given the scarcity of actively marketed anti-secretory medicines. Given the limitations of PPIs and current unmet need, we believe the commercial opportunity for vonoprazan is substantial.</w:t>
      </w:r>
    </w:p>
    <w:p>
      <w:pPr>
        <w:spacing w:after="0" w:line="137" w:lineRule="exact"/>
        <w:rPr>
          <w:rFonts w:ascii="Arial" w:cs="Arial" w:eastAsia="Arial" w:hAnsi="Arial"/>
          <w:sz w:val="17"/>
          <w:szCs w:val="17"/>
          <w:color w:val="auto"/>
        </w:rPr>
      </w:pPr>
    </w:p>
    <w:p>
      <w:pPr>
        <w:ind w:left="1020" w:right="80" w:hanging="432"/>
        <w:spacing w:after="0" w:line="25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Seek commercial partnerships to maximize the vonoprazan opportunity outside of the United States</w:t>
      </w:r>
      <w:r>
        <w:rPr>
          <w:rFonts w:ascii="Arial" w:cs="Arial" w:eastAsia="Arial" w:hAnsi="Arial"/>
          <w:sz w:val="18"/>
          <w:szCs w:val="18"/>
          <w:color w:val="auto"/>
        </w:rPr>
        <w:t>. We believe there is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opportunity for vonoprazan in Europe and Canada. To address these markets, we plan to seek one or more partners with existing commercial infrastructure and expertise in these markets. We believe this strategy will allow us to realize the value of the market opportunity in Europe and Canada while focusing our resources on the U.S. market.</w:t>
      </w:r>
    </w:p>
    <w:p>
      <w:pPr>
        <w:spacing w:after="0" w:line="146" w:lineRule="exact"/>
        <w:rPr>
          <w:rFonts w:ascii="Arial" w:cs="Arial" w:eastAsia="Arial" w:hAnsi="Arial"/>
          <w:sz w:val="18"/>
          <w:szCs w:val="18"/>
          <w:color w:val="auto"/>
        </w:rPr>
      </w:pPr>
    </w:p>
    <w:p>
      <w:pPr>
        <w:ind w:left="1020" w:right="80" w:hanging="432"/>
        <w:spacing w:after="0" w:line="25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Expand the development of vonoprazan across indications, dosing regimens, and alternative formulations and packaging</w:t>
      </w:r>
      <w:r>
        <w:rPr>
          <w:rFonts w:ascii="Arial" w:cs="Arial" w:eastAsia="Arial" w:hAnsi="Arial"/>
          <w:sz w:val="18"/>
          <w:szCs w:val="18"/>
          <w:color w:val="auto"/>
        </w:rPr>
        <w:t>. We plan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pursue vonoprazan lifecycle extension strategies in areas with clear unmet need, clinical rationale, and commercial justification. These strategies may include: (i) additional indications, including treatment of gastric ulcers and duodenal ulcers, Barrett’s esophagus, and eosinophilic esophagitis; (ii) flexible dosing regimens, such as on-demand therapy for symptom relief of GERD; and (iii) alternative formulations and packaging, such as orally disintegrating tablets and other oral dosage forms for patients with difficulty swallowing, an intravenous formulation for in-hospital applications, and pre-packaged convenience packs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Additionally, we believe that vonoprazan has the ideal profile for an OTC product, including the potential for on-demand symptom relief and a well-tolerated safety profile.</w:t>
      </w:r>
    </w:p>
    <w:p>
      <w:pPr>
        <w:spacing w:after="0" w:line="151" w:lineRule="exact"/>
        <w:rPr>
          <w:rFonts w:ascii="Arial" w:cs="Arial" w:eastAsia="Arial" w:hAnsi="Arial"/>
          <w:sz w:val="18"/>
          <w:szCs w:val="18"/>
          <w:color w:val="auto"/>
        </w:rPr>
      </w:pPr>
    </w:p>
    <w:p>
      <w:pPr>
        <w:ind w:left="1020" w:right="80" w:hanging="432"/>
        <w:spacing w:after="0" w:line="25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In-license or acquire additional clinical or commercial stage product candidates for the treatment of GI diseases in a capital efficient manner</w:t>
      </w:r>
      <w:r>
        <w:rPr>
          <w:rFonts w:ascii="Arial" w:cs="Arial" w:eastAsia="Arial" w:hAnsi="Arial"/>
          <w:sz w:val="18"/>
          <w:szCs w:val="18"/>
          <w:color w:val="auto"/>
        </w:rPr>
        <w:t>. We intend to take advantage of our management team’s GI expertise to opportunistically in-license or acquire additional innovative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therapies for diseases treated by gastroenterologists. We plan to leverage our development and planned commercial infrastructure to support multiple assets targeting GI indications.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US-DOCS\113023198.3</w:t>
            </w:r>
          </w:p>
        </w:tc>
        <w:tc>
          <w:tcPr>
            <w:tcW w:w="7580" w:type="dxa"/>
            <w:vAlign w:val="bottom"/>
          </w:tcPr>
          <w:p>
            <w:pPr>
              <w:jc w:val="right"/>
              <w:ind w:right="5490"/>
              <w:spacing w:after="0"/>
              <w:rPr>
                <w:sz w:val="20"/>
                <w:szCs w:val="20"/>
                <w:color w:val="auto"/>
              </w:rPr>
            </w:pPr>
            <w:r>
              <w:rPr>
                <w:rFonts w:ascii="Arial" w:cs="Arial" w:eastAsia="Arial" w:hAnsi="Arial"/>
                <w:sz w:val="18"/>
                <w:szCs w:val="18"/>
                <w:color w:val="auto"/>
              </w:rPr>
              <w:t>7</w:t>
            </w:r>
          </w:p>
        </w:tc>
      </w:tr>
      <w:tr>
        <w:trPr>
          <w:trHeight w:val="331"/>
        </w:trPr>
        <w:tc>
          <w:tcPr>
            <w:tcW w:w="368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Acid-Related GI Diseases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Gastric acid is a digestive fluid formed in the stomach. The highly acidic environment of the stomach causes the unfolding, or denaturing, of food proteins that are subsequently broken down by gastric enzymes. Gastric acid is secreted by the hydrogen potassium ATPase enzyme, which is known as the proton pump. Proton pumps are expressed on the channeled surfaces, or canaliculi, of parietal cells in the stomach, which secrete acid. Proton pumps are continuously synthesized and switch between active and inactive states in response to various stimuli, such as food. When activated, proton pumps increase acid secretion.</w:t>
      </w:r>
    </w:p>
    <w:p>
      <w:pPr>
        <w:spacing w:after="0" w:line="147"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 xml:space="preserve">GI diseases where treatment is related to acid control, such as GERD, peptic ulcer disease, Zollinger Ellison syndrome,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are significant medical problems because of their high prevalence, chronic nature and clinical sequelae. GERD results from the effects of acid on compromised mucosal defenses in the gastrointestinal tract. The reflux of gastric acid into the esophagus produces frequent and/or severe heartburn, indigestion, and reflux symptoms. Chronic GERD may damage esophageal tissue and progress to more severe diseases including erosive esophagitis, Barrett’s esophagus, and esophageal cancer. GERD and related diseases are associated with impaired quality of life and substantial costs to the healthcare system given their chronic nature and sequelae. In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gastric acid limits the effectiveness of antibiotics used to eradicate infection. Chronic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can lead to dyspepsia, peptic ulcer disease, gastric cancer, and mucosa-associated lymphoid tissue (MALT) lymphoma.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Prevalence</w:t>
      </w:r>
    </w:p>
    <w:p>
      <w:pPr>
        <w:spacing w:after="0" w:line="185"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 xml:space="preserve">The prevalence of GI diseases is high. Approximately 20% to 40% of Western adults report chronic heartburn or regurgitation symptoms potentially related to GERD. We estimate that there are approximately 65 million individuals in the United States and 50 million individuals in the EU5 with GERD. In the United States, GERD is the most common gastroenterology-related outpatient diagnosis. Additionally, approximately 35% of the U.S. population and 45% of the EU5 population are infected with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We estimate that there are approximately 115 million individuals in the United States and 145 million individuals in the EU5 infected with </w:t>
      </w:r>
      <w:r>
        <w:rPr>
          <w:rFonts w:ascii="Arial" w:cs="Arial" w:eastAsia="Arial" w:hAnsi="Arial"/>
          <w:sz w:val="18"/>
          <w:szCs w:val="18"/>
          <w:i w:val="1"/>
          <w:iCs w:val="1"/>
          <w:color w:val="auto"/>
        </w:rPr>
        <w:t>H. pylori</w:t>
      </w:r>
      <w:r>
        <w:rPr>
          <w:rFonts w:ascii="Arial" w:cs="Arial" w:eastAsia="Arial" w:hAnsi="Arial"/>
          <w:sz w:val="18"/>
          <w:szCs w:val="18"/>
          <w:color w:val="auto"/>
        </w:rPr>
        <w: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Prevalence of GERD and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154305</wp:posOffset>
            </wp:positionV>
            <wp:extent cx="4551680" cy="1209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5168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Treatments</w:t>
      </w:r>
    </w:p>
    <w:p>
      <w:pPr>
        <w:spacing w:after="0" w:line="198"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 xml:space="preserve">Treatments of acid-related GI diseases aim to provide relief of acute symptoms, healing of damaged tissue, and prevention of long-term clinical sequelae associated with chronic acid exposure. Gastric acidity is measured by the pH scale, a logarithmic scale where 7.0 describes a neutral state and lower levels indicate a higher level of acidity. The pH of the stomach typically ranges from 1.5 to 3.5. In patients with acid-related GI diseases, increasing gastric pH has been shown to improve mucosal healing rates and provide more rapid symptom relief for patients. For example, the duration of time that intra-gastric acidity is greater than pH 3.0 correlates with the healing of duodenal and gastric ulcers, and pH greater than 4.0 is correlated with the healing of erosive esophagitis. Similarly, in patients with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 more neutral gastric pH of 5.0 to 7.6 preserves antibiotic function and is optimal for successful eradication.</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US-DOCS\113023198.3</w:t>
            </w:r>
          </w:p>
        </w:tc>
        <w:tc>
          <w:tcPr>
            <w:tcW w:w="7580" w:type="dxa"/>
            <w:vAlign w:val="bottom"/>
          </w:tcPr>
          <w:p>
            <w:pPr>
              <w:jc w:val="right"/>
              <w:ind w:right="5490"/>
              <w:spacing w:after="0"/>
              <w:rPr>
                <w:sz w:val="20"/>
                <w:szCs w:val="20"/>
                <w:color w:val="auto"/>
              </w:rPr>
            </w:pPr>
            <w:r>
              <w:rPr>
                <w:rFonts w:ascii="Arial" w:cs="Arial" w:eastAsia="Arial" w:hAnsi="Arial"/>
                <w:sz w:val="18"/>
                <w:szCs w:val="18"/>
                <w:color w:val="auto"/>
              </w:rPr>
              <w:t>8</w:t>
            </w:r>
          </w:p>
        </w:tc>
      </w:tr>
      <w:tr>
        <w:trPr>
          <w:trHeight w:val="331"/>
        </w:trPr>
        <w:tc>
          <w:tcPr>
            <w:tcW w:w="368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8" w:name="page9"/>
    <w:bookmarkEnd w:id="8"/>
    <w:p>
      <w:pPr>
        <w:ind w:right="360" w:firstLine="589"/>
        <w:spacing w:after="0" w:line="342" w:lineRule="auto"/>
        <w:rPr>
          <w:sz w:val="20"/>
          <w:szCs w:val="20"/>
          <w:color w:val="auto"/>
        </w:rPr>
      </w:pPr>
      <w:r>
        <w:rPr>
          <w:rFonts w:ascii="Arial" w:cs="Arial" w:eastAsia="Arial" w:hAnsi="Arial"/>
          <w:sz w:val="16"/>
          <w:szCs w:val="16"/>
          <w:color w:val="auto"/>
        </w:rPr>
        <w:t>Drug-induced gastric acid suppression is a key component of the management of acid-related GI diseases. Three classes of drugs with distinct mechanisms of action are principally used for treatment in the United States and Europe: antacids, histamine receptor antagonists, or H2RAs, and PPIs.</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Antacids</w:t>
      </w:r>
    </w:p>
    <w:p>
      <w:pPr>
        <w:spacing w:after="0" w:line="185"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Antacids, first commercially available in the 1930s, directly neutralize gastric acid to raise intra-gastric pH and can alleviate intermittent, mild symptoms of acid-related GI diseases, such as heartburn, but they are only effective for a short duration and require frequent administrations per day. In addition, antacids do not significantly help heal or prevent complications of acid-related diseases. Antacids include commonly-known OTC products, such as Alka-Seltzer, Pepto-Bismol, Rolaids, and TUMS.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Histamine Receptor Antagonists (H2RAs)</w:t>
      </w:r>
    </w:p>
    <w:p>
      <w:pPr>
        <w:spacing w:after="0" w:line="198"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H2RAs, first commercially available in the 1970s, decrease gastric acid secretion in order to raise gastric pH. H2RAs represented a dramatic improvement over antacids in the control of gastric acid and consequently in the management of acid-related GI diseases. H2RAs are also generally safe and well-tolerated. Among the H2RA class were the first commercial blockbuster drugs, Pepcid (famotidine), Tagamet (cimetidine), and Zantac (ranitidine). Zantac was the world’s highest-selling prescription drug in the mid-1990s, with peak global sales of $3.7 billion and U.S. sales of $2.2 billion. Prior to the launch of generic H2RAs and increasing competition from PPIs, the H2RA class achieved sales of approximately $3.5 billion in the United States. H2RAs achieved commercial success despite clinical limitations, including unreliable 24-hour acid control, poor control of post-meal symptoms, and loss of efficacy over time.</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Proton Pump Inhibitors (PPIs)</w:t>
      </w:r>
    </w:p>
    <w:p>
      <w:pPr>
        <w:spacing w:after="0" w:line="185" w:lineRule="exact"/>
        <w:rPr>
          <w:sz w:val="20"/>
          <w:szCs w:val="20"/>
          <w:color w:val="auto"/>
        </w:rPr>
      </w:pPr>
    </w:p>
    <w:p>
      <w:pPr>
        <w:ind w:right="180" w:firstLine="589"/>
        <w:spacing w:after="0" w:line="311" w:lineRule="auto"/>
        <w:rPr>
          <w:sz w:val="20"/>
          <w:szCs w:val="20"/>
          <w:color w:val="auto"/>
        </w:rPr>
      </w:pPr>
      <w:r>
        <w:rPr>
          <w:rFonts w:ascii="Arial" w:cs="Arial" w:eastAsia="Arial" w:hAnsi="Arial"/>
          <w:sz w:val="16"/>
          <w:szCs w:val="16"/>
          <w:color w:val="auto"/>
        </w:rPr>
        <w:t>PPIs, first commercially available in 1989, offered improved acid control over H2RAs. Pharmacodynamic data demonstrated that PPIs maintain gastric pH above target levels for a longer duration than H2RAs. A commonly used benchmark of anti-secretory activity is the percentage of time in a 24-hour period that gastric pH exceeds 4.0, which we refer to as time above pH 4.0, which ranges from 40% to 71% for PPIs versus 33% for H2RAs.</w:t>
      </w:r>
    </w:p>
    <w:p>
      <w:pPr>
        <w:spacing w:after="0" w:line="122"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Given this improved pharmacodynamic profile, PPIs demonstrated improved clinical symptom relief and healing over H2RAs. In a meta-analysis of results from 33 randomized clinical trials with over 3,000 GERD patients, a reduction in symptoms was achieved in 83% of patients taking PPIs versus 60% of those on H2RAs. In a second meta-analysis, the eight-week healing rate in patients with erosive esophagitis was 82% for PPIs versus 52% for H2RAs.</w:t>
      </w:r>
    </w:p>
    <w:p>
      <w:pPr>
        <w:spacing w:after="0" w:line="146"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The PPI class is currently the first-line treatment of acid-related GI diseases. Prior to the introduction and adoption of generic and OTC alternatives, annual PPI class sales reached approximately $12.5 billion in the United States, and peak sales for individual brands were approximately $3.7 billion for Prilosec, $3.5 billion for Nexium, and $3.4 billion for Prevacid. As recently as 2015, the last branded PPI, Dexilant (dexlansoprazole), reached approximately $530 million in sales in the United States despite limited differentiation from other PPIs. While Dexilant demonstrated a modest improvement in time above pH 4.0 compared to other PPIs, the approved dose did not demonstrate consistent superiority in Phase 3 trials against other PPIs on the healing of erosive esophagitis and has not been tested against PPIs in other indications. We believe that the commercial success of Dexilant highlights the value to physicians and patients of even incremental improvements over other PPIs.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US-DOCS\113023198.3</w:t>
            </w:r>
          </w:p>
        </w:tc>
        <w:tc>
          <w:tcPr>
            <w:tcW w:w="7580" w:type="dxa"/>
            <w:vAlign w:val="bottom"/>
          </w:tcPr>
          <w:p>
            <w:pPr>
              <w:jc w:val="right"/>
              <w:ind w:right="5490"/>
              <w:spacing w:after="0"/>
              <w:rPr>
                <w:sz w:val="20"/>
                <w:szCs w:val="20"/>
                <w:color w:val="auto"/>
              </w:rPr>
            </w:pPr>
            <w:r>
              <w:rPr>
                <w:rFonts w:ascii="Arial" w:cs="Arial" w:eastAsia="Arial" w:hAnsi="Arial"/>
                <w:sz w:val="18"/>
                <w:szCs w:val="18"/>
                <w:color w:val="auto"/>
              </w:rPr>
              <w:t>9</w:t>
            </w:r>
          </w:p>
        </w:tc>
      </w:tr>
      <w:tr>
        <w:trPr>
          <w:trHeight w:val="331"/>
        </w:trPr>
        <w:tc>
          <w:tcPr>
            <w:tcW w:w="368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History of Pharmaceutical Agents for Control of Gastric Acid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154305</wp:posOffset>
            </wp:positionV>
            <wp:extent cx="5280660" cy="2220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80660"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PPI Limitations</w:t>
      </w:r>
    </w:p>
    <w:p>
      <w:pPr>
        <w:spacing w:after="0" w:line="202" w:lineRule="exact"/>
        <w:rPr>
          <w:sz w:val="20"/>
          <w:szCs w:val="20"/>
          <w:color w:val="auto"/>
        </w:rPr>
      </w:pPr>
    </w:p>
    <w:p>
      <w:pPr>
        <w:ind w:right="60" w:firstLine="589"/>
        <w:spacing w:after="0" w:line="268" w:lineRule="auto"/>
        <w:rPr>
          <w:sz w:val="20"/>
          <w:szCs w:val="20"/>
          <w:color w:val="auto"/>
        </w:rPr>
      </w:pPr>
      <w:r>
        <w:rPr>
          <w:rFonts w:ascii="Arial" w:cs="Arial" w:eastAsia="Arial" w:hAnsi="Arial"/>
          <w:sz w:val="17"/>
          <w:szCs w:val="17"/>
          <w:color w:val="auto"/>
        </w:rPr>
        <w:t xml:space="preserve">While PPIs provide clinically meaningful symptom relief and healing for millions of patients suffering from acid-related GI diseases, they are inadequate for many patients. The suboptimal anti-secretory profile of PPIs results in slow onset of symptom relief, breakthrough nighttime or postprandial heartburn, and treatment failure. A recent population-based survey with over 70,000 participants in the United States showed that 55% of patients who reported having GERD symptoms were taking PPIs, with 68% taking them daily, and 54% of daily PPI users reported persistent symptoms. This is consistent with earlier studies that have shown that approximately 15% to 45% of GERD patients are inadequately treated with PPIs, experiencing persistent, troublesome symptoms, such as heartburn and regurgitation. In approximately two thirds of symptomatic GERD patients, reflux symptoms are not adequately controlled after the first dose of a PPI, and nearly 50% of patients still suffer from symptoms three days later. Given these limitations, more than 20% of GERD patients on PPI therapy take their PPI twice daily, which is not FDA approved, or purchase OTC heartburn treatments in addition to their prescription medicine. In a survey of approximately 1,000 GERD patients and 1,000 physicians, approximately one third of GERD patients reported persistent symptoms and were dissatisfied with PPI therapy and 35% of physicians perceived patients as somewhat satisfied to completely dissatisfied with PPI treatment. In addition, in July 2019 we conducted a U.S. market research study of 100 gastroenterologists and 100 primary care physicians who commonly prescribe PPIs and treat patients with GERD and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Surveyed physicians reported that approximately 25% of patients are not satisfied on PPIs.</w:t>
      </w:r>
    </w:p>
    <w:p>
      <w:pPr>
        <w:spacing w:after="0" w:line="146" w:lineRule="exact"/>
        <w:rPr>
          <w:sz w:val="20"/>
          <w:szCs w:val="20"/>
          <w:color w:val="auto"/>
        </w:rPr>
      </w:pPr>
    </w:p>
    <w:p>
      <w:pPr>
        <w:ind w:right="260" w:firstLine="589"/>
        <w:spacing w:after="0" w:line="279" w:lineRule="auto"/>
        <w:rPr>
          <w:sz w:val="20"/>
          <w:szCs w:val="20"/>
          <w:color w:val="auto"/>
        </w:rPr>
      </w:pPr>
      <w:r>
        <w:rPr>
          <w:rFonts w:ascii="Arial" w:cs="Arial" w:eastAsia="Arial" w:hAnsi="Arial"/>
          <w:sz w:val="17"/>
          <w:szCs w:val="17"/>
          <w:color w:val="auto"/>
        </w:rPr>
        <w:t>In patients with more severe grades of erosive esophagitis, studies with PPIs have reported failure rates of healing of esophageal erosions exceeding 25%. Additionally, recurrence of erosions is common in healed erosive esophagitis patients receiving maintenance PPI therapy. One study reported recurrence in 15% to 23% of patients with less severe erosive esophagitis and 24% to 41% of patients with more severe erosive esophagitis. We believe that these limitations of PPIs are in part driven by their mechanism of action and pharmacokinetics.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10</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Mechanistic Differences Between PPIs and Vonoprazan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PPIs</w:t>
      </w:r>
    </w:p>
    <w:p>
      <w:pPr>
        <w:spacing w:after="0" w:line="185"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After oral dosing, PPIs reach the gastric parietal cells through the bloodstream. PPIs are prodrugs that are converted to their active form in the acidic environment of the secretory canaliculus of the parietal cell but degrade quickly because their active form is unstable in acid. For example, the half-life of omeprazole (Prilosec) is less than 10 minutes at pH 2.0. The active form of a PPI blocks acid production by covalently binding to active proton pumps that have moved to the surface of the secretory canaliculi after activation of the parietal cell with stimuli, such as a meal. Because PPIs bind only to actively secreting pumps, it is generally recommended that they be administered 30 to 60 minutes before a meal to achieve maximal efficacy. Once covalently bound to the proton pumps, the active PPI molecule is no longer available to bind to newly synthesized or activated proton pumps. Furthermore, given the relatively short plasma half-life of most PPIs of one to two hours, resupply of additional PPI molecules from the bloodstream is limited, and newly activated pumps are not inhibited. Due to this profile, PPI dosing over several days is required to inhibit enough proton pumps to increase gastric pH to a clinically meaningful threshold, and PPIs have a limited window of efficacy leading to incomplete acid suppression over the 24-hour dosing interval. In addition, PPIs are primarily metabolized by CYP2C19, an enzyme which has significant interpatient metabolic variability based on genotype. As a result, PPI exposure levels in some patients may not achieve target levels, potentially reducing clinical efficacy.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Vonoprazan</w:t>
      </w:r>
    </w:p>
    <w:p>
      <w:pPr>
        <w:spacing w:after="0" w:line="198"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Vonoprazan has a differentiated mechanism of action from PPIs. When vonoprazan reaches gastric parietal cells from the bloodstream, it accumulates in the secretory canaliculus where the proton pumps are present in their active state. In contrast to most PPIs, vonoprazan does not require gastric acid for activation, is stable in the presence of gastric acid, reversibly binds to proton pumps in both their inactive and active states, and remains in the secretory canaliculus where it continues to inhibit acid secretion over an extended period. Vonoprazan’s prolonged effect is also maintained through a slow dissociation rate from the proton pumps and resupply from the bloodstream due to its seven-hour half-life. These characteristics allow vonoprazan to rapidly achieve target 24-hour acid suppression within two hours of a single dose, unlike PPIs that require three to five days to achieve stable acid suppression. In addition, vonoprazan is primarily metabolized by CYP3A4/5, an enzyme which has less genetic variability than CYP2C19, and may exhibit more consistent activity than PPIs across U.S. and European populations.</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mechanistic and pharmacologic differences of PPIs and vonoprazan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151765</wp:posOffset>
            </wp:positionV>
            <wp:extent cx="3488690" cy="2451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869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11</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Vonoprazan Pharmacodynamics vs. PPIs</w:t>
      </w:r>
    </w:p>
    <w:p>
      <w:pPr>
        <w:spacing w:after="0" w:line="189" w:lineRule="exact"/>
        <w:rPr>
          <w:sz w:val="20"/>
          <w:szCs w:val="20"/>
          <w:color w:val="auto"/>
        </w:rPr>
      </w:pPr>
    </w:p>
    <w:p>
      <w:pPr>
        <w:jc w:val="both"/>
        <w:ind w:right="240" w:firstLine="589"/>
        <w:spacing w:after="0" w:line="279" w:lineRule="auto"/>
        <w:rPr>
          <w:sz w:val="20"/>
          <w:szCs w:val="20"/>
          <w:color w:val="auto"/>
        </w:rPr>
      </w:pPr>
      <w:r>
        <w:rPr>
          <w:rFonts w:ascii="Arial" w:cs="Arial" w:eastAsia="Arial" w:hAnsi="Arial"/>
          <w:sz w:val="17"/>
          <w:szCs w:val="17"/>
          <w:color w:val="auto"/>
        </w:rPr>
        <w:t>Vonoprazan’s more rapid, potent, and durable anti-secretory effects versus the PPI esomeprazole (Nexium) were demonstrated in a randomized, open-label, crossover clinical trial comparing 20 mg of once daily, or QD, vonoprazan to 20 mg QD of esomeprazole in 20 healthy volunteers. As shown below, vonoprazan achieved rapid and potent pH control on Day 1 relative to esomeprazole (left). Vonoprazan maintained pH approximately 1 to 2 units higher than esomeprazole at Day 7 (right), which represents a 10-to-100-fold reduction in acidity.</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Improved Onset and Potency of pH Control of Vonoprazan vs. Esomeprazole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154305</wp:posOffset>
            </wp:positionV>
            <wp:extent cx="4877435" cy="1697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7743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This improved potency and duration of pH control with vonoprazan, as measured by time above pH 4.0, was evident not only at Day 1, but also at Day 7 when esomeprazole had reached its steady-state (see table below).</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Improved Time Above pH 4.0 of Vonoprazan vs. Esomeprazole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154305</wp:posOffset>
            </wp:positionV>
            <wp:extent cx="3686175" cy="1243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8617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Vonoprazan for the Potential Treatment of Acid-Related GI Diseases</w:t>
      </w:r>
    </w:p>
    <w:p>
      <w:pPr>
        <w:spacing w:after="0" w:line="189"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 xml:space="preserve">Given the shortcomings of PPI therapy, we believe that there is a significant unmet medical need for a safe and effective anti-secretory agent with rapid, potent, and durable activity. Vonoprazan was developed in markets outside of the United States by Takeda through an extensive clinical program, including 18 Phase 3 clinical trials. As of December 2019, over 6,000 subjects were exposed to vonoprazan in completed and ongoing clinical trials. In head-to-head Phase 3 trials versus a PPI, vonoprazan demonstrated faster onset of healing in more severe erosive esophagitis patients, lower recurrence rates of erosions in erosive esophagitis patients across all levels of severity, and a superior eradication rate in combination with antibiotics in patients with </w:t>
      </w:r>
      <w:r>
        <w:rPr>
          <w:rFonts w:ascii="Arial" w:cs="Arial" w:eastAsia="Arial" w:hAnsi="Arial"/>
          <w:sz w:val="16"/>
          <w:szCs w:val="16"/>
          <w:i w:val="1"/>
          <w:iCs w:val="1"/>
          <w:color w:val="auto"/>
        </w:rPr>
        <w:t xml:space="preserve">H. pylori </w:t>
      </w:r>
      <w:r>
        <w:rPr>
          <w:rFonts w:ascii="Arial" w:cs="Arial" w:eastAsia="Arial" w:hAnsi="Arial"/>
          <w:sz w:val="16"/>
          <w:szCs w:val="16"/>
          <w:color w:val="auto"/>
        </w:rPr>
        <w:t>infection than PPI-based triple therapy. Vonoprazan received marketing approval in Japan in late 2014 and generated over $500 million in net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sales in its fourth full year on the market in Japan. In the fourth quarter of 2019, we initiated a single pivotal Phase 3 clinical trial of vonoprazan in each of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March 2020, due to global efforts to combat the COVID-19 pandemic, we paused randomization of new patients in our Phase 3 trial. Despite this pause, we still expect to report top-line data from both trials in 2021, and if successful, file regulatory submissions for marketing approval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2021 and for erosive esophagitis in 2022.</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12</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Vonoprazan in GERD</w:t>
      </w:r>
    </w:p>
    <w:p>
      <w:pPr>
        <w:spacing w:after="0" w:line="202"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Based on the significant unmet medical need, previous Phase 3 trial results, and commercial potential, we have prioritized the development of vonoprazan in GERD in:</w:t>
      </w:r>
    </w:p>
    <w:p>
      <w:pPr>
        <w:spacing w:after="0" w:line="130" w:lineRule="exact"/>
        <w:rPr>
          <w:sz w:val="20"/>
          <w:szCs w:val="20"/>
          <w:color w:val="auto"/>
        </w:rPr>
      </w:pPr>
    </w:p>
    <w:p>
      <w:pPr>
        <w:ind w:left="1020" w:hanging="43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healing of erosive esophagitis and relief of heartburn;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maintenance of healing of erosive esophagitis and relief of heartburn.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GERD Disease Overview</w:t>
      </w:r>
    </w:p>
    <w:p>
      <w:pPr>
        <w:spacing w:after="0" w:line="185"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GERD is one of the most prevalent diseases of any kind and is the most prevalent GI disease, affecting approximately 20% of the U.S. population and approximately 15% of the European population. We estimate there are approximately 65 million individuals with GERD in the United States and 50 million individuals with GERD in the EU5. GERD is a disease that develops when the reflux of acidic stomach contents into the esophagus causes troublesome symptoms and/or complications, and the term covers a spectrum of diseases, including erosive esophagitis, non-erosive reflux disease, and Barrett’s esophagus. These diseases are detailed below:</w:t>
      </w:r>
    </w:p>
    <w:p>
      <w:pPr>
        <w:spacing w:after="0" w:line="161" w:lineRule="exact"/>
        <w:rPr>
          <w:sz w:val="20"/>
          <w:szCs w:val="20"/>
          <w:color w:val="auto"/>
        </w:rPr>
      </w:pPr>
    </w:p>
    <w:p>
      <w:pPr>
        <w:ind w:left="1020" w:right="80" w:hanging="432"/>
        <w:spacing w:after="0" w:line="30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Erosive esophagitis</w:t>
      </w:r>
      <w:r>
        <w:rPr>
          <w:rFonts w:ascii="Arial" w:cs="Arial" w:eastAsia="Arial" w:hAnsi="Arial"/>
          <w:sz w:val="16"/>
          <w:szCs w:val="16"/>
          <w:color w:val="auto"/>
        </w:rPr>
        <w:t>: Approximately 30% of GERD patients have erosive esophagitis, which is classified by erosions in the gastric mucosa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caused by acidic reflux of stomach contents into the esophagus. Erosive esophagitis is commonly graded by the Los Angeles classification system, which characterizes the extent of erosions in the esophagus and is graded on a scale of increasing severity from A to D, with D being the most severe. Approximately 10% to 20% of erosive esophagitis patients have the more severe Los Angeles Class C or D disease.</w:t>
      </w:r>
    </w:p>
    <w:p>
      <w:pPr>
        <w:spacing w:after="0" w:line="116" w:lineRule="exact"/>
        <w:rPr>
          <w:rFonts w:ascii="Arial" w:cs="Arial" w:eastAsia="Arial" w:hAnsi="Arial"/>
          <w:sz w:val="16"/>
          <w:szCs w:val="16"/>
          <w:color w:val="auto"/>
        </w:rPr>
      </w:pPr>
    </w:p>
    <w:p>
      <w:pPr>
        <w:ind w:left="1020" w:right="220" w:hanging="43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Non-erosive reflux disease (NERD)</w:t>
      </w:r>
      <w:r>
        <w:rPr>
          <w:rFonts w:ascii="Arial" w:cs="Arial" w:eastAsia="Arial" w:hAnsi="Arial"/>
          <w:sz w:val="18"/>
          <w:szCs w:val="18"/>
          <w:color w:val="auto"/>
        </w:rPr>
        <w:t>: Approximately 60% of GERD patients have NERD, which is classified by an endoscopically normal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esophagus, but abnormal gastric acid exposure in the esophagus and persistent symptoms.</w:t>
      </w:r>
    </w:p>
    <w:p>
      <w:pPr>
        <w:spacing w:after="0" w:line="129" w:lineRule="exact"/>
        <w:rPr>
          <w:rFonts w:ascii="Arial" w:cs="Arial" w:eastAsia="Arial" w:hAnsi="Arial"/>
          <w:sz w:val="18"/>
          <w:szCs w:val="18"/>
          <w:color w:val="auto"/>
        </w:rPr>
      </w:pPr>
    </w:p>
    <w:p>
      <w:pPr>
        <w:ind w:left="1020" w:right="220" w:hanging="432"/>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Barrett’s esophagus</w:t>
      </w:r>
      <w:r>
        <w:rPr>
          <w:rFonts w:ascii="Arial" w:cs="Arial" w:eastAsia="Arial" w:hAnsi="Arial"/>
          <w:sz w:val="18"/>
          <w:szCs w:val="18"/>
          <w:color w:val="auto"/>
        </w:rPr>
        <w:t>: Approximately 10% of GERD patients have Barrett’s esophagus, which is classified by endoscopic and histological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evidence of metaplasia or dysplasia in the mucosal cell lining in the lower portion of the esophagus; approximately 1% of patients annually progress to esophageal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116840</wp:posOffset>
            </wp:positionV>
            <wp:extent cx="3815080" cy="1671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1508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589"/>
        <w:spacing w:after="0" w:line="275" w:lineRule="auto"/>
        <w:rPr>
          <w:sz w:val="20"/>
          <w:szCs w:val="20"/>
          <w:color w:val="auto"/>
        </w:rPr>
      </w:pPr>
      <w:r>
        <w:rPr>
          <w:rFonts w:ascii="Arial" w:cs="Arial" w:eastAsia="Arial" w:hAnsi="Arial"/>
          <w:sz w:val="17"/>
          <w:szCs w:val="17"/>
          <w:color w:val="auto"/>
        </w:rPr>
        <w:t>GERD patients typically present with heartburn and reflux symptoms. Based on these symptoms, patients are typically treated first-line with PPIs prior to a diagnostic endoscopy for specific disease classification of erosive esophagitis, NERD or Barrett’s esophagus. Clinical guidelines suggest that endoscopy only be performed in patients who continue to have symptoms despite a four- to-eight-week course of daily PPIs or have alarm symptoms, including GI bleeding, anemia, weight loss, chest pain, or difficult or painful swallowing. Our market research suggests that most patients are treated empirically based on symptoms rather than based on endoscopic characterization of disease.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13</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GERD Treatment Paradigm</w:t>
      </w:r>
    </w:p>
    <w:p>
      <w:pPr>
        <w:spacing w:after="0" w:line="198"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Approximately 80% of GERD patients are pharmacologically treated with prescription or OTC medications. PPIs are currently the most effective anti-secretory agents available in the United States and Europe for relieving GERD symptoms and healing erosions in gastric mucosa. Our market research suggests that approximately 80% of patients who are pharmacologically treated receive PPIs, and approximately 75% of PPI use is prescription rather than OTC. The majority of PPI use is chronic, with more than 70% of patients prescribed PPIs for daily use. According to IQVIA NDTI, there were approximately 120 million oral PPI prescriptions written in the United States and 6.1 billion doses prescribed for the 12 months ended May 31, 2019.</w:t>
      </w:r>
    </w:p>
    <w:p>
      <w:pPr>
        <w:spacing w:after="0" w:line="121"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While PPIs provide clinically meaningful symptom relief and healing for millions of patients suffering from acid-related GI diseases, they are inadequate for many patients. The suboptimal anti-secretory profile of PPIs results in slow onset of symptom relief, breakthrough nighttime or postprandial heartburn, and treatment failure. Results of a recent population-based survey with over 70,000 participants in the United States showed that 55% of patients who reported having GERD symptoms were taking PPIs, with 68% taking them daily, and 54% of daily PPI users reported persistent symptoms. This is consistent with earlier studies that have shown that approximately 15% to 45% of GERD patients are inadequately treated with PPIs, experiencing persistent, troublesome symptoms, such as heartburn and regurgitation. In approximately two thirds of symptomatic GERD patients, reflux symptoms are not adequately controlled after the first dose of a PPI, and nearly 50% of patients still suffer from symptoms three days later. Given these limitations, more than 20% of GERD patients on PPI therapy are taking their PPI twice daily, which is not FDA approved, or purchasing OTC heartburn treatments in addition to their prescription medicine. In a survey of approximately 1,000 GERD patients and 1,000 physicians, approximately one-third of GERD patients reported persistent symptoms and were dissatisfied with PPI therapy and 35% of physicians perceived patients as somewhat satisfied to completely dissatisfied with PPI treatment. In our U.S. market research study, physicians highlighted control of nighttime and daytime heartburn symptoms and efficacy in the healing and maintenance of healing of esophageal erosions as key unmet needs in GERD and reported that approximately 25% of patients are not satisfied on PPIs.</w:t>
      </w:r>
    </w:p>
    <w:p>
      <w:pPr>
        <w:spacing w:after="0" w:line="14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There are few treatment options for GERD patients who are inadequately managed on PPI therapy. Our U.S. market research survey reported that 26% of patients who are unsatisfied with therapy on a given PPI will switch to a different PPI to improve symptom control or heal esophageal erosions; however, physicians surveyed did not believe there are meaningful differences in outcomes between PPIs. Even though safety and efficacy of twice daily dosing of PPIs has not been evaluated in large controlled clinical studies and is not included on the label for any PPIs, surveyed physicians reported that 23% of patients resort to this dosing regimen given dissatisfaction of once daily PPIs. A limited number of patients proceed to a surgical procedure, such as Nissen fundoplication. However, this procedure results in postoperative morbidity of 5% to 20%, as well as a two- to six-week recovery period and a median hospital stay of two days.</w:t>
      </w:r>
    </w:p>
    <w:p>
      <w:pPr>
        <w:spacing w:after="0" w:line="168"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Vonoprazan has the potential to be the first gastric anti-secretory agent from a novel class approved in the United States, Europe, or Canada in over 30 years. Our U.S. market research survey reported that physicians would prefer to use vonoprazan in 59% of all of their GERD patients and believe that vonoprazan’s mechanism of action and gastric pH control is meaningfully improved over PPIs, that vonoprazan could be a more effective treatment than PPIs in healing and maintenance of healing of esophageal erosions, and that vonoprazan would improve their ability to treat GERD patients.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Data for Vonoprazan in GERD</w:t>
      </w:r>
    </w:p>
    <w:p>
      <w:pPr>
        <w:spacing w:after="0" w:line="185"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Four Phase 3 clinical trials have been completed comparing vonoprazan to PPIs in erosive esophagitis: a healing trial in Japan; a maintenance of healing trial in Japan; a healing trial in Asia (China, Taiwan, and Korea); and a maintenance of healing trial in Asia. In addition to these Phase 3 trials, several published investigator-sponsored studies have compared vonoprazan to PPIs across dosing regimens and endpoints. Results of these clinical trials are summarized below.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14</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4" w:name="page15"/>
    <w:bookmarkEnd w:id="14"/>
    <w:p>
      <w:pPr>
        <w:ind w:left="600"/>
        <w:spacing w:after="0"/>
        <w:rPr>
          <w:sz w:val="20"/>
          <w:szCs w:val="20"/>
          <w:color w:val="auto"/>
        </w:rPr>
      </w:pPr>
      <w:r>
        <w:rPr>
          <w:rFonts w:ascii="Arial" w:cs="Arial" w:eastAsia="Arial" w:hAnsi="Arial"/>
          <w:sz w:val="18"/>
          <w:szCs w:val="18"/>
          <w:i w:val="1"/>
          <w:iCs w:val="1"/>
          <w:color w:val="auto"/>
        </w:rPr>
        <w:t>Healing of Erosive Esophagitis Clinical Trials in Japan and Asia</w:t>
      </w:r>
    </w:p>
    <w:p>
      <w:pPr>
        <w:spacing w:after="0" w:line="198"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In a Phase 3 multicenter, randomized, double-blind, parallel group trial, 409 patients in Japan with endoscopically confirmed erosive esophagitis were randomized to receive vonoprazan 20 mg QD or lansoprazole 30 mg QD for up to eight weeks. The primary endpoint was the non-inferiority of the percent of patients with healed erosive esophagitis up to Week 8, as assessed by endoscopy. Non-inferiority is intended to show that the effect of a new treatment is not worse than the active control by more than a specified margin, while superiority is intended to show that one treatment is more effective than a comparator by any margin.</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Design of Japan Phase 3 Clinical Trial for the Healing of Erosive Esophagitis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77790" cy="1431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7779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Vonoprazan achieved the primary endpoint of non-inferiority versus lansoprazole on the percent of patients with healed erosive esophagitis up to Week 8 (99% vs. 96%, p&lt;0.0001). Further, a post hoc analysis demonstrated that vonoprazan was superior to lansoprazole on the percent of patients with healed erosive esophagitis up to Week 8 (p=0.0337). In the subset of 147 patients with more severe erosive esophagitis of Los Angeles Class C or D, vonoprazan healing was also shown to be superior (99% vs. 88%, p=0.0082). We believe this result is due to the improved acid control of vonoprazan over lansoprazole, and we believe lansoprazole is representative of the PPI class.</w:t>
      </w:r>
    </w:p>
    <w:p>
      <w:pPr>
        <w:spacing w:after="0" w:line="136" w:lineRule="exact"/>
        <w:rPr>
          <w:sz w:val="20"/>
          <w:szCs w:val="20"/>
          <w:color w:val="auto"/>
        </w:rPr>
      </w:pPr>
    </w:p>
    <w:p>
      <w:pPr>
        <w:ind w:right="220" w:firstLine="589"/>
        <w:spacing w:after="0" w:line="279" w:lineRule="auto"/>
        <w:rPr>
          <w:sz w:val="20"/>
          <w:szCs w:val="20"/>
          <w:color w:val="auto"/>
        </w:rPr>
      </w:pPr>
      <w:r>
        <w:rPr>
          <w:rFonts w:ascii="Arial" w:cs="Arial" w:eastAsia="Arial" w:hAnsi="Arial"/>
          <w:sz w:val="17"/>
          <w:szCs w:val="17"/>
          <w:color w:val="auto"/>
        </w:rPr>
        <w:t>Vonoprazan further demonstrated a more rapid clinical effect versus lansoprazole with a superior healing rate at Week 2 (91% vs. 82%, p&lt;0.0001 for non-inferiority and p=0.0132 in a post hoc superiority analysis). The treatment effect was more pronounced in the more severe patients with Los Angeles Class C or D disease (88% vs. 64%, p=0.0008 for superiority). Of the seven patients who failed lansoprazole treatment and continued into the additional treatment period, six healed with four weeks of treatment of 40 mg vonoprazan QD.</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Results of Japan Phase 3 Clinical Trial in the Healing of Erosive Esophagitis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154305</wp:posOffset>
            </wp:positionV>
            <wp:extent cx="4989195" cy="1885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8919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In addition, in the lead-in period of the Japan Phase 3 maintenance of healing clinical trial discussed below, patients were treated with vonoprazan 20 mg for up to eight weeks before proceeding into treatment for the maintenance of healing of erosive esophagitis. The healing rate at Week 2 and through Week 8 during this lead-in healing period was 91% and 99%, respectively.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15</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5" w:name="page16"/>
    <w:bookmarkEnd w:id="15"/>
    <w:p>
      <w:pPr>
        <w:ind w:right="60" w:firstLine="589"/>
        <w:spacing w:after="0" w:line="254" w:lineRule="auto"/>
        <w:rPr>
          <w:sz w:val="20"/>
          <w:szCs w:val="20"/>
          <w:color w:val="auto"/>
        </w:rPr>
      </w:pPr>
      <w:r>
        <w:rPr>
          <w:rFonts w:ascii="Arial" w:cs="Arial" w:eastAsia="Arial" w:hAnsi="Arial"/>
          <w:sz w:val="18"/>
          <w:szCs w:val="18"/>
          <w:color w:val="auto"/>
        </w:rPr>
        <w:t>In another multicenter, randomized, double-blind, parallel group Phase 3 clinical trial in China, Taiwan, Korea, and Malaysia, 481 patients with endoscopically confirmed erosive esophagitis were randomized to receive vonoprazan 20 mg QD or lansoprazole 30 mg QD for eight weeks. Vonoprazan achieved the primary endpoint of non-inferiority versus lansoprazole on the percent of patients with healed erosive esophagitis up to Week 8, 92% and 91%, respectively (95% confidence interval of treatment difference of -3.8% to 6.1%). The difference in healing rates of 1% between the treatment groups had a confidence interval of -3.8 to 6.1, which means that statistically there is 95% certainty that the true difference in healing rates lies within this range of values. Non-inferiority was established in this trial as the lower bound (-3.8%) of the confidence interval was greater than the pre-established non-inferiority margin of -10%.</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Maintenance of Healing of Erosive Esophagitis Clinical Trials in Japan and Asia</w:t>
      </w:r>
    </w:p>
    <w:p>
      <w:pPr>
        <w:spacing w:after="0" w:line="185"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In a multicenter, randomized, double-blind, parallel-group Phase 3 clinical trial in Japan, 627 patients with erosive esophagitis were treated with vonoprazan 20 mg QD for two, four, or eight weeks. After this lead-in period, a total of 607 patients with healed erosive esophagitis, of whom 124 had Los Angeles Class C or D disease, were randomized to receive vonoprazan 10 mg QD, vonoprazan 20 mg QD, or lansoprazole 15 mg QD for 24 weeks. The primary endpoint was the percent of patients with recurrence of erosive esophagitis at Week 24 as assessed by endoscopy.</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Design of Japan Phase 3 Clinical Trial in Maintenance of Healing of Erosive Esophagitis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1654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6064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Vonoprazan achieved the primary endpoint of non-inferiority versus lansoprazole on the percent of patients with recurrence of erosive esophagitis during the 24-week maintenance period. Patients on lansoprazole had a 17% recurrence rate of erosive esophagitis after 24 weeks of daily treatment, versus 5% for patients on vonoprazan 10 mg and 2% for patients on vonoprazan 20 mg (p&lt;0.0001 for non-inferiority of both vonoprazan doses vs. lansoprazole). Both vonoprazan doses were superior to lansoprazole in a post hoc analysis (p=0.0002 for vonoprazan 10 mg and p&lt;0.0001 for vonoprazan 20 mg). As shown below, the superiority of each dose of vonoprazan to lansoprazole was demonstrated in both Los Angeles Class A and B patients, as well as the more severe Los Angeles Class C and D patients. We believe this result demonstrates the improved potency and durability of vonoprazan versus lansoprazole in all patients with erosive esophagitis.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16</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Results of Japan Phase 3 Clinical Trial in Maintenance of Healing of Erosive Esophagitis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154305</wp:posOffset>
            </wp:positionV>
            <wp:extent cx="4808855" cy="2100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0885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In a second multicenter, randomized, double-blind, parallel-group Phase 3 clinical trial in China, Malaysia, Taiwan, and Korea, patients with healed erosive esophagitis, 20.6% of whom had Los Angeles Class C or D disease prior to EE healing, were randomized to receive vonoprazan 10 mg QD, vonoprazan 20 mg QD, or lansoprazole 15 mg QD for 24 weeks. The primary endpoint was the percent of patients with recurrence of erosive esophagitis at Week 24 as assessed by endoscopy. Recurrence rates were 25.5% for lansoprazole 15 mg QD, 13.3% for vonoprazan 10 mg QD, and 12.3% for vonoprazan 20 mg QD. Both doses of vonoprazan were superior to lansoprazole in preventing endoscopic recurrence (95% confidence interval of treatment difference of -20.3% to -4.3% for vonoprazan 10mg QD as compared to lansoprazole 15mg QD and -21.3% to -5.3% for vonoprazan 20 mg QD as compared to lansoprazole 15mg QD).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Symptom Relief</w:t>
      </w:r>
    </w:p>
    <w:p>
      <w:pPr>
        <w:spacing w:after="0" w:line="185"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We believe the rapid pharmacodynamic effects of vonoprazan may provide complete and sustained heartburn relief more quickly compared to PPIs. A double-blind, randomized, investigator-sponsored clinical trial in 32 patients with erosive esophagitis compared the effects of vonoprazan 20 mg and lansoprazole 30 mg on the time to achieve complete heartburn relief, defined as seven days without heartburn symptoms. Vonoprazan demonstrated a faster time to complete heartburn relief than lansoprazole, and this complete relief was most pronounced for nighttime heartburn. The results of the trial are summarized below. We plan to evaluate a similar endpoint in our ongoing Phase 3 clinical trial.</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Faster Onset and Higher Rate of Complete Heartburn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154305</wp:posOffset>
            </wp:positionV>
            <wp:extent cx="5023485" cy="2143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2348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17</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On-Demand Dosing</w:t>
      </w:r>
    </w:p>
    <w:p>
      <w:pPr>
        <w:spacing w:after="0" w:line="185" w:lineRule="exact"/>
        <w:rPr>
          <w:sz w:val="20"/>
          <w:szCs w:val="20"/>
          <w:color w:val="auto"/>
        </w:rPr>
      </w:pPr>
    </w:p>
    <w:p>
      <w:pPr>
        <w:ind w:right="300" w:firstLine="589"/>
        <w:spacing w:after="0" w:line="301" w:lineRule="auto"/>
        <w:rPr>
          <w:sz w:val="20"/>
          <w:szCs w:val="20"/>
          <w:color w:val="auto"/>
        </w:rPr>
      </w:pPr>
      <w:r>
        <w:rPr>
          <w:rFonts w:ascii="Arial" w:cs="Arial" w:eastAsia="Arial" w:hAnsi="Arial"/>
          <w:sz w:val="16"/>
          <w:szCs w:val="16"/>
          <w:color w:val="auto"/>
        </w:rPr>
        <w:t>We believe the rapid onset of action of vonoprazan may also enable on-demand, or as needed, use for the relief of symptoms as an alternative to chronic daily treatment. In two open-label, investigator-sponsored clinical trials in Japan, one in erosive esophagitis and a second in NERD, the effectiveness of vonoprazan as an on-demand therapy was compared to that of daily PPI therapy with a number of different PPIs. In both clinical trials, patients utilized approximately 80% fewer doses of vonoprazan compared to PPIs but demonstrated similar levels of patient satisfaction.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Erosive Esophagitis Phase 3 Program</w:t>
      </w:r>
    </w:p>
    <w:p>
      <w:pPr>
        <w:spacing w:after="0" w:line="185"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We initiated PHALCON-EE, a single Phase 3 clinical trial of vonoprazan to assess the healing of erosive esophagitis and relief of heartburn, and the maintenance of healing of erosive esophagitis and relief of heartburn in the fourth quarter of 2019. Our investigational new drug, or IND, application for vonoprazan in erosive esophagitis was accepted by the FDA in September 2019.</w:t>
      </w:r>
    </w:p>
    <w:p>
      <w:pPr>
        <w:spacing w:after="0" w:line="143"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We plan to enroll approximately 1,000 patients with endoscopically confirmed erosive esophagitis in this clinical trial and enrich the clinical trial for more severe patients, targeting 30% Los Angeles Class C or D patients. The clinical trial will have both a healing phase and a maintenance phase. As patients will be re-randomized between the healing phase and the maintenance phase, each phase will be analyzed independently and have independent primary and secondary endpoints.</w:t>
      </w:r>
    </w:p>
    <w:p>
      <w:pPr>
        <w:spacing w:after="0" w:line="160" w:lineRule="exact"/>
        <w:rPr>
          <w:sz w:val="20"/>
          <w:szCs w:val="20"/>
          <w:color w:val="auto"/>
        </w:rPr>
      </w:pPr>
    </w:p>
    <w:p>
      <w:pPr>
        <w:ind w:left="1020" w:right="180" w:hanging="432"/>
        <w:spacing w:after="0" w:line="29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Healing phase</w:t>
      </w:r>
      <w:r>
        <w:rPr>
          <w:rFonts w:ascii="Arial" w:cs="Arial" w:eastAsia="Arial" w:hAnsi="Arial"/>
          <w:sz w:val="16"/>
          <w:szCs w:val="16"/>
          <w:color w:val="auto"/>
        </w:rPr>
        <w:t>: During the healing phase, patients will be randomized 1:1 to receive either vonoprazan 20 mg QD or lansoprazole 30 mg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QD for up to eight weeks. The lansoprazole 30 mg QD dose is recommended in the FDA prescribing information for lansoprazole. The primary endpoint for this phase is the percentage of patients with complete healing of erosive esophagitis by Week 8 as assessed by endoscopy with a primary analysis of non-inferiority. If non-inferiority is demonstrated, then an analysis for superiority will also be performed. Key secondary endpoints include: the percentage of patients with complete healing of erosive esophagitis at Week 2; percentage of patients with Los Angeles Class C or D erosive esophagitis disease with complete healing at Week 2 and Week 8; percentage of patients with onset of complete heartburn relief by Day 3 of treatment; and the percentage of 24-hour heartburn free days over the healing phase.</w:t>
      </w:r>
    </w:p>
    <w:p>
      <w:pPr>
        <w:spacing w:after="0" w:line="125" w:lineRule="exact"/>
        <w:rPr>
          <w:rFonts w:ascii="Arial" w:cs="Arial" w:eastAsia="Arial" w:hAnsi="Arial"/>
          <w:sz w:val="16"/>
          <w:szCs w:val="16"/>
          <w:color w:val="auto"/>
        </w:rPr>
      </w:pPr>
    </w:p>
    <w:p>
      <w:pPr>
        <w:ind w:left="1020" w:hanging="432"/>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Maintenance phase</w:t>
      </w:r>
      <w:r>
        <w:rPr>
          <w:rFonts w:ascii="Arial" w:cs="Arial" w:eastAsia="Arial" w:hAnsi="Arial"/>
          <w:sz w:val="16"/>
          <w:szCs w:val="16"/>
          <w:color w:val="auto"/>
        </w:rPr>
        <w:t>: Patients with complete healing of erosive esophagitis at Week 2 or Week 8 in the healing phase will be re-randomized</w:t>
      </w:r>
    </w:p>
    <w:p>
      <w:pPr>
        <w:spacing w:after="0" w:line="46" w:lineRule="exact"/>
        <w:rPr>
          <w:rFonts w:ascii="Arial" w:cs="Arial" w:eastAsia="Arial" w:hAnsi="Arial"/>
          <w:sz w:val="16"/>
          <w:szCs w:val="16"/>
          <w:color w:val="auto"/>
        </w:rPr>
      </w:pPr>
    </w:p>
    <w:p>
      <w:pPr>
        <w:ind w:left="1020" w:right="80"/>
        <w:spacing w:after="0" w:line="290" w:lineRule="auto"/>
        <w:rPr>
          <w:rFonts w:ascii="Arial" w:cs="Arial" w:eastAsia="Arial" w:hAnsi="Arial"/>
          <w:sz w:val="16"/>
          <w:szCs w:val="16"/>
          <w:color w:val="auto"/>
        </w:rPr>
      </w:pPr>
      <w:r>
        <w:rPr>
          <w:rFonts w:ascii="Arial" w:cs="Arial" w:eastAsia="Arial" w:hAnsi="Arial"/>
          <w:sz w:val="16"/>
          <w:szCs w:val="16"/>
          <w:color w:val="auto"/>
        </w:rPr>
        <w:t>1:1:1 into the maintenance phase. During this phase, patients will receive either vonoprazan 10 mg QD, vonoprazan 20 mg QD, or lansoprazole 15 mg QD for 24 weeks. The lansoprazole 15 mg QD dose is recommended in the FDA prescribing information for the maintenance of healing indication. The primary endpoint for this phase is the percentage of patients who maintain complete healing after 24 weeks as assessed by endoscopy with a primary analysis of non-inferiority. If non-inferiority is demonstrated, then an analysis for superiority will also be performed. Key secondary endpoints include the percentage of patients with Los Angeles Class C or D erosive esophagitis disease who maintain complete healing after 24 weeks and the percentage of 24-hour heartburn free days over the maintenance phase.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18</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8" w:name="page19"/>
    <w:bookmarkEnd w:id="18"/>
    <w:p>
      <w:pPr>
        <w:ind w:right="20" w:firstLine="589"/>
        <w:spacing w:after="0" w:line="311" w:lineRule="auto"/>
        <w:rPr>
          <w:sz w:val="20"/>
          <w:szCs w:val="20"/>
          <w:color w:val="auto"/>
        </w:rPr>
      </w:pPr>
      <w:r>
        <w:rPr>
          <w:rFonts w:ascii="Arial" w:cs="Arial" w:eastAsia="Arial" w:hAnsi="Arial"/>
          <w:sz w:val="16"/>
          <w:szCs w:val="16"/>
          <w:color w:val="auto"/>
        </w:rPr>
        <w:t>Our Phase 3 trial design is modeled after the successful Phase 3 clinical trials conducted in Japan and Asia with limited differences other than combining both the healing and maintenance of erosive esophagitis into a single study. In Japan and Asia, separate clinical trials were conducted for each of these indications. We believe we can simplify patient recruitment by conducting a single clinical trial and re-randomizing patients between phases.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Design for PHALCON-EE Phase 3 Erosive Esophagitis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154305</wp:posOffset>
            </wp:positionV>
            <wp:extent cx="4989195" cy="1937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8919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960" w:firstLine="589"/>
        <w:spacing w:after="0" w:line="459" w:lineRule="auto"/>
        <w:rPr>
          <w:sz w:val="20"/>
          <w:szCs w:val="20"/>
          <w:color w:val="auto"/>
        </w:rPr>
      </w:pPr>
      <w:r>
        <w:rPr>
          <w:rFonts w:ascii="Arial" w:cs="Arial" w:eastAsia="Arial" w:hAnsi="Arial"/>
          <w:sz w:val="18"/>
          <w:szCs w:val="18"/>
          <w:color w:val="auto"/>
        </w:rPr>
        <w:t xml:space="preserve">We expect to report top-line data from this trial in 2021 and, if successful, file a regulatory submission for marketing approval in 2022. </w:t>
      </w:r>
      <w:r>
        <w:rPr>
          <w:rFonts w:ascii="Arial" w:cs="Arial" w:eastAsia="Arial" w:hAnsi="Arial"/>
          <w:sz w:val="18"/>
          <w:szCs w:val="18"/>
          <w:b w:val="1"/>
          <w:bCs w:val="1"/>
          <w:color w:val="auto"/>
        </w:rPr>
        <w:t xml:space="preserve">Vonoprazan in Combination with Antibiotics for the Treatment of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Infection </w:t>
      </w:r>
      <w:r>
        <w:rPr>
          <w:rFonts w:ascii="Arial" w:cs="Arial" w:eastAsia="Arial" w:hAnsi="Arial"/>
          <w:sz w:val="18"/>
          <w:szCs w:val="18"/>
          <w:b w:val="1"/>
          <w:bCs w:val="1"/>
          <w:i w:val="1"/>
          <w:iCs w:val="1"/>
          <w:color w:val="auto"/>
        </w:rPr>
        <w:t>Disease Burden and Outcomes</w:t>
      </w:r>
    </w:p>
    <w:p>
      <w:pPr>
        <w:ind w:right="140" w:firstLine="589"/>
        <w:spacing w:after="0" w:line="271" w:lineRule="auto"/>
        <w:rPr>
          <w:sz w:val="20"/>
          <w:szCs w:val="20"/>
          <w:color w:val="auto"/>
        </w:rPr>
      </w:pPr>
      <w:r>
        <w:rPr>
          <w:rFonts w:ascii="Arial" w:cs="Arial" w:eastAsia="Arial" w:hAnsi="Arial"/>
          <w:sz w:val="17"/>
          <w:szCs w:val="17"/>
          <w:i w:val="1"/>
          <w:iCs w:val="1"/>
          <w:color w:val="auto"/>
        </w:rPr>
        <w:t xml:space="preserve">H. pylori </w:t>
      </w:r>
      <w:r>
        <w:rPr>
          <w:rFonts w:ascii="Arial" w:cs="Arial" w:eastAsia="Arial" w:hAnsi="Arial"/>
          <w:sz w:val="17"/>
          <w:szCs w:val="17"/>
          <w:color w:val="auto"/>
        </w:rPr>
        <w:t>is a bacterial pathogen that infects approximately 35% of the U.S. population and 45% of the EU5 population. We estimate that there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approximately 115 million individuals in the United States and 145 million individuals in the EU5 infected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and we believe there are approximately 2.5 million patients treated for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the United States each year. As a result of the chronic inflammation induced by </w:t>
      </w:r>
      <w:r>
        <w:rPr>
          <w:rFonts w:ascii="Arial" w:cs="Arial" w:eastAsia="Arial" w:hAnsi="Arial"/>
          <w:sz w:val="17"/>
          <w:szCs w:val="17"/>
          <w:i w:val="1"/>
          <w:iCs w:val="1"/>
          <w:color w:val="auto"/>
        </w:rPr>
        <w: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pylori </w:t>
      </w:r>
      <w:r>
        <w:rPr>
          <w:rFonts w:ascii="Arial" w:cs="Arial" w:eastAsia="Arial" w:hAnsi="Arial"/>
          <w:sz w:val="17"/>
          <w:szCs w:val="17"/>
          <w:color w:val="auto"/>
        </w:rPr>
        <w:t>infection, approximately 20% of infected patients develop a range of pathologies including dyspepsia, peptic ulcer disease, gastric cancer,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mucosa-associated lymphoid tissue (MALT) lymphoma. Gastric cancer is the third most common cause of cancer-related death worldwide, and over 80% of gastric cancers are attributed to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Globally there are more than one million new cases of gastric cancer and approximately 782,000 deaths each year. Eradication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has been proven to reduce the incidence of gastric cancer, and the American College of Gastroenterologists, or ACG, guidelines recommend treatment for all patients diagnosed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w:t>
      </w:r>
    </w:p>
    <w:p>
      <w:pPr>
        <w:spacing w:after="0" w:line="138"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i w:val="1"/>
          <w:iCs w:val="1"/>
          <w:color w:val="auto"/>
        </w:rPr>
        <w:t xml:space="preserve">H. pylori </w:t>
      </w:r>
      <w:r>
        <w:rPr>
          <w:rFonts w:ascii="Arial" w:cs="Arial" w:eastAsia="Arial" w:hAnsi="Arial"/>
          <w:sz w:val="18"/>
          <w:szCs w:val="18"/>
          <w:color w:val="auto"/>
        </w:rPr>
        <w:t>eradication rates have fallen from &gt;90% in the 1990s to current rates of &lt;80% due to increasing antibiotic resistance. In 2017, the World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Health Organization (WHO) listed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among the 16 antibiotic-resistant bacteria that pose the greatest threat to human health and designated </w:t>
      </w:r>
      <w:r>
        <w:rPr>
          <w:rFonts w:ascii="Arial" w:cs="Arial" w:eastAsia="Arial" w:hAnsi="Arial"/>
          <w:sz w:val="18"/>
          <w:szCs w:val="18"/>
          <w:i w:val="1"/>
          <w:iCs w:val="1"/>
          <w:color w:val="auto"/>
        </w:rPr>
        <w: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pylori </w:t>
      </w:r>
      <w:r>
        <w:rPr>
          <w:rFonts w:ascii="Arial" w:cs="Arial" w:eastAsia="Arial" w:hAnsi="Arial"/>
          <w:sz w:val="18"/>
          <w:szCs w:val="18"/>
          <w:color w:val="auto"/>
        </w:rPr>
        <w:t>as a Class 1 carcinogen, meaning that it is a definite known cause of cancer. In 2014, the FDA added</w:t>
      </w:r>
      <w:r>
        <w:rPr>
          <w:rFonts w:ascii="Arial" w:cs="Arial" w:eastAsia="Arial" w:hAnsi="Arial"/>
          <w:sz w:val="18"/>
          <w:szCs w:val="18"/>
          <w:i w:val="1"/>
          <w:iCs w:val="1"/>
          <w:color w:val="auto"/>
        </w:rPr>
        <w:t xml:space="preserve"> H. pylori </w:t>
      </w:r>
      <w:r>
        <w:rPr>
          <w:rFonts w:ascii="Arial" w:cs="Arial" w:eastAsia="Arial" w:hAnsi="Arial"/>
          <w:sz w:val="18"/>
          <w:szCs w:val="18"/>
          <w:color w:val="auto"/>
        </w:rPr>
        <w:t>to the agency’s list of qualifying</w:t>
      </w:r>
      <w:r>
        <w:rPr>
          <w:rFonts w:ascii="Arial" w:cs="Arial" w:eastAsia="Arial" w:hAnsi="Arial"/>
          <w:sz w:val="18"/>
          <w:szCs w:val="18"/>
          <w:i w:val="1"/>
          <w:iCs w:val="1"/>
          <w:color w:val="auto"/>
        </w:rPr>
        <w:t xml:space="preserve"> </w:t>
      </w:r>
      <w:r>
        <w:rPr>
          <w:rFonts w:ascii="Arial" w:cs="Arial" w:eastAsia="Arial" w:hAnsi="Arial"/>
          <w:sz w:val="18"/>
          <w:szCs w:val="18"/>
          <w:color w:val="auto"/>
        </w:rPr>
        <w:t>pathogens that have the potential to pose a serious threat to public health under the GAIN Act. We believe that vonoprazan-based treatment regimens have the potential to restore eradication rates to greater than 90% in the United States and Europe given the clinical and post-marketing experience in the Japanese market.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19</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9" w:name="page20"/>
    <w:bookmarkEnd w:id="19"/>
    <w:p>
      <w:pPr>
        <w:ind w:right="200" w:firstLine="589"/>
        <w:spacing w:after="0" w:line="301" w:lineRule="auto"/>
        <w:rPr>
          <w:sz w:val="20"/>
          <w:szCs w:val="20"/>
          <w:color w:val="auto"/>
        </w:rPr>
      </w:pPr>
      <w:r>
        <w:rPr>
          <w:rFonts w:ascii="Arial" w:cs="Arial" w:eastAsia="Arial" w:hAnsi="Arial"/>
          <w:sz w:val="16"/>
          <w:szCs w:val="16"/>
          <w:color w:val="auto"/>
        </w:rPr>
        <w:t xml:space="preserve">A recent study compiled real-world health insurance claims data in Japan from 2008 to 2016 for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eradication. Prior to vonoprazan’s approval in late 2014, the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eradication rate across Japan fell to below 80% as shown in the figure below. Approximately one year after vonoprazan’s launch, the eradication rate increased to greater than 85%. From January 2015 to March 2016, the eradication rate with PPI-containing regimens in Japan was between 78% and 82% while the eradication rate with vonoprazan-containing regimens was 91% across all claims in this analysis.</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Eradication Rate of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Infection in Japan Before and After Launch of Vonoprazan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154305</wp:posOffset>
            </wp:positionV>
            <wp:extent cx="4011930" cy="2194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1193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 xml:space="preserve">In Japan, vonoprazan-containing regimens have become the most common first line treatment. One-year post launch, approximately 80% of all treated </w:t>
      </w:r>
      <w:r>
        <w:rPr>
          <w:rFonts w:ascii="Arial" w:cs="Arial" w:eastAsia="Arial" w:hAnsi="Arial"/>
          <w:sz w:val="18"/>
          <w:szCs w:val="18"/>
          <w:i w:val="1"/>
          <w:iCs w:val="1"/>
          <w:color w:val="auto"/>
        </w:rPr>
        <w:t>H. pylori</w:t>
      </w:r>
      <w:r>
        <w:rPr>
          <w:rFonts w:ascii="Arial" w:cs="Arial" w:eastAsia="Arial" w:hAnsi="Arial"/>
          <w:sz w:val="18"/>
          <w:szCs w:val="18"/>
          <w:color w:val="auto"/>
        </w:rPr>
        <w:t>-infected patients received vonoprazan-based regimens.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in the United States and Europe</w:t>
      </w:r>
    </w:p>
    <w:p>
      <w:pPr>
        <w:spacing w:after="0" w:line="189"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 xml:space="preserve">The ACG treatment guidelines for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recommend using PPIs in conjunction with antibiotics to improve antibiotic efficacy against </w:t>
      </w:r>
      <w:r>
        <w:rPr>
          <w:rFonts w:ascii="Arial" w:cs="Arial" w:eastAsia="Arial" w:hAnsi="Arial"/>
          <w:sz w:val="16"/>
          <w:szCs w:val="16"/>
          <w:i w:val="1"/>
          <w:iCs w:val="1"/>
          <w:color w:val="auto"/>
        </w:rPr>
        <w:t xml:space="preserve">H. pylori </w:t>
      </w:r>
      <w:r>
        <w:rPr>
          <w:rFonts w:ascii="Arial" w:cs="Arial" w:eastAsia="Arial" w:hAnsi="Arial"/>
          <w:sz w:val="16"/>
          <w:szCs w:val="16"/>
          <w:color w:val="auto"/>
        </w:rPr>
        <w:t>infection. The use of anti-secretory agents enhances the effect of antibiotics in two ways. First, anti-secretory agents increase gastric pH, which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turn increases the stability of the antibiotics. For example, amoxicillin and clarithromycin are chemically unstable at the low pH typically found in the human stomach. Second, several antibiotics, including amoxicillin and clarithromycin, are most potent against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at the time of maximum bacterial replication, which occurs at pH 6.0 to 7.0.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is in a dormant state at lower pH values, which reduces the effectiveness of the antibiotics.</w:t>
      </w:r>
    </w:p>
    <w:p>
      <w:pPr>
        <w:spacing w:after="0" w:line="134"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 xml:space="preserve">The table below shows the minimum inhibitory concentration of antibiotic required to eradicate 90%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 vitro, or MIC90. As pH increases, the amount of antibiotic required for 90% eradication decreases substantially.</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 xml:space="preserve">H. pylori </w:t>
      </w:r>
      <w:r>
        <w:rPr>
          <w:rFonts w:ascii="Arial" w:cs="Arial" w:eastAsia="Arial" w:hAnsi="Arial"/>
          <w:sz w:val="18"/>
          <w:szCs w:val="18"/>
          <w:b w:val="1"/>
          <w:bCs w:val="1"/>
          <w:color w:val="auto"/>
        </w:rPr>
        <w:t>MIC</w:t>
      </w:r>
      <w:r>
        <w:rPr>
          <w:rFonts w:ascii="Arial" w:cs="Arial" w:eastAsia="Arial" w:hAnsi="Arial"/>
          <w:sz w:val="15"/>
          <w:szCs w:val="15"/>
          <w:b w:val="1"/>
          <w:bCs w:val="1"/>
          <w:color w:val="auto"/>
        </w:rPr>
        <w:t>90</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Values as a Function of 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20</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0" w:name="page21"/>
    <w:bookmarkEnd w:id="20"/>
    <w:p>
      <w:pPr>
        <w:ind w:right="80" w:firstLine="589"/>
        <w:spacing w:after="0" w:line="272" w:lineRule="auto"/>
        <w:rPr>
          <w:sz w:val="20"/>
          <w:szCs w:val="20"/>
          <w:color w:val="auto"/>
        </w:rPr>
      </w:pPr>
      <w:r>
        <w:rPr>
          <w:rFonts w:ascii="Arial" w:cs="Arial" w:eastAsia="Arial" w:hAnsi="Arial"/>
          <w:sz w:val="17"/>
          <w:szCs w:val="17"/>
          <w:color w:val="auto"/>
        </w:rPr>
        <w:t xml:space="preserve">A triple therapy regimen (PPI, clarithromycin, and either amoxicillin or metronidazole) is the most commonly used in clinical practice for the first-line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However, </w:t>
      </w:r>
      <w:r>
        <w:rPr>
          <w:rFonts w:ascii="Arial" w:cs="Arial" w:eastAsia="Arial" w:hAnsi="Arial"/>
          <w:sz w:val="17"/>
          <w:szCs w:val="17"/>
          <w:i w:val="1"/>
          <w:iCs w:val="1"/>
          <w:color w:val="auto"/>
        </w:rPr>
        <w:t>H. pylor</w:t>
      </w:r>
      <w:r>
        <w:rPr>
          <w:rFonts w:ascii="Arial" w:cs="Arial" w:eastAsia="Arial" w:hAnsi="Arial"/>
          <w:sz w:val="17"/>
          <w:szCs w:val="17"/>
          <w:color w:val="auto"/>
        </w:rPr>
        <w:t xml:space="preserve">i eradication rates with PPI triple therapy have fallen from &gt;90% in the 1990s to current levels of &lt;80%, primarily due to increased resistance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to clarithromycin and metronidazole. A recent meta-analysis indicates that U.S. resistance rates measured from 2012 to 2016 were 20% for clarithromycin, 29% for metronidazole, and 19% for levofloxacin. These figures represent a marked increase from 2009 to 2011 for both clarithromycin and metronidazole, for which resistance was 9% for clarithromycin, 21% for metronidazole, and 11% for levofloxacin.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resistance to amoxicillin remains low despite its use in most triple therapy regimens; resistance is generally &lt;2% among isolates in the United States and Europe. There is a similar trend of increasing resistance to key antibiotics in Europe.</w:t>
      </w:r>
    </w:p>
    <w:p>
      <w:pPr>
        <w:spacing w:after="0" w:line="137"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 xml:space="preserve">Given the declining eradication rates for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quadruple therapy is recommended as first-line treatment in areas with known high rates of clarithromycin or metronidazole resistance; however, our U.S. market research study reported that physicians prescribe quadruple therapy to only 17% of first-line patients. The surveyed physicians are concerned with patient adherence to treatment and patient compliance and tolerability issues associated with dosing multiple drugs at multiple times throughout the day. Further, geographic patterns of resistance in the United States are poorly understood and treatment is largely empiric, with susceptibility testing rarely conducted prior to first-line treatment. Our U.S. market research study reported that only 8% and 16% of physicians conduct resistance testing prior to prescribing treatment for first-line and second-line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respectively.</w:t>
      </w:r>
    </w:p>
    <w:p>
      <w:pPr>
        <w:spacing w:after="0" w:line="137" w:lineRule="exact"/>
        <w:rPr>
          <w:sz w:val="20"/>
          <w:szCs w:val="20"/>
          <w:color w:val="auto"/>
        </w:rPr>
      </w:pPr>
    </w:p>
    <w:p>
      <w:pPr>
        <w:jc w:val="both"/>
        <w:ind w:right="160" w:firstLine="589"/>
        <w:spacing w:after="0" w:line="301" w:lineRule="auto"/>
        <w:rPr>
          <w:sz w:val="20"/>
          <w:szCs w:val="20"/>
          <w:color w:val="auto"/>
        </w:rPr>
      </w:pPr>
      <w:r>
        <w:rPr>
          <w:rFonts w:ascii="Arial" w:cs="Arial" w:eastAsia="Arial" w:hAnsi="Arial"/>
          <w:sz w:val="16"/>
          <w:szCs w:val="16"/>
          <w:color w:val="auto"/>
        </w:rPr>
        <w:t xml:space="preserve">In our U.S. market research study, physicians highlighted the need for more effective and simpler first-line treatment options. For the treatment of </w:t>
      </w:r>
      <w:r>
        <w:rPr>
          <w:rFonts w:ascii="Arial" w:cs="Arial" w:eastAsia="Arial" w:hAnsi="Arial"/>
          <w:sz w:val="16"/>
          <w:szCs w:val="16"/>
          <w:i w:val="1"/>
          <w:iCs w:val="1"/>
          <w:color w:val="auto"/>
        </w:rPr>
        <w:t xml:space="preserve">H. pylori </w:t>
      </w:r>
      <w:r>
        <w:rPr>
          <w:rFonts w:ascii="Arial" w:cs="Arial" w:eastAsia="Arial" w:hAnsi="Arial"/>
          <w:sz w:val="16"/>
          <w:szCs w:val="16"/>
          <w:color w:val="auto"/>
        </w:rPr>
        <w:t>infection, surveyed physicians highlighted the declining eradication rate and low patient compliance rate with treatment regimens as key unmet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needs, and 93% of these physicians believe that vonoprazan offers clinically meaningful benefits over PPIs. Surveyed physicians reported that they would prefer to use vonoprazan dual or triple therapy in, on average, 67% of first-line and 69% of second-line patients with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Clinical Trial in Japan of Vonoprazan in Combination with Antibiotics to Treat H. pylori Infection</w:t>
      </w:r>
    </w:p>
    <w:p>
      <w:pPr>
        <w:spacing w:after="0" w:line="185"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 xml:space="preserve">A randomized, double-blind, multicenter Phase 3 clinical trial in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-positive patients was completed in Japan. Patients with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a history of gastric or duodenal ulcer who had not previously received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treatment were eligible for inclusion in the clinical trial. A total of 650 patients were randomized to receive seven days of:</w:t>
      </w:r>
    </w:p>
    <w:p>
      <w:pPr>
        <w:spacing w:after="0" w:line="157" w:lineRule="exact"/>
        <w:rPr>
          <w:sz w:val="20"/>
          <w:szCs w:val="20"/>
          <w:color w:val="auto"/>
        </w:rPr>
      </w:pPr>
    </w:p>
    <w:p>
      <w:pPr>
        <w:ind w:left="1020" w:hanging="432"/>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vonoprazan triple therapy</w:t>
      </w:r>
      <w:r>
        <w:rPr>
          <w:rFonts w:ascii="Arial" w:cs="Arial" w:eastAsia="Arial" w:hAnsi="Arial"/>
          <w:sz w:val="16"/>
          <w:szCs w:val="16"/>
          <w:color w:val="auto"/>
        </w:rPr>
        <w:t>: vonoprazan 20 mg twice daily, or BID, amoxicillin 750 mg BID, and clarithromycin (200 mg or 400 mg) BID; or</w:t>
      </w:r>
    </w:p>
    <w:p>
      <w:pPr>
        <w:spacing w:after="0" w:line="207" w:lineRule="exact"/>
        <w:rPr>
          <w:rFonts w:ascii="Arial" w:cs="Arial" w:eastAsia="Arial" w:hAnsi="Arial"/>
          <w:sz w:val="16"/>
          <w:szCs w:val="16"/>
          <w:color w:val="auto"/>
        </w:rPr>
      </w:pPr>
    </w:p>
    <w:p>
      <w:pPr>
        <w:ind w:left="1020" w:hanging="432"/>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lansoprazole triple therapy</w:t>
      </w:r>
      <w:r>
        <w:rPr>
          <w:rFonts w:ascii="Arial" w:cs="Arial" w:eastAsia="Arial" w:hAnsi="Arial"/>
          <w:sz w:val="18"/>
          <w:szCs w:val="18"/>
          <w:color w:val="auto"/>
        </w:rPr>
        <w:t>: lansoprazole 30 mg BID, amoxicillin 750 mg BID, and clarithromycin (200 mg or 400 mg) BID.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21</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1" w:name="page22"/>
    <w:bookmarkEnd w:id="21"/>
    <w:p>
      <w:pPr>
        <w:ind w:right="160" w:firstLine="589"/>
        <w:spacing w:after="0" w:line="277" w:lineRule="auto"/>
        <w:rPr>
          <w:sz w:val="20"/>
          <w:szCs w:val="20"/>
          <w:color w:val="auto"/>
        </w:rPr>
      </w:pPr>
      <w:r>
        <w:rPr>
          <w:rFonts w:ascii="Arial" w:cs="Arial" w:eastAsia="Arial" w:hAnsi="Arial"/>
          <w:sz w:val="18"/>
          <w:szCs w:val="18"/>
          <w:color w:val="auto"/>
        </w:rPr>
        <w:t xml:space="preserve">Patients who did not achieve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after first-line treatment received a second-line regimen of vonoprazan 20 mg BID, amoxicillin 750 mg BID, and metronidazole 250 mg BID for seven days.</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Design of Japan Phase 3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Treatment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154305</wp:posOffset>
            </wp:positionV>
            <wp:extent cx="5031740" cy="1825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3174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 xml:space="preserve">The primary endpoint of the clinical trial was confirmed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determined by </w:t>
      </w:r>
      <w:r>
        <w:rPr>
          <w:rFonts w:ascii="Arial" w:cs="Arial" w:eastAsia="Arial" w:hAnsi="Arial"/>
          <w:sz w:val="15"/>
          <w:szCs w:val="15"/>
          <w:color w:val="auto"/>
        </w:rPr>
        <w:t>13</w:t>
      </w:r>
      <w:r>
        <w:rPr>
          <w:rFonts w:ascii="Arial" w:cs="Arial" w:eastAsia="Arial" w:hAnsi="Arial"/>
          <w:sz w:val="18"/>
          <w:szCs w:val="18"/>
          <w:color w:val="auto"/>
        </w:rPr>
        <w:t xml:space="preserve">C-urea breath test, a standard test for the diagnosis of </w:t>
      </w:r>
      <w:r>
        <w:rPr>
          <w:rFonts w:ascii="Arial" w:cs="Arial" w:eastAsia="Arial" w:hAnsi="Arial"/>
          <w:sz w:val="18"/>
          <w:szCs w:val="18"/>
          <w:i w:val="1"/>
          <w:iCs w:val="1"/>
          <w:color w:val="auto"/>
        </w:rPr>
        <w:t>H. pylori</w:t>
      </w:r>
      <w:r>
        <w:rPr>
          <w:rFonts w:ascii="Arial" w:cs="Arial" w:eastAsia="Arial" w:hAnsi="Arial"/>
          <w:sz w:val="18"/>
          <w:szCs w:val="18"/>
          <w:color w:val="auto"/>
        </w:rPr>
        <w:t>, four weeks after the completion of treatment. The primary analysis was non-inferiority, and key secondary endpoints included the second line eradication rate and eradication rate in antibiotic-resistant subgroups.</w:t>
      </w:r>
    </w:p>
    <w:p>
      <w:pPr>
        <w:spacing w:after="0" w:line="143"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 xml:space="preserve">Vonoprazan-based triple therapy demonstrated a non-inferior eradication rate of 93% compared to 76% for lansoprazole-based triple therapy (p&lt;0.0001). Post hoc analyses indicated that vonoprazan-based triple therapy was superior to lansoprazole-based triple therapy (p&lt;0.0001). Patients who were not eradicated on vonoprazan-based triple therapy or lansoprazole-based triple therapy were treated with a triple therapy regimen of vonoprazan, amoxicillin, and metronidazole. In this second-line setting, the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rate with vonoprazan triple therapy was 98%. Across first- and second-line patients, the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rate in clarithromycin resistant strains was higher with vonoprazan-based triple therapy (82%) than with lansoprazole-based triple therapy (40%) as shown below. We believe that this result is significant, as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antibiotic resistance testing is rare in the United States,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treatment is generally empiric.</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Results of Japan Phase 3 Clinical Trial in the Treatment of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154305</wp:posOffset>
            </wp:positionV>
            <wp:extent cx="4937760" cy="2168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3776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22</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Other Studies of Vonoprazan in H. pylori Treatment</w:t>
      </w:r>
    </w:p>
    <w:p>
      <w:pPr>
        <w:spacing w:after="0" w:line="185"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 xml:space="preserve">A meta-analysis of 14 studies in Japan with over 14,636 patients found that the pooled eradication rates of vonoprazan-containing regimens were superior to those of PPI-containing regimens in a first-line setting (85% vs. 68%, p&lt;0.00001). Subgroup analysis further indicated the superiority of vonoprazan in patients with either clarithromycin-resistant strains (82% vs. 41%, p&lt;0.00001) or clarithromycin-susceptible strains (95% vs 90%, p=0.006). A second study retrospectively confirmed that empiric vonoprazan-based triple therapy was non-inferior to PPI-based triple therapy based on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antibiotic susceptibility testing.</w:t>
      </w:r>
    </w:p>
    <w:p>
      <w:pPr>
        <w:spacing w:after="0" w:line="161"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In addition to demonstrating superiority to PPIs in triple therapy regimens, vonoprazan was studied in a dual therapy regimen with amoxicillin in three investigator-initiated clinical trials in Japan.</w:t>
      </w:r>
    </w:p>
    <w:p>
      <w:pPr>
        <w:spacing w:after="0" w:line="130"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first trial involving 67 Japanese patients assessed vonoprazan dual therapy (vonoprazan 20 mg BID in combination with amoxicillin 500 mg three times daily, or TID, for seven days) compared to vonoprazan triple therapy (vonoprazan 20 mg BID in combination with amoxicillin 750 mg BID and clarithromycin 200 mg BID for seven days). As shown below, vonoprazan dual therapy was similarly efficacious to vonoprazan triple therapy (eradication rates of 94% in both treatment arms).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Results of Vonoprazan Dual and Triple Therapy in the Treatment of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154305</wp:posOffset>
            </wp:positionV>
            <wp:extent cx="3909060" cy="2023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0906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A second clinical trial compared vonoprazan-based dual therapy to esomeprazole or rabeprazole PPI-based triple therapy. This clinical trial enrolled 81 Japanese patients including 40 first-line treatment patients and 41 second-line treatment patients who had failed standard therapy and compared vonoprazan dual therapy and PPI triple therapy in both first- and second-line therapy. Patients assigned to vonoprazan dual therapy were treated with vonoprazan 20 mg BID in combination with amoxicillin 500 mg TID for seven days. Patients assigned to PPI triple therapy were treated first-line with esomeprazole 20 mg or rabeprazole 10 mg BID, amoxicillin 750 mg BID, and clarithromycin 200 mg BID or second-line with esomeprazole 20 mg or rabeprazole 10 mg BID, amoxicillin 750 mg BID, and metronidazole 250 mg BID for seven days. As shown below, dual therapy with vonoprazan was efficacious in both first- and second-line therapy with eradication rates of 95% and 90%, respectively, versus 81% and 85% for PPI-based triple therapies.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23</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t xml:space="preserve">Results of Vonoprazan Dual and PPI Triple Therapy in the Treatment of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154305</wp:posOffset>
            </wp:positionV>
            <wp:extent cx="3960495" cy="20999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6049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Most recently, a third clinical trial assessed vonoprazan dual therapy (vonoprazan 20 mg BID in combination with amoxicillin 750 mg BID) compared to vonoprazan triple therapy (vonoprazan 20 mg BID in combination with amoxicillin 750 mg BID and clarithromycin 200 mg BID) for seven days. This randomized and multi-center clinical trial included 335 patients. Vonoprazan dual therapy demonstrated a similar eradication rate to vonoprazan triple therapy (85% and 89%, respectively). Efficacy of vonoprazan dual therapy was maintained in subjects with clarithromycin-resistant infection (92% eradication rate in the dual therapy arm).</w:t>
      </w:r>
    </w:p>
    <w:p>
      <w:pPr>
        <w:spacing w:after="0" w:line="188"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 xml:space="preserve">Antibiotic resistance is a significant clinical issue, and we believe that vonoprazan has the potential to address the growing resistance to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by eradicating infection after first-line of treatment. Vonoprazan dual therapy has further potential for improved convenience and compliance over triple or quadruple therapy regimens, and importantly, spares the use of clarithromycin, metronidazole, and levofloxacin, representing an opportunity both for effective treatment and sound antibiotic stewardship through the avoidance of additional antibiotics to which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is known to acquire resistance. Less frequent use of these antibiotics, which have important roles aside from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may help to limit the spread of resistance among other pathogenic bacteria within populations.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 pylori Phase 3 Program</w:t>
      </w:r>
    </w:p>
    <w:p>
      <w:pPr>
        <w:spacing w:after="0" w:line="185"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 xml:space="preserve">We initiated PHALCON-HP, a Phase 3 clinical trial of vonoprazan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the fourth quarter of 2019. Our INDs for vonoprazan in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were accepted by the FDA in September 2019. We have received QIDP and Fast Track designations from the FDA for vonoprazan in combination with both amoxicillin and clarithromycin and in combination with amoxicillin alone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Subject to limited exceptions, QIDP designation extends any non-patent marketing exclusivity by an additional five years, and also provides potential eligibility for priority review.</w:t>
      </w:r>
    </w:p>
    <w:p>
      <w:pPr>
        <w:spacing w:after="0" w:line="14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 xml:space="preserve">We plan to enroll approximately 975 patients with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as assessed by </w:t>
      </w:r>
      <w:r>
        <w:rPr>
          <w:rFonts w:ascii="Arial" w:cs="Arial" w:eastAsia="Arial" w:hAnsi="Arial"/>
          <w:sz w:val="15"/>
          <w:szCs w:val="15"/>
          <w:color w:val="auto"/>
        </w:rPr>
        <w:t>13</w:t>
      </w:r>
      <w:r>
        <w:rPr>
          <w:rFonts w:ascii="Arial" w:cs="Arial" w:eastAsia="Arial" w:hAnsi="Arial"/>
          <w:sz w:val="18"/>
          <w:szCs w:val="18"/>
          <w:color w:val="auto"/>
        </w:rPr>
        <w:t>C-urea breath test in this clinical trial. The clinical trial will compare vonoprazan dual therapy and vonoprazan triple therapy regimens each head-to-head with a standard of care lansoprazole triple therapy regimen. Patients will be randomized in a 1:1:1 manner into the three treatment arms as follows:</w:t>
      </w:r>
    </w:p>
    <w:p>
      <w:pPr>
        <w:spacing w:after="0" w:line="157" w:lineRule="exact"/>
        <w:rPr>
          <w:sz w:val="20"/>
          <w:szCs w:val="20"/>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vonoprazan dual therapy</w:t>
      </w:r>
      <w:r>
        <w:rPr>
          <w:rFonts w:ascii="Arial" w:cs="Arial" w:eastAsia="Arial" w:hAnsi="Arial"/>
          <w:sz w:val="18"/>
          <w:szCs w:val="18"/>
          <w:color w:val="auto"/>
        </w:rPr>
        <w:t>: vonoprazan 20 mg BID and amoxicillin 1 g TID for 14 days;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vonoprazan triple therapy</w:t>
      </w:r>
      <w:r>
        <w:rPr>
          <w:rFonts w:ascii="Arial" w:cs="Arial" w:eastAsia="Arial" w:hAnsi="Arial"/>
          <w:sz w:val="18"/>
          <w:szCs w:val="18"/>
          <w:color w:val="auto"/>
        </w:rPr>
        <w:t>: vonoprazan 20 mg BID, amoxicillin 1 g BID and clarithromycin 500 mg BID for 14 days;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PPI triple therapy</w:t>
      </w:r>
      <w:r>
        <w:rPr>
          <w:rFonts w:ascii="Arial" w:cs="Arial" w:eastAsia="Arial" w:hAnsi="Arial"/>
          <w:sz w:val="18"/>
          <w:szCs w:val="18"/>
          <w:color w:val="auto"/>
        </w:rPr>
        <w:t>: lansoprazole 30 mg BID, amoxicillin 1 g BID and clarithromycin 500 mg BID for 14 days.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24</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24" w:name="page25"/>
    <w:bookmarkEnd w:id="24"/>
    <w:p>
      <w:pPr>
        <w:jc w:val="both"/>
        <w:ind w:right="20" w:firstLine="589"/>
        <w:spacing w:after="0" w:line="286" w:lineRule="auto"/>
        <w:rPr>
          <w:sz w:val="20"/>
          <w:szCs w:val="20"/>
          <w:color w:val="auto"/>
        </w:rPr>
      </w:pPr>
      <w:r>
        <w:rPr>
          <w:rFonts w:ascii="Arial" w:cs="Arial" w:eastAsia="Arial" w:hAnsi="Arial"/>
          <w:sz w:val="16"/>
          <w:szCs w:val="16"/>
          <w:color w:val="auto"/>
        </w:rPr>
        <w:t xml:space="preserve">The primary endpoint for this trial is the percentage of patients with successful eradication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as assessed by </w:t>
      </w:r>
      <w:r>
        <w:rPr>
          <w:rFonts w:ascii="Arial" w:cs="Arial" w:eastAsia="Arial" w:hAnsi="Arial"/>
          <w:sz w:val="13"/>
          <w:szCs w:val="13"/>
          <w:color w:val="auto"/>
        </w:rPr>
        <w:t>13</w:t>
      </w:r>
      <w:r>
        <w:rPr>
          <w:rFonts w:ascii="Arial" w:cs="Arial" w:eastAsia="Arial" w:hAnsi="Arial"/>
          <w:sz w:val="16"/>
          <w:szCs w:val="16"/>
          <w:color w:val="auto"/>
        </w:rPr>
        <w:t xml:space="preserve">C-urea breath test four weeks after completion of treatment. The primary analysis will assess the non-inferiority of vonoprazan dual therapy to lansoprazole triple therapy and vonoprazan triple therapy to lansoprazole triple therapy excluding patients who have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that is resistant to clarithromycin or amoxicillin. We will also conduct secondary analyses for superiority in all patients regardless of antibiotic resistance and in patients with clarithromycin-resistant </w:t>
      </w:r>
      <w:r>
        <w:rPr>
          <w:rFonts w:ascii="Arial" w:cs="Arial" w:eastAsia="Arial" w:hAnsi="Arial"/>
          <w:sz w:val="16"/>
          <w:szCs w:val="16"/>
          <w:i w:val="1"/>
          <w:iCs w:val="1"/>
          <w:color w:val="auto"/>
        </w:rPr>
        <w: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pylori </w:t>
      </w:r>
      <w:r>
        <w:rPr>
          <w:rFonts w:ascii="Arial" w:cs="Arial" w:eastAsia="Arial" w:hAnsi="Arial"/>
          <w:sz w:val="18"/>
          <w:szCs w:val="18"/>
          <w:color w:val="auto"/>
        </w:rPr>
        <w:t>infection.</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Phase 3 trial design is modeled after the successful Phase 3 clinical trial conducted in Japan. Key differences include:</w:t>
      </w:r>
    </w:p>
    <w:p>
      <w:pPr>
        <w:spacing w:after="0" w:line="185" w:lineRule="exact"/>
        <w:rPr>
          <w:sz w:val="20"/>
          <w:szCs w:val="20"/>
          <w:color w:val="auto"/>
        </w:rPr>
      </w:pPr>
    </w:p>
    <w:p>
      <w:pPr>
        <w:ind w:left="1020" w:right="180" w:hanging="432"/>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Inclusion of patients with H. pylori infection and dyspeptic symptoms</w:t>
      </w:r>
      <w:r>
        <w:rPr>
          <w:rFonts w:ascii="Arial" w:cs="Arial" w:eastAsia="Arial" w:hAnsi="Arial"/>
          <w:sz w:val="16"/>
          <w:szCs w:val="16"/>
          <w:color w:val="auto"/>
        </w:rPr>
        <w:t>. Our clinical trial will enroll patients with active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H. pylori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dyspeptic symptoms. The Japan Phase 3 trial enrolled patients with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and a history of gastric or duodenal ulcers;</w:t>
      </w:r>
    </w:p>
    <w:p>
      <w:pPr>
        <w:spacing w:after="0" w:line="83" w:lineRule="exact"/>
        <w:rPr>
          <w:rFonts w:ascii="Arial" w:cs="Arial" w:eastAsia="Arial" w:hAnsi="Arial"/>
          <w:sz w:val="16"/>
          <w:szCs w:val="16"/>
          <w:color w:val="auto"/>
        </w:rPr>
      </w:pPr>
    </w:p>
    <w:p>
      <w:pPr>
        <w:ind w:left="1020" w:right="300" w:hanging="43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Treatment duration and antibiotic doses</w:t>
      </w:r>
      <w:r>
        <w:rPr>
          <w:rFonts w:ascii="Arial" w:cs="Arial" w:eastAsia="Arial" w:hAnsi="Arial"/>
          <w:sz w:val="18"/>
          <w:szCs w:val="18"/>
          <w:color w:val="auto"/>
        </w:rPr>
        <w:t>. Standard of care regimens in Western countries include higher doses of antibiotics and a longer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duration of treatment (typically 14 days) than in Japan (typically seven days); and</w:t>
      </w:r>
    </w:p>
    <w:p>
      <w:pPr>
        <w:spacing w:after="0" w:line="129"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Inclusion of dual therapy arm</w:t>
      </w:r>
      <w:r>
        <w:rPr>
          <w:rFonts w:ascii="Arial" w:cs="Arial" w:eastAsia="Arial" w:hAnsi="Arial"/>
          <w:sz w:val="18"/>
          <w:szCs w:val="18"/>
          <w:color w:val="auto"/>
        </w:rPr>
        <w:t>. Vonoprazan dual therapy has only been studied in investigator-initiated clinical trials and not yet in a pivotal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w:t>
      </w:r>
    </w:p>
    <w:p>
      <w:pPr>
        <w:spacing w:after="0" w:line="130" w:lineRule="exact"/>
        <w:rPr>
          <w:sz w:val="20"/>
          <w:szCs w:val="20"/>
          <w:color w:val="auto"/>
        </w:rPr>
      </w:pPr>
    </w:p>
    <w:p>
      <w:pPr>
        <w:ind w:right="800" w:firstLine="589"/>
        <w:spacing w:after="0" w:line="277" w:lineRule="auto"/>
        <w:rPr>
          <w:sz w:val="20"/>
          <w:szCs w:val="20"/>
          <w:color w:val="auto"/>
        </w:rPr>
      </w:pPr>
      <w:r>
        <w:rPr>
          <w:rFonts w:ascii="Arial" w:cs="Arial" w:eastAsia="Arial" w:hAnsi="Arial"/>
          <w:sz w:val="18"/>
          <w:szCs w:val="18"/>
          <w:color w:val="auto"/>
        </w:rPr>
        <w:t>Our clinical trial design conforms to standard of care treatment regimens in the United States and Europe and follows the ACG treatment guidelines.</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Design for PHALCON-HP Phase 3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291465</wp:posOffset>
            </wp:positionV>
            <wp:extent cx="4911725" cy="18688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1172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expect to report top-line data from this trial in 2021 and, if successful, file a regulatory submission for marketing approval in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Vonoprazan Pharmacokinetics and Pharmacodynamics in Japanese vs. non-Japanese Subjects</w:t>
      </w:r>
    </w:p>
    <w:p>
      <w:pPr>
        <w:spacing w:after="0" w:line="189"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The vonoprazan pharmacokinetic and pharmacodynamic profile is similar between Japanese and non-Japanese subjects as assessed in two randomized, double-blind, placebo-controlled Phase 1 clinical trials in healthy volunteers. Sixty Japanese subjects in the first study and 48 non-Japanese subjects in the second study, of whom 85% were Caucasian, received doses from 10 mg up to 40 mg QD for seven consecutive days. At all doses, pharmacokinetics between the two populations were similar. In addition, the pharmacodynamics were similar between Japanese and non-Japanese subjects as shown in the figure below. On Day 7, mean time above pH 4.0 for vonoprazan 20 mg QD was 83% for Japanese subjects and 85% for non-Japanese subjects. Night-time 12-hour time above pH 4.0 was 73% for Japanese subjects and 75% for non-Japanese subjects. We believe that these results show that vonoprazan has a similar profile in Japanese and non-Japanese subjects.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25</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auto"/>
        </w:rPr>
        <w:t>Comparative Pharmacodynamics of Vonoprazan in Japanese and non-Japanese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154305</wp:posOffset>
            </wp:positionV>
            <wp:extent cx="4097655" cy="13887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9765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Vonoprazan Safety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in Clinical Studies</w:t>
      </w:r>
    </w:p>
    <w:p>
      <w:pPr>
        <w:spacing w:after="0" w:line="185" w:lineRule="exact"/>
        <w:rPr>
          <w:sz w:val="20"/>
          <w:szCs w:val="20"/>
          <w:color w:val="auto"/>
        </w:rPr>
      </w:pPr>
    </w:p>
    <w:p>
      <w:pPr>
        <w:ind w:right="240" w:firstLine="589"/>
        <w:spacing w:after="0" w:line="272" w:lineRule="auto"/>
        <w:rPr>
          <w:sz w:val="20"/>
          <w:szCs w:val="20"/>
          <w:color w:val="auto"/>
        </w:rPr>
      </w:pPr>
      <w:r>
        <w:rPr>
          <w:rFonts w:ascii="Arial" w:cs="Arial" w:eastAsia="Arial" w:hAnsi="Arial"/>
          <w:sz w:val="17"/>
          <w:szCs w:val="17"/>
          <w:color w:val="auto"/>
        </w:rPr>
        <w:t xml:space="preserve">As of December 2019, over 6,000 subjects have been exposed to vonoprazan in completed and ongoing Phase 1 to 3 clinical trials. The doses studied have ranged from 1 to 120 mg with durations up to one year. The most commonly reported adverse events, or AEs, in the clinical development program for vonoprazan, as reflected in the Japanese prescribing information published by Japan’s Pharmaceuticals and Medical Devices Agency, or PMDA, were diarrhea, constipation, nausea, elevated liver enzymes, rash, and eosinophilia. All such events had an incidence rate of less than 5.0% other than diarrhea in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which had an incidence rate of 10.6% in combination with antibiotics. No dose-related increase in treatment-emergent AEs, or TEAEs, or serious AEs was observed. The safety profile of vonoprazan and incidence of TEAEs, drug-related TEAEs, and TEAEs leading to drug discontinuation were similar between vonoprazan and lansoprazole across studies.</w:t>
      </w:r>
    </w:p>
    <w:p>
      <w:pPr>
        <w:spacing w:after="0" w:line="13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Certain earlier generation P-CABs previously under development by other companies may have been discontinued in-part due to their hepatic safety profile. These hepatic safety concerns may be compound-specific and not generalizable to the P-CAB class. It is notable that vonoprazan is based on a pyrrole chemical structure and is chemically distinct from previously discontinued P-CABs that were based on an imidazole structure. Vonoprazan has had a similar hepatic safety profile to lansoprazole across all clinical studies conducted by Takeda, in which 1.0% of subjects treated with vonoprazan 10 mg or 20 mg and 0.8% of subjects treated with lansoprazole 15 mg or 30 mg had ALT or AST elevations greater than three times the upper limit of normal or bilirubin elevations greater than two times the upper limit of normal.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Vonoprazan Post-Marketing Safety in Japan</w:t>
      </w:r>
    </w:p>
    <w:p>
      <w:pPr>
        <w:spacing w:after="0" w:line="185"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The most recent post-marketing safety report from December 2019 includes an estimate of over 25 million patients who have received vonoprazan in Japan since its launch. Based on the post-marketing experience, the clinically significant adverse reactions section of the Japanese prescribing information for vonoprazan was updated to include skin reactions such as toxic epidermal necrolysis, Steven-Johnson syndrome, and erythema multiforme; and events of pancytopenia, agranulocytosis, leukocytopenia, and thrombocytopenia. The incidence of these reactions was considered extremely rare (less than 1 in 100,000 patients) and a causal relationship to vonoprazan could not be ruled out.</w:t>
      </w:r>
    </w:p>
    <w:p>
      <w:pPr>
        <w:spacing w:after="0" w:line="136"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Serious hepatic adverse events have also been observed among patients exposed to vonoprazan in Japan in the post-marketing setting. These cases were typically confounded by comorbidities or other concomitant medications and believed to be idiosyncratic reactions. The incidence of these events was considered extremely rare (less than 1 in 100,000 patients). post-marketing safety data, including the December 2019 post-marketing safety report and the reported hepatic safety events, have been submitted to the PMDA. To date, there have been no changes to the Japan prescribing information related to hepatic safety.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26</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Vonoprazan Launch in Japan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Vonoprazan Regulatory Status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Vonoprazan first received approval in Japan on December 26, 2014 as TAKECAB® for the following indications:</w:t>
      </w:r>
    </w:p>
    <w:p>
      <w:pPr>
        <w:spacing w:after="0" w:line="185" w:lineRule="exact"/>
        <w:rPr>
          <w:sz w:val="20"/>
          <w:szCs w:val="20"/>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Healing and maintenance of healing of erosive esophagitis;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Adjunct to antibiotics in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treatment;</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Gastric ulcer;</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Duodenal ulcer;</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Prevention of recurrence of gastric ulcer or duodenal ulcer during low-dose aspirin administration;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Prevention of recurrence of gastric ulcer or duodenal ulcer during nonsteroidal anti-inflammatory drug (NSAID) administration.</w:t>
      </w:r>
    </w:p>
    <w:p>
      <w:pPr>
        <w:spacing w:after="0" w:line="185"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 xml:space="preserve">Vonoprazan was subsequently approved in Japan in February 2016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 combination packs with antibiotics (Vonosap Pack 400, Vonosap Pack 800, and Vonopion Pack), and as VOCINTI in the Philippines (October 2017), Singapore (March 2018), Thailand (July 2018), Argentina (September 2018), Peru (September 2018), South Korea (March 2019), Taiwan (March 2019), Malaysia (May 2019), Ecuador (December 2019), China (December 2019) and Indonesia (February 2020). Vonoprazan is currently under review for approval by regulatory authorities in additional countries in Latin America and Asia.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Vonoprazan Commercialization in Japan</w:t>
      </w:r>
    </w:p>
    <w:p>
      <w:pPr>
        <w:spacing w:after="0" w:line="185"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Vonoprazan was approved in Japan in December 2014. In its fourth full year on the market vonoprazan generated $524 million in net sales, a 20% increase over the prior year. In addition, in the quarter ended December 31, 2019, vonoprazan generated $189 million in net sales, a 20.8% increase over the corresponding quarter from the prior fiscal year.</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Vonoprazan Net Sales Since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154305</wp:posOffset>
            </wp:positionV>
            <wp:extent cx="3745865" cy="1954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4586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27</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27" w:name="page28"/>
    <w:bookmarkEnd w:id="27"/>
    <w:p>
      <w:pPr>
        <w:ind w:right="100" w:firstLine="589"/>
        <w:spacing w:after="0" w:line="296" w:lineRule="auto"/>
        <w:rPr>
          <w:sz w:val="20"/>
          <w:szCs w:val="20"/>
          <w:color w:val="auto"/>
        </w:rPr>
      </w:pPr>
      <w:r>
        <w:rPr>
          <w:rFonts w:ascii="Arial" w:cs="Arial" w:eastAsia="Arial" w:hAnsi="Arial"/>
          <w:sz w:val="16"/>
          <w:szCs w:val="16"/>
          <w:color w:val="auto"/>
        </w:rPr>
        <w:t>We believe that the market dynamic for anti-secretory agents in Japan is similar to that in the United States. In both countries, the anti-secretory market is largely genericized. Ahead of the vonoprazan launch in Japan, all PPIs, other than Nexium, were available as generics. As of 2017, generic drugs in Japan represent approximately 70% of the market by volume, compared to the United States where generics are approximately 90% of the market by volume. Additionally, the Japanese government set a goal to increase generic use to 80% by 2020. Although vonoprazan and Dexilant are priced at a premium to generic PPIs in Japan and the United States, respectively, both have experienced commercial success.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Vonoprazan Commercial Opportunity and Strategy</w:t>
      </w:r>
    </w:p>
    <w:p>
      <w:pPr>
        <w:spacing w:after="0" w:line="202"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 xml:space="preserve">The market for prevention and treatment of acid-related GI diseases in the United States and Europe is large. There were approximately 120 million oral PPI prescriptions written in the United States and 6.1 billion doses prescribed for the 12 months ended May 31, 2019. We estimate that there are approximately 65 million individuals with GERD in the United States and 50 million individuals with GERD in the EU5, of whom 15% to 45% are inadequately treated with PPIs. In addition, we estimate that there are approximately 115 million individuals in the United States infected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of which 2.5 million are treated each year, and 145 million individuals in the EU5 infected with </w:t>
      </w:r>
      <w:r>
        <w:rPr>
          <w:rFonts w:ascii="Arial" w:cs="Arial" w:eastAsia="Arial" w:hAnsi="Arial"/>
          <w:sz w:val="17"/>
          <w:szCs w:val="17"/>
          <w:i w:val="1"/>
          <w:iCs w:val="1"/>
          <w:color w:val="auto"/>
        </w:rPr>
        <w:t>H. pylori</w:t>
      </w:r>
      <w:r>
        <w:rPr>
          <w:rFonts w:ascii="Arial" w:cs="Arial" w:eastAsia="Arial" w:hAnsi="Arial"/>
          <w:sz w:val="17"/>
          <w:szCs w:val="17"/>
          <w:color w:val="auto"/>
        </w:rPr>
        <w:t>.</w:t>
      </w:r>
    </w:p>
    <w:p>
      <w:pPr>
        <w:spacing w:after="0" w:line="136" w:lineRule="exact"/>
        <w:rPr>
          <w:sz w:val="20"/>
          <w:szCs w:val="20"/>
          <w:color w:val="auto"/>
        </w:rPr>
      </w:pPr>
    </w:p>
    <w:p>
      <w:pPr>
        <w:ind w:right="200" w:firstLine="589"/>
        <w:spacing w:after="0" w:line="275" w:lineRule="auto"/>
        <w:rPr>
          <w:sz w:val="20"/>
          <w:szCs w:val="20"/>
          <w:color w:val="auto"/>
        </w:rPr>
      </w:pPr>
      <w:r>
        <w:rPr>
          <w:rFonts w:ascii="Arial" w:cs="Arial" w:eastAsia="Arial" w:hAnsi="Arial"/>
          <w:sz w:val="17"/>
          <w:szCs w:val="17"/>
          <w:color w:val="auto"/>
        </w:rPr>
        <w:t>Over many decades of use, multiple drug classes and individual drugs have demonstrated the substantial commercial opportunity for therapies treating acid-related GI diseases. H2RAs including Axid, Pepcid, Tagamet, and Zantac provided the first significant improvement in disease management over antacids and as a class reached $3.5 billion in annual sales. After H2RAs, PPIs emerged as the new standard of care. Prior to the introduction of generic and OTC alternatives, annual PPI class sales reached approximately $12.5 billion in the United States, and peak sales for individual brands were approximately $3.7 billion for Prilosec, approximately $3.5 billion for Nexium, and $3.4 billion for Prevacid.</w:t>
      </w:r>
    </w:p>
    <w:p>
      <w:pPr>
        <w:spacing w:after="0" w:line="136"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As recently as 2015, the last branded PPI, Dexilant, reached approximately $530 million in sales in the United States despite limited differentiation from other PPIs. As of June 30, 2019, Dexilant was priced at a significant premium to generic PPIs on the market. Even with premium pricing, Dexilant obtained broad insurance coverage and favorable access. As of June 30, 2019, approximately 90% of commercially covered lives and 80% of Medicare covered lives had access to Dexilant. Furthermore, of those commercially covered lives, 65% had unrestricted access to the drug without prior authorization or step edits and 35% of patients had access at the lowest branded cost tier. We believe that, if approved in our markets, vonoprazan will be the first of the next generation of anti-secretory therapies to improve the standard of care for acid-related GI diseases by providing a safe and effective treatment option for the millions of patients in need of more potent, rapid, or durable acid suppression. Additionally, we believe the potential differentiation of vonoprazan compared to PPIs could result in attractive market access and formulary positioning.</w:t>
      </w:r>
    </w:p>
    <w:p>
      <w:pPr>
        <w:spacing w:after="0" w:line="151"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auto"/>
        </w:rPr>
        <w:t xml:space="preserve">In July 2019, we conducted a U.S. market research study which surveyed 100 gastroenterologists and 100 primary care physicians who commonly prescribe PPIs and treat patients with GERD and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For the treatment of GERD, surveyed physicians highlighted control of nighttime and daytime heartburn symptoms and efficacy in the healing and maintenance of healing of esophageal erosions as key unmet needs. These physicians reported that vonoprazan’s mechanism of action and gastric pH control is considered meaningfully improved over PPIs and that vonoprazan could be a more effective treatment than PPIs in healing and maintenance of healing of esophageal erosions. These physicians would prefer to use vonoprazan in, on average, 59% of all of their GERD patients.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surveyed physicians highlighted the declining eradication rate and low patient compliance rate with treatment regimens as key unmet needs, and 93% of these physicians believe that vonoprazan offers clinically meaningful benefits over PPIs. Surveyed physicians reported that they would prefer to use vonoprazan dual or triple therapy in, on average, 67% of first-line and 69% of second-line patients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28</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Sales and Marketing</w:t>
      </w:r>
    </w:p>
    <w:p>
      <w:pPr>
        <w:spacing w:after="0" w:line="202"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We do not currently have our own marketing, sales, or distribution capabilities. We plan to independently commercialize vonoprazan in the United States by building a leading specialty gastroenterology-focused commercial infrastructure to support the adoption of vonoprazan. We believe we can successfully launch vonoprazan in the United States with a focused specialty sales force targeting high prescribers of PPIs, particularly gastroenterologists. PPI prescribing is highly concentrated with approximately 1.5% of U.S. PPI prescribers (approximately 12,000 total) accounting for approximately 20% of PPI prescriptions and approximately 6.0% of U.S. PPI prescribers (approximately 50,000 total) accounting for approximately 50% of PPI prescriptions, according to IQVIA. We believe we have an opportunity to achieve significant share of voice and exposure to physicians given the scarcity of actively marketed anti-secretory medicines.</w:t>
      </w:r>
    </w:p>
    <w:p>
      <w:pPr>
        <w:spacing w:after="0" w:line="154"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To address the commercial opportunity for vonoprazan in Europe and Canada, we plan to seek one or more partners with existing commercial infrastructure and expertise in these markets. Additional clinical trials of vonoprazan may be required to obtain regulatory approval and/or ensure access to these markets.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Vonoprazan Development Opportunities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Indications</w:t>
      </w:r>
    </w:p>
    <w:p>
      <w:pPr>
        <w:spacing w:after="0" w:line="185"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 xml:space="preserve">While we are initially focused on the development of vonoprazan for the treatment of erosive esophagitis and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we believe there are opportunities to expand the use of vonoprazan to other indications in our licensed territories. For example, in Japan, vonoprazan is also approved for the treatment of gastric ulcers, treatment of duodenal ulcers, prevention of recurrence of gastric ulcer or duodenal ulcer during low-dose aspirin administration, and prevention of recurrence of gastric ulcer or duodenal ulcer during NSAID administration.</w:t>
      </w:r>
    </w:p>
    <w:p>
      <w:pPr>
        <w:spacing w:after="0" w:line="13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In addition to those indications for which vonoprazan is approved in Japan, we believe there are additional opportunities to develop vonoprazan for the treatment of GI diseases.</w:t>
      </w:r>
    </w:p>
    <w:p>
      <w:pPr>
        <w:spacing w:after="0" w:line="143"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b w:val="1"/>
          <w:bCs w:val="1"/>
          <w:i w:val="1"/>
          <w:iCs w:val="1"/>
          <w:color w:val="auto"/>
        </w:rPr>
        <w:t>NERD</w:t>
      </w:r>
      <w:r>
        <w:rPr>
          <w:rFonts w:ascii="Arial" w:cs="Arial" w:eastAsia="Arial" w:hAnsi="Arial"/>
          <w:sz w:val="17"/>
          <w:szCs w:val="17"/>
          <w:color w:val="auto"/>
        </w:rPr>
        <w:t>. We believe that there is opportunity to broadly position vonoprazan’s use in GERD with an indication in NERD, also known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symptomatic GERD, in addition to an indication in erosive esophagitis. We may develop vonoprazan in NERD with daily and/or on-demand, or as-needed, dosing regimens. We believe the rapid onset of action of vonoprazan may enable on-demand use for the management of GERD-related symptoms as an alternative to chronic daily treatment with PPIs. An on-demand dosing regimen may be especially attractive in NERD, as NERD patients have symptoms related to acid, but do not have esophageal erosions which require chronic treatment for healing. In an open-label, investigator-sponsored clinical trial in Japan in NERD patients, on-demand treatment with vonoprazan was compared to daily treatment with PPIs. Patients utilized approximately 80% fewer doses of vonoprazan compared to PPIs, but demonstrated similar levels of satisfaction.</w:t>
      </w:r>
    </w:p>
    <w:p>
      <w:pPr>
        <w:spacing w:after="0" w:line="137" w:lineRule="exact"/>
        <w:rPr>
          <w:sz w:val="20"/>
          <w:szCs w:val="20"/>
          <w:color w:val="auto"/>
        </w:rPr>
      </w:pPr>
    </w:p>
    <w:p>
      <w:pPr>
        <w:ind w:right="120" w:firstLine="589"/>
        <w:spacing w:after="0" w:line="270" w:lineRule="auto"/>
        <w:rPr>
          <w:sz w:val="20"/>
          <w:szCs w:val="20"/>
          <w:color w:val="auto"/>
        </w:rPr>
      </w:pPr>
      <w:r>
        <w:rPr>
          <w:rFonts w:ascii="Arial" w:cs="Arial" w:eastAsia="Arial" w:hAnsi="Arial"/>
          <w:sz w:val="17"/>
          <w:szCs w:val="17"/>
          <w:color w:val="auto"/>
        </w:rPr>
        <w:t>Takeda conducted two Phase 3 multicenter, randomized, double-blind, parallel group trials with vonoprazan in Japanese patients with endoscopically confirmed NERD. In the first clinical trial, vonoprazan demonstrated a significant reduction in symptom severity versus placebo (p=0.0139), and in the second trial, vonoprazan demonstrated a faster onset of symptom relief versus placebo (p=0.0003). However, the studies did not show a statistically significant difference in the primary endpoint of proportion of days over a 4-week period without heartburn between vonoprazan and placebo (p=0.0504 and p=0.0643). In the first clinical trial, Takeda enrolled patients with symptoms including a three-week history of heartburn or regurgitation with two or more days of heartburn per week, or a three-week history of any acid-reflux symptoms of moderate or higher severity. In the second clinical trial, patients with a three-week history of recurrent heartburn with two or more days of heartburn per week were enrolled. In contrast, all PPIs approved for NERD in the United States enrolled subjects with greater than six-month history of heartburn and heartburn on at least four of the seven days immediately preceding randomization.</w:t>
      </w:r>
    </w:p>
    <w:p>
      <w:pPr>
        <w:spacing w:after="0" w:line="140" w:lineRule="exact"/>
        <w:rPr>
          <w:sz w:val="20"/>
          <w:szCs w:val="20"/>
          <w:color w:val="auto"/>
        </w:rPr>
      </w:pPr>
    </w:p>
    <w:p>
      <w:pPr>
        <w:ind w:right="400" w:firstLine="589"/>
        <w:spacing w:after="0" w:line="263" w:lineRule="auto"/>
        <w:rPr>
          <w:sz w:val="20"/>
          <w:szCs w:val="20"/>
          <w:color w:val="auto"/>
        </w:rPr>
      </w:pPr>
      <w:r>
        <w:rPr>
          <w:rFonts w:ascii="Arial" w:cs="Arial" w:eastAsia="Arial" w:hAnsi="Arial"/>
          <w:sz w:val="18"/>
          <w:szCs w:val="18"/>
          <w:color w:val="auto"/>
        </w:rPr>
        <w:t>In addition, in a Phase 2 clinical trial in European patients with NERD who were partial responders to high dose PPIs, vonoprazan did not demonstrate superiority versus esomeprazole in the primary endpoint of the percentage of heartburn free days over the four-week treatment period. We believe this result may have been due to inclusion of patients with GI disorders unrelated to acid.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29</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29" w:name="page30"/>
    <w:bookmarkEnd w:id="29"/>
    <w:p>
      <w:pPr>
        <w:ind w:right="400" w:firstLine="589"/>
        <w:spacing w:after="0" w:line="277" w:lineRule="auto"/>
        <w:rPr>
          <w:sz w:val="20"/>
          <w:szCs w:val="20"/>
          <w:color w:val="auto"/>
        </w:rPr>
      </w:pPr>
      <w:r>
        <w:rPr>
          <w:rFonts w:ascii="Arial" w:cs="Arial" w:eastAsia="Arial" w:hAnsi="Arial"/>
          <w:sz w:val="18"/>
          <w:szCs w:val="18"/>
          <w:b w:val="1"/>
          <w:bCs w:val="1"/>
          <w:i w:val="1"/>
          <w:iCs w:val="1"/>
          <w:color w:val="auto"/>
        </w:rPr>
        <w:t>Other Indications</w:t>
      </w:r>
      <w:r>
        <w:rPr>
          <w:rFonts w:ascii="Arial" w:cs="Arial" w:eastAsia="Arial" w:hAnsi="Arial"/>
          <w:sz w:val="18"/>
          <w:szCs w:val="18"/>
          <w:color w:val="auto"/>
        </w:rPr>
        <w:t>. Barrett’s esophagus and Zollinger Ellison syndrome are severe diseases related to acid secretion where PPIs are the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of care. The improved acid control of vonoprazan relative to PPIs may lead to improved results over PPIs.</w:t>
      </w:r>
    </w:p>
    <w:p>
      <w:pPr>
        <w:spacing w:after="0" w:line="143"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Eosinophilic esophagitis is an autoimmune disease with significant unmet need. Although not approved for this indication, PPIs are prescribed for the treatment of eosinophilic esophagitis. Vonoprazan demonstrated similar efficacy to PPIs in an investigator-sponsored clinical trial in Japan. In this clinical trial, 112 patients with eosinophilic esophagitis were treated with vonoprazan, or the PPI rabeprazole or esomeprazole. Of patients treated with vonoprazan, 82% had complete relief of symptoms compared to 70% for esomeprazole and 76-78% for rabeprazole. Similarly, 35% of patients treated with vonoprazan demonstrated complete remission of eosinophilic esophagitis by histology, compared to 37% for esomeprazole and 31-38% for rabeprazole.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Formulations and Packaging</w:t>
      </w:r>
    </w:p>
    <w:p>
      <w:pPr>
        <w:spacing w:after="0" w:line="185"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b w:val="1"/>
          <w:bCs w:val="1"/>
          <w:i w:val="1"/>
          <w:iCs w:val="1"/>
          <w:color w:val="auto"/>
        </w:rPr>
        <w:t>Orally Disintegrating Tablet</w:t>
      </w:r>
      <w:r>
        <w:rPr>
          <w:rFonts w:ascii="Arial" w:cs="Arial" w:eastAsia="Arial" w:hAnsi="Arial"/>
          <w:sz w:val="16"/>
          <w:szCs w:val="16"/>
          <w:color w:val="auto"/>
        </w:rPr>
        <w:t>. An orally disintegrating tablet, or ODT, formulation for vonoprazan is currently in development by Takeda.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conduct one or more Phase I trials to support potential approval of the ODT formulation. We believe that the ODT represents a meaningful commercial opportunity for patients with difficulty swallowing, as estimated peak U.S. sales of the lansoprazole ODT formulation were over $450 million.</w:t>
      </w:r>
    </w:p>
    <w:p>
      <w:pPr>
        <w:spacing w:after="0" w:line="122"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b w:val="1"/>
          <w:bCs w:val="1"/>
          <w:i w:val="1"/>
          <w:iCs w:val="1"/>
          <w:color w:val="auto"/>
        </w:rPr>
        <w:t>Intravenous Formulation</w:t>
      </w:r>
      <w:r>
        <w:rPr>
          <w:rFonts w:ascii="Arial" w:cs="Arial" w:eastAsia="Arial" w:hAnsi="Arial"/>
          <w:sz w:val="18"/>
          <w:szCs w:val="18"/>
          <w:color w:val="auto"/>
        </w:rPr>
        <w:t>. We are exploring the potential to develop an intravenous formulation of vonoprazan for use in acute bleeding,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critically ill patients, or other in-hospital applications. Several PPIs have approved intravenous formulations.</w:t>
      </w:r>
    </w:p>
    <w:p>
      <w:pPr>
        <w:spacing w:after="0" w:line="130" w:lineRule="exact"/>
        <w:rPr>
          <w:sz w:val="20"/>
          <w:szCs w:val="20"/>
          <w:color w:val="auto"/>
        </w:rPr>
      </w:pPr>
    </w:p>
    <w:p>
      <w:pPr>
        <w:ind w:left="600"/>
        <w:spacing w:after="0"/>
        <w:tabs>
          <w:tab w:leader="none" w:pos="2460" w:val="left"/>
        </w:tabs>
        <w:rPr>
          <w:sz w:val="20"/>
          <w:szCs w:val="20"/>
          <w:color w:val="auto"/>
        </w:rPr>
      </w:pPr>
      <w:r>
        <w:rPr>
          <w:rFonts w:ascii="Arial" w:cs="Arial" w:eastAsia="Arial" w:hAnsi="Arial"/>
          <w:sz w:val="18"/>
          <w:szCs w:val="18"/>
          <w:b w:val="1"/>
          <w:bCs w:val="1"/>
          <w:i w:val="1"/>
          <w:iCs w:val="1"/>
          <w:color w:val="auto"/>
        </w:rPr>
        <w:t>Pediatric Formulation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are exploring the potential to develop an oral formulation, in addition to an ODT formulation, for pediatric use.</w:t>
      </w:r>
    </w:p>
    <w:p>
      <w:pPr>
        <w:spacing w:after="0" w:line="185"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b w:val="1"/>
          <w:bCs w:val="1"/>
          <w:i w:val="1"/>
          <w:iCs w:val="1"/>
          <w:color w:val="auto"/>
        </w:rPr>
        <w:t>Convenience Pack for H. pylori</w:t>
      </w:r>
      <w:r>
        <w:rPr>
          <w:rFonts w:ascii="Arial" w:cs="Arial" w:eastAsia="Arial" w:hAnsi="Arial"/>
          <w:sz w:val="18"/>
          <w:szCs w:val="18"/>
          <w:color w:val="auto"/>
        </w:rPr>
        <w:t>. In Japan, vonoprazan is marketed both as a stand-alone medicine as well as in pre-packaged convenience packs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with either clarithromycin and amoxicillin (Vonosap) or metronidazole and amoxicillin (Vonopion). Pre-packaged products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may improve patient adherence and treatment outcomes, and we believe there is a meaningful market opportunity for such a product. In the United States, PrevPac was formerly marketed as a pre-packaged convenience pack of lansoprazole, clarithromycin, and amoxicillin and achieved peak sales of $150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 the Counter Use</w:t>
      </w:r>
    </w:p>
    <w:p>
      <w:pPr>
        <w:spacing w:after="0" w:line="185"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We believe that vonoprazan has the ideal profile for an OTC product, including the potential for on-demand symptom relief and a well-tolerated safety profile. The market for OTC heartburn relief is substantial, with 2018 sales of $3.2 billion in the United States.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The biopharmaceutical industry is characterized by rapidly advancing technologies, intense competition and strong emphasis on proprietary products. We face potential competition from many sources, including major pharmaceutical, specialty pharmaceutical and biotechnology companies, academic institutions and government agencies and public and private research institutions. If vonoprazan receives marketing approval in the United States, Europe or Canada, it will compete with existing therapies and new therapies that may become available in the future.</w:t>
      </w:r>
    </w:p>
    <w:p>
      <w:pPr>
        <w:spacing w:after="0" w:line="131"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Some of our competitors, either alone or with their strategic partners, have substantially greater financial, technical and human resources and significantly greater experience in the discovery and development of product candidates, obtaining FDA and other regulatory approvals of treatments and commercializing those treatments. These same competitors may invent technology that competes with vonoprazan.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subject recruitment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30</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0" w:name="page31"/>
    <w:bookmarkEnd w:id="30"/>
    <w:p>
      <w:pPr>
        <w:ind w:right="160" w:firstLine="589"/>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vonoprazan, which could result in our competitors establishing a strong market position before we are able to enter the market. In addition, we expect that vonoprazan, if approved, will be priced at a premium over competitive generic products and our ability to compete may be affected in many cases by insurers or other third-party payors seeking to encourage the use of generic products.</w:t>
      </w:r>
    </w:p>
    <w:p>
      <w:pPr>
        <w:spacing w:after="0" w:line="165"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 xml:space="preserve">We expect that vonoprazan, if approved for the treatment of erosive esophagitis and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will primarily compete with generic PPIs marketed by multiple pharmaceutical companies in both the prescription and OTC markets. Additionally, in March 2020, RedHill Biopharma Ltd. launched Talicia, a co-formulated capsule comprising generic omeprazole, amoxicillin, and rifabutin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Ironwood Pharmaceuticals, Inc. is developing IW-3718, a bile acid sequestrant, currently in Phase 3 clinical trials as an adjunct to PPIs for the treatment of patients with persistent GERD.</w:t>
      </w:r>
    </w:p>
    <w:p>
      <w:pPr>
        <w:spacing w:after="0" w:line="147"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We are also aware of other P-CABs in territories outside of the United States that, if developed and approved in our territories, may compete with vonoprazan. Revaprazan is marketed by Yuhan Corporation in South Korea. Tegoprazan is marketed by CJ Healthcare Corp. in South Korea and is currently in development in Japan by RaQualia Pharma, Inc. Daewoong Pharmaceutical Co., Ltd., has filed an application for regulatory approval of fexuprazan in South Korea, Cheil Pharm has opened a Phase 2 trial in South Korea of its P-CAB candidate, JP-1366, in erosive esophagitis, and Cinclus Pharma AG’s X842 has completed a Phase 1 clinical trial in Europe and is currently in Phase 2 clinical trials. To our knowledge, none of these compounds have demonstrated superiority to PPIs on clinical endpoints.</w:t>
      </w:r>
    </w:p>
    <w:p>
      <w:pPr>
        <w:spacing w:after="0" w:line="152"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Additionally, we are aware of several clinical-stage PPIs in territories outside of the United States that if developed and approved in our licensed territories may compete with vonoprazan. These include Dexa Medica’s DLBS-2411, currently in Phase 3 clinical trials in Indonesia, Sihuan Pharmaceutical’s anaprazole, currently in Phase 3 clinical trials in China, Eisai’s azeloprazole, currently in a Phase 2 clinical trial in Japan, and Sidem Pharma’s tenatoprazole, currently in Phase 2 clinical trials in Europe and Canada.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vonoprazan. Vonoprazan is a small molecule that can be manufactured using commercially available technologies. We currently rely on Takeda to supply us with vonoprazan drug product for clinical use. We intend to enter into a commercial supply agreement with Takeda, and we are exploring additional options for commercial supply of vonoprazan from other third party contract manufacturers.</w:t>
      </w:r>
    </w:p>
    <w:p>
      <w:pPr>
        <w:spacing w:after="0" w:line="146"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With respect to any future product candidates, we expect to continue to rely on third-party contract manufacturers to manufacture clinical supplies and commercial quantities of any approved product. Although we rely on contract manufacturers, we have personnel with manufacturing experience to oversee our relationship with Takeda.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Intellectual property, including patents, trade secrets, trademarks and copyrights, is important to our business. Our commercial success depends in part on our ability to obtain and maintain proprietary intellectual property protection for vonoprazan,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U.S. and foreign patents and applications relating to our technology, inventions, and improvements that are important to the development and implementation of our business.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31</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1" w:name="page32"/>
    <w:bookmarkEnd w:id="31"/>
    <w:p>
      <w:pPr>
        <w:ind w:right="40" w:firstLine="589"/>
        <w:spacing w:after="0" w:line="268" w:lineRule="auto"/>
        <w:rPr>
          <w:sz w:val="20"/>
          <w:szCs w:val="20"/>
          <w:color w:val="auto"/>
        </w:rPr>
      </w:pPr>
      <w:r>
        <w:rPr>
          <w:rFonts w:ascii="Arial" w:cs="Arial" w:eastAsia="Arial" w:hAnsi="Arial"/>
          <w:sz w:val="17"/>
          <w:szCs w:val="17"/>
          <w:color w:val="auto"/>
        </w:rPr>
        <w:t>Our patent portfolio, comprising patents and patent applications exclusively licensed to us, is built with a goal of establishing broad protection that generally includes, for the product candidate compound, claims directed to composition of matter, pharmaceutical compositions or formulations, methods of synthesis, and methods of treatment using such pharmaceutical compositions or formulations. As of December 31, 2019, our patent portfolio covering vonoprazan consists solely of exclusively licensed patents and patent applications from Takeda. Subject to the terms of the license agreement we entered into with Takeda on May 7, 2019, or the Takeda License, we have licensed from Takeda exclusive rights in the United States, Europe, and Canada to patents and patent applications covering the composition of matter, formulation, use and/or manufacture of vonoprazan. Our patent portfolio comprises 11 distinct patent families protecting the technology relating to the compound vonoprazan and its synthetic intermediates, methods of synthesizing vonoprazan and related compounds, various formulations of vonoprazan products, as well as methods of treating diseases with vonoprazan and related compounds. As of December 31, 2019, our portfolio consists of approximately 17 issued U.S. patents, 7 pending U.S. applications, 10 issued European patents subsequently validated in individual European countries, 7 pending European applications, 3 issued Canadian patents, 5 pending Canadian applications, and one pending PCT application. The issued patents and pending applications have nominal expiration dates ranging from 2024 to 2038, without accounting for any available patent term adjustments or extensions. The issued U.S. patent covering the composition of matter of vonoprazan is expected to expire in August 2028, not including patent term extension. The issued U.S. patent covering the formulation of vonoprazan is expected to expire in August 2030, not including patent term extension.</w:t>
      </w:r>
    </w:p>
    <w:p>
      <w:pPr>
        <w:spacing w:after="0" w:line="157"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The term of individual patents in our portfolio depends upon the legal term of patents in the countries in which they are obtained. In most countries in which we file, including the United States, the patent term is 20 years from the earliest date of filing a non-provisional patent application. In the United States, the term of a patent may be eligible for patent term adjustment, which permits patent term restoration as compensation for delays incurred at the USPTO during the patent prosecution process. In addition, for patents that cover an FDA-approved drug, the Drug Price Competition and Patent Term Restoration Act of 1984, or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38" w:lineRule="exact"/>
        <w:rPr>
          <w:sz w:val="20"/>
          <w:szCs w:val="20"/>
          <w:color w:val="auto"/>
        </w:rPr>
      </w:pPr>
    </w:p>
    <w:p>
      <w:pPr>
        <w:ind w:right="60" w:firstLine="589"/>
        <w:spacing w:after="0" w:line="289"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licensed pending patent applications or with respect to any patent applications we may file in the future, nor can we be sure that any patents that may be granted to us or Takeda in the future will be commercially useful in protecting our products, the methods of use or manufacture of those products. Moreover, issued patents do not guarantee the right to practice our technology in relation to the commercialization of our products. Issued patents only allow us to block potential competitors from practicing the claimed inventions of the issued patents.</w:t>
      </w:r>
    </w:p>
    <w:p>
      <w:pPr>
        <w:spacing w:after="0" w:line="126"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Further, patents and other intellectual property rights in the pharmaceutical and biotechnology space are evolving and involve many risks and uncertainties. For example, third parties may have blocking patents that could be used to prevent us from commercializing vonoprazan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vonoprazan and any future product candidates. In addition, the scope of the rights granted under any issued patents may not provide us with protection or competitive advantages against competitors with</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32</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2" w:name="page33"/>
    <w:bookmarkEnd w:id="32"/>
    <w:p>
      <w:pPr>
        <w:ind w:right="40"/>
        <w:spacing w:after="0" w:line="257" w:lineRule="auto"/>
        <w:rPr>
          <w:sz w:val="20"/>
          <w:szCs w:val="20"/>
          <w:color w:val="auto"/>
        </w:rPr>
      </w:pPr>
      <w:r>
        <w:rPr>
          <w:rFonts w:ascii="Arial" w:cs="Arial" w:eastAsia="Arial" w:hAnsi="Arial"/>
          <w:sz w:val="18"/>
          <w:szCs w:val="18"/>
          <w:color w:val="auto"/>
        </w:rPr>
        <w:t>similar technology. Furthermore, our competitors may independently develop similar technologies that are outside the scope of the rights granted under any issued patents. For these reasons, we may face competition with respect to vonoprazan and any future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61" w:lineRule="exact"/>
        <w:rPr>
          <w:sz w:val="20"/>
          <w:szCs w:val="20"/>
          <w:color w:val="auto"/>
        </w:rPr>
      </w:pPr>
    </w:p>
    <w:p>
      <w:pPr>
        <w:ind w:right="280" w:firstLine="589"/>
        <w:spacing w:after="0" w:line="272" w:lineRule="auto"/>
        <w:rPr>
          <w:sz w:val="20"/>
          <w:szCs w:val="20"/>
          <w:color w:val="auto"/>
        </w:rPr>
      </w:pPr>
      <w:r>
        <w:rPr>
          <w:rFonts w:ascii="Arial" w:cs="Arial" w:eastAsia="Arial" w:hAnsi="Arial"/>
          <w:sz w:val="17"/>
          <w:szCs w:val="17"/>
          <w:color w:val="auto"/>
        </w:rPr>
        <w:t>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Phathom, and as such, will become our property. There can be no assurance, however, that these agreements will provide meaningful protection or adequate remedies for our trade secrets in the event of unauthorized use or disclosure of such information.</w:t>
      </w:r>
    </w:p>
    <w:p>
      <w:pPr>
        <w:spacing w:after="0" w:line="137"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Further, we have filed for and are pursuing trademark protection for our company name “Phathom Pharmaceuticals” in the United States and foreign jurisdictions.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 Pharmaceutical Company Limited</w:t>
      </w:r>
    </w:p>
    <w:p>
      <w:pPr>
        <w:spacing w:after="0" w:line="198"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On May 7, 2019, we and Takeda entered into the Takeda License. Pursuant to the Takeda License, Takeda granted us an exclusive, sublicensable (with Takeda’s reasonable consent) license under certain patents and know how relating to vonoprazan and owned or controlled by Takeda during the term of the Takeda License to commercialize vonoprazan products using specified formulations for all human therapeutic uses in the United States, Europe and Canada, and a non-exclusive license under such patents and know how to develop and manufacture such vonoprazan products anywhere in the world (subject to Takeda’s consent as to each country) for the purposes of commercializing the vonoprazan products in the United States, Europe and Canada. We granted Takeda a non-exclusive, royalty-free, sublicensable license under our rights in any patents and know-how that are necessary or useful to enable Takeda to develop and manufacture vonoprazan products anywhere in the world for the purposes of commercialization outside United States, Europe and Canada. We also granted Takeda an exclusive, royalty-free license under our rights in certain patents and know-how owned or controlled by us and necessary for the exploitation of vonoprazan products, in each case for Takeda to commercialize any vonoprazan product outside of the United States, Canada, and Europe and for purposes other than human therapeutic use.</w:t>
      </w:r>
    </w:p>
    <w:p>
      <w:pPr>
        <w:spacing w:after="0" w:line="12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the vonoprazan products. We are required to use commercially reasonable efforts to develop and commercialize the vonoprazan products in our licensed territory.</w:t>
      </w:r>
    </w:p>
    <w:p>
      <w:pPr>
        <w:spacing w:after="0" w:line="146"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 We have the first right to enforce the licensed patent rights with respect to certain infringing products in the United States, Europe and Canada.</w:t>
      </w:r>
    </w:p>
    <w:p>
      <w:pPr>
        <w:spacing w:after="0" w:line="160"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We paid Takeda upfront consideration consisting of a cash payment of $25.0 million, 1,084,000 shares of common stock and a warrant to purchase 7,588,000 shares of common stock, or the Takeda Warrant. We agreed to make milestone payments to Takeda upon achieving certain tiered aggregate annual net sales of licensed products in the United States, Europe and Canada up a total maximum milestone amount of $250.0 million. We also agreed to make tiered royalty payments in the low double digits to the mid-teens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33</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3" w:name="page34"/>
    <w:bookmarkEnd w:id="33"/>
    <w:p>
      <w:pPr>
        <w:ind w:right="40" w:firstLine="589"/>
        <w:spacing w:after="0" w:line="279" w:lineRule="auto"/>
        <w:rPr>
          <w:sz w:val="20"/>
          <w:szCs w:val="20"/>
          <w:color w:val="auto"/>
        </w:rPr>
      </w:pPr>
      <w:r>
        <w:rPr>
          <w:rFonts w:ascii="Arial" w:cs="Arial" w:eastAsia="Arial" w:hAnsi="Arial"/>
          <w:sz w:val="17"/>
          <w:szCs w:val="17"/>
          <w:color w:val="auto"/>
        </w:rPr>
        <w:t>The Takeda License will continue until the expiration of the obligation to pay royalties in all countries and on all products. We may terminate the Takeda License in its entirety without cause upon six months’ prior written notice. We and Takeda may terminate the Takeda License in the case of the other party’s insolvency, or upon prior written notice within a specified time period for the other party’s material uncured breach. Takeda may terminate the Takeda License in its entirety if we challenge the licensed patents, or if we assist any third party in challenging such patents.</w:t>
      </w:r>
    </w:p>
    <w:p>
      <w:pPr>
        <w:spacing w:after="0" w:line="144"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In connection with the Takeda License, we entered into a clinical manufacturing and supply agreement with Takeda whereby Takeda provides certain quantities of vonoprazan.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NDA process before it may be legally marketed in the United States.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85"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In the United States, the FDA regulates drugs under the federal Food, Drug, and Cosmetic Act, or the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98" w:lineRule="exact"/>
        <w:rPr>
          <w:sz w:val="20"/>
          <w:szCs w:val="20"/>
          <w:color w:val="auto"/>
        </w:rPr>
      </w:pPr>
    </w:p>
    <w:p>
      <w:pPr>
        <w:ind w:left="1020" w:right="440" w:hanging="432"/>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Good Laboratory Practice, or GLP, regulations and other applicable regulations;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84" w:lineRule="exact"/>
        <w:rPr>
          <w:rFonts w:ascii="Arial" w:cs="Arial" w:eastAsia="Arial" w:hAnsi="Arial"/>
          <w:sz w:val="18"/>
          <w:szCs w:val="18"/>
          <w:color w:val="auto"/>
        </w:rPr>
      </w:pPr>
    </w:p>
    <w:p>
      <w:pPr>
        <w:ind w:left="1020" w:right="40" w:hanging="432"/>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regulations to establish the safety and efficacy of the proposed drug for its intended use;</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1020" w:right="260" w:hanging="432"/>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GMP, or cGMP, requirements to assure that the facilities, methods and controls are adequate to preserve the drug’s identity, strength, quality and purity; and</w:t>
      </w:r>
    </w:p>
    <w:p>
      <w:pPr>
        <w:spacing w:after="0" w:line="143" w:lineRule="exact"/>
        <w:rPr>
          <w:rFonts w:ascii="Arial" w:cs="Arial" w:eastAsia="Arial" w:hAnsi="Arial"/>
          <w:sz w:val="18"/>
          <w:szCs w:val="18"/>
          <w:color w:val="auto"/>
        </w:rPr>
      </w:pPr>
    </w:p>
    <w:p>
      <w:pPr>
        <w:ind w:left="1020" w:hanging="432"/>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FDA review and approval of the NDA to permit commercial marketing of the product for particular indications for use in the United States.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34</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4" w:name="page35"/>
    <w:bookmarkEnd w:id="34"/>
    <w:p>
      <w:pPr>
        <w:ind w:right="40" w:firstLine="589"/>
        <w:spacing w:after="0" w:line="269" w:lineRule="auto"/>
        <w:rPr>
          <w:sz w:val="20"/>
          <w:szCs w:val="20"/>
          <w:color w:val="auto"/>
        </w:rPr>
      </w:pPr>
      <w:r>
        <w:rPr>
          <w:rFonts w:ascii="Arial" w:cs="Arial" w:eastAsia="Arial" w:hAnsi="Arial"/>
          <w:sz w:val="17"/>
          <w:szCs w:val="17"/>
          <w:color w:val="auto"/>
        </w:rPr>
        <w:t>Once a pharmaceutical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the IND. An IND is a request for authorization from the FDA to administer an investigational new drug product to humans.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Submission of an IND therefore may or may not result in FDA authorization to begin a clinical trial.</w:t>
      </w:r>
    </w:p>
    <w:p>
      <w:pPr>
        <w:spacing w:after="0" w:line="155" w:lineRule="exact"/>
        <w:rPr>
          <w:sz w:val="20"/>
          <w:szCs w:val="20"/>
          <w:color w:val="auto"/>
        </w:rPr>
      </w:pPr>
    </w:p>
    <w:p>
      <w:pPr>
        <w:ind w:right="260" w:firstLine="589"/>
        <w:spacing w:after="0" w:line="271"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in accordance with GCP regulations, which include the requirement that all research subjects provide their informed consent in writing for their participation in any clinical trial. They must be conducted under protocols detailing, among other things, the objectives of the trial, dosing procedures, subject selection and exclusion criteria and the safety and effectiveness criteria to be evaluated. Each protocol must be submitted to the FDA as part of the IND as well as any subsequent protocol amendments, and timely safety reports must be submitted to the FDA and the investigators for serious and unexpected adverse events.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85" w:lineRule="exact"/>
        <w:rPr>
          <w:sz w:val="20"/>
          <w:szCs w:val="20"/>
          <w:color w:val="auto"/>
        </w:rPr>
      </w:pPr>
    </w:p>
    <w:p>
      <w:pPr>
        <w:ind w:left="1020" w:right="60" w:hanging="432"/>
        <w:spacing w:after="0" w:line="293"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Phase 1</w:t>
      </w:r>
      <w:r>
        <w:rPr>
          <w:rFonts w:ascii="Arial" w:cs="Arial" w:eastAsia="Arial" w:hAnsi="Arial"/>
          <w:sz w:val="16"/>
          <w:szCs w:val="16"/>
          <w:color w:val="auto"/>
        </w:rPr>
        <w:t>: The product candidate is initially introduced into healthy human volunteers and tested for safety, dosage tolerance, absorption,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metabolism, distribution and excretion and, if possible, to gain an early indication of its effectiveness. In the case of some products for severe or life-threatening diseases, such as cancer, especially when the product may be too inherently toxic to ethically administer to healthy volunteers, the initial human testing is often conducted in patients. Sponsors sometimes designate their Phase 1 clinical trials as Phase 1a or Phase 1b. Phase 1b clinical trials are typically aimed at confirming dosing, pharmacokinetics and safety in larger number of patients. Some Phase 1b studies evaluate biomarkers or surrogate markers that may be associated with efficacy in patients with specific types of diseases.</w:t>
      </w:r>
    </w:p>
    <w:p>
      <w:pPr>
        <w:spacing w:after="0" w:line="123" w:lineRule="exact"/>
        <w:rPr>
          <w:rFonts w:ascii="Arial" w:cs="Arial" w:eastAsia="Arial" w:hAnsi="Arial"/>
          <w:sz w:val="16"/>
          <w:szCs w:val="16"/>
          <w:color w:val="auto"/>
        </w:rPr>
      </w:pPr>
    </w:p>
    <w:p>
      <w:pPr>
        <w:ind w:left="1020" w:right="340" w:hanging="432"/>
        <w:spacing w:after="0" w:line="34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Phase 2</w:t>
      </w:r>
      <w:r>
        <w:rPr>
          <w:rFonts w:ascii="Arial" w:cs="Arial" w:eastAsia="Arial" w:hAnsi="Arial"/>
          <w:sz w:val="16"/>
          <w:szCs w:val="16"/>
          <w:color w:val="auto"/>
        </w:rPr>
        <w:t>: This phase involves clinical trials in a limited patient population to identify possible adverse effects and safety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preliminarily evaluate the efficacy of the product for specific targeted diseases and to determine dosage tolerance and appropriate dosage.</w:t>
      </w:r>
    </w:p>
    <w:p>
      <w:pPr>
        <w:spacing w:after="0" w:line="83" w:lineRule="exact"/>
        <w:rPr>
          <w:rFonts w:ascii="Arial" w:cs="Arial" w:eastAsia="Arial" w:hAnsi="Arial"/>
          <w:sz w:val="16"/>
          <w:szCs w:val="16"/>
          <w:color w:val="auto"/>
        </w:rPr>
      </w:pPr>
    </w:p>
    <w:p>
      <w:pPr>
        <w:ind w:left="1020" w:right="80" w:hanging="432"/>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 Clinical trials are undertaken to further evaluate dosage, clinical efficacy and safety in an expanded patient population, generally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dispersed clinical study sites. These clinical trials are intended to establish the overall risk-benefit ratio of the product candidate and provide, if appropriate, an adequate basis for product labeling.</w:t>
      </w:r>
    </w:p>
    <w:p>
      <w:pPr>
        <w:spacing w:after="0" w:line="143"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57" w:lineRule="exact"/>
        <w:rPr>
          <w:sz w:val="20"/>
          <w:szCs w:val="20"/>
          <w:color w:val="auto"/>
        </w:rPr>
      </w:pPr>
    </w:p>
    <w:p>
      <w:pPr>
        <w:ind w:right="260" w:firstLine="589"/>
        <w:spacing w:after="0" w:line="255"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35</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5" w:name="page36"/>
    <w:bookmarkEnd w:id="35"/>
    <w:p>
      <w:pPr>
        <w:ind w:right="200" w:firstLine="589"/>
        <w:spacing w:after="0" w:line="275"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49"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52"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36" w:lineRule="exact"/>
        <w:rPr>
          <w:sz w:val="20"/>
          <w:szCs w:val="20"/>
          <w:color w:val="auto"/>
        </w:rPr>
      </w:pPr>
    </w:p>
    <w:p>
      <w:pPr>
        <w:ind w:right="280" w:firstLine="589"/>
        <w:spacing w:after="0" w:line="275" w:lineRule="auto"/>
        <w:rPr>
          <w:sz w:val="20"/>
          <w:szCs w:val="20"/>
          <w:color w:val="auto"/>
        </w:rPr>
      </w:pPr>
      <w:r>
        <w:rPr>
          <w:rFonts w:ascii="Arial" w:cs="Arial" w:eastAsia="Arial" w:hAnsi="Arial"/>
          <w:sz w:val="17"/>
          <w:szCs w:val="17"/>
          <w:color w:val="auto"/>
        </w:rPr>
        <w:t>There are also requirements governing the reporting of ongoing clinical trials and completed trial results to public registries. Sponsors of certain clinical trials of FDA-regulated products are required to register and disclose specified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NDA Review and Approval Process</w:t>
      </w:r>
    </w:p>
    <w:p>
      <w:pPr>
        <w:spacing w:after="0" w:line="189"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41"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36</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6" w:name="page37"/>
    <w:bookmarkEnd w:id="36"/>
    <w:p>
      <w:pPr>
        <w:ind w:right="20" w:firstLine="589"/>
        <w:spacing w:after="0" w:line="272" w:lineRule="auto"/>
        <w:rPr>
          <w:sz w:val="20"/>
          <w:szCs w:val="20"/>
          <w:color w:val="auto"/>
        </w:rPr>
      </w:pPr>
      <w:r>
        <w:rPr>
          <w:rFonts w:ascii="Arial" w:cs="Arial" w:eastAsia="Arial" w:hAnsi="Arial"/>
          <w:sz w:val="17"/>
          <w:szCs w:val="17"/>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or, addressing all of the deficiencies identified in the letter, or withdraw the application. Even if such data and information are submitted, the FDA may decide that the NDA does not satisfy the criteria for approval.</w:t>
      </w:r>
    </w:p>
    <w:p>
      <w:pPr>
        <w:spacing w:after="0" w:line="150"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 The FDA may also place other conditions on approval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Marketing approval may be withdrawn for non-compliance with regulatory requirements or if problems occur following initial marketing.</w:t>
      </w:r>
    </w:p>
    <w:p>
      <w:pPr>
        <w:spacing w:after="0" w:line="126"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98"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A sponsor may seek approval of its product candidate under programs designed to accelerate FDA’s review and approval of new drugs and biological products that meet certain criteria. 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3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safety or effectiveness of the treatment, diagnosis or prevention of a serious disease or condition.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 Priority review designation does not change the scientific/medical standard for approval or the quality of evidence necessary to support approval.</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37</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7" w:name="page38"/>
    <w:bookmarkEnd w:id="37"/>
    <w:p>
      <w:pPr>
        <w:ind w:right="160" w:firstLine="589"/>
        <w:spacing w:after="0" w:line="290" w:lineRule="auto"/>
        <w:rPr>
          <w:sz w:val="20"/>
          <w:szCs w:val="20"/>
          <w:color w:val="auto"/>
        </w:rPr>
      </w:pPr>
      <w:r>
        <w:rPr>
          <w:rFonts w:ascii="Arial" w:cs="Arial" w:eastAsia="Arial" w:hAnsi="Arial"/>
          <w:sz w:val="16"/>
          <w:szCs w:val="16"/>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if, for example, the confirmatory trial fails to verify the predicted clinical benefit of the product.</w:t>
      </w:r>
    </w:p>
    <w:p>
      <w:pPr>
        <w:spacing w:after="0" w:line="138" w:lineRule="exact"/>
        <w:rPr>
          <w:sz w:val="20"/>
          <w:szCs w:val="20"/>
          <w:color w:val="auto"/>
        </w:rPr>
      </w:pPr>
    </w:p>
    <w:p>
      <w:pPr>
        <w:ind w:right="60" w:firstLine="589"/>
        <w:spacing w:after="0" w:line="285" w:lineRule="auto"/>
        <w:rPr>
          <w:sz w:val="20"/>
          <w:szCs w:val="20"/>
          <w:color w:val="auto"/>
        </w:rPr>
      </w:pPr>
      <w:r>
        <w:rPr>
          <w:rFonts w:ascii="Arial" w:cs="Arial" w:eastAsia="Arial" w:hAnsi="Arial"/>
          <w:sz w:val="16"/>
          <w:szCs w:val="16"/>
          <w:color w:val="auto"/>
        </w:rPr>
        <w:t>The FDA can also designate a drug as a “breakthrough therapy.”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The designation includes all of the Fast Track program features, which means that the sponsor may file sections of the NDA for review on a rolling basis if certain conditions are satisfied, including an agreement with FDA on the proposed schedule for submission of portions of the application and the payment of applicable user fees before the FDA may initiate a review.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354"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 xml:space="preserve">Fast Track designation, priority review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Vonoprazan has received Fast Track designation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combination with both amoxicillin and clarithromycin and with amoxicillin alone and is potentially eligible for priority review, which we plan to explore. We may also explore some of these expedited development and review programs for future product candidates, as appropriate.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98" w:lineRule="exact"/>
        <w:rPr>
          <w:sz w:val="20"/>
          <w:szCs w:val="20"/>
          <w:color w:val="auto"/>
        </w:rPr>
      </w:pPr>
    </w:p>
    <w:p>
      <w:pPr>
        <w:ind w:right="180" w:firstLine="589"/>
        <w:spacing w:after="0" w:line="270" w:lineRule="auto"/>
        <w:rPr>
          <w:sz w:val="20"/>
          <w:szCs w:val="20"/>
          <w:color w:val="auto"/>
        </w:rPr>
      </w:pPr>
      <w:r>
        <w:rPr>
          <w:rFonts w:ascii="Arial" w:cs="Arial" w:eastAsia="Arial" w:hAnsi="Arial"/>
          <w:sz w:val="17"/>
          <w:szCs w:val="17"/>
          <w:color w:val="auto"/>
        </w:rPr>
        <w:t>Once an approval is granted, the FDA may withdraw the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38</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8" w:name="page39"/>
    <w:bookmarkEnd w:id="38"/>
    <w:p>
      <w:pPr>
        <w:ind w:right="260" w:firstLine="589"/>
        <w:spacing w:after="0" w:line="291" w:lineRule="auto"/>
        <w:rPr>
          <w:sz w:val="20"/>
          <w:szCs w:val="20"/>
          <w:color w:val="auto"/>
        </w:rPr>
      </w:pPr>
      <w:r>
        <w:rPr>
          <w:rFonts w:ascii="Arial" w:cs="Arial" w:eastAsia="Arial" w:hAnsi="Arial"/>
          <w:sz w:val="16"/>
          <w:szCs w:val="16"/>
          <w:color w:val="auto"/>
        </w:rPr>
        <w:t>Any drug products manufactured or distributed by us or our partners pursuant to FDA approvals will be subject to pervasive and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and imposes requirements and restrictions on drug manufacturers,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w:t>
      </w:r>
    </w:p>
    <w:p>
      <w:pPr>
        <w:spacing w:after="0" w:line="139" w:lineRule="exact"/>
        <w:rPr>
          <w:sz w:val="20"/>
          <w:szCs w:val="20"/>
          <w:color w:val="auto"/>
        </w:rPr>
      </w:pPr>
    </w:p>
    <w:p>
      <w:pPr>
        <w:ind w:right="220" w:firstLine="589"/>
        <w:spacing w:after="0" w:line="272" w:lineRule="auto"/>
        <w:rPr>
          <w:sz w:val="20"/>
          <w:szCs w:val="20"/>
          <w:color w:val="auto"/>
        </w:rPr>
      </w:pPr>
      <w:r>
        <w:rPr>
          <w:rFonts w:ascii="Arial" w:cs="Arial" w:eastAsia="Arial" w:hAnsi="Arial"/>
          <w:sz w:val="17"/>
          <w:szCs w:val="17"/>
          <w:color w:val="auto"/>
        </w:rPr>
        <w:t>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on post-approval 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85"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Market exclusivity provisions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38"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37" w:lineRule="exact"/>
        <w:rPr>
          <w:sz w:val="20"/>
          <w:szCs w:val="20"/>
          <w:color w:val="auto"/>
        </w:rPr>
      </w:pPr>
    </w:p>
    <w:p>
      <w:pPr>
        <w:ind w:right="320" w:firstLine="589"/>
        <w:spacing w:after="0" w:line="286"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125"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 xml:space="preserve">Additionally, under the GAIN Act, the FDA may designate a product as a “qualified infectious disease product,” or QIDP. In order to receive this designation, a drug must qualify as an antibacterial or antifungal drug for human use intended to treat serious or life-threatening infections, including those caused by either (1) an antibacterial or antifungal resistant pathogen, including novel or emerging infectious pathogens, or (2) a so-called “qualifying pathogen” found on a list of potentially dangerous, drug-resistant organisms established and maintained by the FDA under the law. A sponsor must request such designation before submitting a marketing application. FDA granted QIDP designation for vonoprazan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combination with both amoxicillin and clarithromycin, and with amoxicillin alone, respectively.</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39</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9" w:name="page40"/>
    <w:bookmarkEnd w:id="39"/>
    <w:p>
      <w:pPr>
        <w:ind w:right="60" w:firstLine="589"/>
        <w:spacing w:after="0" w:line="273" w:lineRule="auto"/>
        <w:rPr>
          <w:sz w:val="20"/>
          <w:szCs w:val="20"/>
          <w:color w:val="auto"/>
        </w:rPr>
      </w:pPr>
      <w:r>
        <w:rPr>
          <w:rFonts w:ascii="Arial" w:cs="Arial" w:eastAsia="Arial" w:hAnsi="Arial"/>
          <w:sz w:val="17"/>
          <w:szCs w:val="17"/>
          <w:color w:val="auto"/>
        </w:rPr>
        <w:t>The benefits of QIDP designation include potential eligibility for priority review and Fast Track designation, and an extension by an additional five years of any non-patent marketing exclusivity period awarded, such as a five-year exclusivity period awarded for a new molecular entity. This extension is in addition to any pediatric exclusivity extension that may be awarded, and the extension will be awarded only to a drug first approved on or after the date of enactment. The GAIN Act provisions prohibit the grant of an exclusivity extension where the application is a supplement to an application for which an extension is in effect or has expired, is a subsequent application for a specified change to an approved product, or is an application for a product that does not meet the definition of QIDP based on the uses for which it is ultimately approved.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Fraud and Abuse Laws and Compliance Requirements</w:t>
      </w:r>
    </w:p>
    <w:p>
      <w:pPr>
        <w:spacing w:after="0" w:line="185"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In addition to FDA regulation of pharmaceutical products, U.S. federal and state healthcare laws and regulations restrict business practices in the pharmaceutical industry. These laws may impact, among other things, our current and future business operations, including our clinical research activities, and constrain the business or financial arrangements and relationships with healthcare providers and other parties. These laws include anti-kickback and false claims laws, civil monetary penalties laws, data privacy and security laws, and physician payment transparency laws. In addition to the federal laws summarized below, we may also be subject to similar state and local laws and regulations that may apply to business practices, including but not limited to, research, distribution, sales and marketing arrangements and claims involving healthcare items or services reimbursed by non-governmental third-party payors, including private insurers, or by patients themselves.</w:t>
      </w:r>
    </w:p>
    <w:p>
      <w:pPr>
        <w:spacing w:after="0" w:line="137"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w:t>
      </w:r>
    </w:p>
    <w:p>
      <w:pPr>
        <w:spacing w:after="0" w:line="151" w:lineRule="exact"/>
        <w:rPr>
          <w:sz w:val="20"/>
          <w:szCs w:val="20"/>
          <w:color w:val="auto"/>
        </w:rPr>
      </w:pPr>
    </w:p>
    <w:p>
      <w:pPr>
        <w:ind w:right="380" w:firstLine="589"/>
        <w:spacing w:after="0" w:line="279" w:lineRule="auto"/>
        <w:rPr>
          <w:sz w:val="20"/>
          <w:szCs w:val="20"/>
          <w:color w:val="auto"/>
        </w:rPr>
      </w:pPr>
      <w:r>
        <w:rPr>
          <w:rFonts w:ascii="Arial" w:cs="Arial" w:eastAsia="Arial" w:hAnsi="Arial"/>
          <w:sz w:val="17"/>
          <w:szCs w:val="17"/>
          <w:color w:val="auto"/>
        </w:rPr>
        <w:t>The federal civil and criminal false claims laws, including the civil False Claims Act, and civil monetary penalties laws prohibit, among other things, any individual or entity from knowingly presenting,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obligation to pay money to the federal government.</w:t>
      </w:r>
    </w:p>
    <w:p>
      <w:pPr>
        <w:spacing w:after="0" w:line="131"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52"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w:t>
      </w:r>
    </w:p>
    <w:p>
      <w:pPr>
        <w:ind w:right="520" w:firstLine="8"/>
        <w:spacing w:after="0" w:line="255" w:lineRule="auto"/>
        <w:tabs>
          <w:tab w:leader="none" w:pos="1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Medicaid Services, or CMS, information related to payments or other transfers of value made to physicians, certain other health care professionals beginning in 2022, and teaching hospitals, and applicable manufacturers and applicable group purchasing organizations to report annually to CMS ownership and investment interests held by physicians and their immediate family members.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40</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0" w:name="page41"/>
    <w:bookmarkEnd w:id="40"/>
    <w:p>
      <w:pPr>
        <w:ind w:right="40" w:firstLine="589"/>
        <w:spacing w:after="0" w:line="271" w:lineRule="auto"/>
        <w:rPr>
          <w:sz w:val="20"/>
          <w:szCs w:val="20"/>
          <w:color w:val="auto"/>
        </w:rPr>
      </w:pPr>
      <w:r>
        <w:rPr>
          <w:rFonts w:ascii="Arial" w:cs="Arial" w:eastAsia="Arial" w:hAnsi="Arial"/>
          <w:sz w:val="17"/>
          <w:szCs w:val="17"/>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and state and local laws that require the registration of pharmaceutical sales representatives.</w:t>
      </w:r>
    </w:p>
    <w:p>
      <w:pPr>
        <w:spacing w:after="0" w:line="151"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and the curtailment or restructuring of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Coverage and Reimbursement</w:t>
      </w:r>
    </w:p>
    <w:p>
      <w:pPr>
        <w:spacing w:after="0" w:line="185"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vonoprazan and any future product candidates can be subject to challenge, reduction or denial by third-party payors.</w:t>
      </w:r>
    </w:p>
    <w:p>
      <w:pPr>
        <w:spacing w:after="0" w:line="161"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spacing w:after="0" w:line="151" w:lineRule="exact"/>
        <w:rPr>
          <w:sz w:val="20"/>
          <w:szCs w:val="20"/>
          <w:color w:val="auto"/>
        </w:rPr>
      </w:pPr>
    </w:p>
    <w:p>
      <w:pPr>
        <w:ind w:right="180" w:firstLine="589"/>
        <w:spacing w:after="0" w:line="272"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payors may not consider vonoprazan and any future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98"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41</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1" w:name="page42"/>
    <w:bookmarkEnd w:id="41"/>
    <w:p>
      <w:pPr>
        <w:ind w:right="60" w:firstLine="589"/>
        <w:spacing w:after="0" w:line="286" w:lineRule="auto"/>
        <w:rPr>
          <w:sz w:val="20"/>
          <w:szCs w:val="20"/>
          <w:color w:val="auto"/>
        </w:rPr>
      </w:pPr>
      <w:r>
        <w:rPr>
          <w:rFonts w:ascii="Arial" w:cs="Arial" w:eastAsia="Arial" w:hAnsi="Arial"/>
          <w:sz w:val="16"/>
          <w:szCs w:val="16"/>
          <w:color w:val="auto"/>
        </w:rPr>
        <w:t>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or the Affordable Care Act, was passed, which substantially changed the way healthcare is financed by both governmental and private insurers, and significantly affected the pharmaceutical industry. The Affordable Care Act, increased the minimum level of Medicaid rebates payable by manufacturers of brand name drugs from 15.1% to 23.1%;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CMS to test innovative payment and service delivery models to lower Medicare and Medicaid spending, potentially including prescription drug spending.</w:t>
      </w:r>
    </w:p>
    <w:p>
      <w:pPr>
        <w:spacing w:after="0" w:line="144"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auto"/>
        </w:rPr>
        <w:t>Since its enactment, there have been judicial and political challenges to certain aspects of the Affordable Care Act. For example, the Tax Cuts and Jobs Act of 2017, or Tax Act,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On December 18, 2019, the U.S. Court of Appeals for the 5th Circuit ruled that the individual mandate was unconstitutional and remanded the case back to the District Court to determine whether the remaining provisions of the Affordable Care Act are invalid as well. It is unclear how these decisions, subsequent appeals, if any, and other efforts to challenge, repeal or replace the Affordable Care Act, will impact the Affordable Care Act.</w:t>
      </w:r>
    </w:p>
    <w:p>
      <w:pPr>
        <w:spacing w:after="0" w:line="140"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These changes included aggregate reductions to Medicare payments to providers of 2% per fiscal year, which went into effect on April 1, 2013 and, due to subsequent legislative amendments to the statute, including the Bipartisan Budget Act of 2018, will remain in effect through 2029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52"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Further,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pharmaceutical products paid by consumers.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42</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98"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or EU,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40" w:lineRule="exact"/>
        <w:rPr>
          <w:sz w:val="20"/>
          <w:szCs w:val="20"/>
          <w:color w:val="auto"/>
        </w:rPr>
      </w:pPr>
    </w:p>
    <w:p>
      <w:pPr>
        <w:ind w:right="400" w:firstLine="589"/>
        <w:spacing w:after="0" w:line="308" w:lineRule="auto"/>
        <w:rPr>
          <w:sz w:val="20"/>
          <w:szCs w:val="20"/>
          <w:color w:val="auto"/>
        </w:rPr>
      </w:pPr>
      <w:r>
        <w:rPr>
          <w:rFonts w:ascii="Arial" w:cs="Arial" w:eastAsia="Arial" w:hAnsi="Arial"/>
          <w:sz w:val="17"/>
          <w:szCs w:val="17"/>
          <w:color w:val="auto"/>
        </w:rPr>
        <w:t>To market a medicinal product in the European Economic Area, or EEA (which is comprised of the 28 Member States of the EU plus Norway, Iceland and Liechtenstein), we must obtain a Marketing Authorization, or MA. There are two types of marketing authorizations:</w:t>
      </w:r>
    </w:p>
    <w:p>
      <w:pPr>
        <w:spacing w:after="0" w:line="106" w:lineRule="exact"/>
        <w:rPr>
          <w:sz w:val="20"/>
          <w:szCs w:val="20"/>
          <w:color w:val="auto"/>
        </w:rPr>
      </w:pPr>
    </w:p>
    <w:p>
      <w:pPr>
        <w:ind w:left="1020" w:right="40" w:hanging="432"/>
        <w:spacing w:after="0" w:line="272"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of the EMA and which is valid throughout the entire territory of the EEA. The Centralized Procedure is mandatory for certain types of products, such as biotechnology medicinal products, orphan medicinal products, advanced therapy products, and medicinal products containing a new active substance indicated for the treatment certain diseases, such as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136" w:lineRule="exact"/>
        <w:rPr>
          <w:rFonts w:ascii="Arial" w:cs="Arial" w:eastAsia="Arial" w:hAnsi="Arial"/>
          <w:sz w:val="17"/>
          <w:szCs w:val="17"/>
          <w:color w:val="auto"/>
        </w:rPr>
      </w:pPr>
    </w:p>
    <w:p>
      <w:pPr>
        <w:ind w:left="1020" w:right="140" w:hanging="432"/>
        <w:spacing w:after="0" w:line="25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47" w:lineRule="exact"/>
        <w:rPr>
          <w:sz w:val="20"/>
          <w:szCs w:val="20"/>
          <w:color w:val="auto"/>
        </w:rPr>
      </w:pPr>
    </w:p>
    <w:p>
      <w:pPr>
        <w:ind w:right="200" w:firstLine="589"/>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Data and marketing exclusivity</w:t>
      </w:r>
    </w:p>
    <w:p>
      <w:pPr>
        <w:spacing w:after="0" w:line="185"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43</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3" w:name="page44"/>
    <w:bookmarkEnd w:id="43"/>
    <w:p>
      <w:pPr>
        <w:ind w:left="600"/>
        <w:spacing w:after="0"/>
        <w:rPr>
          <w:sz w:val="20"/>
          <w:szCs w:val="20"/>
          <w:color w:val="auto"/>
        </w:rPr>
      </w:pPr>
      <w:r>
        <w:rPr>
          <w:rFonts w:ascii="Arial" w:cs="Arial" w:eastAsia="Arial" w:hAnsi="Arial"/>
          <w:sz w:val="18"/>
          <w:szCs w:val="18"/>
          <w:i w:val="1"/>
          <w:iCs w:val="1"/>
          <w:color w:val="auto"/>
        </w:rPr>
        <w:t>Pediatric investigation plan</w:t>
      </w:r>
    </w:p>
    <w:p>
      <w:pPr>
        <w:spacing w:after="0" w:line="198" w:lineRule="exact"/>
        <w:rPr>
          <w:sz w:val="20"/>
          <w:szCs w:val="20"/>
          <w:color w:val="auto"/>
        </w:rPr>
      </w:pPr>
    </w:p>
    <w:p>
      <w:pPr>
        <w:ind w:right="120" w:firstLine="589"/>
        <w:spacing w:after="0" w:line="270" w:lineRule="auto"/>
        <w:rPr>
          <w:sz w:val="20"/>
          <w:szCs w:val="20"/>
          <w:color w:val="auto"/>
        </w:rPr>
      </w:pPr>
      <w:r>
        <w:rPr>
          <w:rFonts w:ascii="Arial" w:cs="Arial" w:eastAsia="Arial" w:hAnsi="Arial"/>
          <w:sz w:val="17"/>
          <w:szCs w:val="17"/>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six months’ supplementary protection certificate extension.</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Clinical trials</w:t>
      </w:r>
    </w:p>
    <w:p>
      <w:pPr>
        <w:spacing w:after="0" w:line="185"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Clinical trials of medicinal products in the European Union must be conducted in accordance with European Union and national regulations and the International Conference on Harmonization, or ICH, guidelines on GCPs. Additional GCP guidelines from the European Commission, focusing in particular on traceability, apply to clinical trials of advanced therapy medicinal products. If the sponsor of the clinical trial is not established within the European Union, it must appoint an entity within the European Union to act as its legal representative. The sponsor must take out a clinical trial insurance policy, and in most EU countries, the sponsor is liable to provide ‘no fault’ compensation to any study subject injured in the clinical trial.</w:t>
      </w:r>
    </w:p>
    <w:p>
      <w:pPr>
        <w:spacing w:after="0" w:line="149"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Prior to commencing a clinical trial, the sponsor must obtain a clinical trial authorization from the competent authority, and a positive opinion from an independent ethics committee. The application for a clinical trial authorization must include, among other things, a copy of the trial protocol and an investigational medicinal product dossier containing information about the manufacture and quality of the medicinal product under investigation. Currently, clinical trial authorization applications must be submitted to the competent authority in each EU Member State in which the trial will be conducted. Under the new Regulation on Clinical Trials, which is currently expected to take effect in 2020,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 Medicines used in clinical trials must be manufactured in accordance with cGMP. Other national and European Union-wide regulatory requirements also apply.</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Data privacy and security laws</w:t>
      </w:r>
    </w:p>
    <w:p>
      <w:pPr>
        <w:spacing w:after="0" w:line="185" w:lineRule="exact"/>
        <w:rPr>
          <w:sz w:val="20"/>
          <w:szCs w:val="20"/>
          <w:color w:val="auto"/>
        </w:rPr>
      </w:pPr>
    </w:p>
    <w:p>
      <w:pPr>
        <w:ind w:right="120" w:firstLine="589"/>
        <w:spacing w:after="0" w:line="268" w:lineRule="auto"/>
        <w:rPr>
          <w:sz w:val="20"/>
          <w:szCs w:val="20"/>
          <w:color w:val="auto"/>
        </w:rPr>
      </w:pPr>
      <w:r>
        <w:rPr>
          <w:rFonts w:ascii="Arial" w:cs="Arial" w:eastAsia="Arial" w:hAnsi="Arial"/>
          <w:sz w:val="17"/>
          <w:szCs w:val="17"/>
          <w:color w:val="auto"/>
        </w:rPr>
        <w:t>Pharmaceutical companies may be subject to U.S. federal and state health information privacy, security and data breach notification laws, which may govern the collection, use, disclosure and protection of health-related and other personal information. 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44</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4" w:name="page45"/>
    <w:bookmarkEnd w:id="44"/>
    <w:p>
      <w:pPr>
        <w:ind w:right="60" w:firstLine="589"/>
        <w:spacing w:after="0" w:line="270" w:lineRule="auto"/>
        <w:rPr>
          <w:sz w:val="20"/>
          <w:szCs w:val="20"/>
          <w:color w:val="auto"/>
        </w:rPr>
      </w:pPr>
      <w:r>
        <w:rPr>
          <w:rFonts w:ascii="Arial" w:cs="Arial" w:eastAsia="Arial" w:hAnsi="Arial"/>
          <w:sz w:val="17"/>
          <w:szCs w:val="17"/>
          <w:color w:val="auto"/>
        </w:rPr>
        <w:t>In addition, certain state laws govern the privacy and security of health information in certain circumstances, some of which are more stringent, broader in scope or offer greater individual rights with respect to protected health information, or PHI, than HIPAA and many of which may differ from each other in significant ways and may not have the same effect, thus complicating compliance efforts. Failure to comply with these laws, where applicable, can result in the imposition of significant civil and/or criminal penalties and private litigation. For example, California recently enacted legislation, the California Consumer Privacy Act, or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154"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are also subject to laws and regulations in non-U.S. countries covering data privacy and the protection of health-related and other personal information. EU member states and other jurisdictions have adopted data protection laws and regulations, which impose significant compliance obligations. Laws and regulations in these jurisdictions apply broadly to the collection, use, storage, disclosure, processing and security of personal information that identifies or may be used to identify an individual, such as names, contact information, and sensitive personal data such as health data. These laws and regulations are subject to frequent revisions and differing interpretations and have generally become more stringent over time.</w:t>
      </w:r>
    </w:p>
    <w:p>
      <w:pPr>
        <w:spacing w:after="0" w:line="121" w:lineRule="exact"/>
        <w:rPr>
          <w:sz w:val="20"/>
          <w:szCs w:val="20"/>
          <w:color w:val="auto"/>
        </w:rPr>
      </w:pPr>
    </w:p>
    <w:p>
      <w:pPr>
        <w:ind w:right="140" w:firstLine="589"/>
        <w:spacing w:after="0" w:line="270" w:lineRule="auto"/>
        <w:rPr>
          <w:sz w:val="20"/>
          <w:szCs w:val="20"/>
          <w:color w:val="auto"/>
        </w:rPr>
      </w:pPr>
      <w:r>
        <w:rPr>
          <w:rFonts w:ascii="Arial" w:cs="Arial" w:eastAsia="Arial" w:hAnsi="Arial"/>
          <w:sz w:val="17"/>
          <w:szCs w:val="17"/>
          <w:color w:val="auto"/>
        </w:rPr>
        <w:t>As of May 25, 2018, Regulation 2016/676, known as the General Data Protection Regulation, or GDPR, replaced the Data Protection Directive with respect to the processing of personal data in the European Union. The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pseudonymized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of up to €20,000,000 or up to 4% of the total worldwide annual turnover of the preceding financial year, whichever is higher, and other administrative penalties.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As of March 16, 2020, we had 25 full-time employees, 4 of whom have a Ph.D. or M.D. None of our employees are represented by labor unions or covered by collective bargaining agreements. We consider our relationship with our employees to be good.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We were originally incorporated under the laws of the state of Delaware on January 9, 2018 under the name North Bridge IV, Inc. On March 13, 2019, we changed our name to Phathom Pharmaceuticals, Inc. and merged YamadaCo IIA, Inc., a Delaware corporation, or YamadaCo, with and into our company, with Phathom Pharmaceuticals, Inc. as the surviving entity, or the Merger. References throughout this annual report to Phathom Pharmaceuticals, Inc. include North Bridge IV, Inc. prior to the Merger. Our principal executive offices are located at 100 Campus Drive, Suite 102, Florham Park, New Jersey 07932, and our telephone number is (877) 742-8466.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Our internet address is www.phathompharma.com. Our investor relations website is located at https://investors.phathompharma.com.com. We make available free of charge on our investor relations website under “Financials and Filings” our annual reports on Form 10-K, quarterly reports on Form 10-Q, current reports on Form 8-K, our directors’ and officers’ Section 16 reports and any amendments to those reports as soon as reasonably practicable after filing or furnishing such materials to the SEC. They are also available for free on the SEC’s website at www.sec.gov. The information in or accessible through the SEC and our website are not incorporated into, and are not considered part of, this filing.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45</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5" w:name="page46"/>
    <w:bookmarkEnd w:id="45"/>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in this annual report on Form 10-K,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189" w:lineRule="exact"/>
        <w:rPr>
          <w:sz w:val="20"/>
          <w:szCs w:val="20"/>
          <w:color w:val="auto"/>
        </w:rPr>
      </w:pPr>
    </w:p>
    <w:p>
      <w:pPr>
        <w:ind w:right="660"/>
        <w:spacing w:after="0" w:line="381" w:lineRule="auto"/>
        <w:rPr>
          <w:sz w:val="20"/>
          <w:szCs w:val="20"/>
          <w:color w:val="auto"/>
        </w:rPr>
      </w:pPr>
      <w:r>
        <w:rPr>
          <w:rFonts w:ascii="Arial" w:cs="Arial" w:eastAsia="Arial" w:hAnsi="Arial"/>
          <w:sz w:val="15"/>
          <w:szCs w:val="15"/>
          <w:b w:val="1"/>
          <w:bCs w:val="1"/>
          <w:i w:val="1"/>
          <w:iCs w:val="1"/>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60"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We are a late clinical-stage biopharmaceutical company with a limited operating history upon which you can evaluate our business and prospects. We commenced operations in 2018, and to date, we have focused primarily on organizing and staffing our company, business planning, raising capital, in-licensing our initial product candidate, vonoprazan, meeting with regulatory authorities, and preparing for our Phase 3 clinical trials of vonoprazan. As a company, we have not yet demonstrated an ability to successfully complete any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65"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We have incurred significant operating losses since our inception. If vonoprazan is not successfully developed and approved in the United States, Europe and/or Canada, we may never generate any revenue. We have incurred cumulative net losses since our inception and, as of December 31, 2019, we had an accumulated deficit of $256.4 million. Substantially all of our losses have resulted from expenses incurred in connection with in-licensing and developing vonoprazan and from general and administrative costs associated with our operations. Vonoprazan and any future product candidates will require substantial additional development time and resources before we will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vonoprazan and seek to identify, assess, acquire, in-license, or develop additional product candidates.</w:t>
      </w:r>
    </w:p>
    <w:p>
      <w:pPr>
        <w:spacing w:after="0" w:line="138"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clinical trials and preclinical studies of vonoprazan and any future product candidates, obtaining regulatory approval for these product candidates and manufacturing, marketing and selling any products. We are only in the preliminary stages of most of these activities. We may never succeed in these activities and, even if we do, may never generate revenues that are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continue our product development efforts, diversify our product candidate pipeline or even continue our operations. A decline in the value of our company could also cause you to lose all or part of your investment.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46</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6" w:name="page47"/>
    <w:bookmarkEnd w:id="46"/>
    <w:p>
      <w:pPr>
        <w:ind w:right="40"/>
        <w:spacing w:after="0" w:line="381"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73"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The development of biopharmaceutical product candidates is capital-intensive. We expect our expenses to increase in connection with our ongoing activities, particularly as we conduct our Phase 3 clinical trials of vonoprazan and seek regulatory approval for vonoprazan. In addition, if vonoprazan receives approval and is commercialized, we will be required to make milestone and royalty payments to Takeda, from whom we have in-licensed the rights to develop and commercialize vonoprazan in the United States, Europe, and Canada pursuant to the Takeda License. Furthermore, if and to the extent we seek to acquire or in-license additional product candidates in the future, we may be required to make significant upfront payments, milestone payments, and/or licensing payments. If we obtain regulatory approval for vonoprazan or any future product candidate, we also expect to incur significant commercialization expenses related to product manufacturing, marketing, sales and distribution. Because the outcome of any clinical trial is highly uncertain, we cannot reasonably estimate the actual amounts necessary to successfully complete the development and commercialization of vonoprazan or any future product candidate.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41"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 xml:space="preserve">We believe that our existing cash and cash equivalents will enable us to fund our operations for at least the next 24 months. In particular, we expect that these funds will allow us to complete our Phase 3 clinical trials of vonoprazan in the treatment of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vonoprazan or any future product candidates.</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98" w:lineRule="exact"/>
        <w:rPr>
          <w:sz w:val="20"/>
          <w:szCs w:val="20"/>
          <w:color w:val="auto"/>
        </w:rPr>
      </w:pPr>
    </w:p>
    <w:p>
      <w:pPr>
        <w:ind w:left="1020" w:right="320" w:hanging="432"/>
        <w:spacing w:after="0" w:line="342"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83" w:lineRule="exact"/>
        <w:rPr>
          <w:rFonts w:ascii="Arial" w:cs="Arial" w:eastAsia="Arial" w:hAnsi="Arial"/>
          <w:sz w:val="16"/>
          <w:szCs w:val="16"/>
          <w:color w:val="auto"/>
        </w:rPr>
      </w:pPr>
    </w:p>
    <w:p>
      <w:pPr>
        <w:ind w:left="1020" w:hanging="43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and cost increases as a result of the recent COVID-19 outbreak;</w:t>
      </w:r>
    </w:p>
    <w:p>
      <w:pPr>
        <w:spacing w:after="0" w:line="184" w:lineRule="exact"/>
        <w:rPr>
          <w:rFonts w:ascii="Arial" w:cs="Arial" w:eastAsia="Arial" w:hAnsi="Arial"/>
          <w:sz w:val="18"/>
          <w:szCs w:val="18"/>
          <w:color w:val="auto"/>
        </w:rPr>
      </w:pPr>
    </w:p>
    <w:p>
      <w:pPr>
        <w:ind w:left="1020" w:right="380" w:hanging="43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manufacturing for vonoprazan or any future product candidates, including commercial scale manufacturing if any product candidate is approved;</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vonoprazan or any future product candidates;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84" w:lineRule="exact"/>
        <w:rPr>
          <w:rFonts w:ascii="Arial" w:cs="Arial" w:eastAsia="Arial" w:hAnsi="Arial"/>
          <w:sz w:val="18"/>
          <w:szCs w:val="18"/>
          <w:color w:val="auto"/>
        </w:rPr>
      </w:pPr>
    </w:p>
    <w:p>
      <w:pPr>
        <w:ind w:left="1020" w:right="240" w:hanging="43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29" w:lineRule="exact"/>
        <w:rPr>
          <w:rFonts w:ascii="Arial" w:cs="Arial" w:eastAsia="Arial" w:hAnsi="Arial"/>
          <w:sz w:val="18"/>
          <w:szCs w:val="18"/>
          <w:color w:val="auto"/>
        </w:rPr>
      </w:pPr>
    </w:p>
    <w:p>
      <w:pPr>
        <w:ind w:left="1020" w:right="220" w:hanging="43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clinical development personnel and commercial personnel;</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and timing of establishing or securing sales and marketing capabilities if vonoprazan or any future product candidate is approved;</w:t>
      </w:r>
    </w:p>
    <w:p>
      <w:pPr>
        <w:spacing w:after="0" w:line="207" w:lineRule="exact"/>
        <w:rPr>
          <w:rFonts w:ascii="Arial" w:cs="Arial" w:eastAsia="Arial" w:hAnsi="Arial"/>
          <w:sz w:val="16"/>
          <w:szCs w:val="16"/>
          <w:color w:val="auto"/>
        </w:rPr>
      </w:pPr>
    </w:p>
    <w:p>
      <w:pPr>
        <w:ind w:left="1020" w:right="80" w:hanging="43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47</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7" w:name="page48"/>
    <w:bookmarkEnd w:id="47"/>
    <w:p>
      <w:pPr>
        <w:ind w:left="1020" w:right="200" w:hanging="43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any products or technologies that we may in-license or acquire.</w:t>
      </w:r>
    </w:p>
    <w:p>
      <w:pPr>
        <w:spacing w:after="0" w:line="185" w:lineRule="exact"/>
        <w:rPr>
          <w:sz w:val="20"/>
          <w:szCs w:val="20"/>
          <w:color w:val="auto"/>
        </w:rPr>
      </w:pPr>
    </w:p>
    <w:p>
      <w:pPr>
        <w:ind w:right="240" w:firstLine="589"/>
        <w:spacing w:after="0" w:line="279" w:lineRule="auto"/>
        <w:rPr>
          <w:sz w:val="20"/>
          <w:szCs w:val="20"/>
          <w:color w:val="auto"/>
        </w:rPr>
      </w:pPr>
      <w:r>
        <w:rPr>
          <w:rFonts w:ascii="Arial" w:cs="Arial" w:eastAsia="Arial" w:hAnsi="Arial"/>
          <w:sz w:val="17"/>
          <w:szCs w:val="17"/>
          <w:color w:val="auto"/>
        </w:rPr>
        <w:t>Conducting clinical trials and preclinical studies is a time consuming, expensive, and uncertain process that takes years to complete, and we may never generate the necessary data or results required to obtain regulatory approval and achieve product sales. In addition, vonoprazan and other potential product candidates, if approved, may not achieve commercial success. Our commercial revenues, if any, would initially be derived from sales of vonoprazan, which we do not expect to be commercially available in our licensed territories for many years, if at all.</w:t>
      </w:r>
    </w:p>
    <w:p>
      <w:pPr>
        <w:spacing w:after="0" w:line="144"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4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30"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equity offerings, our loan and security agreement, or the Loan Agreement, with Silicon Valley Bank, or SVB, as administrative and collateral agent, and lenders SVB and WestRiver Innovation Lending Fund VIII, L.P., or WestRiver, debt financings, or other capital sources, including potential collaborations, licenses and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Our Loan Agreement includes, and any future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39"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If we raise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Regulatory Approval of Product Candidates</w:t>
      </w:r>
    </w:p>
    <w:p>
      <w:pPr>
        <w:spacing w:after="0" w:line="18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We currently depend entirely on the success of vonoprazan, which is our only product candidate. If we are unable to advance vonoprazan in clinical development, obtain regulatory approval and ultimately commercialize vonoprazan, or experience significant delays in doing so, our business will be materially harmed.</w:t>
      </w:r>
    </w:p>
    <w:p>
      <w:pPr>
        <w:spacing w:after="0" w:line="15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 xml:space="preserve">We currently only have one product candidate, vonoprazan, which we in-licensed from Takeda. Our business presently depends entirely on our ability to successfully develop, obtain regulatory approval for, and commercialize vonoprazan in a timely manner. This may make an investment in our company riskier than similar companies that have multiple product candidates in active development that may be able to better sustain failure of a lead product candidate. We initiated two pivotal Phase 3 clinical trials in the fourth quarter of 2019 for vonoprazan: one for the treatment of erosive esophagitis, and a second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Our assumptions about vonoprazan’s development and commercial potential are based in large part on the development and commercial experience of vonoprazan in Japan and other Asian countries. However, our assumptions may prove to be wrong, and we may encounter a materially and adversely different development and commercial experience. The success of vonoprazan will depend on several factors, including the following:</w:t>
      </w:r>
    </w:p>
    <w:p>
      <w:pPr>
        <w:spacing w:after="0" w:line="151" w:lineRule="exact"/>
        <w:rPr>
          <w:sz w:val="20"/>
          <w:szCs w:val="20"/>
          <w:color w:val="auto"/>
        </w:rPr>
      </w:pPr>
    </w:p>
    <w:p>
      <w:pPr>
        <w:ind w:left="1020" w:right="280" w:hanging="43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the FDA or by comparable foreign regulatory authorities of our proposed design of the Phase 3 clinical trials of vonoprazan and any future clinical trials;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clinical trials with favorable results;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48</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8" w:name="page49"/>
    <w:bookmarkEnd w:id="48"/>
    <w:p>
      <w:pPr>
        <w:ind w:left="1020" w:right="80" w:hanging="432"/>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FDA, the European Medicines Agency, or EMA, and other comparable foreign regulatory authorities to accept the data from our Phase 3 clinical trials and preclinical studies and clinical trials conducted outside of our licensed territories by Takeda and independent investigators as part of the basis for review and approval of vonoprazan</w:t>
      </w:r>
    </w:p>
    <w:p>
      <w:pPr>
        <w:spacing w:after="0" w:line="143"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84" w:lineRule="exact"/>
        <w:rPr>
          <w:rFonts w:ascii="Arial" w:cs="Arial" w:eastAsia="Arial" w:hAnsi="Arial"/>
          <w:sz w:val="18"/>
          <w:szCs w:val="18"/>
          <w:color w:val="auto"/>
        </w:rPr>
      </w:pPr>
    </w:p>
    <w:p>
      <w:pPr>
        <w:ind w:left="1020" w:right="340" w:hanging="43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w:t>
      </w:r>
    </w:p>
    <w:p>
      <w:pPr>
        <w:spacing w:after="0" w:line="129" w:lineRule="exact"/>
        <w:rPr>
          <w:rFonts w:ascii="Arial" w:cs="Arial" w:eastAsia="Arial" w:hAnsi="Arial"/>
          <w:sz w:val="18"/>
          <w:szCs w:val="18"/>
          <w:color w:val="auto"/>
        </w:rPr>
      </w:pPr>
    </w:p>
    <w:p>
      <w:pPr>
        <w:ind w:left="1020" w:right="440" w:hanging="43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one or more NDAs from the FDA and maintaining such approvals;</w:t>
      </w:r>
    </w:p>
    <w:p>
      <w:pPr>
        <w:spacing w:after="0" w:line="129" w:lineRule="exact"/>
        <w:rPr>
          <w:rFonts w:ascii="Arial" w:cs="Arial" w:eastAsia="Arial" w:hAnsi="Arial"/>
          <w:sz w:val="18"/>
          <w:szCs w:val="18"/>
          <w:color w:val="auto"/>
        </w:rPr>
      </w:pPr>
    </w:p>
    <w:p>
      <w:pPr>
        <w:ind w:left="1020" w:right="300" w:hanging="432"/>
        <w:spacing w:after="0" w:line="342"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making arrangements with Takeda or any future third-party manufacturers for, or establishing, commercial manufacturing capabilities and receiving/importing commercial supplies approved by FDA and other regulators from Takeda or any future third-party manufacturer;</w:t>
      </w:r>
    </w:p>
    <w:p>
      <w:pPr>
        <w:spacing w:after="0" w:line="83" w:lineRule="exact"/>
        <w:rPr>
          <w:rFonts w:ascii="Arial" w:cs="Arial" w:eastAsia="Arial" w:hAnsi="Arial"/>
          <w:sz w:val="16"/>
          <w:szCs w:val="16"/>
          <w:color w:val="auto"/>
        </w:rPr>
      </w:pPr>
    </w:p>
    <w:p>
      <w:pPr>
        <w:ind w:left="1020" w:right="280" w:hanging="43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commercializing vonoprazan, if approved, whether alone or in collaboration with others;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or regulatory exclusivity for vonoprazan;</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an acceptable safety profile of vonoprazan following approval; and</w:t>
      </w:r>
    </w:p>
    <w:p>
      <w:pPr>
        <w:spacing w:after="0" w:line="184" w:lineRule="exact"/>
        <w:rPr>
          <w:rFonts w:ascii="Arial" w:cs="Arial" w:eastAsia="Arial" w:hAnsi="Arial"/>
          <w:sz w:val="18"/>
          <w:szCs w:val="18"/>
          <w:color w:val="auto"/>
        </w:rPr>
      </w:pPr>
    </w:p>
    <w:p>
      <w:pPr>
        <w:ind w:left="1020" w:right="620" w:hanging="43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if approved, commercialize, market, and sell vonoprazan to physicians, patients, healthcare payors, and others in the medical community.</w:t>
      </w:r>
    </w:p>
    <w:p>
      <w:pPr>
        <w:spacing w:after="0" w:line="130"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The success of our business, including our ability to finance our company and generate any revenue in the future, will primarily depend on the successful development, regulatory approval and commercialization of vonoprazan, which may never occur. We have not yet succeeded and may not succeed in demonstrating efficacy and safety for vonoprazan in clinical trials or in obtaining marketing approval thereafter. It may be several years, if at all, before we have demonstrated the safety and efficacy of a treatment sufficient to warrant approval for commercialization. If we are unable to develop, or obtain regulatory approval for, or, if approved, successfully commercialize vonoprazan, we may not be able to generate sufficient revenue to continue our business.</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the results of prior clinical trials and other investigator-initiated clinical trials of vonoprazan are not necessarily predictive of our future results. Vonoprazan may not have favorable results in our clinical trials, or receive regulatory approval on a timely basis, if at all.</w:t>
      </w:r>
    </w:p>
    <w:p>
      <w:pPr>
        <w:spacing w:after="0" w:line="143"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Clinical drug development is expensive and can take many years to complete, and its outcome is inherently uncertain. Our clinical trials may not be conducted as planned or completed on schedule, if at all, and failure can occur at any time during the preclinical study or clinical trial process. Despite promising preclinical or clinical results, any product candidate can unexpectedly fail at any stage of preclinical or clinical development. The historical failure rate for product candidates in our industry is high.</w:t>
      </w:r>
    </w:p>
    <w:p>
      <w:pPr>
        <w:spacing w:after="0" w:line="146"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 xml:space="preserve">The results from clinical trials or preclinical studies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vonoprazan has been studied in an extensive clinical program by Takeda, including 18 Phase 3 clinical trials, we do not know how vonoprazan will perform in future clinical trials, including as a result of differences between the clinical trials conducted to date by Takeda or other third parties and our Phase 3 clinical trial designs. These differences include, among other things: including higher doses of antibiotics and longer duration of treatment and inclusion of a dual therapy arm in our Phase 3 clinical trial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conducting 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49</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9" w:name="page50"/>
    <w:bookmarkEnd w:id="49"/>
    <w:p>
      <w:pPr>
        <w:ind w:right="140"/>
        <w:spacing w:after="0" w:line="269" w:lineRule="auto"/>
        <w:rPr>
          <w:sz w:val="20"/>
          <w:szCs w:val="20"/>
          <w:color w:val="auto"/>
        </w:rPr>
      </w:pPr>
      <w:r>
        <w:rPr>
          <w:rFonts w:ascii="Arial" w:cs="Arial" w:eastAsia="Arial" w:hAnsi="Arial"/>
          <w:sz w:val="17"/>
          <w:szCs w:val="17"/>
          <w:color w:val="auto"/>
        </w:rPr>
        <w:t xml:space="preserve">single Phase 3 clinical trial for both the healing and maintenance of erosive esophagitis, rather than two separate trials. Further, the large majority of the clinical development of vonoprazan was conducted in Asian subjects, who naturally have differences in height, weight, drug metabolism, and potentially, acid-secretory capacity from Western populations. Although there are data across two Phase 1 clinical trials in healthy volunteers showing that the vonoprazan pharmacokinetic and pharmacodynamic profile is similar in Japanese and non-Japanese subjects, our clinical trials of vonoprazan in a broader population comprised of patients in the United States and Europe may not yield the same results as prior clinical trials. Additionally, Western patients may be more likely to deviate from clinical trial protocols or drop out of clinical trials than Japanese patients, which may negatively impact the results of our clinical trials. Further, in our Phase 3 clinical trial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the vonoprazan dual therapy arm will not be double-blinded because patients in this arm will be administered amoxicillin three times daily, versus twice daily for the triple therapy regimens. Both triple therapy regimens will be double-blinded. The inability to double-blind the dual therapy arm may impact the results of this trial and how regulatory agencies or healthcare payors interpret such results. For example, the EMA has noted that it expects additional analyses of treatment compliance and drop-out rates in the dual therapy arm because it will not be double-blinded.</w:t>
      </w:r>
    </w:p>
    <w:p>
      <w:pPr>
        <w:spacing w:after="0" w:line="155"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A number of companies in the pharmaceutical and biotechnology industries have suffered significant setbacks in clinical development even after the product candidate achieved promising results in earlier clinical trials. The results of our trials may not be comparable to those achieved previously, whether as a result of differences in trial design, patient population or otherwise.</w:t>
      </w:r>
    </w:p>
    <w:p>
      <w:pPr>
        <w:spacing w:after="0" w:line="143"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 xml:space="preserve">Further, the FDA, the EMA, or other comparable foreign regulatory authorities may not view the data from clinical trials conducted by Takeda and other third parties discussed above, together with our single Phase 3 clinical trial in each of erosive esophagitis and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as sufficient to support the regulatory approval of vonoprazan for the treatment of erosive esophagitis 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The FDA, EMA, or other comparable foreign regulatory authorities may also disagree with the adequacy of our trial designs, including as a result of the differences between our designs and those of Takeda’s Phase 3 clinical trials discussed above. As a result, we could be required to conduct additional clinical trials prior to seeking and obtaining regulatory approval and our planned development timeline could materially change. In addition, in July 2019, we received scientific advice from the EMA on our Phase 3 clinical trial of vonoprazan in the healing and maintenance of healing of erosive esophagitis. For the healing phase of the study, the EMA recommended that we include an endoscopy to assess healing at Week 4 in addition to the planned endoscopies at Week 2 and Week 8 because the summary of product characteristics for lansoprazole suggests four weeks of treatment to assess healing in erosive esophagitis. We have decided not to incorporate this change into the study design given the additional burden on study subjects to return for a third endoscopy in an eight-week period. This decision may impact the future summary of product characteristics for vonoprazan or may cause the EMA to require us to conduct additional clinical trials for vonoprazan to support marketing approval.</w:t>
      </w:r>
    </w:p>
    <w:p>
      <w:pPr>
        <w:spacing w:after="0" w:line="138"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In addition, Takeda, a third party over which we have no control, has the right to develop and commercialize vonoprazan outside of the United States, Europe, and Canada. Takeda has marketing approval for vonoprazan in certain countries in Asia and Latin America, and Takeda has ongoing clinical trials of vonoprazan in certain indications that we are also pursuing. If such ongoing trials fail to meet their primary endpoints, have serious adverse events or encounter other problems, the development potential of vonoprazan could be materially and adversely affected. In addition, if serious adverse events or other problems occur with patients using vonoprazan marketed outside of our licensed territories, or if the results of ongoing or future clinical trials of vonoprazan conducted by Takeda or others generate negative results or results that conflict with the results of our clinical trials, the FDA, EMA, or other regulatory authorities may delay, limit, or deny approval of vonoprazan, require us to conduct additional clinical trials as a condition to marketing approval, or withdraw their approval of vonoprazan or otherwise restrict our ability to market and sell vonoprazan, if approved. In addition, treating physicians may be less willing to prescribe vonoprazan due to concerns over such trial results or adverse events, which would limit our ability to commercialize vonoprazan.</w:t>
      </w:r>
    </w:p>
    <w:p>
      <w:pPr>
        <w:spacing w:after="0" w:line="167"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For the foregoing reasons, our ongoing clinical trials may not be successful. Any safety concerns observed in any one of our clinical trials in our targeted indications could limit the prospects for regulatory approval of vonoprazan or any future product candidates in those and other indications, which could have a material adverse effect on our business, financial condition and results of operations.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50</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0" w:name="page51"/>
    <w:bookmarkEnd w:id="50"/>
    <w:p>
      <w:pPr>
        <w:ind w:right="140"/>
        <w:spacing w:after="0" w:line="277" w:lineRule="auto"/>
        <w:rPr>
          <w:sz w:val="20"/>
          <w:szCs w:val="20"/>
          <w:color w:val="auto"/>
        </w:rPr>
      </w:pPr>
      <w:r>
        <w:rPr>
          <w:rFonts w:ascii="Arial" w:cs="Arial" w:eastAsia="Arial" w:hAnsi="Arial"/>
          <w:sz w:val="18"/>
          <w:szCs w:val="18"/>
          <w:b w:val="1"/>
          <w:bCs w:val="1"/>
          <w:i w:val="1"/>
          <w:iCs w:val="1"/>
          <w:color w:val="auto"/>
        </w:rPr>
        <w:t>Any difficulties or delays in the commencement or completion, or termination or suspension, of our clinical trials could result in increased costs to us, delay or limit our ability to generate revenue and adversely affect our commercial prospects.</w:t>
      </w:r>
    </w:p>
    <w:p>
      <w:pPr>
        <w:spacing w:after="0" w:line="143"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 xml:space="preserve">Before obtaining marketing approval from regulatory authorities for the sale of vonoprazan or any future product candidates, we must conduct extensive clinical trials to demonstrate the safety and efficacy of vonoprazan or any future product candidates in humans. In August 2019, we submitted three separate INDs to the FDA for vonoprazan: one for erosive esophagitis; a second for dual therapy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and a third for triple therapy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These three INDs were accepted by the FDA in September 2019. We initiated two pivotal Phase 3 clinical trials in the fourth quarter of 2019 for vonoprazan: one for the treatment of erosive esophagitis and a second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w:t>
      </w:r>
    </w:p>
    <w:p>
      <w:pPr>
        <w:spacing w:after="0" w:line="121"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We will have to submit the results of preclinical studies to the FDA along with other information, including information about product candidate chemistry, manufacturing and controls and our proposed clinical trial protocol, as part of an IND for any future product candidates that we advance to clinical development, and we may also be required to submit regulatory filings to foreign regulatory authorities to the extent we initiate clinical trials outside of the United States.</w:t>
      </w:r>
    </w:p>
    <w:p>
      <w:pPr>
        <w:spacing w:after="0" w:line="146" w:lineRule="exact"/>
        <w:rPr>
          <w:sz w:val="20"/>
          <w:szCs w:val="20"/>
          <w:color w:val="auto"/>
        </w:rPr>
      </w:pPr>
    </w:p>
    <w:p>
      <w:pPr>
        <w:ind w:right="820" w:firstLine="589"/>
        <w:spacing w:after="0" w:line="277" w:lineRule="auto"/>
        <w:rPr>
          <w:sz w:val="20"/>
          <w:szCs w:val="20"/>
          <w:color w:val="auto"/>
        </w:rPr>
      </w:pPr>
      <w:r>
        <w:rPr>
          <w:rFonts w:ascii="Arial" w:cs="Arial" w:eastAsia="Arial" w:hAnsi="Arial"/>
          <w:sz w:val="18"/>
          <w:szCs w:val="18"/>
          <w:color w:val="auto"/>
        </w:rPr>
        <w:t>We do not know whether our ongoing trials will be completed on schedule, if at all, or if any future clinical trials will begin on time. The commencement and completion of clinical trials can be delayed for a number of reasons, including delays related to:</w:t>
      </w:r>
    </w:p>
    <w:p>
      <w:pPr>
        <w:spacing w:after="0" w:line="143" w:lineRule="exact"/>
        <w:rPr>
          <w:sz w:val="20"/>
          <w:szCs w:val="20"/>
          <w:color w:val="auto"/>
        </w:rPr>
      </w:pPr>
    </w:p>
    <w:p>
      <w:pPr>
        <w:ind w:left="1020" w:right="60" w:hanging="43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disagreeing as to the design or implementation of our clinical trials and reaching consensus among the FDA and EMA over the design of the same clinical trial;</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failure or delay in obtaining regulatory authorizations to commence a trial;</w:t>
      </w:r>
    </w:p>
    <w:p>
      <w:pPr>
        <w:spacing w:after="0" w:line="184" w:lineRule="exact"/>
        <w:rPr>
          <w:rFonts w:ascii="Arial" w:cs="Arial" w:eastAsia="Arial" w:hAnsi="Arial"/>
          <w:sz w:val="18"/>
          <w:szCs w:val="18"/>
          <w:color w:val="auto"/>
        </w:rPr>
      </w:pPr>
    </w:p>
    <w:p>
      <w:pPr>
        <w:ind w:left="1020" w:right="40" w:hanging="43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contract research organizations, or CROs, and clinical trial sites, the terms of which can be subject to extensive negotiation and may vary significantly among different CROs and trial sites;</w:t>
      </w:r>
    </w:p>
    <w:p>
      <w:pPr>
        <w:spacing w:after="0" w:line="129"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institutional review boards, or IRBs, refusing to approve, suspending or terminating the trial at an investigational site, precluding enrollment of additional subjects, or withdrawing their approval of the trial;</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sites deviating from trial protocols or dropping out of a trial;</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or obtaining sufficient quantities of vonoprazan and any future product candidates;</w:t>
      </w:r>
    </w:p>
    <w:p>
      <w:pPr>
        <w:spacing w:after="0" w:line="184" w:lineRule="exact"/>
        <w:rPr>
          <w:rFonts w:ascii="Arial" w:cs="Arial" w:eastAsia="Arial" w:hAnsi="Arial"/>
          <w:sz w:val="18"/>
          <w:szCs w:val="18"/>
          <w:color w:val="auto"/>
        </w:rPr>
      </w:pPr>
    </w:p>
    <w:p>
      <w:pPr>
        <w:ind w:left="1020" w:right="40" w:hanging="432"/>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inability to obtain and deliver sufficient quantities of vonoprazan and any future product candidates, or of lansoprazole, which is being used in both of our Phase 3 clinical trials, and/or antibiotics, including amoxicillin and clarithromycin, which are being used in our Phase 3 clinical trial of vonoprazan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to clinical sites;</w:t>
      </w:r>
    </w:p>
    <w:p>
      <w:pPr>
        <w:spacing w:after="0" w:line="143"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subjects failing to enroll or remain in our trials at the rate we expect, or failing to return for post- treatment follow-up;</w:t>
      </w:r>
    </w:p>
    <w:p>
      <w:pPr>
        <w:spacing w:after="0" w:line="184" w:lineRule="exact"/>
        <w:rPr>
          <w:rFonts w:ascii="Arial" w:cs="Arial" w:eastAsia="Arial" w:hAnsi="Arial"/>
          <w:sz w:val="18"/>
          <w:szCs w:val="18"/>
          <w:color w:val="auto"/>
        </w:rPr>
      </w:pPr>
    </w:p>
    <w:p>
      <w:pPr>
        <w:ind w:left="1020" w:right="220" w:hanging="43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 for which we are developing vonoprazan and any future product candidates, or participating in competing clinical trials;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51</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1" w:name="page52"/>
    <w:bookmarkEnd w:id="51"/>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84" w:lineRule="exact"/>
        <w:rPr>
          <w:rFonts w:ascii="Arial" w:cs="Arial" w:eastAsia="Arial" w:hAnsi="Arial"/>
          <w:sz w:val="18"/>
          <w:szCs w:val="18"/>
          <w:color w:val="auto"/>
        </w:rPr>
      </w:pPr>
    </w:p>
    <w:p>
      <w:pPr>
        <w:ind w:left="1020" w:right="260" w:hanging="432"/>
        <w:spacing w:after="0" w:line="311"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facility manufacturing vonoprazan or any future product candidates or any of their components being ordered by the FDA or comparable foreign regulatory authorities to temporarily or permanently shut down due to violations of current good manufacturing, or cGMP, regulations or other applicable requirements, or infections or cross-contaminations of product candidates in the manufacturing process;</w:t>
      </w:r>
    </w:p>
    <w:p>
      <w:pPr>
        <w:spacing w:after="0" w:line="108" w:lineRule="exact"/>
        <w:rPr>
          <w:rFonts w:ascii="Arial" w:cs="Arial" w:eastAsia="Arial" w:hAnsi="Arial"/>
          <w:sz w:val="16"/>
          <w:szCs w:val="16"/>
          <w:color w:val="auto"/>
        </w:rPr>
      </w:pPr>
    </w:p>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84" w:lineRule="exact"/>
        <w:rPr>
          <w:rFonts w:ascii="Arial" w:cs="Arial" w:eastAsia="Arial" w:hAnsi="Arial"/>
          <w:sz w:val="18"/>
          <w:szCs w:val="18"/>
          <w:color w:val="auto"/>
        </w:rPr>
      </w:pPr>
    </w:p>
    <w:p>
      <w:pPr>
        <w:ind w:left="1020" w:right="20" w:hanging="432"/>
        <w:spacing w:after="0" w:line="308"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05" w:lineRule="exact"/>
        <w:rPr>
          <w:rFonts w:ascii="Arial" w:cs="Arial" w:eastAsia="Arial" w:hAnsi="Arial"/>
          <w:sz w:val="17"/>
          <w:szCs w:val="17"/>
          <w:color w:val="auto"/>
        </w:rPr>
      </w:pPr>
    </w:p>
    <w:p>
      <w:pPr>
        <w:ind w:left="1020" w:hanging="43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184" w:lineRule="exact"/>
        <w:rPr>
          <w:rFonts w:ascii="Arial" w:cs="Arial" w:eastAsia="Arial" w:hAnsi="Arial"/>
          <w:sz w:val="18"/>
          <w:szCs w:val="18"/>
          <w:color w:val="auto"/>
        </w:rPr>
      </w:pPr>
    </w:p>
    <w:p>
      <w:pPr>
        <w:jc w:val="both"/>
        <w:ind w:left="1020" w:right="60" w:hanging="432"/>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3"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trials are being conducted or by the FDA or comparable foreign regulatory authorities. For example, in March 2020, due to global efforts to combat the COVID-19 pandemic, which has resulted in travel restrictions imposed by many state, local and international governments and guidance from the American Society of Gastrointestinal Endoscopy on limiting endoscopies, which are required in both of our Phase 3 trials, we announced a pause in randomization of new patients in our Phase 3 trials. The FDA or comparable foreign regulatory authorities may impose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41"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Further, conducting clinical trials in foreign countries, as we are doing for vonoprazan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31" w:lineRule="exact"/>
        <w:rPr>
          <w:sz w:val="20"/>
          <w:szCs w:val="20"/>
          <w:color w:val="auto"/>
        </w:rPr>
      </w:pPr>
    </w:p>
    <w:p>
      <w:pPr>
        <w:ind w:right="180" w:firstLine="589"/>
        <w:spacing w:after="0" w:line="254" w:lineRule="auto"/>
        <w:rPr>
          <w:sz w:val="20"/>
          <w:szCs w:val="20"/>
          <w:color w:val="auto"/>
        </w:rPr>
      </w:pPr>
      <w:r>
        <w:rPr>
          <w:rFonts w:ascii="Arial" w:cs="Arial" w:eastAsia="Arial" w:hAnsi="Arial"/>
          <w:sz w:val="18"/>
          <w:szCs w:val="18"/>
          <w:color w:val="auto"/>
        </w:rPr>
        <w:t>Moreover, principal investigators for our clinical trials currently serve and may continue to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vonoprazan or any future product candidates.</w:t>
      </w:r>
    </w:p>
    <w:p>
      <w:pPr>
        <w:spacing w:after="0" w:line="151"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If we experience delays in the completion of, or termination of, any clinical trial of vonoprazan or any future product candidates, the commercial prospects of vonoprazan and any future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52</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2" w:name="page53"/>
    <w:bookmarkEnd w:id="52"/>
    <w:p>
      <w:pPr>
        <w:ind w:right="20" w:firstLine="589"/>
        <w:spacing w:after="0" w:line="254"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vonoprazan or any future product candidates, in which case we may need to conduct additional preclinical studies to bridge our modified product candidates to earlier versions. Any delays to our clinical trials that occur as a result could shorten any period during which we may have the exclusive right to commercialize vonoprazan or any future product candidates and our competitors may be able to bring products to market before we do, and the commercial viability of vonoprazan and any future product candidates could be significantly reduced. Any of these occurrences may harm our business, financial condition, and prospects significantly.</w:t>
      </w:r>
    </w:p>
    <w:p>
      <w:pPr>
        <w:spacing w:after="0" w:line="16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130" w:lineRule="exact"/>
        <w:rPr>
          <w:sz w:val="20"/>
          <w:szCs w:val="20"/>
          <w:color w:val="auto"/>
        </w:rPr>
      </w:pPr>
    </w:p>
    <w:p>
      <w:pPr>
        <w:ind w:right="80" w:firstLine="589"/>
        <w:spacing w:after="0" w:line="267" w:lineRule="auto"/>
        <w:rPr>
          <w:sz w:val="20"/>
          <w:szCs w:val="20"/>
          <w:color w:val="auto"/>
        </w:rPr>
      </w:pPr>
      <w:r>
        <w:rPr>
          <w:rFonts w:ascii="Arial" w:cs="Arial" w:eastAsia="Arial" w:hAnsi="Arial"/>
          <w:sz w:val="17"/>
          <w:szCs w:val="17"/>
          <w:color w:val="auto"/>
        </w:rPr>
        <w:t xml:space="preserve">We may not be able to initiate or continue clinical trials for vonoprazan or any future product candidates if we are unable to identify and enroll a sufficient number of eligible patients to participate in these trials as required by the FDA or similar regulatory authorities outside the United States. Subject enrollment, a significant factor in the timing of clinical trials, is affected by many factors including the size and nature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and risks of the product candidate being studied in relation to other available therapies, including any new drugs that may be approved for the indications we are investigating as well as any drugs under development. We will be required to identify and enroll a sufficient number of patients for each of our clinical trials. Potential patients for any planned clinical trials may not be adequately diagnosed or identified with the diseases which we are targeting or may not meet the entry criteria for such trials. For example, a key secondary analysis in our Phase 3 clinical trial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is the eradication rate in clarithromycin-resistant patients. However, because the process of assessing antibiotic resistance to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takes several weeks, we believe it is not practical to use resistance as an enrollment criteria in our clinical trial. Therefore, the percentage of clarithromycin-resistant patients enrolled in this clinical trial is unpredictable and may affect the results of the trial. We also may encounter difficulties in identifying and enrolling patients with a stage of disease appropriate for our clinical trials and monitoring such patients adequately during and after treatment. For example, in our Phase 3 clinical trial of vonoprazan in erosive esophagitis, we intend for 30% of the patients to have Los Angeles Class C or D erosive esophagitis, which are the most severe forms of erosive esophagitis and are estimated to only represent approximately 10 to 20% of erosive esophagitis patients. We may not be able to initiate or continue clinical trials if we are unable to locate a sufficient number of eligible patients to participate in the clinical trials required by the FDA or comparable foreign regulatory authorities. In addition, the process of finding and diagnosing patients may prove costly as these patients are required to undergo an endoscopy before being diagnosed as having Los Angeles Class C or D erosive esophagitis.</w:t>
      </w:r>
    </w:p>
    <w:p>
      <w:pPr>
        <w:spacing w:after="0" w:line="148"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The timing of our clinical trials depends, in part, on the speed at which we can recruit patients to participate in our trials, as well as completion of required follow-up periods. The eligibility criteria of our clinical trials further limits the pool of available trial participants. If patients are unwilling to participate in our trials for any reason, including the existence of concurrent clinical trials for similar patient or the availability of approved therapies, or we otherwise have difficulty enrolling a sufficient number of patients, the timeline for recruiting patients, conducting trials and obtaining regulatory approval of vonoprazan and any future product candidates may be delayed. Further, public health emergencies, such as the novel strain of coronavirus, COVID-19, which has been declared by the World Health Organization to be a pandemic, which recently caused us to pause randomization of new patients in our Phase 3 trials, have and may continue to negatively affect site activation, as well as patient enrollment and retention. Our inability to enroll a sufficient number of patients for any of our current or future clinical trials would result in significant delays or may require us to abandon one or more clinical trials altogether.</w:t>
      </w:r>
    </w:p>
    <w:p>
      <w:pPr>
        <w:spacing w:after="0" w:line="138"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Our assumptions used in determining expected clinical trial timelines may not be correct, and we may experience delays in enrollment, which would result in the delay of completion of such trials beyond our expected timelines.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53</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3" w:name="page54"/>
    <w:bookmarkEnd w:id="53"/>
    <w:p>
      <w:pPr>
        <w:jc w:val="both"/>
        <w:ind w:right="40"/>
        <w:spacing w:after="0" w:line="340" w:lineRule="auto"/>
        <w:rPr>
          <w:sz w:val="20"/>
          <w:szCs w:val="20"/>
          <w:color w:val="auto"/>
        </w:rPr>
      </w:pPr>
      <w:r>
        <w:rPr>
          <w:rFonts w:ascii="Arial" w:cs="Arial" w:eastAsia="Arial" w:hAnsi="Arial"/>
          <w:sz w:val="15"/>
          <w:szCs w:val="15"/>
          <w:b w:val="1"/>
          <w:bCs w:val="1"/>
          <w:i w:val="1"/>
          <w:iCs w:val="1"/>
          <w:color w:val="auto"/>
        </w:rPr>
        <w:t>Use of vonoprazan or any future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04"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As is the case with pharmaceuticals generally, it is likely that there may be side effects and adverse events associated with vonoprazan’s or any future product candidates’ use. Results of our clinical trials could reveal a high and unacceptable severity and prevalence of side effects or unexpected characteristics. Undesirable side effects caused by vonoprazan and any future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24"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Moreover, if vonoprazan or any other future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may also be required to modify our study plans based on findings in our clinical trials.</w:t>
      </w:r>
    </w:p>
    <w:p>
      <w:pPr>
        <w:spacing w:after="0" w:line="117"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 xml:space="preserve">As of December 2019, more than 6,000 subjects have been exposed to vonoprazan in completed and ongoing Phase 1 to 3 clinical trials. The doses studied have ranged from 1 to 120 mg with durations up to one year. The most commonly reported AEs in the clinical development program for vonoprazan, as reflected in the Japanese prescribing information published by Japan’s Pharmaceutical and Medical Devices Agency, or PMDA, were diarrhea, constipation, nausea, elevated liver enzymes, rash, and eosinophilia. All such events had an incidence rate of less than 5.0% other than diarrhea in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which had an incidence rate of 10.6% in combination with antibiotics. No dose- related increase in TEAEs or SAEs was observed. The safety profile of vonoprazan and incidence of TEAEs, drug-related TEAEs, and TEAEs leading to drug discontinuation were similar between vonoprazan and lansoprazole across studies.</w:t>
      </w:r>
    </w:p>
    <w:p>
      <w:pPr>
        <w:spacing w:after="0" w:line="168"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Certain earlier generation P-CABs previously under development by other companies may have been discontinued in part due to their hepatic safety profile. These hepatic safety concerns may be compound-specific and not generalizable to the P-CAB class. Vonoprazan has had a similar hepatic safety profile to lansoprazole across all clinical studies conducted by Takeda, in which 1.0% of subjects treated with vonoprazan 10 mg or 20 mg and 0.8% of subjects treated with lansoprazole 15 mg or 30 mg had ALT or AST elevations greater than three times the upper limit of normal or bilirubin elevations greater than two times the upper limit of normal. The most recent post-marketing safety report from December 2019 includes an estimate of over 25 million patients who have received vonoprazan in Japan since launch. Based on the post-marketing experience, the clinically significant adverse reactions section of the Japanese prescribing information for vonoprazan was updated to include skin reactions such as toxic epidermal necrolysis, Steven- Johnson syndrome, and erythema multiforme, and events of pancytopenia, agranulocytosis, leukocytopenia, and thrombocytopenia. The incidence of these reactions was considered extremely rare (less than 1 in 100,000 patients) and a causal relationship to vonoprazan could not be ruled out.</w:t>
      </w:r>
    </w:p>
    <w:p>
      <w:pPr>
        <w:spacing w:after="0" w:line="126" w:lineRule="exact"/>
        <w:rPr>
          <w:sz w:val="20"/>
          <w:szCs w:val="20"/>
          <w:color w:val="auto"/>
        </w:rPr>
      </w:pPr>
    </w:p>
    <w:p>
      <w:pPr>
        <w:jc w:val="both"/>
        <w:ind w:right="80" w:firstLine="589"/>
        <w:spacing w:after="0" w:line="275" w:lineRule="auto"/>
        <w:rPr>
          <w:sz w:val="20"/>
          <w:szCs w:val="20"/>
          <w:color w:val="auto"/>
        </w:rPr>
      </w:pPr>
      <w:r>
        <w:rPr>
          <w:rFonts w:ascii="Arial" w:cs="Arial" w:eastAsia="Arial" w:hAnsi="Arial"/>
          <w:sz w:val="17"/>
          <w:szCs w:val="17"/>
          <w:color w:val="auto"/>
        </w:rPr>
        <w:t>Serious hepatic adverse events have also been observed among patients exposed to vonoprazan in Japan in the post-marketing setting. These cases were typically confounded by comorbidities or other concomitant medications and are believed to be idiosyncratic reactions. The incidence of these events was considered extremely rare (less than 1 in 100,000 patients). The post-marketing safety data, including the December 2019 post-marketing safety report and the reported hepatic safety events, have been submitted to the PMDA. To date, there have been no changes to the Japan prescribing information related to hepatic safety. We may also observe hepatic-related events in our clinical trials.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54</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4" w:name="page55"/>
    <w:bookmarkEnd w:id="54"/>
    <w:p>
      <w:pPr>
        <w:ind w:right="60" w:firstLine="589"/>
        <w:spacing w:after="0" w:line="293" w:lineRule="auto"/>
        <w:rPr>
          <w:sz w:val="20"/>
          <w:szCs w:val="20"/>
          <w:color w:val="auto"/>
        </w:rPr>
      </w:pPr>
      <w:r>
        <w:rPr>
          <w:rFonts w:ascii="Arial" w:cs="Arial" w:eastAsia="Arial" w:hAnsi="Arial"/>
          <w:sz w:val="16"/>
          <w:szCs w:val="16"/>
          <w:color w:val="auto"/>
        </w:rPr>
        <w:t>It is possible that as we test vonoprazan and any future product candidates in our clinical trials, or as the use of vonoprazan and any future product candidates becomes more widespread if they receive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and prospects significantly. Further, if a serious safety issue is identified in connection with use of vonoprazan commercially or in third-party clinical trials in Asia or elsewhere, such issues may adversely affect the development potential of vonoprazan or result in regulatory authorities restricting our ability to develop vonoprazan.</w:t>
      </w:r>
    </w:p>
    <w:p>
      <w:pPr>
        <w:spacing w:after="0" w:line="137"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In addition, if vonoprazan or any future product candidate receives marketing approval, and we or others later identify undesirable side effects caused by such products, a number of potentially significant negative consequences could result, including:</w:t>
      </w:r>
    </w:p>
    <w:p>
      <w:pPr>
        <w:spacing w:after="0" w:line="130" w:lineRule="exact"/>
        <w:rPr>
          <w:sz w:val="20"/>
          <w:szCs w:val="20"/>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or seek an injunction against its manufacturer;</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w:t>
      </w:r>
    </w:p>
    <w:p>
      <w:pPr>
        <w:spacing w:after="0" w:line="184" w:lineRule="exact"/>
        <w:rPr>
          <w:rFonts w:ascii="Arial" w:cs="Arial" w:eastAsia="Arial" w:hAnsi="Arial"/>
          <w:sz w:val="18"/>
          <w:szCs w:val="18"/>
          <w:color w:val="auto"/>
        </w:rPr>
      </w:pPr>
    </w:p>
    <w:p>
      <w:pPr>
        <w:ind w:left="1020" w:right="30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29" w:lineRule="exact"/>
        <w:rPr>
          <w:rFonts w:ascii="Arial" w:cs="Arial" w:eastAsia="Arial" w:hAnsi="Arial"/>
          <w:sz w:val="18"/>
          <w:szCs w:val="18"/>
          <w:color w:val="auto"/>
        </w:rPr>
      </w:pPr>
    </w:p>
    <w:p>
      <w:pPr>
        <w:ind w:left="1020" w:right="24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the product may decrease significantly or the product could become less competitive;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a company, we have never completed a clinical trial or submitted an NDA or comparable foreign regulatory filing, and may be unable to do so for vonoprazan or any future product candidates.</w:t>
      </w:r>
    </w:p>
    <w:p>
      <w:pPr>
        <w:spacing w:after="0" w:line="143"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 xml:space="preserve">We are early in our development efforts for vonoprazan, and we will need to successfully complete pivotal clinical trials in order to obtain FDA, EMA or comparable foreign regulatory approval to market vonoprazan or any future product candidates. Carrying out late-stage clinical trials and the submission of a successful NDA is a complicated process. We commenced pivotal Phase 3 clinical trials of vonoprazan in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the fourth quarter of 2019. As an organization, we have not yet completed any clinical trials for vonoprazan or any other product candidates and have limited experience as a company in preparing, submitting and prosecuting regulatory filings. As a company, we have not previously submitted an NDA, whether for one or multiple indications, or other comparable foreign regulatory submission for any product candidate. In addition, we have had limited interactions with the FDA and cannot be certain how many clinical trials of vonoprazan or any other product candidates will be required or how such trials should be designed. Consequently, we may be unable to successfully and efficiently execute and complete necessary clinical trials in a way that leads to regulatory submission and approval of vonoprazan or any future product candidates. We may require more time and incur greater costs than our competitors and may not succeed in obtaining regulatory approvals of product candidates that we develop. Failure to complete, or delays in, our ongoing clinical trials, could prevent us from or delay us in submitting NDAs for and commercializing vonoprazan or any future product candidates.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55</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5" w:name="page56"/>
    <w:bookmarkEnd w:id="55"/>
    <w:p>
      <w:pPr>
        <w:ind w:right="340"/>
        <w:spacing w:after="0" w:line="263" w:lineRule="auto"/>
        <w:rPr>
          <w:sz w:val="20"/>
          <w:szCs w:val="20"/>
          <w:color w:val="auto"/>
        </w:rPr>
      </w:pPr>
      <w:r>
        <w:rPr>
          <w:rFonts w:ascii="Arial" w:cs="Arial" w:eastAsia="Arial" w:hAnsi="Arial"/>
          <w:sz w:val="18"/>
          <w:szCs w:val="18"/>
          <w:b w:val="1"/>
          <w:bCs w:val="1"/>
          <w:i w:val="1"/>
          <w:iCs w:val="1"/>
          <w:color w:val="auto"/>
        </w:rPr>
        <w:t>Vonoprazan and any future product candidates are subject to extensive regulation and compliance obligations, which is costly and time consuming, and such regulation may cause unanticipated delays or prevent the receipt of the required approvals to commercialize vonoprazan and any future product candidates.</w:t>
      </w:r>
    </w:p>
    <w:p>
      <w:pPr>
        <w:spacing w:after="0" w:line="157"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vonoprazan and any future product candidates are subject to extensive regulation by the FDA in the United States, the EMA in the European Union and by comparable foreign regulatory authorities in other foreign markets. In the United States, we are not permitted to market vonoprazan and any future product candidates until we receive regulatory approval from the FDA and in Europe, we are not permitted to market vonoprazan and any future product candidates until we receive regulatory approval from the EMA.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and EMA to review and approve new products can be affected by a variety of factors, including government budget and funding levels and the ability to hire and retain key personnel. In addition, approval policies or regulations may change, and the FDA and EMA have substantial discretion in the drug approval process, including the ability to delay, limit or deny approval of a product candidate for many reasons. Despite the time and expense invested in clinical development of product candidates, regulatory approval is never guaranteed.</w:t>
      </w:r>
    </w:p>
    <w:p>
      <w:pPr>
        <w:spacing w:after="0" w:line="128" w:lineRule="exact"/>
        <w:rPr>
          <w:sz w:val="20"/>
          <w:szCs w:val="20"/>
          <w:color w:val="auto"/>
        </w:rPr>
      </w:pPr>
    </w:p>
    <w:p>
      <w:pPr>
        <w:ind w:right="320" w:firstLine="589"/>
        <w:spacing w:after="0" w:line="272" w:lineRule="auto"/>
        <w:rPr>
          <w:sz w:val="20"/>
          <w:szCs w:val="20"/>
          <w:color w:val="auto"/>
        </w:rPr>
      </w:pPr>
      <w:r>
        <w:rPr>
          <w:rFonts w:ascii="Arial" w:cs="Arial" w:eastAsia="Arial" w:hAnsi="Arial"/>
          <w:sz w:val="17"/>
          <w:szCs w:val="17"/>
          <w:color w:val="auto"/>
        </w:rPr>
        <w:t>Prior to obtaining approval to commercialize a product candidate in the United States or internationally,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vonoprazan and any future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vonoprazan and any future product candidates either prior to or post-approval, or may object to elements of our clinical development program.</w:t>
      </w:r>
    </w:p>
    <w:p>
      <w:pPr>
        <w:spacing w:after="0" w:line="137"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The FDA, EMA or other comparable foreign regulatory authorities can delay, limit or deny approval of a product candidate for many reasons, including:</w:t>
      </w:r>
    </w:p>
    <w:p>
      <w:pPr>
        <w:spacing w:after="0" w:line="143" w:lineRule="exact"/>
        <w:rPr>
          <w:sz w:val="20"/>
          <w:szCs w:val="20"/>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disagree with the design or implementation of our clinical trials;</w:t>
      </w:r>
    </w:p>
    <w:p>
      <w:pPr>
        <w:spacing w:after="0" w:line="184"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EMA, or other comparable foreign regulatory agencies for approval;</w:t>
      </w:r>
    </w:p>
    <w:p>
      <w:pPr>
        <w:spacing w:after="0" w:line="129" w:lineRule="exact"/>
        <w:rPr>
          <w:rFonts w:ascii="Arial" w:cs="Arial" w:eastAsia="Arial" w:hAnsi="Arial"/>
          <w:sz w:val="18"/>
          <w:szCs w:val="18"/>
          <w:color w:val="auto"/>
        </w:rPr>
      </w:pPr>
    </w:p>
    <w:p>
      <w:pPr>
        <w:ind w:left="1020" w:right="380" w:hanging="432"/>
        <w:spacing w:after="0" w:line="308"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serious and unexpected drug-related side effects may be experienced by participants in our clinical trials or in clinical trials conducted by Takeda or others outside of our licensed territories, or by patients using vonoprazan or drugs similar to vonoprazan;</w:t>
      </w:r>
    </w:p>
    <w:p>
      <w:pPr>
        <w:spacing w:after="0" w:line="105" w:lineRule="exact"/>
        <w:rPr>
          <w:rFonts w:ascii="Arial" w:cs="Arial" w:eastAsia="Arial" w:hAnsi="Arial"/>
          <w:sz w:val="17"/>
          <w:szCs w:val="17"/>
          <w:color w:val="auto"/>
        </w:rPr>
      </w:pPr>
    </w:p>
    <w:p>
      <w:pPr>
        <w:ind w:left="1020" w:right="16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29"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29" w:lineRule="exact"/>
        <w:rPr>
          <w:rFonts w:ascii="Arial" w:cs="Arial" w:eastAsia="Arial" w:hAnsi="Arial"/>
          <w:sz w:val="18"/>
          <w:szCs w:val="18"/>
          <w:color w:val="auto"/>
        </w:rPr>
      </w:pPr>
    </w:p>
    <w:p>
      <w:pPr>
        <w:ind w:left="1020" w:right="720" w:hanging="43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such authorities that a product candidate is safe and effective for its proposed indication and that a product candidate’s clinical and other benefits outweigh its safety risks;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184" w:lineRule="exact"/>
        <w:rPr>
          <w:rFonts w:ascii="Arial" w:cs="Arial" w:eastAsia="Arial" w:hAnsi="Arial"/>
          <w:sz w:val="18"/>
          <w:szCs w:val="18"/>
          <w:color w:val="auto"/>
        </w:rPr>
      </w:pPr>
    </w:p>
    <w:p>
      <w:pPr>
        <w:ind w:left="1020" w:right="300" w:hanging="432"/>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vonoprazan, including data collected from clinical trials conducted by Takeda and independent investigators outside of our licensed territories, and any future product candidates are acceptable or sufficient to support the submission of an NDA or other submission or to obtain regulatory approval, and such authorities may impose requirements for additional preclinical studies or clinical trials;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56</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6" w:name="page57"/>
    <w:bookmarkEnd w:id="56"/>
    <w:p>
      <w:pPr>
        <w:ind w:left="1020" w:hanging="432"/>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such authorities may disagree regarding the formulation, labeling and/or the specifications of vonoprazan and any future product candidates;</w:t>
      </w:r>
    </w:p>
    <w:p>
      <w:pPr>
        <w:spacing w:after="0" w:line="207" w:lineRule="exact"/>
        <w:rPr>
          <w:rFonts w:ascii="Arial" w:cs="Arial" w:eastAsia="Arial" w:hAnsi="Arial"/>
          <w:sz w:val="16"/>
          <w:szCs w:val="16"/>
          <w:color w:val="auto"/>
        </w:rPr>
      </w:pPr>
    </w:p>
    <w:p>
      <w:pPr>
        <w:ind w:left="1020" w:right="72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29" w:lineRule="exact"/>
        <w:rPr>
          <w:rFonts w:ascii="Arial" w:cs="Arial" w:eastAsia="Arial" w:hAnsi="Arial"/>
          <w:sz w:val="18"/>
          <w:szCs w:val="18"/>
          <w:color w:val="auto"/>
        </w:rPr>
      </w:pPr>
    </w:p>
    <w:p>
      <w:pPr>
        <w:ind w:left="1020" w:right="38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Takeda or any future third-party manufacturers with which we contract for clinical and commercial supplies;</w:t>
      </w:r>
    </w:p>
    <w:p>
      <w:pPr>
        <w:spacing w:after="0" w:line="129" w:lineRule="exact"/>
        <w:rPr>
          <w:rFonts w:ascii="Arial" w:cs="Arial" w:eastAsia="Arial" w:hAnsi="Arial"/>
          <w:sz w:val="18"/>
          <w:szCs w:val="18"/>
          <w:color w:val="auto"/>
        </w:rPr>
      </w:pPr>
    </w:p>
    <w:p>
      <w:pPr>
        <w:ind w:left="1020" w:right="20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185"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EMA, and other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vonoprazan and any future product candidates.</w:t>
      </w:r>
    </w:p>
    <w:p>
      <w:pPr>
        <w:spacing w:after="0" w:line="165" w:lineRule="exact"/>
        <w:rPr>
          <w:sz w:val="20"/>
          <w:szCs w:val="20"/>
          <w:color w:val="auto"/>
        </w:rPr>
      </w:pPr>
    </w:p>
    <w:p>
      <w:pPr>
        <w:ind w:right="320" w:firstLine="589"/>
        <w:spacing w:after="0" w:line="259" w:lineRule="auto"/>
        <w:rPr>
          <w:sz w:val="20"/>
          <w:szCs w:val="20"/>
          <w:color w:val="auto"/>
        </w:rPr>
      </w:pPr>
      <w:r>
        <w:rPr>
          <w:rFonts w:ascii="Arial" w:cs="Arial" w:eastAsia="Arial" w:hAnsi="Arial"/>
          <w:sz w:val="18"/>
          <w:szCs w:val="18"/>
          <w:color w:val="auto"/>
        </w:rPr>
        <w:t>Of the large number of drugs in development, only a small percentage successfully complete the FDA, EMA or foreign regulatory approval processes and are commercialized. The lengthy approval process as well as the unpredictability of future clinical trial results may result in our failing to obtain regulatory approval to market vonoprazan and any future product candidates, which would significantly harm our business, financial condition, results of operations and prospects.</w:t>
      </w:r>
    </w:p>
    <w:p>
      <w:pPr>
        <w:spacing w:after="0" w:line="146"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Even if we eventually complete clinical trials and receive approval of an NDA or foreign marketing application for vonoprazan and any future product candidates, the FDA, EMA or other comparable foreign regulatory authority may grant approval contingent on the performance of costly additional clinical trials, including confirmatory Phase 3 clinical trials, Phase 4 clinical trials, and/or the implementation of a REMS, which may be required to ensure safe use of the drug after approval. The FDA, EMA or other comparable foreign regulatory authority also may approve a product candidate for a more limited indication or patient population than we originally requested, and the FDA, EMA or other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15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Designation of vonoprazan as a QIDP, receipt of Fast Track designation, and the potential to receive priority review, may not actually lead to a faster development or regulatory review, and would not assure FDA approval of vonoprazan or any future product candidates which may receive such designations.</w:t>
      </w:r>
    </w:p>
    <w:p>
      <w:pPr>
        <w:spacing w:after="0" w:line="157"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 xml:space="preserve">Vonoprazan has been designated as a QIDP by the FDA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combination with both amoxicillin and clarithromycin, and with amoxicillin alone, respectively, and we may seek QIDP designation for future product candidates. A QIDP is an antibacterial or antifungal drug for human use intended to treat serious or life-threatening infections, including those caused by either (1) an antibacterial or antifungal resistant pathogen, including novel or emerging infectious pathogens, or (2) a so-called “qualifying pathogen” found on a list of potentially dangerous, drug-resistant organisms to be established and maintained by the FDA under the Generating Antibiotic Incentives Now, or GAIN Act. The benefits of QIDP designation include eligibility for Fast Track designation, which vonoprazan has received, eligibility for priority review, and an extension by an additional five years of any non-patent exclusivity period awarded, such as a five-year exclusivity period awarded for a new chemical entity. This extension is in addition to any pediatric exclusivity extension that may be awarded. Receipt of QIDP status also does not assure ultimate approval by the FDA or related GAIN Act exclusivity benefits.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57</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7" w:name="page58"/>
    <w:bookmarkEnd w:id="57"/>
    <w:p>
      <w:pPr>
        <w:ind w:right="40" w:firstLine="589"/>
        <w:spacing w:after="0" w:line="286" w:lineRule="auto"/>
        <w:rPr>
          <w:sz w:val="20"/>
          <w:szCs w:val="20"/>
          <w:color w:val="auto"/>
        </w:rPr>
      </w:pPr>
      <w:r>
        <w:rPr>
          <w:rFonts w:ascii="Arial" w:cs="Arial" w:eastAsia="Arial" w:hAnsi="Arial"/>
          <w:sz w:val="16"/>
          <w:szCs w:val="16"/>
          <w:color w:val="auto"/>
        </w:rPr>
        <w:t xml:space="preserve">While vonoprazan has received Fast Track designation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combination with both amoxicillin and clarithromycin and with amoxicillin alone, and QIDP designation makes vonoprazan potentially eligible for priority review, the FDA has broad discretion, so even if we believe vonoprazan is eligible for priority review, or any future product candidate is eligible for Fast Track designation or priority review status, the FDA could decide not to grant it. The FDA may withdraw Fast Track designation if it believes that the designation is no longer supported by data from our clinical development program. The Fast Track designation program is intended to expedite or facilitate the process for reviewing new drug candidates that meet certain criteria. Specifically, new drugs are eligible for Fast Track designation if they are intended, alone or in combination with one or more drugs, to treat a serious or life-threatening disease or condition and demonstrate the potential to address unmet medical needs for the disease or condition. Fast track designation applies to the combination of the drug candidate and the specific indication for which it is being studied. With a Fast Track drug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Priority review means the FDA’s goal is to take action on an application within 6 months (compared to 10 months under standard review) following the NDA filing date. The FDA automatically grants priority review to the first application or efficacy supplement submitted for a specific drug and indication that has received the QIDP designation.</w:t>
      </w:r>
    </w:p>
    <w:p>
      <w:pPr>
        <w:spacing w:after="0" w:line="147"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Obtaining a QIDP designation, priority review, or Fast Track designation does not change the standards for product approval but may expedite the development or approval process. Even though the FDA has granted QIDP and Fast Track designations for vonoprazan, and even if vonoprazan receives priority review designation, it may not actually result in faster clinical development or regulatory review or approval. Furthermore, QIDP designation, Fast Track designation, and priority review do not increase the likelihood that vonoprazan will receive marketing approval in the United States.</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We may not be successful in our efforts to expand our pipeline by identifying additional indications and formulations for which to investigate vonoprazan in the future. We may expend our limited resources to pursue a particular indication or formulation for vonoprazan and fail to capitalize on product candidates, indications or formulations that may be more profitable or for which there is a greater likelihood of success.</w:t>
      </w:r>
    </w:p>
    <w:p>
      <w:pPr>
        <w:spacing w:after="0" w:line="108"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Because we have limited financial and managerial resources, we focus on specific indications and formulations for vonoprazan. As a result, we may fail to generate additional clinical development opportunities for vonoprazan for a number of reasons, including, vonoprazan may in certain indications, on further study, be shown to have harmful side effects, limited to no efficacy, or other characteristics that suggest it is unlikely to receive marketing approval and achieve market acceptance in such additional indications. For example, we believe the rapid onset of action of vonoprazan may enable on-demand, or as needed, use for the management of non-erosive reflux disease, or NERD. However, two Phase 3 clinical trials of vonoprazan in Japanese patients with endoscopically confirmed NERD conducted by Takeda did not demonstrate a statistically significant difference in symptom scores between vonoprazan and placebo. We believe that this result may be due to the selection of patients with mild to moderate symptoms rather than more frequent and severe symptoms. In addition, Takeda conducted a Phase 2 clinical trial in Europe in 256 patients with NERD who were partial responders to high dose PPIs. Patients were randomized to receive vonoprazan 20 mg, vonoprazan 40 mg, or esomeprazole 40 mg for four weeks. Neither vonoprazan dose demonstrated a benefit versus esomeprazole on the primary endpoint of the percentage of heartburn free days over the treatment period. We believe this result may be due to patient selection. Specifically, the trial may not have adequately selected for patients with NERD and may have included patients with functional GI disorders that are unrelated to acid, such as functional dyspepsia or functional heartburn. We may be incorrect in our beliefs regarding the results of such trials and any future clinical trials we conduct in NERD patients may not succeed for similar or other reasons, including as a result of our design and enrollment criteria.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58</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8" w:name="page59"/>
    <w:bookmarkEnd w:id="58"/>
    <w:p>
      <w:pPr>
        <w:ind w:right="60" w:firstLine="589"/>
        <w:spacing w:after="0" w:line="272" w:lineRule="auto"/>
        <w:rPr>
          <w:sz w:val="20"/>
          <w:szCs w:val="20"/>
          <w:color w:val="auto"/>
        </w:rPr>
      </w:pPr>
      <w:r>
        <w:rPr>
          <w:rFonts w:ascii="Arial" w:cs="Arial" w:eastAsia="Arial" w:hAnsi="Arial"/>
          <w:sz w:val="17"/>
          <w:szCs w:val="17"/>
          <w:color w:val="auto"/>
        </w:rPr>
        <w:t xml:space="preserve">Furthermore, research programs to identify additional indications for vonoprazan require substantial technical, financial and human resources. We may also pursue additional formulations and packaging for vonoprazan, such as orally disintegrating tablets and other oral dosage forms for patients with difficulty swallowing, an intravenous formulation for in-hospital applications, and pre-packaged convenience packs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However, we may not successfully develop these additional formulations for chemistry-related, stability-related or other reasons. If we do not accurately evaluate the commercial potential or target market for vonoprazan or any future product candidates,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50"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146"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b w:val="1"/>
          <w:bCs w:val="1"/>
          <w:i w:val="1"/>
          <w:iCs w:val="1"/>
          <w:color w:val="auto"/>
        </w:rPr>
        <w:t>We are enrolling patients in Europe in our erosive esophagitis trial, and expect to begin enrollment shortly in our H. pylori trial. Additionally, we may conduct future clinical trials outside of the United States. However, the FDA and other comparable foreign regulatory authorities may not accept data from such trials, in which case our development plans will be delayed, which could materially harm our business.</w:t>
      </w:r>
    </w:p>
    <w:p>
      <w:pPr>
        <w:spacing w:after="0" w:line="108"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 xml:space="preserve">We are enrolling patients in Europe in our erosive esophagitis trial, expect to begin enrollment shortly in our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trial, and we may conduct one or more of our future clinical trials outside the United States. Although the FDA may accept data from clinical trials conducted outside the United States, acceptance of this data is subject to certain conditions imposed by the FDA. For example, the FDA requires the clinical trial to have been conducted in accordance with GCPs, and the FDA must be able to validate the data from the clinical trial through an onsite inspection if it deems such inspection necessary. In addition, when clinical trials are conducted only at sites outside of the United States, the FDA generally does not provide advance comment on the clinical protocols for the trials, and therefore there is an additional potential risk that the FDA could determine that the study design or protocol for a non-U.S. clinical trial was inadequate, which would likely require us to conduct additional clinical trials. The FDA may not accept data from clinical trials conducted outside of the United States. If the FDA does not accept data from our clinical trials of vonoprazan and any future product candidates, it would likely result in the need for additional clinical trials, which would be costly and time consuming and delay or permanently halt our development of vonoprazan and any future product candidates.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85" w:lineRule="exact"/>
        <w:rPr>
          <w:sz w:val="20"/>
          <w:szCs w:val="20"/>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59</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9" w:name="page60"/>
    <w:bookmarkEnd w:id="59"/>
    <w:p>
      <w:pPr>
        <w:ind w:right="32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clinical trials that we or others announce or publish from time to time may change as more patient data become available and are subject to audit and verification procedures that could result in material changes in the final data.</w:t>
      </w:r>
    </w:p>
    <w:p>
      <w:pPr>
        <w:spacing w:after="0" w:line="97"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From time to time, we or others, such as Takeda, may publicly disclose preliminary or top-line data from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or others report may differ from future results of the same clinical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previously published. As a result, top-line data should be viewed with caution until the final data are available. From time to time, we or others may also disclose interim data from clinical trials. 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45"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vonoprazan and any future product candidates may be harmed, which could harm our business, operating results, prospects, or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130"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Pursuant to the Takeda License, we have secured an exclusive license from Takeda to commercialize vonoprazan products using specified formulations for all human therapeutic uses in the United States, Europe, and Canada, and a non-exclusive license to develop and manufacture vonoprazan products anywhere in the world (subject to Takeda’s consent as to each country) for the purposes of commercializing the vonoprazan products in the United States, Europe, and Canada.</w:t>
      </w:r>
    </w:p>
    <w:p>
      <w:pPr>
        <w:spacing w:after="0" w:line="146"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The Takeda License will continue until the expiration of the obligation to pay royalties in all countries and on all products, unless terminated earlier. We may terminate the Takeda License in its entirety without cause upon prior written notice. We and Takeda may terminate the Takeda License in the case of the other party’s insolvency or for the other party’s material uncured breach. Takeda may terminate the Takeda License in its entirety if we challenge the licensed patents, or if we assist any third party in challenging such patents. In addition, if any of the regulatory milestones or other cash payments become due under the terms of the Takeda License, we may not have sufficient funds available to meet our obligations, which would allow Takeda to terminate the Takeda License. If the license agreement is terminated, we would lose our rights to develop and commercialize vonoprazan, which in turn would have a material adverse effect on our business, operating results and prospects.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60</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0" w:name="page61"/>
    <w:bookmarkEnd w:id="60"/>
    <w:p>
      <w:pPr>
        <w:ind w:right="1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clinical trials. Any failure by a third party to conduct the clinical trials according to GCPs and other requirements and in a timely manner may delay or prevent our ability to seek or obtain regulatory approval for or commercialize vonoprazan and any future product candidates.</w:t>
      </w:r>
    </w:p>
    <w:p>
      <w:pPr>
        <w:spacing w:after="0" w:line="157"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We are dependent on third parties to conduct our preclinical and clinical trials, including our ongoing Phase 3 clinical trials of vonoprazan.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will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vonoprazan and any future product candidates that reach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w:t>
      </w:r>
    </w:p>
    <w:p>
      <w:pPr>
        <w:spacing w:after="0" w:line="146"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CROs, investigators or other third parties may not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vonoprazan and any future product candidates.</w:t>
      </w:r>
    </w:p>
    <w:p>
      <w:pPr>
        <w:spacing w:after="0" w:line="145"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investigators and other third parties, we may encounter challenges or delays in the future and these delays or challenges may have a material adverse impact on our business, financial condition and prospects.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61</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1" w:name="page62"/>
    <w:bookmarkEnd w:id="61"/>
    <w:p>
      <w:pPr>
        <w:ind w:right="40"/>
        <w:spacing w:after="0" w:line="263" w:lineRule="auto"/>
        <w:rPr>
          <w:sz w:val="20"/>
          <w:szCs w:val="20"/>
          <w:color w:val="auto"/>
        </w:rPr>
      </w:pPr>
      <w:r>
        <w:rPr>
          <w:rFonts w:ascii="Arial" w:cs="Arial" w:eastAsia="Arial" w:hAnsi="Arial"/>
          <w:sz w:val="18"/>
          <w:szCs w:val="18"/>
          <w:b w:val="1"/>
          <w:bCs w:val="1"/>
          <w:i w:val="1"/>
          <w:iCs w:val="1"/>
          <w:color w:val="auto"/>
        </w:rPr>
        <w:t>We currently rely on Takeda for the manufacture of vonoprazan for clinical development and expect to continue to do so for the foreseeable future. This reliance on a third party increases the risk that we will not have sufficient quantities of vonoprazan or such quantities at an acceptable cost, which could delay, prevent or impair our development or commercialization efforts.</w:t>
      </w:r>
    </w:p>
    <w:p>
      <w:pPr>
        <w:spacing w:after="0" w:line="157" w:lineRule="exact"/>
        <w:rPr>
          <w:sz w:val="20"/>
          <w:szCs w:val="20"/>
          <w:color w:val="auto"/>
        </w:rPr>
      </w:pPr>
    </w:p>
    <w:p>
      <w:pPr>
        <w:ind w:right="40" w:firstLine="589"/>
        <w:spacing w:after="0" w:line="285"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 scale manufacturing capabilities. Pursuant to the Takeda License, we entered in a clinical manufacturing and supply agreement with Takeda for the supply of vonoprazan for our clinical trials. In addition, we have the option to negotiate in good faith to enter into a commercial supply agreement with Takeda for the commercial supply of vonoprazan, and we are exploring additional options for commercial supply of vonoprazan from other third party contract manufacturers. As a result, we currently rely, and expect to continue to rely, on Takeda for the manufacture of vonoprazan and related raw materials for clinical development, as well as for commercial manufacture if vonoprazan receives marketing approval. However, we may not be able to enter into a commercial supply agreement with Takeda or other third parties on acceptable terms, or at all. The facilities used by Takeda to manufacture vonoprazan must be approved by the FDA for the manufacture of vonoprazan pursuant to inspections that may be conducted after we submit marketing authorizations to the FDA and comparable foreign regulatory authorities. We do not control the manufacturing process of, and are completely dependent on, Takeda for compliance with cGMP requirements for manufacture of drug products. If Takeda, or any other third party manufacturer we contract with in the future, cannot successfully manufacture material that conforms to our specifications and the strict regulatory requirements of the FDA or others, including requirements related to the manufacturing of high potency compounds, they will not be able to secure and/or maintain regulatory approval for their manufacturing facilities. In addition, we have no control over Takeda’s ability to maintain adequate quality control, quality assurance and qualified personnel. If the FDA or a comparable foreign regulatory authority does not approve of facilities of the third-party manufacturer for the manufacture of vonoprazan or if it withdraws any such approval in the future, we may need to find alternative manufacturing facilities, which would significantly impact our ability to develop, obtain regulatory approval for or market vonoprazan, if approved. Our failure, or Takeda’s failure,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Furthermore, Takeda may choose to prioritize the manufacture of vonoprazan for its markets over the manufacture of vonoprazan for our licensed markets.</w:t>
      </w:r>
    </w:p>
    <w:p>
      <w:pPr>
        <w:spacing w:after="0" w:line="128" w:lineRule="exact"/>
        <w:rPr>
          <w:sz w:val="20"/>
          <w:szCs w:val="20"/>
          <w:color w:val="auto"/>
        </w:rPr>
      </w:pPr>
    </w:p>
    <w:p>
      <w:pPr>
        <w:ind w:right="900" w:firstLine="589"/>
        <w:spacing w:after="0" w:line="308" w:lineRule="auto"/>
        <w:rPr>
          <w:sz w:val="20"/>
          <w:szCs w:val="20"/>
          <w:color w:val="auto"/>
        </w:rPr>
      </w:pPr>
      <w:r>
        <w:rPr>
          <w:rFonts w:ascii="Arial" w:cs="Arial" w:eastAsia="Arial" w:hAnsi="Arial"/>
          <w:sz w:val="17"/>
          <w:szCs w:val="17"/>
          <w:color w:val="auto"/>
        </w:rPr>
        <w:t>Our or Takeda’s failure, or the failure of any future third-party manufacturer, to execute on our manufacturing requirements, to do so on commercially reasonable terms and comply with cGMP could adversely affect our business in a number of ways, including:</w:t>
      </w:r>
    </w:p>
    <w:p>
      <w:pPr>
        <w:spacing w:after="0" w:line="106" w:lineRule="exact"/>
        <w:rPr>
          <w:sz w:val="20"/>
          <w:szCs w:val="20"/>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initiate and continue clinical trials of vonoprazan or any future product candidates;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vonoprazan and any future product candidates;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vonoprazan and any future product candidates; and</w:t>
      </w:r>
    </w:p>
    <w:p>
      <w:pPr>
        <w:spacing w:after="0" w:line="184" w:lineRule="exact"/>
        <w:rPr>
          <w:rFonts w:ascii="Arial" w:cs="Arial" w:eastAsia="Arial" w:hAnsi="Arial"/>
          <w:sz w:val="18"/>
          <w:szCs w:val="18"/>
          <w:color w:val="auto"/>
        </w:rPr>
      </w:pPr>
    </w:p>
    <w:p>
      <w:pPr>
        <w:ind w:left="1020" w:right="80" w:hanging="43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vonoprazan or any future product candidates, an inability to meet commercial demands for vonoprazan or any future product candidates.</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198" w:lineRule="exact"/>
        <w:rPr>
          <w:sz w:val="20"/>
          <w:szCs w:val="20"/>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62</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2" w:name="page63"/>
    <w:bookmarkEnd w:id="62"/>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Vonoprazan and any products that we may develop may compete with other product candidates and products for access to manufacturing facilities.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Moreover, there may be a limited number of manufacturers that operate under cGMP regulations and that might be capable of manufacturing for us.</w:t>
      </w:r>
    </w:p>
    <w:p>
      <w:pPr>
        <w:spacing w:after="0" w:line="195"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Any performance failure on the part of Takeda or any future manufacturers could delay clinical development or marketing approval, and any related remedial measures may be costly or time consuming to implement. We do not currently have arrangements in place for redundant supply or a second source for all required raw materials used in the manufacture of vonoprazan and any future product candidates. If Takeda cannot perform as agreed, we may be required to replace Takeda and we may be unable to replace them on a timely basis or at all. Further, Takeda and any other third-party manufacturers we may use may experience manufacturing or shipping difficulties due to resource constraints or as a result of natural disasters, labor disputes, unstable political environments, or public health emergencies such as the recent coronavirus, COVID-19, outbreak. If Takeda or other third-party manufacturers were to encounter any manufacturing or shipping difficulties or delays due to these factors, our ability to provide vonoprazan to patients in clinical trials, or to provide product for treatment of patients if approved, would be jeopardized.</w:t>
      </w:r>
    </w:p>
    <w:p>
      <w:pPr>
        <w:spacing w:after="0" w:line="138" w:lineRule="exact"/>
        <w:rPr>
          <w:sz w:val="20"/>
          <w:szCs w:val="20"/>
          <w:color w:val="auto"/>
        </w:rPr>
      </w:pPr>
    </w:p>
    <w:p>
      <w:pPr>
        <w:ind w:right="100" w:firstLine="589"/>
        <w:spacing w:after="0" w:line="342" w:lineRule="auto"/>
        <w:rPr>
          <w:sz w:val="20"/>
          <w:szCs w:val="20"/>
          <w:color w:val="auto"/>
        </w:rPr>
      </w:pPr>
      <w:r>
        <w:rPr>
          <w:rFonts w:ascii="Arial" w:cs="Arial" w:eastAsia="Arial" w:hAnsi="Arial"/>
          <w:sz w:val="16"/>
          <w:szCs w:val="16"/>
          <w:color w:val="auto"/>
        </w:rPr>
        <w:t>Our current and anticipated future dependence upon others for the manufacture of vonoprazan or any future product candidates or products may adversely affect our future profit margins and our ability to commercialize any products that receive marketing approval on a timely and competitive basis.</w:t>
      </w:r>
    </w:p>
    <w:p>
      <w:pPr>
        <w:spacing w:after="0" w:line="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reliance on third parties, including Takeda, requires us to share our trade secrets, which increases the possibility that a competitor will discover them or that our trade secrets will be misappropriated or disclosed.</w:t>
      </w:r>
    </w:p>
    <w:p>
      <w:pPr>
        <w:spacing w:after="0" w:line="143"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Because we currently rely on Takeda to manufacture vonoprazan and to perform quality testing, we must, at times, share our proprietary technology and confidential information, including trade secrets, with them.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2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30" w:lineRule="exact"/>
        <w:rPr>
          <w:sz w:val="20"/>
          <w:szCs w:val="20"/>
          <w:color w:val="auto"/>
        </w:rPr>
      </w:pPr>
    </w:p>
    <w:p>
      <w:pPr>
        <w:ind w:right="160" w:firstLine="589"/>
        <w:spacing w:after="0" w:line="290" w:lineRule="auto"/>
        <w:rPr>
          <w:sz w:val="20"/>
          <w:szCs w:val="20"/>
          <w:color w:val="auto"/>
        </w:rPr>
      </w:pPr>
      <w:r>
        <w:rPr>
          <w:rFonts w:ascii="Arial" w:cs="Arial" w:eastAsia="Arial" w:hAnsi="Arial"/>
          <w:sz w:val="16"/>
          <w:szCs w:val="16"/>
          <w:color w:val="auto"/>
        </w:rPr>
        <w:t>We may seek to enter into collaborations, joint ventures, licenses and other similar arrangements for the development or commercialization of vonoprazan and any future product candidates, due to capital costs required to develop or commercialize vonoprazan and any future product candidates or manufacturing constraints. We may not be successful in our efforts to establish such collaborations for vonoprazan and any future product candidates because vonoprazan and any future product candidates may be deemed to be at too early of a stage of development for collaborative effort or third parties may not view vonoprazan and any future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63</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3" w:name="page64"/>
    <w:bookmarkEnd w:id="63"/>
    <w:p>
      <w:pPr>
        <w:ind w:right="200" w:firstLine="589"/>
        <w:spacing w:after="0" w:line="263"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57"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vonoprazan and any future product candidates, if approved, and may not conduct those activities in the same manner as we do. Any termination of collaborations we enter into in the future, or any delay in entering into collaborations related to vonoprazan or any future product candidates, could delay the development and commercialization of vonoprazan or any future product candidates and reduce their competitiveness if they reach the market, which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Vonoprazan and Any Future Product Candidates</w:t>
      </w:r>
    </w:p>
    <w:p>
      <w:pPr>
        <w:spacing w:after="0" w:line="189" w:lineRule="exact"/>
        <w:rPr>
          <w:sz w:val="20"/>
          <w:szCs w:val="20"/>
          <w:color w:val="auto"/>
        </w:rPr>
      </w:pPr>
    </w:p>
    <w:p>
      <w:pPr>
        <w:ind w:right="140"/>
        <w:spacing w:after="0" w:line="327" w:lineRule="auto"/>
        <w:rPr>
          <w:sz w:val="20"/>
          <w:szCs w:val="20"/>
          <w:color w:val="auto"/>
        </w:rPr>
      </w:pPr>
      <w:r>
        <w:rPr>
          <w:rFonts w:ascii="Arial" w:cs="Arial" w:eastAsia="Arial" w:hAnsi="Arial"/>
          <w:sz w:val="15"/>
          <w:szCs w:val="15"/>
          <w:b w:val="1"/>
          <w:bCs w:val="1"/>
          <w:i w:val="1"/>
          <w:iCs w:val="1"/>
          <w:color w:val="auto"/>
        </w:rPr>
        <w:t>Even if we receive regulatory approval for vonoprazan and any future product candidates, we will be subject to ongoing regulatory obligations and continued regulatory review, which may result in significant additional expense. Additionally, vonoprazan and any future product candidates, if approved, could be subject to labeling and other restrictions on marketing or withdrawal from the market, and we may be subject to penalties if we fail to comply with regulatory requirements or if we experience unanticipated problems with vonoprazan and any future product candidates, if approved.</w:t>
      </w:r>
    </w:p>
    <w:p>
      <w:pPr>
        <w:spacing w:after="0" w:line="113"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Following potential approval of vonoprazan or any future product candidates, the FDA, EMA or other comparable regulatory authority may impose significant restrictions on a product’s indicated uses or marketing or impose ongoing requirements for potentially costly and time consuming post-approval studies, post-market surveillance or clinical trials to monitor the safety and efficacy of the product. The FDA may also require a REMS as a condition of approval of vonoprazan or any future product candidates, which could include requirements for a medication guide, physician communication plans or additional elements to ensure safe use, such as restricted distribution methods, patient registries and other risk minimization tools. In addition, if the FDA, EMA or a comparable foreign regulatory authority approves vonoprazan or any future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products, including adverse events of unanticipated severity or frequency, or with our third-party manufacturers or manufacturing processes, or failure to comply with regulatory requirements, may result in, among other things:</w:t>
      </w:r>
    </w:p>
    <w:p>
      <w:pPr>
        <w:spacing w:after="0" w:line="131" w:lineRule="exact"/>
        <w:rPr>
          <w:sz w:val="20"/>
          <w:szCs w:val="20"/>
          <w:color w:val="auto"/>
        </w:rPr>
      </w:pPr>
    </w:p>
    <w:p>
      <w:pPr>
        <w:ind w:left="1020" w:right="60" w:hanging="43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restitutions, disgorgement of profits or revenues, warning letters, untitled letters or holds on clinical trials;</w:t>
      </w:r>
    </w:p>
    <w:p>
      <w:pPr>
        <w:spacing w:after="0" w:line="184" w:lineRule="exact"/>
        <w:rPr>
          <w:rFonts w:ascii="Arial" w:cs="Arial" w:eastAsia="Arial" w:hAnsi="Arial"/>
          <w:sz w:val="18"/>
          <w:szCs w:val="18"/>
          <w:color w:val="auto"/>
        </w:rPr>
      </w:pPr>
    </w:p>
    <w:p>
      <w:pPr>
        <w:ind w:left="1020" w:right="60" w:hanging="43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or comparable foreign regulatory authority to approve pending applications or supplements to approved applications filed by us or suspension or revocation of approvals;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products;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320" w:firstLine="589"/>
        <w:spacing w:after="0" w:line="342" w:lineRule="auto"/>
        <w:rPr>
          <w:sz w:val="20"/>
          <w:szCs w:val="20"/>
          <w:color w:val="auto"/>
        </w:rPr>
      </w:pPr>
      <w:r>
        <w:rPr>
          <w:rFonts w:ascii="Arial" w:cs="Arial" w:eastAsia="Arial" w:hAnsi="Arial"/>
          <w:sz w:val="16"/>
          <w:szCs w:val="16"/>
          <w:color w:val="auto"/>
        </w:rPr>
        <w:t>The occurrence of any event or penalty described above may inhibit our ability to commercialize vonoprazan and any future product candidates and generate revenue and could require us to expend significant time and resources in response and could generate negative publicity.</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64</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4" w:name="page65"/>
    <w:bookmarkEnd w:id="64"/>
    <w:p>
      <w:pPr>
        <w:ind w:right="60" w:firstLine="589"/>
        <w:spacing w:after="0" w:line="269" w:lineRule="auto"/>
        <w:rPr>
          <w:sz w:val="20"/>
          <w:szCs w:val="20"/>
          <w:color w:val="auto"/>
        </w:rPr>
      </w:pPr>
      <w:r>
        <w:rPr>
          <w:rFonts w:ascii="Arial" w:cs="Arial" w:eastAsia="Arial" w:hAnsi="Arial"/>
          <w:sz w:val="17"/>
          <w:szCs w:val="17"/>
          <w:color w:val="auto"/>
        </w:rPr>
        <w:t>In addition, if vonoprazan or any future product candidate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However, companies may share truthful and not misleading information that is otherwise consistent with a product’s FDA approved labeling. If we receive marketing approval for vonoprazan or any future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58"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vonoprazan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6" w:lineRule="exact"/>
        <w:rPr>
          <w:sz w:val="20"/>
          <w:szCs w:val="20"/>
          <w:color w:val="auto"/>
        </w:rPr>
      </w:pPr>
    </w:p>
    <w:p>
      <w:pPr>
        <w:ind w:right="120" w:firstLine="589"/>
        <w:spacing w:after="0" w:line="270"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internationally. The policies of the FDA and of other regulatory authorities may change and additional governmental regulations may be enacted that could prevent, limit or delay regulatory approval of vonoprazan or any future product candidates.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40"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57" w:lineRule="exact"/>
        <w:rPr>
          <w:sz w:val="20"/>
          <w:szCs w:val="20"/>
          <w:color w:val="auto"/>
        </w:rPr>
      </w:pPr>
    </w:p>
    <w:p>
      <w:pPr>
        <w:ind w:right="600" w:firstLine="589"/>
        <w:spacing w:after="0" w:line="308" w:lineRule="auto"/>
        <w:rPr>
          <w:sz w:val="20"/>
          <w:szCs w:val="20"/>
          <w:color w:val="auto"/>
        </w:rPr>
      </w:pPr>
      <w:r>
        <w:rPr>
          <w:rFonts w:ascii="Arial" w:cs="Arial" w:eastAsia="Arial" w:hAnsi="Arial"/>
          <w:sz w:val="17"/>
          <w:szCs w:val="17"/>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commercial success of vonoprazan or any future product candidates will depend upon the degree of market acceptance of such product candidates by physicians, patients, healthcare payors and others in the medical community.</w:t>
      </w:r>
    </w:p>
    <w:p>
      <w:pPr>
        <w:spacing w:after="0" w:line="130" w:lineRule="exact"/>
        <w:rPr>
          <w:sz w:val="20"/>
          <w:szCs w:val="20"/>
          <w:color w:val="auto"/>
        </w:rPr>
      </w:pPr>
    </w:p>
    <w:p>
      <w:pPr>
        <w:jc w:val="both"/>
        <w:ind w:right="160" w:firstLine="589"/>
        <w:spacing w:after="0" w:line="286" w:lineRule="auto"/>
        <w:rPr>
          <w:sz w:val="20"/>
          <w:szCs w:val="20"/>
          <w:color w:val="auto"/>
        </w:rPr>
      </w:pPr>
      <w:r>
        <w:rPr>
          <w:rFonts w:ascii="Arial" w:cs="Arial" w:eastAsia="Arial" w:hAnsi="Arial"/>
          <w:sz w:val="17"/>
          <w:szCs w:val="17"/>
          <w:color w:val="auto"/>
        </w:rPr>
        <w:t>Vonoprazan and any future product candidates may not be commercially successful. The commercial success of vonoprazan or any future product candidates, if approved, will depend significantly on the broad adoption and use of such product by physicians and patients for approved indications. The degree of market acceptance of vonoprazan or any future products, if approved, will depend on a number of factors, including:</w:t>
      </w:r>
    </w:p>
    <w:p>
      <w:pPr>
        <w:spacing w:after="0" w:line="138" w:lineRule="exact"/>
        <w:rPr>
          <w:sz w:val="20"/>
          <w:szCs w:val="20"/>
          <w:color w:val="auto"/>
        </w:rPr>
      </w:pPr>
    </w:p>
    <w:p>
      <w:pPr>
        <w:ind w:left="1020" w:hanging="43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indications for which vonoprazan or any future product candidates are approved;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FDA-approved labeling;</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65</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5" w:name="page66"/>
    <w:bookmarkEnd w:id="65"/>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184" w:lineRule="exact"/>
        <w:rPr>
          <w:rFonts w:ascii="Arial" w:cs="Arial" w:eastAsia="Arial" w:hAnsi="Arial"/>
          <w:sz w:val="18"/>
          <w:szCs w:val="18"/>
          <w:color w:val="auto"/>
        </w:rPr>
      </w:pPr>
    </w:p>
    <w:p>
      <w:pPr>
        <w:ind w:left="1020" w:right="200" w:hanging="43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129" w:lineRule="exact"/>
        <w:rPr>
          <w:rFonts w:ascii="Arial" w:cs="Arial" w:eastAsia="Arial" w:hAnsi="Arial"/>
          <w:sz w:val="18"/>
          <w:szCs w:val="18"/>
          <w:color w:val="auto"/>
        </w:rPr>
      </w:pPr>
    </w:p>
    <w:p>
      <w:pPr>
        <w:ind w:left="1020" w:right="640" w:hanging="43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129"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or adequate reimbursement;</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drugs;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our or any of our potential future collaborators’ sales and marketing strategies;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185"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If vonoprazan or any future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22"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With respect to vonoprazan, Takeda has the right to develop and commercialize the product outside of the United States, Europe, and Canada and has received marketing approval for vonoprazan in certain countries in Asia and Latin America. We have little or no control over Takeda’s commercialization activities with respect to vonoprazan outside of our licensed territories even though those activities could impact our ability to successfully commercialize vonoprazan. For example, Takeda can make statements or use promotional materials with respect to vonoprazan outside of our licensed territories that are inconsistent with our positioning of the product in the United States, Europe, and Canada, and could sell vonoprazan in foreign countries at prices that are dramatically lower than the prices we would charge in our licensed territories. These activities and decisions, while occurring outside of our licensed territories, could harm our commercialization strategy. In addition, product recalls or safety issues with vonoprazan outside our licensed territories could result in serious damage to the brand and impair our ability to successfully market vonoprazan in our licensed territories.</w:t>
      </w:r>
    </w:p>
    <w:p>
      <w:pPr>
        <w:spacing w:after="0" w:line="1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130" w:lineRule="exact"/>
        <w:rPr>
          <w:sz w:val="20"/>
          <w:szCs w:val="20"/>
          <w:color w:val="auto"/>
        </w:rPr>
      </w:pPr>
    </w:p>
    <w:p>
      <w:pPr>
        <w:ind w:right="120" w:firstLine="589"/>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as vonoprazan and any future product candidates would be,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vonoprazan or any future product candidates, if approved, we could become subject to significant liability, which would materially adversely affect our business and financial condition.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66</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6" w:name="page67"/>
    <w:bookmarkEnd w:id="66"/>
    <w:p>
      <w:pPr>
        <w:ind w:right="220"/>
        <w:spacing w:after="0" w:line="259" w:lineRule="auto"/>
        <w:rPr>
          <w:sz w:val="20"/>
          <w:szCs w:val="20"/>
          <w:color w:val="auto"/>
        </w:rPr>
      </w:pPr>
      <w:r>
        <w:rPr>
          <w:rFonts w:ascii="Arial" w:cs="Arial" w:eastAsia="Arial" w:hAnsi="Arial"/>
          <w:sz w:val="18"/>
          <w:szCs w:val="18"/>
          <w:b w:val="1"/>
          <w:bCs w:val="1"/>
          <w:i w:val="1"/>
          <w:iCs w:val="1"/>
          <w:color w:val="auto"/>
        </w:rPr>
        <w:t>The successful commercialization of vonoprazan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60"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vonoprazan or any future product candidate, if approved. Our ability to achieve coverage and acceptable levels of reimbursement for our products by third-party payors will have an effect on our ability to successfully commercialize those products. Even if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37"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38"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spacing w:after="0" w:line="161" w:lineRule="exact"/>
        <w:rPr>
          <w:sz w:val="20"/>
          <w:szCs w:val="20"/>
          <w:color w:val="auto"/>
        </w:rPr>
      </w:pPr>
    </w:p>
    <w:p>
      <w:pPr>
        <w:ind w:right="140" w:firstLine="589"/>
        <w:spacing w:after="0" w:line="272" w:lineRule="auto"/>
        <w:rPr>
          <w:sz w:val="20"/>
          <w:szCs w:val="20"/>
          <w:color w:val="auto"/>
        </w:rPr>
      </w:pPr>
      <w:r>
        <w:rPr>
          <w:rFonts w:ascii="Arial" w:cs="Arial" w:eastAsia="Arial" w:hAnsi="Arial"/>
          <w:sz w:val="17"/>
          <w:szCs w:val="17"/>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37"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67</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7" w:name="page68"/>
    <w:bookmarkEnd w:id="67"/>
    <w:p>
      <w:pPr>
        <w:ind w:right="60" w:firstLine="589"/>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technologies or product candidates more rapidly than we do or their technologies are more effective, our ability to develop and successfully commercialize products may be adversely affected.</w:t>
      </w:r>
    </w:p>
    <w:p>
      <w:pPr>
        <w:spacing w:after="0" w:line="130" w:lineRule="exact"/>
        <w:rPr>
          <w:sz w:val="20"/>
          <w:szCs w:val="20"/>
          <w:color w:val="auto"/>
        </w:rPr>
      </w:pPr>
    </w:p>
    <w:p>
      <w:pPr>
        <w:ind w:right="140" w:firstLine="589"/>
        <w:spacing w:after="0" w:line="287"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vonoprazan.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GI diseases for which we may attempt to develop vonoprazan or any future product candidates.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patients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31"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 xml:space="preserve">We expect that vonoprazan, if approved for the treatment of erosive esophagitis and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will primarily compete with generic PPIs marketed by multiple pharmaceutical companies in both the prescription and OTC markets. Additionally, in March 2020, RedHill Biopharma Ltd. launched Talicia, a co-formulated capsule comprising generic omeprazole, amoxicillin, and rifabutin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Ironwood Pharmaceuticals, Inc. is developing IW-3718, a bile acid sequestrant, currently in Phase 3 clinical trials as an adjunct to PPIs for the treatment of patients with persistent GERD.</w:t>
      </w:r>
    </w:p>
    <w:p>
      <w:pPr>
        <w:spacing w:after="0" w:line="161" w:lineRule="exact"/>
        <w:rPr>
          <w:sz w:val="20"/>
          <w:szCs w:val="20"/>
          <w:color w:val="auto"/>
        </w:rPr>
      </w:pPr>
    </w:p>
    <w:p>
      <w:pPr>
        <w:ind w:right="180" w:firstLine="589"/>
        <w:spacing w:after="0" w:line="275" w:lineRule="auto"/>
        <w:rPr>
          <w:sz w:val="20"/>
          <w:szCs w:val="20"/>
          <w:color w:val="auto"/>
        </w:rPr>
      </w:pPr>
      <w:r>
        <w:rPr>
          <w:rFonts w:ascii="Arial" w:cs="Arial" w:eastAsia="Arial" w:hAnsi="Arial"/>
          <w:sz w:val="17"/>
          <w:szCs w:val="17"/>
          <w:color w:val="auto"/>
        </w:rPr>
        <w:t>We are also aware of other P-CABs in territories outside of the United States that, if developed and approved in our territories, may compete with vonoprazan. Revaprazan is marketed by Yuhan Corporation in South Korea. Tegoprazan is marketed by CJ Healthcare Corp. in South Korea and is currently in development in Japan by RaQualia Pharma, Inc. Daewoong Pharmaceutical Co., Ltd. has filed an application for regulatory approval for fexuprazan in South Korea, Cheil Pharm has opened a Phase 2 trial in South Korea of its P-CAB candidate, JP-1366, in erosive esophagitis, and Cinclus Pharma AG’s X842 has completed a Phase 1 clinical trial in Europe and is currently in Phase 2 clinical trials.</w:t>
      </w:r>
    </w:p>
    <w:p>
      <w:pPr>
        <w:spacing w:after="0" w:line="136"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Additionally, we are aware of several clinical-stage PPIs in territories outside of the United States that if developed and approved in our licensed territories may compete with vonoprazan. These include Dexa Medica’s DLBS-2411, currently in Phase 3 clinical trials in Indonesia, Sihuan Pharmaceutical’s anaprazole, currently in Phase 3 clinical trials in China, Eisai’s azeloprazole, currently in a Phase 2 clinical trial in Japan, and Sidem Pharma’s tenatoprazole, currently in Phase 2 clinical trials in Europe and Canada.</w:t>
      </w:r>
    </w:p>
    <w:p>
      <w:pPr>
        <w:spacing w:after="0" w:line="146"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In July 2012, the Food and Drug Administration Safety and Innovation Act was passed, which included the GAIN Act. The GAIN Act is intended to provide incentives for the development of new, qualified infectious disease products. In December 2016, the 21st Century Cures Act was passed, providing additional support for the development of new infectious disease products. These incentives may result in more competition in the market for new antibiotics and may cause pharmaceutical and biotechnology companies with more resources than we have to shift their efforts towards the development of product candidates that could be competitive with vonoprazan or any future product candidates.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68</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8" w:name="page69"/>
    <w:bookmarkEnd w:id="68"/>
    <w:p>
      <w:pPr>
        <w:ind w:right="100" w:firstLine="589"/>
        <w:spacing w:after="0" w:line="270"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approval for vonoprazan or any future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vonoprazan or any future product candidates. If we are unable to compete effectively, our opportunity to generate revenue from the sale of our products we may develop, if approved, could be adversely affected.</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vonoprazan or any future products are smaller than we believe they are, our revenue may be adversely affected, and our business may suffer.</w:t>
      </w:r>
    </w:p>
    <w:p>
      <w:pPr>
        <w:spacing w:after="0" w:line="130"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The precise incidence and prevalence for all the conditions we aim to address with vonoprazan or any future product candidates are unknown. Our projections of both the number of people who have these diseases, as well as the subset of people with these diseases who have the potential to benefit from treatment of vonoprazan or any future product candidates, are based on our beliefs and estimates. These estimates have been derived from a variety of sources, including the scientific literature, surveys of clinics or market research, and may prove to be incorrect. Further, new trials may change the estimated incidence or prevalence of these diseases. The total addressable market across vonoprazan and any future product candidates will ultimately depend upon, among other things, the diagnosis criteria included in the final label for each of vonoprazan and any future product candidates approved for sale for these indications, the availability of alternative treatments and the safety, convenience, cost and efficacy of vonoprazan and any future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4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38"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have no internal sales, marketing or distribution capabilities, nor have we commercialized a product. If vonoprazan or any future product candidates ultimately receive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plan to independently commercialize vonoprazan in the United States by building a leading specialty gastroenterology commercial infrastructure to support the adoption of vonoprazan and we plan to seek one or more partners with existing commercial infrastructure and expertise in Europe and Canada. We have no prior experience as a company in the marketing, sale and distribution of biopharmaceutical products and there are significant risks involved in building and managing a marketing and sales organization, including our ability to hire, retain and incentivize qualified individuals, generate sufficient sales leads, provide adequate training to sales and marketing personnel and effectively manage a geographically dispersed sales and marketing team.</w:t>
      </w:r>
    </w:p>
    <w:p>
      <w:pPr>
        <w:spacing w:after="0" w:line="145"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vonoprazan or any future product candidates, either on our own or through arrangements with one or more third parties, we may not be able to generate any future product revenue and we would incur significant additional losses.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69</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9" w:name="page70"/>
    <w:bookmarkEnd w:id="69"/>
    <w:p>
      <w:pPr>
        <w:ind w:right="34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particularly Europe and Canada, where we would be subject to additional regulatory burdens and other risks and uncertainties.</w:t>
      </w:r>
    </w:p>
    <w:p>
      <w:pPr>
        <w:spacing w:after="0" w:line="143"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Our future growth may depend, in part, on our ability to develop and commercialize vonoprazan and any future product candidates in foreign markets, particularly Europe and Canada. We are not permitted to market or promote vonoprazan and any future product candidates before we receive regulatory approval from applicable regulatory authorities in foreign markets, and we may never receive such regulatory approvals for vonoprazan or any future product candidates. To obtain separate regulatory approval in any other countries we must comply with numerous and varying regulatory requirements regarding safety and efficacy and governing, among other things, clinical trials, commercial sales, pricing and distribution of vonoprazan and any future product candidates. If we obtain regulatory approval of vonoprazan and any future product candidates and ultimately commercialize our products in foreign markets, we would be subject to additional risks and uncertainties, including:</w:t>
      </w:r>
    </w:p>
    <w:p>
      <w:pPr>
        <w:spacing w:after="0" w:line="137" w:lineRule="exact"/>
        <w:rPr>
          <w:sz w:val="20"/>
          <w:szCs w:val="20"/>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economic weakness, including inflation, public health emergencies or political instability in particular foreign economies and markets;</w:t>
      </w:r>
    </w:p>
    <w:p>
      <w:pPr>
        <w:spacing w:after="0" w:line="196" w:lineRule="exact"/>
        <w:rPr>
          <w:rFonts w:ascii="Arial" w:cs="Arial" w:eastAsia="Arial" w:hAnsi="Arial"/>
          <w:sz w:val="17"/>
          <w:szCs w:val="17"/>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internationally;</w:t>
      </w:r>
    </w:p>
    <w:p>
      <w:pPr>
        <w:spacing w:after="0" w:line="184" w:lineRule="exact"/>
        <w:rPr>
          <w:rFonts w:ascii="Arial" w:cs="Arial" w:eastAsia="Arial" w:hAnsi="Arial"/>
          <w:sz w:val="18"/>
          <w:szCs w:val="18"/>
          <w:color w:val="auto"/>
        </w:rPr>
      </w:pPr>
    </w:p>
    <w:p>
      <w:pPr>
        <w:ind w:left="1020" w:right="380" w:hanging="432"/>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internationally; and</w:t>
      </w:r>
    </w:p>
    <w:p>
      <w:pPr>
        <w:spacing w:after="0" w:line="184" w:lineRule="exact"/>
        <w:rPr>
          <w:rFonts w:ascii="Arial" w:cs="Arial" w:eastAsia="Arial" w:hAnsi="Arial"/>
          <w:sz w:val="18"/>
          <w:szCs w:val="18"/>
          <w:color w:val="auto"/>
        </w:rPr>
      </w:pPr>
    </w:p>
    <w:p>
      <w:pPr>
        <w:ind w:left="1020" w:right="180" w:hanging="432"/>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43"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30" w:lineRule="exact"/>
        <w:rPr>
          <w:sz w:val="20"/>
          <w:szCs w:val="20"/>
          <w:color w:val="auto"/>
        </w:rPr>
      </w:pPr>
    </w:p>
    <w:p>
      <w:pPr>
        <w:ind w:left="1020" w:right="340" w:hanging="43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vonoprazan or any future product candidates, which may change from time to time;</w:t>
      </w:r>
    </w:p>
    <w:p>
      <w:pPr>
        <w:spacing w:after="0" w:line="129" w:lineRule="exact"/>
        <w:rPr>
          <w:rFonts w:ascii="Arial" w:cs="Arial" w:eastAsia="Arial" w:hAnsi="Arial"/>
          <w:sz w:val="18"/>
          <w:szCs w:val="18"/>
          <w:color w:val="auto"/>
        </w:rPr>
      </w:pPr>
    </w:p>
    <w:p>
      <w:pPr>
        <w:ind w:left="1020" w:right="20" w:hanging="43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vonoprazan or any future product candidates, if approved, and potential future drugs that compete with such products, if approved;</w:t>
      </w:r>
    </w:p>
    <w:p>
      <w:pPr>
        <w:spacing w:after="0" w:line="129" w:lineRule="exact"/>
        <w:rPr>
          <w:rFonts w:ascii="Arial" w:cs="Arial" w:eastAsia="Arial" w:hAnsi="Arial"/>
          <w:sz w:val="18"/>
          <w:szCs w:val="18"/>
          <w:color w:val="auto"/>
        </w:rPr>
      </w:pPr>
    </w:p>
    <w:p>
      <w:pPr>
        <w:ind w:left="1020" w:right="380" w:hanging="432"/>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manufacturing vonoprazan or any future product candidates, which may vary depending on the quantity of production and the terms of our agreements with Takeda and any future third-party manufacturers;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70</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0" w:name="page71"/>
    <w:bookmarkEnd w:id="70"/>
    <w:p>
      <w:pPr>
        <w:ind w:left="1020" w:right="340" w:hanging="432"/>
        <w:spacing w:after="0" w:line="30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or natural disasters such as earthquakes, typhoons, floods and fires or public health emergencies or pandemics such as the recent coronavirus outbreak;</w:t>
      </w:r>
    </w:p>
    <w:p>
      <w:pPr>
        <w:spacing w:after="0" w:line="105" w:lineRule="exact"/>
        <w:rPr>
          <w:rFonts w:ascii="Arial" w:cs="Arial" w:eastAsia="Arial" w:hAnsi="Arial"/>
          <w:sz w:val="17"/>
          <w:szCs w:val="17"/>
          <w:color w:val="auto"/>
        </w:rPr>
      </w:pPr>
    </w:p>
    <w:p>
      <w:pPr>
        <w:ind w:left="1020" w:hanging="43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will be required to pay to Takeda pursuant to the Takeda License;</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84" w:lineRule="exact"/>
        <w:rPr>
          <w:rFonts w:ascii="Arial" w:cs="Arial" w:eastAsia="Arial" w:hAnsi="Arial"/>
          <w:sz w:val="18"/>
          <w:szCs w:val="18"/>
          <w:color w:val="auto"/>
        </w:rPr>
      </w:pPr>
    </w:p>
    <w:p>
      <w:pPr>
        <w:ind w:left="1020" w:right="80" w:hanging="432"/>
        <w:spacing w:after="0" w:line="342"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vonoprazan or any future product candidates or competing product candidates, or any other change in the competitive landscape of our industry, including consolidation among our competitors or partners.</w:t>
      </w:r>
    </w:p>
    <w:p>
      <w:pPr>
        <w:spacing w:after="0" w:line="83"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57"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arising from epidemic diseases, such as the recent global outbreak of the COVID-19 coronavirus.</w:t>
      </w:r>
    </w:p>
    <w:p>
      <w:pPr>
        <w:spacing w:after="0" w:line="185" w:lineRule="exact"/>
        <w:rPr>
          <w:sz w:val="20"/>
          <w:szCs w:val="20"/>
          <w:color w:val="auto"/>
        </w:rPr>
      </w:pPr>
    </w:p>
    <w:p>
      <w:pPr>
        <w:ind w:right="40" w:firstLine="589"/>
        <w:spacing w:after="0" w:line="285" w:lineRule="auto"/>
        <w:rPr>
          <w:sz w:val="20"/>
          <w:szCs w:val="20"/>
          <w:color w:val="auto"/>
        </w:rPr>
      </w:pPr>
      <w:r>
        <w:rPr>
          <w:rFonts w:ascii="Arial" w:cs="Arial" w:eastAsia="Arial" w:hAnsi="Arial"/>
          <w:sz w:val="16"/>
          <w:szCs w:val="16"/>
          <w:color w:val="auto"/>
        </w:rPr>
        <w:t>The recent outbreak of the coronavirus, COVID-19, which has been declared by the World Health Organization to be a pandemic has spread across the globe and is impacting worldwide economic activity. A pandemic, including COVID-19 or other public health epidemic, poses the risk that we or our employees, contractors, including our CROs, suppliers, and other partners may be prevented from conducting business activities for an indefinite period of time, including due to spread of the disease within these groups or due to shutdowns that may be requested or mandated by governmental authorities. In March 2020, due to efforts to combat the COVID-19 pandemic, which has resulted in travel restrictions imposed by many state, local and international governments and guidance from the American Society of Gastrointestinal Endoscopy limiting endoscopies, which are required in both of our Phase 3 trials, we announced a pause in randomization of new patients in our Phase 3 trials. While it is not possible at this time to estimate the full impact that COVID-19 could have on our business, the continued spread of COVID-19 and the measures taken by the governments of countries affected could, in addition to disrupting our clinical trial randomization, disrupt the supply chain and the manufacture or shipment of drug substance and finished drug product for vonoprazan for use in our clinical trials, cause patients to discontinue the trial adversely affecting our trials results, ultimately lead to a discontinuation of the trials prior to their completion, impede our future clinical trial recruitment, testing, monitoring, data collection and analysis and other related activities, which could delay our ongoing clinical trials and increase development costs and have a material adverse effect on our business, financial condition and results of operations. The COVID-19 pandemic and mitigation measures have also had an adverse impact on global economic conditions which could have an adverse effect on our business and financial condition, including impairing our ability to raise capital when needed. The extent to which the COVID-19 pandemic impacts our results will depend on future developments that are highly uncertain and cannot be predicted, including new information that may emerge concerning the severity of the virus and the actions to contain its impact.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71</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71" w:name="page72"/>
    <w:bookmarkEnd w:id="71"/>
    <w:p>
      <w:pPr>
        <w:ind w:right="240"/>
        <w:spacing w:after="0" w:line="263" w:lineRule="auto"/>
        <w:rPr>
          <w:sz w:val="20"/>
          <w:szCs w:val="20"/>
          <w:color w:val="auto"/>
        </w:rPr>
      </w:pPr>
      <w:r>
        <w:rPr>
          <w:rFonts w:ascii="Arial" w:cs="Arial" w:eastAsia="Arial" w:hAnsi="Arial"/>
          <w:sz w:val="18"/>
          <w:szCs w:val="18"/>
          <w:b w:val="1"/>
          <w:bCs w:val="1"/>
          <w:i w:val="1"/>
          <w:iCs w:val="1"/>
          <w:color w:val="auto"/>
        </w:rPr>
        <w:t>Our indebtedness may limit our flexibility in operating our business and adversely affect our financial health and competitive position, and all of our obligations under our indebtedness are secured by substantially all of our assets, excluding our intellectual property and certain other assets. If we default on these obligations, our lenders could foreclose on our assets.</w:t>
      </w:r>
    </w:p>
    <w:p>
      <w:pPr>
        <w:spacing w:after="0" w:line="157"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In May 2019, we entered into the Loan Agreement with SVB and WestRiver. We borrowed $25.0 million, or Term Loan A, at the inception of the Loan Agreement and in March 2020 we borrowed an additional $25.0 million, or Term Loan B, and which we collectively refer to as the Term Loans. All obligations under the Term Loans are secured by a first priority lien on substantially all of our assets, excluding intellectual property and certain other assets. We have agreed not to encumber our intellectual property assets without SVB’s prior written consent unless a security interest in the underlying intellectual property is necessary to have a security interest in the accounts and proceeds that are part of the assets securing the Term Loans, in which case our intellectual property will automatically be included within the assets securing the Term Loans. As a result, if we default on any of our obligations under the Loan Agreement, SVB could foreclose on its security interest and liquidate some or all of the collateral, which would harm our business, financial condition and results of operations and could require us to reduce or cease operations.</w:t>
      </w:r>
    </w:p>
    <w:p>
      <w:pPr>
        <w:spacing w:after="0" w:line="138"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72</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2" w:name="page73"/>
    <w:bookmarkEnd w:id="72"/>
    <w:p>
      <w:pPr>
        <w:ind w:right="40" w:firstLine="589"/>
        <w:spacing w:after="0" w:line="273" w:lineRule="auto"/>
        <w:rPr>
          <w:sz w:val="20"/>
          <w:szCs w:val="20"/>
          <w:color w:val="auto"/>
        </w:rPr>
      </w:pPr>
      <w:r>
        <w:rPr>
          <w:rFonts w:ascii="Arial" w:cs="Arial" w:eastAsia="Arial" w:hAnsi="Arial"/>
          <w:sz w:val="17"/>
          <w:szCs w:val="17"/>
          <w:color w:val="auto"/>
        </w:rPr>
        <w:t>The Loan Agreement contains customary affirmative and negative covenants that limit our ability to engage in certain transactions that may be in our long-term best interest. The affirmative covenants include, among others, covenants requiring us to maintain our legal existence and governmental approvals,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w:t>
      </w:r>
    </w:p>
    <w:p>
      <w:pPr>
        <w:spacing w:after="0" w:line="151"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While we believe we are currently in compliance with the covenants contained in the Loan Agreement, we may breach these covenants in the future. Our ability to comply with these covenants may be affected by events and factors beyond our control. In the event that we breach one or more covenants, the lenders may choose to declare an event of default and require that we immediately repay all amounts outstanding under the Loan Agreement, terminate any commitment to extend further credit and foreclose on the collateral. The occurrence of any of these events could have a material adverse effect on our business, financial condition and results of operations.</w:t>
      </w:r>
    </w:p>
    <w:p>
      <w:pPr>
        <w:spacing w:after="0" w:line="14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We are dependent on the services of our current management and other clinical and scientific personnel, and if we are not able to retain these individuals or recruit additional management or clinical and scientific personnel, our business will suffer.</w:t>
      </w:r>
    </w:p>
    <w:p>
      <w:pPr>
        <w:spacing w:after="0" w:line="106"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current senior management team, our Chairman and our development personnel. The loss of services of any of these individuals or personnel could delay or prevent the successful development of our product pipeline, completion of our ongoing clinical trials, initiation or completion of future clinical trials, or the commercialization of vonoprazan or any other future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65" w:lineRule="exact"/>
        <w:rPr>
          <w:sz w:val="20"/>
          <w:szCs w:val="20"/>
          <w:color w:val="auto"/>
        </w:rPr>
      </w:pPr>
    </w:p>
    <w:p>
      <w:pPr>
        <w:ind w:right="200" w:firstLine="589"/>
        <w:spacing w:after="0" w:line="254" w:lineRule="auto"/>
        <w:rPr>
          <w:sz w:val="20"/>
          <w:szCs w:val="20"/>
          <w:color w:val="auto"/>
        </w:rPr>
      </w:pPr>
      <w:r>
        <w:rPr>
          <w:rFonts w:ascii="Arial" w:cs="Arial" w:eastAsia="Arial" w:hAnsi="Arial"/>
          <w:sz w:val="18"/>
          <w:szCs w:val="18"/>
          <w:color w:val="auto"/>
        </w:rPr>
        <w:t>We will continue to expand and need to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recently substantially increased the size of our organization, and we may encounter difficulties in managing our growth and expanding our operations successfully.</w:t>
      </w:r>
    </w:p>
    <w:p>
      <w:pPr>
        <w:spacing w:after="0" w:line="130"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We have substantially increased our organization from four employees in February 2018 to eighteen full-time employees as of December 31, 2019. As we continue development and pursue the potential commercialization of vonoprazan and any future product candidates, as well as function as a public company, we will continue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develop and commercialize vonoprazan and any future product candidates and to compete effectively will depend, in part, on our ability to manage our recent substantial growth and any future growth effectively.</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73</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3" w:name="page74"/>
    <w:bookmarkEnd w:id="73"/>
    <w:p>
      <w:pPr>
        <w:ind w:right="640"/>
        <w:spacing w:after="0" w:line="277" w:lineRule="auto"/>
        <w:rPr>
          <w:sz w:val="20"/>
          <w:szCs w:val="20"/>
          <w:color w:val="auto"/>
        </w:rPr>
      </w:pPr>
      <w:r>
        <w:rPr>
          <w:rFonts w:ascii="Arial" w:cs="Arial" w:eastAsia="Arial" w:hAnsi="Arial"/>
          <w:sz w:val="18"/>
          <w:szCs w:val="18"/>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43" w:lineRule="exact"/>
        <w:rPr>
          <w:sz w:val="20"/>
          <w:szCs w:val="20"/>
          <w:color w:val="auto"/>
        </w:rPr>
      </w:pPr>
    </w:p>
    <w:p>
      <w:pPr>
        <w:ind w:right="260" w:firstLine="589"/>
        <w:spacing w:after="0" w:line="301" w:lineRule="auto"/>
        <w:rPr>
          <w:sz w:val="20"/>
          <w:szCs w:val="20"/>
          <w:color w:val="auto"/>
        </w:rPr>
      </w:pPr>
      <w:r>
        <w:rPr>
          <w:rFonts w:ascii="Arial" w:cs="Arial" w:eastAsia="Arial" w:hAnsi="Arial"/>
          <w:sz w:val="16"/>
          <w:szCs w:val="16"/>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 but are not limited to:</w:t>
      </w:r>
    </w:p>
    <w:p>
      <w:pPr>
        <w:spacing w:after="0" w:line="117" w:lineRule="exact"/>
        <w:rPr>
          <w:sz w:val="20"/>
          <w:szCs w:val="20"/>
          <w:color w:val="auto"/>
        </w:rPr>
      </w:pPr>
    </w:p>
    <w:p>
      <w:pPr>
        <w:ind w:left="1020" w:right="40" w:hanging="432"/>
        <w:spacing w:after="0" w:line="271"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to induce or reward, or in return for, either the referral of an individual for, or the purchase, lease, or order, or arranging for or recommending the purchase, lease, or order of any good, facility, item or service, for which payment may be made, in whole or in part, under any U.S.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137" w:lineRule="exact"/>
        <w:rPr>
          <w:rFonts w:ascii="Arial" w:cs="Arial" w:eastAsia="Arial" w:hAnsi="Arial"/>
          <w:sz w:val="17"/>
          <w:szCs w:val="17"/>
          <w:color w:val="auto"/>
        </w:rPr>
      </w:pPr>
    </w:p>
    <w:p>
      <w:pPr>
        <w:ind w:left="1020" w:right="40" w:hanging="432"/>
        <w:spacing w:after="0" w:line="296"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U.S. civil and criminal federal false claims and civil monetary penalties laws, including the civil False Claims Act, which can be enforced through civil whistleblower or qui tam actions,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U.S. federal government;</w:t>
      </w:r>
    </w:p>
    <w:p>
      <w:pPr>
        <w:spacing w:after="0" w:line="120" w:lineRule="exact"/>
        <w:rPr>
          <w:rFonts w:ascii="Arial" w:cs="Arial" w:eastAsia="Arial" w:hAnsi="Arial"/>
          <w:sz w:val="16"/>
          <w:szCs w:val="16"/>
          <w:color w:val="auto"/>
        </w:rPr>
      </w:pPr>
    </w:p>
    <w:p>
      <w:pPr>
        <w:ind w:left="1020" w:right="60" w:hanging="432"/>
        <w:spacing w:after="0" w:line="255"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51" w:lineRule="exact"/>
        <w:rPr>
          <w:rFonts w:ascii="Arial" w:cs="Arial" w:eastAsia="Arial" w:hAnsi="Arial"/>
          <w:sz w:val="18"/>
          <w:szCs w:val="18"/>
          <w:color w:val="auto"/>
        </w:rPr>
      </w:pPr>
    </w:p>
    <w:p>
      <w:pPr>
        <w:ind w:left="1020" w:right="20" w:hanging="432"/>
        <w:spacing w:after="0" w:line="25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also impose obligations, including mandatory contractual terms, with respect to safeguarding the privacy, security and transmission of individually identifiable health information of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147" w:lineRule="exact"/>
        <w:rPr>
          <w:rFonts w:ascii="Arial" w:cs="Arial" w:eastAsia="Arial" w:hAnsi="Arial"/>
          <w:sz w:val="18"/>
          <w:szCs w:val="18"/>
          <w:color w:val="auto"/>
        </w:rPr>
      </w:pPr>
    </w:p>
    <w:p>
      <w:pPr>
        <w:ind w:left="1020" w:right="20" w:hanging="432"/>
        <w:spacing w:after="0" w:line="296"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U.S.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or CMS, information related to certain payments and other “transfers of value” made to physicians (defined to include doctors, dentists, optometrists, podiatrists and chiropractors) and teaching hospitals, as well as ownership and investment interests held by the physicians described above and their immediate family members; and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74</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4" w:name="page75"/>
    <w:bookmarkEnd w:id="74"/>
    <w:p>
      <w:pPr>
        <w:ind w:left="1020" w:right="20" w:hanging="432"/>
        <w:spacing w:after="0" w:line="286"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 that have enacted or proposed requirements regarding the collection, distribution, use, security, and storage of personally identifiable information and other data relating to individuals (including the EU General Data Protection Regulation 2016/679, or GDPR, and the California Consumer Privacy Act, or CCPA), and federal and state consumer protection laws are being applied to enforce regulations related to the online collection, use, and dissemination of data, thus complicating compliance efforts.</w:t>
      </w:r>
    </w:p>
    <w:p>
      <w:pPr>
        <w:spacing w:after="0" w:line="133"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We may also be subject to additional regulation in the conduct of our business. For example, we may be subject to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61"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In addition, California recently enacted the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38" w:lineRule="exact"/>
        <w:rPr>
          <w:sz w:val="20"/>
          <w:szCs w:val="20"/>
          <w:color w:val="auto"/>
        </w:rPr>
      </w:pPr>
    </w:p>
    <w:p>
      <w:pPr>
        <w:ind w:right="80" w:firstLine="589"/>
        <w:spacing w:after="0" w:line="268" w:lineRule="auto"/>
        <w:rPr>
          <w:sz w:val="20"/>
          <w:szCs w:val="20"/>
          <w:color w:val="auto"/>
        </w:rPr>
      </w:pPr>
      <w:r>
        <w:rPr>
          <w:rFonts w:ascii="Arial" w:cs="Arial" w:eastAsia="Arial" w:hAnsi="Arial"/>
          <w:sz w:val="17"/>
          <w:szCs w:val="17"/>
          <w:color w:val="auto"/>
        </w:rPr>
        <w:t>Ensuring that our internal operations and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not to be in compliance with applicable laws, they may be subject to significant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75</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75" w:name="page76"/>
    <w:bookmarkEnd w:id="75"/>
    <w:p>
      <w:pPr>
        <w:ind w:right="600"/>
        <w:spacing w:after="0" w:line="308" w:lineRule="auto"/>
        <w:rPr>
          <w:sz w:val="20"/>
          <w:szCs w:val="20"/>
          <w:color w:val="auto"/>
        </w:rPr>
      </w:pPr>
      <w:r>
        <w:rPr>
          <w:rFonts w:ascii="Arial" w:cs="Arial" w:eastAsia="Arial" w:hAnsi="Arial"/>
          <w:sz w:val="17"/>
          <w:szCs w:val="17"/>
          <w:b w:val="1"/>
          <w:bCs w:val="1"/>
          <w:i w:val="1"/>
          <w:iCs w:val="1"/>
          <w:color w:val="auto"/>
        </w:rPr>
        <w:t>Enacted and future legislation and healthcare reform measures may increase the difficulty and cost for us to obtain marketing approval for and commercialize vonoprazan and any future product candidates and may affect the prices we may set.</w:t>
      </w:r>
    </w:p>
    <w:p>
      <w:pPr>
        <w:spacing w:after="0" w:line="119"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and proposed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17"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the Affordable Care Act includes:</w:t>
      </w:r>
    </w:p>
    <w:p>
      <w:pPr>
        <w:spacing w:after="0" w:line="143" w:lineRule="exact"/>
        <w:rPr>
          <w:sz w:val="20"/>
          <w:szCs w:val="20"/>
          <w:color w:val="auto"/>
        </w:rPr>
      </w:pPr>
    </w:p>
    <w:p>
      <w:pPr>
        <w:ind w:left="1020" w:right="260" w:hanging="432"/>
        <w:spacing w:after="0" w:line="308"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 which is apportioned among these entities according to their market share in certain government healthcare programs;</w:t>
      </w:r>
    </w:p>
    <w:p>
      <w:pPr>
        <w:spacing w:after="0" w:line="105" w:lineRule="exact"/>
        <w:rPr>
          <w:rFonts w:ascii="Arial" w:cs="Arial" w:eastAsia="Arial" w:hAnsi="Arial"/>
          <w:sz w:val="17"/>
          <w:szCs w:val="17"/>
          <w:color w:val="auto"/>
        </w:rPr>
      </w:pPr>
    </w:p>
    <w:p>
      <w:pPr>
        <w:ind w:left="1020" w:right="140" w:hanging="432"/>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143"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29" w:lineRule="exact"/>
        <w:rPr>
          <w:rFonts w:ascii="Arial" w:cs="Arial" w:eastAsia="Arial" w:hAnsi="Arial"/>
          <w:sz w:val="18"/>
          <w:szCs w:val="18"/>
          <w:color w:val="auto"/>
        </w:rPr>
      </w:pPr>
    </w:p>
    <w:p>
      <w:pPr>
        <w:ind w:left="1020" w:right="160" w:hanging="43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1020" w:right="180" w:hanging="43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extension of a manufacturers’ Medicaid rebate liability to covered drugs dispensed to individuals who are enrolled in Medicaid managed care organizations;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84" w:lineRule="exact"/>
        <w:rPr>
          <w:rFonts w:ascii="Arial" w:cs="Arial" w:eastAsia="Arial" w:hAnsi="Arial"/>
          <w:sz w:val="18"/>
          <w:szCs w:val="18"/>
          <w:color w:val="auto"/>
        </w:rPr>
      </w:pPr>
    </w:p>
    <w:p>
      <w:pPr>
        <w:ind w:left="1020" w:right="40" w:hanging="43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29" w:lineRule="exact"/>
        <w:rPr>
          <w:rFonts w:ascii="Arial" w:cs="Arial" w:eastAsia="Arial" w:hAnsi="Arial"/>
          <w:sz w:val="18"/>
          <w:szCs w:val="18"/>
          <w:color w:val="auto"/>
        </w:rPr>
      </w:pPr>
    </w:p>
    <w:p>
      <w:pPr>
        <w:ind w:left="1020" w:right="320" w:hanging="43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w:t>
      </w:r>
    </w:p>
    <w:p>
      <w:pPr>
        <w:spacing w:after="0" w:line="130"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Since its enactment, there have been judicial and political challenges to certain aspects of the Affordable Care Act, and we expect there will be additional challenges and amendments to the Affordable Care Act in the future. For example, the Tax Cuts and Jobs Act of 2017, or Tax Act,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or Texas District Court Judge, ruled that the individual mandate is a critical and inseverable feature of the Affordable Care Act, and therefore, because it was repealed as part of the Tax Act, the remaining provisions of the Affordable Care Act are invalid as well. On December 18, 2019, the U.S. Court of Appeals for the Fifth Circuit held that the individual mandate is unconstitutional and remanded the case back to the district court to determine whether the remaining provisions of the Affordable Care Act are invalid as well. It is unclear how these decisions, subsequent appeals, if any, and other efforts to challenge, repeal or replace the Affordable Care Act will impact the Affordable Care Act and our business.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76</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6" w:name="page77"/>
    <w:bookmarkEnd w:id="76"/>
    <w:p>
      <w:pPr>
        <w:ind w:right="60" w:firstLine="589"/>
        <w:spacing w:after="0" w:line="275"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These changes included aggregate reductions to Medicare payments to providers of 2% per fiscal year, which went into effect on April 1, 2013 and, due to subsequent legislative amendments to the statute will remain in effect through 2029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49"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46"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At the federal level, the Trump administration’s budget proposal for fiscal year 2020 contains further drug price control measures that could be enacted during the 2020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proposed measures will require authorization through additional legislation to become effective, Congress and the Trump administration have each indicated that it will continue to seek new legislative and/or administrative measures to control drug costs.</w:t>
      </w:r>
    </w:p>
    <w:p>
      <w:pPr>
        <w:spacing w:after="0" w:line="121"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 party payors and governmental authorities in reference pricing systems and publication of discounts and list prices. These reforms could reduce the ultimate demand for vonoprazan and any future product candidates, if approved, or put pressure on our product pricing, which could negatively affect our business, results of operations, financial condition and prospects.</w:t>
      </w:r>
    </w:p>
    <w:p>
      <w:pPr>
        <w:spacing w:after="0" w:line="165"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Additionally, on May 30, 2018, the Trickett Wendler, Frank Mongiello, Jordan McLinn, and Matthew Bellina Right to Try Act of 2017, or Right to Try Act, was signed into law. The law, among other things, provides a federal framework for certain patients to access certain investigational new drug products that have completed a Phase 1 clinical trial.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47" w:lineRule="exact"/>
        <w:rPr>
          <w:sz w:val="20"/>
          <w:szCs w:val="20"/>
          <w:color w:val="auto"/>
        </w:rPr>
      </w:pPr>
    </w:p>
    <w:p>
      <w:pPr>
        <w:ind w:right="320" w:firstLine="589"/>
        <w:spacing w:after="0" w:line="257" w:lineRule="auto"/>
        <w:rPr>
          <w:sz w:val="20"/>
          <w:szCs w:val="20"/>
          <w:color w:val="auto"/>
        </w:rPr>
      </w:pPr>
      <w:r>
        <w:rPr>
          <w:rFonts w:ascii="Arial" w:cs="Arial" w:eastAsia="Arial" w:hAnsi="Arial"/>
          <w:sz w:val="18"/>
          <w:szCs w:val="18"/>
          <w:color w:val="auto"/>
        </w:rPr>
        <w:t>We expect that these new laws and other healthcare reform measures that may be adopted in the future may result in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vonoprazan and any future product candidates, if approved.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77</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7" w:name="page78"/>
    <w:bookmarkEnd w:id="77"/>
    <w:p>
      <w:pPr>
        <w:ind w:right="680"/>
        <w:spacing w:after="0" w:line="277" w:lineRule="auto"/>
        <w:rPr>
          <w:sz w:val="20"/>
          <w:szCs w:val="20"/>
          <w:color w:val="auto"/>
        </w:rPr>
      </w:pPr>
      <w:r>
        <w:rPr>
          <w:rFonts w:ascii="Arial" w:cs="Arial" w:eastAsia="Arial" w:hAnsi="Arial"/>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43"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We and any of our third-party manufacturers or suppliers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w:t>
      </w:r>
    </w:p>
    <w:p>
      <w:pPr>
        <w:spacing w:after="0" w:line="126"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injuries to our employees resulting from the use of hazardous materials or other work- 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46"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product liability lawsuits are brought against us, we may incur substantial liabilities and may be required to limit commercialization of our products.</w:t>
      </w:r>
    </w:p>
    <w:p>
      <w:pPr>
        <w:spacing w:after="0" w:line="219"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We face an inherent risk of product liability as a result of the clinical trials of vonoprazan and any future product candidates and will face an even greater risk if we commercialize vonoprazan and any future product candidates. For example, we may be sued if vonoprazan and any future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37" w:lineRule="exact"/>
        <w:rPr>
          <w:sz w:val="20"/>
          <w:szCs w:val="20"/>
          <w:color w:val="auto"/>
        </w:rPr>
      </w:pPr>
    </w:p>
    <w:p>
      <w:pPr>
        <w:jc w:val="both"/>
        <w:ind w:right="200" w:firstLine="589"/>
        <w:spacing w:after="0" w:line="26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57" w:lineRule="exact"/>
        <w:rPr>
          <w:sz w:val="20"/>
          <w:szCs w:val="20"/>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78</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8" w:name="page79"/>
    <w:bookmarkEnd w:id="78"/>
    <w:p>
      <w:pPr>
        <w:ind w:left="1020" w:hanging="43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vonoprazan and any future product candidates;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85"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We currently maintain product liability insurance coverage in connection with our clinical trials, but do not maintain such insurance coverage for commercialization of vonoprazan and any future product candidates. Insurance coverage is increasingly expensive. Our inability to obtain and retain sufficient product liability insurance at an acceptable cost to protect against potential product liability claims could prevent or inhibit the commercialization of vonoprazan and any future product candidates. Although we plan to maintain such insurance, any claim that may be brought against us could result in a court judgment or settlement in an amount that is not covered, in whole or in part, by our insurance or that is in excess of the limits of our insurance coverage. Our insurance policies have, and future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51"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We and others, including any of our potential future collaborators, will be required to report to regulatory authorities if any of our approved products cause or contribute to adverse medical events, and any failure to do so would result in sanctions that would materially harm our business.</w:t>
      </w:r>
    </w:p>
    <w:p>
      <w:pPr>
        <w:spacing w:after="0" w:line="60"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If we or any of our potential future collaborators are successful in commercializing vonoprazan or any future product candidates, the FDA and foreign regulatory authorities would require that we and Takeda (with respect to vonoprazan) and any of our current or potential future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Takeda and any of our potential future collaborators or CROs may fail to report adverse events within the prescribed timeframe. If we, Takeda or any of our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13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internal computer systems, or those of any of our CROs, manufacturers, other contractors or consultants or potential future collaborators, may fail or suffer security breaches, which could result in a material disruption of our product development programs.</w:t>
      </w:r>
    </w:p>
    <w:p>
      <w:pPr>
        <w:spacing w:after="0" w:line="119"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The United States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online collection, use, and dissemination of data. Despite the implementation of security measures, our internal computer systems and those of our current and any future CROs and other contractors, consultants and collaborators are vulnerable to damage from computer viruses, cybersecurity threats, unauthorized access, natural disasters, terrorism, war and telecommunication and electrical failures. If such an event were to occur and cause interruptions in our operations or result in the unauthorized disclosure of or access to personally identifiable information or individually identifiable health information (violating certain privacy laws such as GDPR),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cause us to incur significant costs, including legal expenses, harm customer confidence, hurt our expansion into new markets, cause us to incur remediation costs, or cause us to lose existing customers. For example, the loss of clinical trial data from completed or future clinical trials could result in delays in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79</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79" w:name="page80"/>
    <w:bookmarkEnd w:id="79"/>
    <w:p>
      <w:pPr>
        <w:ind w:right="40"/>
        <w:spacing w:after="0" w:line="296" w:lineRule="auto"/>
        <w:rPr>
          <w:sz w:val="20"/>
          <w:szCs w:val="20"/>
          <w:color w:val="auto"/>
        </w:rPr>
      </w:pPr>
      <w:r>
        <w:rPr>
          <w:rFonts w:ascii="Arial" w:cs="Arial" w:eastAsia="Arial" w:hAnsi="Arial"/>
          <w:sz w:val="16"/>
          <w:szCs w:val="16"/>
          <w:color w:val="auto"/>
        </w:rPr>
        <w:t>our regulatory approval efforts and significantly increase our costs to recover or reproduce the data. We also rely on third parties to manufacture vonoprazan and any future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the further development and commercialization of vonoprazan and any future product candidates could be delayed, and we could be subject to significant fines, penalties or liabilities for any noncompliance to certain privacy and security laws.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85"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vonoprazan and any future product candidates. Our ability to obtain clinical supplies of vonoprazan and any future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p>
    <w:p>
      <w:pPr>
        <w:spacing w:after="0" w:line="1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43" w:lineRule="exact"/>
        <w:rPr>
          <w:sz w:val="20"/>
          <w:szCs w:val="20"/>
          <w:color w:val="auto"/>
        </w:rPr>
      </w:pPr>
    </w:p>
    <w:p>
      <w:pPr>
        <w:ind w:right="40" w:firstLine="589"/>
        <w:spacing w:after="0" w:line="267" w:lineRule="auto"/>
        <w:rPr>
          <w:sz w:val="20"/>
          <w:szCs w:val="20"/>
          <w:color w:val="auto"/>
        </w:rPr>
      </w:pPr>
      <w:r>
        <w:rPr>
          <w:rFonts w:ascii="Arial" w:cs="Arial" w:eastAsia="Arial" w:hAnsi="Arial"/>
          <w:sz w:val="17"/>
          <w:szCs w:val="17"/>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other unauthorized activities that violate: (i) the laws and regulations of the FDA and other similar regulatory bodies, including those laws that require the reporting of true, complete and accurate information to such regulatory bodies, (ii) manufacturing standards, including cGMP requirements, or (iii) federal and state healthcare, security, fraud and abuse laws, data privacy and security laws, and other similar non-U.S.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80</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80" w:name="page81"/>
    <w:bookmarkEnd w:id="80"/>
    <w:p>
      <w:pPr>
        <w:ind w:right="8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38" w:lineRule="exact"/>
        <w:rPr>
          <w:sz w:val="20"/>
          <w:szCs w:val="20"/>
          <w:color w:val="auto"/>
        </w:rPr>
      </w:pPr>
    </w:p>
    <w:p>
      <w:pPr>
        <w:ind w:right="60" w:firstLine="589"/>
        <w:spacing w:after="0" w:line="286"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19"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From time to time, we may consider strategic transactions, such as acquisitions of companies, asset purchases and out-licensing or in-licensing of intellectual property, products or technologies, similar to our approach in in-licensing and acquiring our current product candidates.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81</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85"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Our commercial success depends in part on our ability to obtain and maintain patent protection and trade secret protection for vonoprazan and any future product candidates, proprietary technologies and their uses as well as our ability to operate without infringing upon the proprietary rights of others. If we are unable to protect our intellectual property rights or if our intellectual property rights are inadequate for our technology or vonoprazan or any future product candidates, our competitive position could be harmed. We generally seek to protect our proprietary position by filing patent applications in the United States and abroad related to vonoprazan or any future product candidates, proprietary technologies and their uses that are important to our business. We do not currently own any issued patents or pending patent applications. We also seek to protect our proprietary position by acquiring or in-licensing relevant issued patents or pending patent applications from third parties. We have in-licensed from Takeda a number of United States, European, and Canadian patents and patent applications relating to the compound vonoprazan as well as the use and manufacture of vonoprazan products.</w:t>
      </w:r>
    </w:p>
    <w:p>
      <w:pPr>
        <w:spacing w:after="0" w:line="125" w:lineRule="exact"/>
        <w:rPr>
          <w:sz w:val="20"/>
          <w:szCs w:val="20"/>
          <w:color w:val="auto"/>
        </w:rPr>
      </w:pPr>
    </w:p>
    <w:p>
      <w:pPr>
        <w:ind w:right="260" w:firstLine="589"/>
        <w:spacing w:after="0" w:line="25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future patent applications or the patent applications of our current and future licensors will result in patents being issued or that issued patents will afford sufficient protection against competitors with similar technology, nor can there be any assurance that the patents if issued will not be infringed, designed around or invalidated by third parties.</w:t>
      </w:r>
    </w:p>
    <w:p>
      <w:pPr>
        <w:spacing w:after="0" w:line="161"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vonoprazan and any future product candidates could have a material adverse effect on our financial condition and results of operations.</w:t>
      </w:r>
    </w:p>
    <w:p>
      <w:pPr>
        <w:spacing w:after="0" w:line="14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cannot be certain that the claims in our licensor’s U.S. pending patent applications, corresponding international patent applications and patent applications in certain foreign countries will be considered patentable by the United States Patent and Trademark Office, or USPTO, courts in the United States or by the patent offices and courts in foreign countries, nor can we be certain that the claims in our licensor’s issued patents will not be found invalid or unenforceable if challenged.</w:t>
      </w:r>
    </w:p>
    <w:p>
      <w:pPr>
        <w:spacing w:after="0" w:line="146"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vonoprazan and any future product candidates by obtaining and defending patents. These risks and uncertainties include the following:</w:t>
      </w:r>
    </w:p>
    <w:p>
      <w:pPr>
        <w:spacing w:after="0" w:line="157" w:lineRule="exact"/>
        <w:rPr>
          <w:sz w:val="20"/>
          <w:szCs w:val="20"/>
          <w:color w:val="auto"/>
        </w:rPr>
      </w:pPr>
    </w:p>
    <w:p>
      <w:pPr>
        <w:ind w:left="1020" w:right="260" w:hanging="432"/>
        <w:spacing w:after="0" w:line="286"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24" w:lineRule="exact"/>
        <w:rPr>
          <w:rFonts w:ascii="Arial" w:cs="Arial" w:eastAsia="Arial" w:hAnsi="Arial"/>
          <w:sz w:val="17"/>
          <w:szCs w:val="17"/>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84" w:lineRule="exact"/>
        <w:rPr>
          <w:rFonts w:ascii="Arial" w:cs="Arial" w:eastAsia="Arial" w:hAnsi="Arial"/>
          <w:sz w:val="18"/>
          <w:szCs w:val="18"/>
          <w:color w:val="auto"/>
        </w:rPr>
      </w:pPr>
    </w:p>
    <w:p>
      <w:pPr>
        <w:ind w:left="1020" w:right="520" w:hanging="432"/>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29" w:lineRule="exact"/>
        <w:rPr>
          <w:rFonts w:ascii="Arial" w:cs="Arial" w:eastAsia="Arial" w:hAnsi="Arial"/>
          <w:sz w:val="18"/>
          <w:szCs w:val="18"/>
          <w:color w:val="auto"/>
        </w:rPr>
      </w:pPr>
    </w:p>
    <w:p>
      <w:pPr>
        <w:ind w:left="1020" w:right="260" w:hanging="432"/>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vonoprazan and any future product candidates;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82</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82" w:name="page83"/>
    <w:bookmarkEnd w:id="82"/>
    <w:p>
      <w:pPr>
        <w:ind w:left="1020" w:right="180" w:hanging="432"/>
        <w:spacing w:after="0" w:line="263"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43" w:lineRule="exact"/>
        <w:rPr>
          <w:rFonts w:ascii="Arial" w:cs="Arial" w:eastAsia="Arial" w:hAnsi="Arial"/>
          <w:sz w:val="18"/>
          <w:szCs w:val="18"/>
          <w:color w:val="auto"/>
        </w:rPr>
      </w:pPr>
    </w:p>
    <w:p>
      <w:pPr>
        <w:ind w:left="1020" w:right="320" w:hanging="432"/>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30" w:lineRule="exact"/>
        <w:rPr>
          <w:sz w:val="20"/>
          <w:szCs w:val="20"/>
          <w:color w:val="auto"/>
        </w:rPr>
      </w:pPr>
    </w:p>
    <w:p>
      <w:pPr>
        <w:ind w:right="180" w:firstLine="589"/>
        <w:spacing w:after="0" w:line="272" w:lineRule="auto"/>
        <w:rPr>
          <w:sz w:val="20"/>
          <w:szCs w:val="20"/>
          <w:color w:val="auto"/>
        </w:rPr>
      </w:pPr>
      <w:r>
        <w:rPr>
          <w:rFonts w:ascii="Arial" w:cs="Arial" w:eastAsia="Arial" w:hAnsi="Arial"/>
          <w:sz w:val="17"/>
          <w:szCs w:val="17"/>
          <w:color w:val="auto"/>
        </w:rPr>
        <w:t>The patent prosecution process is also expensive and time consuming, and we and our licensor may not be able to file and prosecute all necessary or desirable patent applications at a reasonable cost or in a timely manner or in all jurisdictions where protection may be commercially advantageous. It is also possible that we and our licensor will fail to identify patentable aspects of our research and development output before it is too late to obtain patent protection. Moreover, in some circumstances such as under the Takeda License, we do not have the right to control the preparation, filing and prosecution of patent applications, or to maintain the patents, directed to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150" w:lineRule="exact"/>
        <w:rPr>
          <w:sz w:val="20"/>
          <w:szCs w:val="20"/>
          <w:color w:val="auto"/>
        </w:rPr>
      </w:pPr>
    </w:p>
    <w:p>
      <w:pPr>
        <w:ind w:right="300" w:firstLine="589"/>
        <w:spacing w:after="0" w:line="257" w:lineRule="auto"/>
        <w:rPr>
          <w:sz w:val="20"/>
          <w:szCs w:val="20"/>
          <w:color w:val="auto"/>
        </w:rPr>
      </w:pPr>
      <w:r>
        <w:rPr>
          <w:rFonts w:ascii="Arial" w:cs="Arial" w:eastAsia="Arial" w:hAnsi="Arial"/>
          <w:sz w:val="18"/>
          <w:szCs w:val="18"/>
          <w:color w:val="auto"/>
        </w:rPr>
        <w:t>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4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4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including our rights in vonoprazan licensed from Takeda, or otherwise experience disruptions to our business relationships with our licensors, we could lose license rights that are important to our business.</w:t>
      </w:r>
    </w:p>
    <w:p>
      <w:pPr>
        <w:spacing w:after="0" w:line="157"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We are a party to the Takeda License under which we are granted rights to intellectual property that are important to our business and we may enter into additional license agreements in the future with other third parties. The Takeda License imposes, and we expect that any future license agreements where we in-license intellectual property, will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 Additionally, if a future license agreement includes a sublicense from a third party who is not the original licensor of the intellectual property at issue, then we must rely on our direct licensor to comply with its obligations under the primary license agreements under which such licensor obtained rights in the applicable intellectual property, where we may have no relationship with the original licensor of such rights. If such a licensor fails to comply with its obligations under its upstream license agreement, the original third-party licensor may have the right to terminate the original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vonoprazan and any future product candidates incorporating the relevant intellectual property.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83</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83" w:name="page84"/>
    <w:bookmarkEnd w:id="83"/>
    <w:p>
      <w:pPr>
        <w:ind w:right="20" w:firstLine="589"/>
        <w:spacing w:after="0" w:line="254" w:lineRule="auto"/>
        <w:rPr>
          <w:sz w:val="20"/>
          <w:szCs w:val="20"/>
          <w:color w:val="auto"/>
        </w:rPr>
      </w:pPr>
      <w:r>
        <w:rPr>
          <w:rFonts w:ascii="Arial" w:cs="Arial" w:eastAsia="Arial" w:hAnsi="Arial"/>
          <w:sz w:val="18"/>
          <w:szCs w:val="18"/>
          <w:color w:val="auto"/>
        </w:rPr>
        <w:t>We may need to obtain further licenses from third parties to advance our research or allow commercialization of vonoprazan and any future product candidates, and we cannot provide any assurances that third-party patents do not exist which might be enforced against vonoprazan and any future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65"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30" w:lineRule="exact"/>
        <w:rPr>
          <w:sz w:val="20"/>
          <w:szCs w:val="20"/>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1020" w:right="600" w:hanging="43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84" w:lineRule="exact"/>
        <w:rPr>
          <w:rFonts w:ascii="Arial" w:cs="Arial" w:eastAsia="Arial" w:hAnsi="Arial"/>
          <w:sz w:val="18"/>
          <w:szCs w:val="18"/>
          <w:color w:val="auto"/>
        </w:rPr>
      </w:pPr>
    </w:p>
    <w:p>
      <w:pPr>
        <w:ind w:left="1020" w:right="760" w:hanging="432"/>
        <w:spacing w:after="0" w:line="30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diligence obligations with respect to the use of the licensed technology in relation to our development and commercialization of vonoprazan and any future product candidates, and what activities satisfy those diligence obligations;</w:t>
      </w:r>
    </w:p>
    <w:p>
      <w:pPr>
        <w:spacing w:after="0" w:line="105" w:lineRule="exact"/>
        <w:rPr>
          <w:rFonts w:ascii="Arial" w:cs="Arial" w:eastAsia="Arial" w:hAnsi="Arial"/>
          <w:sz w:val="17"/>
          <w:szCs w:val="17"/>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84" w:lineRule="exact"/>
        <w:rPr>
          <w:rFonts w:ascii="Arial" w:cs="Arial" w:eastAsia="Arial" w:hAnsi="Arial"/>
          <w:sz w:val="18"/>
          <w:szCs w:val="18"/>
          <w:color w:val="auto"/>
        </w:rPr>
      </w:pPr>
    </w:p>
    <w:p>
      <w:pPr>
        <w:ind w:left="1020" w:right="320" w:hanging="43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30" w:lineRule="exact"/>
        <w:rPr>
          <w:sz w:val="20"/>
          <w:szCs w:val="20"/>
          <w:color w:val="auto"/>
        </w:rPr>
      </w:pPr>
    </w:p>
    <w:p>
      <w:pPr>
        <w:ind w:right="380" w:firstLine="589"/>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43"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 with Takeda with respect to any licensed product, we may be required to wait for a certain period or until the occurrence of certain funding or development milestones.</w:t>
      </w:r>
    </w:p>
    <w:p>
      <w:pPr>
        <w:spacing w:after="0" w:line="1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30"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in-licensed pending and future patent applications may not result in patents being issued which protect vonoprazan or any future product candidates or which effectively prevent others from commercializing competitive product candidates.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84</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84" w:name="page85"/>
    <w:bookmarkEnd w:id="84"/>
    <w:p>
      <w:pPr>
        <w:jc w:val="both"/>
        <w:ind w:right="180" w:firstLine="589"/>
        <w:spacing w:after="0" w:line="287"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own in the future or license currently issue as patents, they may not issue in a form that will provide us with any meaningful protection, prevent competitors or other third parties from competing with us, or otherwise provide us with any competitive advantage.</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Any future patents that we own or license, now or in the future, may be challenged or circumvented by third parties or may be narrowed or invalidated as a result of challenges by third parties. Consequently, we do not know whether vonoprazan or any future product candidates will be protectable or remain protected by valid and enforceable patents. Our competitors or other third parties may be able to circumvent our future patents or the patents of our current and future licensors by developing similar or alternative technologies or products in a non-infringing manner which could materially adversely affect our business, financial condition, results of operations and prospects.</w:t>
      </w:r>
    </w:p>
    <w:p>
      <w:pPr>
        <w:spacing w:after="0" w:line="164"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future patents or the patents of our current and future licensors may not cover vonoprazan or any future product candidates or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in-licensed patents and patent applications has been found. There is also no assurance that there is not prior art of which we, our predecessors or licensors are aware, but which we do not believe affects the validity or enforceability of a claim in our in-licensed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vonoprazan or any future product candidates and compete directly with us, without payment to us. It is possible that defects of form in the preparation or filing of our or our current and future licensors’ patents or patent applications may exist, or may arise in the future, for example with respect to proper priority claims, inventorship, claim scope, or requests for patent term adjustments. If there are material defects in the form, preparation, prosecution, or enforcement of our future patents or future patent applications or our current and future licensors’ patents or patent applications, such patents may be invalid and/or unenforceable, and such applications may never result in valid, enforceable patents.</w:t>
      </w:r>
    </w:p>
    <w:p>
      <w:pPr>
        <w:spacing w:after="0" w:line="139" w:lineRule="exact"/>
        <w:rPr>
          <w:sz w:val="20"/>
          <w:szCs w:val="20"/>
          <w:color w:val="auto"/>
        </w:rPr>
      </w:pPr>
    </w:p>
    <w:p>
      <w:pPr>
        <w:ind w:right="180" w:firstLine="589"/>
        <w:spacing w:after="0" w:line="254" w:lineRule="auto"/>
        <w:rPr>
          <w:sz w:val="20"/>
          <w:szCs w:val="20"/>
          <w:color w:val="auto"/>
        </w:rPr>
      </w:pPr>
      <w:r>
        <w:rPr>
          <w:rFonts w:ascii="Arial" w:cs="Arial" w:eastAsia="Arial" w:hAnsi="Arial"/>
          <w:sz w:val="18"/>
          <w:szCs w:val="18"/>
          <w:color w:val="auto"/>
        </w:rPr>
        <w:t>Any loss of patent rights, loss of exclusivity or in patent claims being narrowed, invalidated or held unenforceable could limit our ability to stop others from using or commercializing similar or identical technology and products, or limit the duration of the patent protection of vonoprazan or any future product candidates, which could materially and adversely impact our business. Such proceedings also may result in substantial cost and require significant time from our scientists and management, even if the eventual outcome is favorable to us. In addition, if the breadth or strength of protection provided by our future patents and future patent applications or the patents and patent applications of our current and future licensors is threatened, regardless of the outcome, it could dissuade companies from collaborating with us to license, develop or commercialize vonoprazan or any future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vonoprazan or any future product candidates may be dependent on third parties.</w:t>
      </w:r>
    </w:p>
    <w:p>
      <w:pPr>
        <w:spacing w:after="0" w:line="198"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We may rely on third parties to file and prosecute patent applications and maintain patents and otherwise protect the licensed intellectual property under certain current and future license agreements, such as the Takeda License. Under such arrangements, we may not have primary control over these activities for certain of licensed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In addition, our current and future licensors may not be fully cooperative or disagree with us as to the prosecution, maintenance or enforcement of any patent rights, which could compromise such patent rights. We may in the future enter into license agreements where the licensors may have the right to control enforcement of our licensed patents or defense of any claims asserting the invalidity of these patents and even if we are permitted to pursue such enforcement or defense, we will require the cooperation of our licensors.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85</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85" w:name="page86"/>
    <w:bookmarkEnd w:id="85"/>
    <w:p>
      <w:pPr>
        <w:ind w:right="40"/>
        <w:spacing w:after="0" w:line="255" w:lineRule="auto"/>
        <w:rPr>
          <w:sz w:val="20"/>
          <w:szCs w:val="20"/>
          <w:color w:val="auto"/>
        </w:rPr>
      </w:pPr>
      <w:r>
        <w:rPr>
          <w:rFonts w:ascii="Arial" w:cs="Arial" w:eastAsia="Arial" w:hAnsi="Arial"/>
          <w:sz w:val="18"/>
          <w:szCs w:val="18"/>
          <w:color w:val="auto"/>
        </w:rPr>
        <w:t>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vonoprazan or any future product candidates, our ability to develop and commercialize those product candidates may be adversely affected and we may not be able to prevent competitors from making, using and selling competing products.</w:t>
      </w:r>
    </w:p>
    <w:p>
      <w:pPr>
        <w:spacing w:after="0" w:line="165"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In addition, even where we have the right to control prosecution of patent applications or enforcement of patents we have acquired or licensed from third parties, we may still be adversely affected or prejudiced by actions or inactions of our predecessors or licensors and their counsel that took place prior to us assuming control over such activities.</w:t>
      </w:r>
    </w:p>
    <w:p>
      <w:pPr>
        <w:spacing w:after="0" w:line="143"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Third parties may retain certain rights to the technology that they license to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For example, under the Takeda License, Takeda retained the rights to the inventions in all countries other than the United States, Europe, and Canada. Takeda also retained the right to development certain drug products that contain vonoprazan where vonoprazan is not the only active pharmaceutical ingredient. It is difficult to monitor whether our predecessors or licensors limit their use of the technology to these uses, and we could incur substantial expenses to enforce our rights to our licensed technology in the event of misuse.</w:t>
      </w:r>
    </w:p>
    <w:p>
      <w:pPr>
        <w:spacing w:after="0" w:line="124"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our product candidate.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85"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30" w:lineRule="exact"/>
        <w:rPr>
          <w:sz w:val="20"/>
          <w:szCs w:val="20"/>
          <w:color w:val="auto"/>
        </w:rPr>
      </w:pPr>
    </w:p>
    <w:p>
      <w:pPr>
        <w:ind w:left="1020" w:right="100" w:hanging="432"/>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vonoprazan or any future product candidates but that are not covered by the claims of the patents that we own in the future or license;</w:t>
      </w:r>
    </w:p>
    <w:p>
      <w:pPr>
        <w:spacing w:after="0" w:line="129" w:lineRule="exact"/>
        <w:rPr>
          <w:rFonts w:ascii="Arial" w:cs="Arial" w:eastAsia="Arial" w:hAnsi="Arial"/>
          <w:sz w:val="18"/>
          <w:szCs w:val="18"/>
          <w:color w:val="auto"/>
        </w:rPr>
      </w:pPr>
    </w:p>
    <w:p>
      <w:pPr>
        <w:ind w:left="1020" w:right="240" w:hanging="432"/>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current and future licensors or predecessors might not have been the first to make the inventions covered by the issued patents or patent applications that we own in the future or license;</w:t>
      </w:r>
    </w:p>
    <w:p>
      <w:pPr>
        <w:spacing w:after="0" w:line="129"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current and future licensors or predecessors might not have been the first to file patent applications covering certain of the claimed inventions;</w:t>
      </w:r>
    </w:p>
    <w:p>
      <w:pPr>
        <w:spacing w:after="0" w:line="129"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issued patents that we own in the future or license may be held invalid or unenforceable, as a result of legal challenges by our competitors;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86</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86" w:name="page87"/>
    <w:bookmarkEnd w:id="86"/>
    <w:p>
      <w:pPr>
        <w:ind w:left="1020" w:right="740" w:hanging="432"/>
        <w:spacing w:after="0" w:line="308"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5" w:lineRule="exact"/>
        <w:rPr>
          <w:rFonts w:ascii="Arial" w:cs="Arial" w:eastAsia="Arial" w:hAnsi="Arial"/>
          <w:sz w:val="17"/>
          <w:szCs w:val="17"/>
          <w:color w:val="auto"/>
        </w:rPr>
      </w:pPr>
    </w:p>
    <w:p>
      <w:pPr>
        <w:ind w:left="1020" w:hanging="43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9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143"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vonoprazan and any future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 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vonoprazan and any future product candidates.</w:t>
      </w:r>
    </w:p>
    <w:p>
      <w:pPr>
        <w:spacing w:after="0" w:line="140" w:lineRule="exact"/>
        <w:rPr>
          <w:sz w:val="20"/>
          <w:szCs w:val="20"/>
          <w:color w:val="auto"/>
        </w:rPr>
      </w:pPr>
    </w:p>
    <w:p>
      <w:pPr>
        <w:jc w:val="both"/>
        <w:ind w:right="160" w:firstLine="589"/>
        <w:spacing w:after="0" w:line="286" w:lineRule="auto"/>
        <w:rPr>
          <w:sz w:val="20"/>
          <w:szCs w:val="20"/>
          <w:color w:val="auto"/>
        </w:rPr>
      </w:pPr>
      <w:r>
        <w:rPr>
          <w:rFonts w:ascii="Arial" w:cs="Arial" w:eastAsia="Arial" w:hAnsi="Arial"/>
          <w:sz w:val="16"/>
          <w:szCs w:val="16"/>
          <w:color w:val="auto"/>
        </w:rPr>
        <w:t>As the biopharmaceutical industry expands and more patents are issued, the risk increases that vonoprazan and any future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vonoprazan and any future product candidates, and we cannot be certain that we were the first to file a patent application related to a product candidate or technology.</w:t>
      </w:r>
    </w:p>
    <w:p>
      <w:pPr>
        <w:spacing w:after="0" w:line="1"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Moreover, because patent applications can take many years to issue, there may be currently pending patent applications that may later result in issued patents that vonoprazan and any future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these patents. Any claims of patent infringement asserted by third parties would be time consuming and could:</w:t>
      </w:r>
    </w:p>
    <w:p>
      <w:pPr>
        <w:spacing w:after="0" w:line="151" w:lineRule="exact"/>
        <w:rPr>
          <w:sz w:val="20"/>
          <w:szCs w:val="20"/>
          <w:color w:val="auto"/>
        </w:rPr>
      </w:pPr>
    </w:p>
    <w:p>
      <w:pPr>
        <w:ind w:left="1020" w:hanging="43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84" w:lineRule="exact"/>
        <w:rPr>
          <w:rFonts w:ascii="Arial" w:cs="Arial" w:eastAsia="Arial" w:hAnsi="Arial"/>
          <w:sz w:val="18"/>
          <w:szCs w:val="18"/>
          <w:color w:val="auto"/>
        </w:rPr>
      </w:pPr>
    </w:p>
    <w:p>
      <w:pPr>
        <w:ind w:left="1020" w:right="200" w:hanging="432"/>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prevent us from commercializing vonoprazan and any future product candidates until the asserted patent expires or is held finally invalid or not infringed in a court of law;</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84" w:lineRule="exact"/>
        <w:rPr>
          <w:rFonts w:ascii="Arial" w:cs="Arial" w:eastAsia="Arial" w:hAnsi="Arial"/>
          <w:sz w:val="18"/>
          <w:szCs w:val="18"/>
          <w:color w:val="auto"/>
        </w:rPr>
      </w:pPr>
    </w:p>
    <w:p>
      <w:pPr>
        <w:ind w:left="1020" w:right="360" w:hanging="432"/>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87</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87" w:name="page88"/>
    <w:bookmarkEnd w:id="87"/>
    <w:p>
      <w:pPr>
        <w:ind w:right="20" w:firstLine="589"/>
        <w:spacing w:after="0" w:line="277"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annual report, others may hold proprietary rights that could prevent vonoprazan and any future product candidates from being marketed.</w:t>
      </w:r>
    </w:p>
    <w:p>
      <w:pPr>
        <w:spacing w:after="0" w:line="143"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Any patent-related legal action against us claiming damages and seeking to enjoin activities relating to vonoprazan and any future product candidates or processes could subject us to potential liability for damages, including treble damages if we were determined to willfully infringe, and require us to obtain a license to manufacture or develop vonoprazan and any future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vonoprazan and any future product candidates or processes to avoid infringement, if necessary. Accordingly, an adverse determination in a judicial or administrative proceeding, or the failure to obtain necessary licenses, could prevent us from developing and commercializing vonoprazan and any future product candidates, which could harm our business, financial condition and operating results.</w:t>
      </w:r>
    </w:p>
    <w:p>
      <w:pPr>
        <w:spacing w:after="0" w:line="145"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3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vonoprazan and any future product candidates through acquisitions and in-licenses.</w:t>
      </w:r>
    </w:p>
    <w:p>
      <w:pPr>
        <w:spacing w:after="0" w:line="143"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Because our development programs may in the future require the use of proprietary rights held by other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vonoprazan and any future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future patents or the patents of our current and future licensors, which could be expensive, time consuming and unsuccessful. Further, our future issued patents or the patents of our current and future licensors could be found invalid or unenforceable if challenged in court.</w:t>
      </w:r>
    </w:p>
    <w:p>
      <w:pPr>
        <w:spacing w:after="0" w:line="143"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auto"/>
        </w:rPr>
        <w:t>Competitors may infringe our intellectual property rights or those of our current and future licensors. To prevent infringement or unauthorized use, we and/or any such licensors may be required to file infringement claims, which can be expensive and time consuming. In addition, in a patent infringement proceeding, a court may decide that a patent we own or license is not valid, is unenforceable and/or is not infringed. If we or any of our current and future licensors were to initiate legal proceedings against a third party to enforce a patent directed at vonoprazan and any future product candidates, the defendant could counterclaim that our patent or the patent of our current or future licensor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88</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88" w:name="page89"/>
    <w:bookmarkEnd w:id="88"/>
    <w:p>
      <w:pPr>
        <w:ind w:right="100" w:firstLine="589"/>
        <w:spacing w:after="0" w:line="279" w:lineRule="auto"/>
        <w:rPr>
          <w:sz w:val="20"/>
          <w:szCs w:val="20"/>
          <w:color w:val="auto"/>
        </w:rPr>
      </w:pPr>
      <w:r>
        <w:rPr>
          <w:rFonts w:ascii="Arial" w:cs="Arial" w:eastAsia="Arial" w:hAnsi="Arial"/>
          <w:sz w:val="17"/>
          <w:szCs w:val="17"/>
          <w:color w:val="auto"/>
        </w:rPr>
        <w:t>If a defendant were to prevail on a legal assertion of invalidity and/or unenforceability, we would lose at least part, and perhaps all, of the patent protection on such product candidate. In addition, if the breadth or strength of protection provided by our future patents and future patent applications or those of our current and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144"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24"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43"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30"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Derivation or interference proceedings provoked by third parties or brought by us or declared by the USPTO or similar proceedings in foreign patent offices may be necessary to determine the priority of inventions with respect to our future patents or future patent applications or those of our current and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vonoprazan and any future product candidates to market.</w:t>
      </w:r>
    </w:p>
    <w:p>
      <w:pPr>
        <w:spacing w:after="0" w:line="151"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Recent patent reform legislation could increase the uncertainties and costs surrounding the prosecution of our future patent applications or those of our current and future licensors and the enforcement or defense of our future issued patents or those of our current and future licensors.</w:t>
      </w:r>
    </w:p>
    <w:p>
      <w:pPr>
        <w:spacing w:after="0" w:line="60"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89</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89" w:name="page90"/>
    <w:bookmarkEnd w:id="89"/>
    <w:p>
      <w:pPr>
        <w:ind w:right="100"/>
        <w:spacing w:after="0" w:line="279" w:lineRule="auto"/>
        <w:rPr>
          <w:sz w:val="20"/>
          <w:szCs w:val="20"/>
          <w:color w:val="auto"/>
        </w:rPr>
      </w:pPr>
      <w:r>
        <w:rPr>
          <w:rFonts w:ascii="Arial" w:cs="Arial" w:eastAsia="Arial" w:hAnsi="Arial"/>
          <w:sz w:val="17"/>
          <w:szCs w:val="17"/>
          <w:color w:val="auto"/>
        </w:rPr>
        <w:t>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current and future licensors are the first to either (1) file any patent application related to vonoprazan and any future product candidates or (2) invent any of the inventions claimed in the patents or patent applications.</w:t>
      </w:r>
    </w:p>
    <w:p>
      <w:pPr>
        <w:spacing w:after="0" w:line="144"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47"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future patent applications or those of our current and future licensors and the enforcement or defense of our future issued patents or those of our current and future licensors, all of which could have a material adverse effect on our business, financial condition, results of operations and prospects.</w:t>
      </w:r>
    </w:p>
    <w:p>
      <w:pPr>
        <w:spacing w:after="0" w:line="12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vonoprazan and any future product candidates.</w:t>
      </w:r>
    </w:p>
    <w:p>
      <w:pPr>
        <w:spacing w:after="0" w:line="143" w:lineRule="exact"/>
        <w:rPr>
          <w:sz w:val="20"/>
          <w:szCs w:val="20"/>
          <w:color w:val="auto"/>
        </w:rPr>
      </w:pPr>
    </w:p>
    <w:p>
      <w:pPr>
        <w:ind w:right="140" w:firstLine="589"/>
        <w:spacing w:after="0" w:line="286"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future patents or in third-party patents. In addition, Congress or other foreign legislative bodies may pass patent reform legislation that is unfavorable to us. For example, a new bill (Terminating the Extension of Rights Misappropriated Act H.R. 3199) percolating through the United States Congress aims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the existing licensed patents and the patents we might obtain or license in the future.</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future patents, the patents of our current and future licensors, or other intellectual property</w:t>
      </w:r>
      <w:r>
        <w:rPr>
          <w:rFonts w:ascii="Arial" w:cs="Arial" w:eastAsia="Arial" w:hAnsi="Arial"/>
          <w:sz w:val="18"/>
          <w:szCs w:val="18"/>
          <w:color w:val="auto"/>
        </w:rPr>
        <w:t>.</w:t>
      </w:r>
    </w:p>
    <w:p>
      <w:pPr>
        <w:spacing w:after="0" w:line="130"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future patents, the patents of our current and future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90</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0" w:name="page91"/>
    <w:bookmarkEnd w:id="90"/>
    <w:p>
      <w:pPr>
        <w:spacing w:after="0"/>
        <w:rPr>
          <w:sz w:val="20"/>
          <w:szCs w:val="20"/>
          <w:color w:val="auto"/>
        </w:rPr>
      </w:pPr>
      <w:r>
        <w:rPr>
          <w:rFonts w:ascii="Arial" w:cs="Arial" w:eastAsia="Arial" w:hAnsi="Arial"/>
          <w:sz w:val="15"/>
          <w:szCs w:val="15"/>
          <w:b w:val="1"/>
          <w:bCs w:val="1"/>
          <w:i w:val="1"/>
          <w:iCs w:val="1"/>
          <w:color w:val="auto"/>
        </w:rPr>
        <w:t>Patent terms may be inadequate to protect our competitive position on vonoprazan and any future product candidates for an adequate amount of time.</w:t>
      </w:r>
    </w:p>
    <w:p>
      <w:pPr>
        <w:spacing w:after="0" w:line="233"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vonoprazan and any future product candidates are obtained, once the patent life has expired, we may be open to competition from competitive products. Given the amount of time required for the development, testing and regulatory review of product candidates, patents protecting vonoprazan and any future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obtain patent term extension for vonoprazan and any future product candidates, our business may be materially harmed.</w:t>
      </w:r>
    </w:p>
    <w:p>
      <w:pPr>
        <w:spacing w:after="0" w:line="196" w:lineRule="exact"/>
        <w:rPr>
          <w:sz w:val="20"/>
          <w:szCs w:val="20"/>
          <w:color w:val="auto"/>
        </w:rPr>
      </w:pPr>
    </w:p>
    <w:p>
      <w:pPr>
        <w:ind w:right="100" w:firstLine="589"/>
        <w:spacing w:after="0" w:line="286" w:lineRule="auto"/>
        <w:rPr>
          <w:sz w:val="20"/>
          <w:szCs w:val="20"/>
          <w:color w:val="auto"/>
        </w:rPr>
      </w:pPr>
      <w:r>
        <w:rPr>
          <w:rFonts w:ascii="Arial" w:cs="Arial" w:eastAsia="Arial" w:hAnsi="Arial"/>
          <w:sz w:val="16"/>
          <w:szCs w:val="16"/>
          <w:color w:val="auto"/>
        </w:rPr>
        <w:t>Depending upon the timing, duration and specifics of FDA marketing approval of vonoprazan and any future product candidates, one or more of our U.S. patents or those of our current and future licensors, may be eligible for limited patent term restoration under the Drug Price Competition and Patent Term Restoration Act of 1984, or the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vonoprazan and any future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our licensed territories.</w:t>
      </w:r>
    </w:p>
    <w:p>
      <w:pPr>
        <w:spacing w:after="0" w:line="185" w:lineRule="exact"/>
        <w:rPr>
          <w:sz w:val="20"/>
          <w:szCs w:val="20"/>
          <w:color w:val="auto"/>
        </w:rPr>
      </w:pPr>
    </w:p>
    <w:p>
      <w:pPr>
        <w:ind w:right="200" w:firstLine="589"/>
        <w:spacing w:after="0" w:line="289" w:lineRule="auto"/>
        <w:rPr>
          <w:sz w:val="20"/>
          <w:szCs w:val="20"/>
          <w:color w:val="auto"/>
        </w:rPr>
      </w:pPr>
      <w:r>
        <w:rPr>
          <w:rFonts w:ascii="Arial" w:cs="Arial" w:eastAsia="Arial" w:hAnsi="Arial"/>
          <w:sz w:val="16"/>
          <w:szCs w:val="16"/>
          <w:color w:val="auto"/>
        </w:rPr>
        <w:t>Although we have issued patents and pending patent applications in the United States and certain other countries in which we intend to commercialize our products, filing, prosecuting and defending patents in all relevant countries throughout the could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vonoprazan or any future product candidates, and our patents, the patents of our current and future licensors or other intellectual property rights may not be effective or sufficient to prevent them from competing.</w:t>
      </w:r>
    </w:p>
    <w:p>
      <w:pPr>
        <w:spacing w:after="0" w:line="126"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intellectual property rights or marketing of competing products in violation of our proprietary rights. Proceedings to enforce our patent rights in foreign jurisdictions could result in substantial costs and divert our efforts and attention from other aspects of our business, could put our future patents or the patents of our current and future licensors at risk of being invalidated or interpreted narrowly and our future patent applications or the patent applications of our current and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91</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1" w:name="page92"/>
    <w:bookmarkEnd w:id="91"/>
    <w:p>
      <w:pPr>
        <w:ind w:right="60" w:firstLine="58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6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3"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future patents and/or future applications and those of our current and future licensors.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98"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inside and outside the United States are less willing or unwilling to protect trade secrets.</w:t>
      </w:r>
    </w:p>
    <w:p>
      <w:pPr>
        <w:spacing w:after="0" w:line="137"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cannot otherwise maintain the confidentiality of our proprietary technology and other confidential information, then our ability to protect our trade secret information may be jeopardized.</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43"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As is common in the biopharmaceutical industry, in addition to our employees, we engage the services of consultants to assist us in the development of vonoprazan and any future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92</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2" w:name="page93"/>
    <w:bookmarkEnd w:id="92"/>
    <w:p>
      <w:pPr>
        <w:ind w:right="1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have or may enter into in the future may not be successful, which could adversely affect our ability to develop and commercialize our products.</w:t>
      </w:r>
    </w:p>
    <w:p>
      <w:pPr>
        <w:spacing w:after="0" w:line="130"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The success of our collaboration arrangements will depend heavily on the efforts and activities of our collaborators and partners. Under the Takeda License, for example, Takeda has certain obligations with respect to assisting with the transition of information and materials to us as well as providing clinical and commercial supply of the vonoprazan product. Collaborations and partnerships are subject to numerous risks, which may include that:</w:t>
      </w:r>
    </w:p>
    <w:p>
      <w:pPr>
        <w:spacing w:after="0" w:line="122" w:lineRule="exact"/>
        <w:rPr>
          <w:sz w:val="20"/>
          <w:szCs w:val="20"/>
          <w:color w:val="auto"/>
        </w:rPr>
      </w:pPr>
    </w:p>
    <w:p>
      <w:pPr>
        <w:ind w:left="1020" w:hanging="43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84" w:lineRule="exact"/>
        <w:rPr>
          <w:rFonts w:ascii="Arial" w:cs="Arial" w:eastAsia="Arial" w:hAnsi="Arial"/>
          <w:sz w:val="18"/>
          <w:szCs w:val="18"/>
          <w:color w:val="auto"/>
        </w:rPr>
      </w:pPr>
    </w:p>
    <w:p>
      <w:pPr>
        <w:jc w:val="both"/>
        <w:ind w:left="1020" w:right="440" w:hanging="432"/>
        <w:spacing w:after="0" w:line="311"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08" w:lineRule="exact"/>
        <w:rPr>
          <w:rFonts w:ascii="Arial" w:cs="Arial" w:eastAsia="Arial" w:hAnsi="Arial"/>
          <w:sz w:val="16"/>
          <w:szCs w:val="16"/>
          <w:color w:val="auto"/>
        </w:rPr>
      </w:pPr>
    </w:p>
    <w:p>
      <w:pPr>
        <w:ind w:left="1020" w:right="340" w:hanging="43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29" w:lineRule="exact"/>
        <w:rPr>
          <w:rFonts w:ascii="Arial" w:cs="Arial" w:eastAsia="Arial" w:hAnsi="Arial"/>
          <w:sz w:val="18"/>
          <w:szCs w:val="18"/>
          <w:color w:val="auto"/>
        </w:rPr>
      </w:pPr>
    </w:p>
    <w:p>
      <w:pPr>
        <w:ind w:left="1020" w:right="520" w:hanging="43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84" w:lineRule="exact"/>
        <w:rPr>
          <w:rFonts w:ascii="Arial" w:cs="Arial" w:eastAsia="Arial" w:hAnsi="Arial"/>
          <w:sz w:val="18"/>
          <w:szCs w:val="18"/>
          <w:color w:val="auto"/>
        </w:rPr>
      </w:pPr>
    </w:p>
    <w:p>
      <w:pPr>
        <w:ind w:left="1020" w:right="20" w:hanging="432"/>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43" w:lineRule="exact"/>
        <w:rPr>
          <w:rFonts w:ascii="Arial" w:cs="Arial" w:eastAsia="Arial" w:hAnsi="Arial"/>
          <w:sz w:val="18"/>
          <w:szCs w:val="18"/>
          <w:color w:val="auto"/>
        </w:rPr>
      </w:pPr>
    </w:p>
    <w:p>
      <w:pPr>
        <w:ind w:left="1020" w:right="220" w:hanging="432"/>
        <w:spacing w:after="0" w:line="342"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83" w:lineRule="exact"/>
        <w:rPr>
          <w:rFonts w:ascii="Arial" w:cs="Arial" w:eastAsia="Arial" w:hAnsi="Arial"/>
          <w:sz w:val="16"/>
          <w:szCs w:val="16"/>
          <w:color w:val="auto"/>
        </w:rPr>
      </w:pPr>
    </w:p>
    <w:p>
      <w:pPr>
        <w:ind w:left="1020" w:right="980" w:hanging="43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93</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3" w:name="page94"/>
    <w:bookmarkEnd w:id="93"/>
    <w:p>
      <w:pPr>
        <w:ind w:left="1020" w:right="40" w:hanging="432"/>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29" w:lineRule="exact"/>
        <w:rPr>
          <w:rFonts w:ascii="Arial" w:cs="Arial" w:eastAsia="Arial" w:hAnsi="Arial"/>
          <w:sz w:val="18"/>
          <w:szCs w:val="18"/>
          <w:color w:val="auto"/>
        </w:rPr>
      </w:pPr>
    </w:p>
    <w:p>
      <w:pPr>
        <w:ind w:left="1020" w:right="60" w:hanging="432"/>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3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57"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We may acquire or license in the future intellectual property rights that have been generated through the use of U.S. government funding or grant.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market for our common stock may not be maintained.</w:t>
      </w:r>
    </w:p>
    <w:p>
      <w:pPr>
        <w:spacing w:after="0" w:line="198"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Prior to our IPO, there had been no public market for our common stock. Our common stock only recently began trading on Nasdaq, but we can provide no assurance that we will be able to develop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3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highly volatile, and purchasers of our common stock could incur substantial losses.</w:t>
      </w:r>
    </w:p>
    <w:p>
      <w:pPr>
        <w:spacing w:after="0" w:line="130"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Our stock price has been and is likely to continue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144" w:lineRule="exact"/>
        <w:rPr>
          <w:sz w:val="20"/>
          <w:szCs w:val="20"/>
          <w:color w:val="auto"/>
        </w:rPr>
      </w:pPr>
    </w:p>
    <w:p>
      <w:pPr>
        <w:ind w:left="1020" w:hanging="432"/>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enroll patients in our ongoing and future clinical trials;</w:t>
      </w:r>
    </w:p>
    <w:p>
      <w:pPr>
        <w:spacing w:after="0" w:line="184" w:lineRule="exact"/>
        <w:rPr>
          <w:rFonts w:ascii="Arial" w:cs="Arial" w:eastAsia="Arial" w:hAnsi="Arial"/>
          <w:sz w:val="18"/>
          <w:szCs w:val="18"/>
          <w:color w:val="auto"/>
        </w:rPr>
      </w:pPr>
    </w:p>
    <w:p>
      <w:pPr>
        <w:ind w:left="1020" w:right="20" w:hanging="432"/>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our clinical trials and preclinical studies, the results of clinical trials conducted by Takeda and others for vonoprazan, and the results of trials of our competitors or those of other companies in our market sector;</w:t>
      </w:r>
    </w:p>
    <w:p>
      <w:pPr>
        <w:spacing w:after="0" w:line="129" w:lineRule="exact"/>
        <w:rPr>
          <w:rFonts w:ascii="Arial" w:cs="Arial" w:eastAsia="Arial" w:hAnsi="Arial"/>
          <w:sz w:val="18"/>
          <w:szCs w:val="18"/>
          <w:color w:val="auto"/>
        </w:rPr>
      </w:pPr>
    </w:p>
    <w:p>
      <w:pPr>
        <w:ind w:left="1020" w:right="100" w:hanging="432"/>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approval of vonoprazan and any future product candidates, or limitations to specific label indications or patient populations for its use, or changes or delays in the regulatory review process;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94</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94" w:name="page95"/>
    <w:bookmarkEnd w:id="94"/>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termination or loss of rights under the Takeda License;</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especially in light of current reforms to the U.S. healthcare system;</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or failure of our efforts to acquire, license or develop additional product candidates;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196" w:lineRule="exact"/>
        <w:rPr>
          <w:rFonts w:ascii="Arial" w:cs="Arial" w:eastAsia="Arial" w:hAnsi="Arial"/>
          <w:sz w:val="17"/>
          <w:szCs w:val="17"/>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licensors, future collaborators or other strategic partners;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our stock by insiders and stockholders, including Takeda;</w:t>
      </w:r>
    </w:p>
    <w:p>
      <w:pPr>
        <w:spacing w:after="0" w:line="184" w:lineRule="exact"/>
        <w:rPr>
          <w:rFonts w:ascii="Arial" w:cs="Arial" w:eastAsia="Arial" w:hAnsi="Arial"/>
          <w:sz w:val="18"/>
          <w:szCs w:val="18"/>
          <w:color w:val="auto"/>
        </w:rPr>
      </w:pPr>
    </w:p>
    <w:p>
      <w:pPr>
        <w:ind w:left="1020" w:right="540" w:hanging="432"/>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industry and market conditions, public health emergencies or other events or factors, many of which are beyond our control;</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and the incurrence of additional debt;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85" w:lineRule="exact"/>
        <w:rPr>
          <w:sz w:val="20"/>
          <w:szCs w:val="20"/>
          <w:color w:val="auto"/>
        </w:rPr>
      </w:pPr>
    </w:p>
    <w:p>
      <w:pPr>
        <w:jc w:val="both"/>
        <w:ind w:right="60" w:firstLine="589"/>
        <w:spacing w:after="0" w:line="286" w:lineRule="auto"/>
        <w:rPr>
          <w:sz w:val="20"/>
          <w:szCs w:val="20"/>
          <w:color w:val="auto"/>
        </w:rPr>
      </w:pPr>
      <w:r>
        <w:rPr>
          <w:rFonts w:ascii="Arial" w:cs="Arial" w:eastAsia="Arial" w:hAnsi="Arial"/>
          <w:sz w:val="17"/>
          <w:szCs w:val="17"/>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95</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the Nasdaq could result in a delisting of our common stock.</w:t>
      </w:r>
    </w:p>
    <w:p>
      <w:pPr>
        <w:spacing w:after="0" w:line="198"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If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52"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Our executive officers, directors and principal stockholders, if they choose to act together, have the ability to control or significantly influence all matters submitted to stockholders for approval. Furthermore, many of our current directors were appointed by our principal stockholders.</w:t>
      </w:r>
    </w:p>
    <w:p>
      <w:pPr>
        <w:spacing w:after="0" w:line="60"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Our executive officers, directors and greater than 5% stockholders, in the aggregate, own a majority of our outstanding common stock. Furthermore, many of our current directors were appointed by our principal stockholders. As a result, such persons or their appointees to our board of directors, acting together,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5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30"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under the terms of the Loan Agreement, we are prohibited from paying any cash dividends without the consent of the lenders. Any return to stockholders will therefore be limited to the appreciation of their stock. Shares of our common stock may not appreciate in value or even maintain the price at which stockholders have purchased their shares.</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including Takeda, in the public market could cause our stock price to fall.</w:t>
      </w:r>
    </w:p>
    <w:p>
      <w:pPr>
        <w:spacing w:after="0" w:line="143" w:lineRule="exact"/>
        <w:rPr>
          <w:sz w:val="20"/>
          <w:szCs w:val="20"/>
          <w:color w:val="auto"/>
        </w:rPr>
      </w:pPr>
    </w:p>
    <w:p>
      <w:pPr>
        <w:ind w:right="120" w:firstLine="589"/>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83"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In connection with our IPO, our officers, directors and holders of substantially all of our outstanding securities entered into lock-up agreements with the underwriters pursuant to which they may not, with limited exceptions, for a period of 180 days from the date of the prospectus for the IPO, offer, sell or otherwise transfer or dispose of any of our securities, without the prior written consent of Goldman Sachs &amp; Co. LLC, Jefferies LLC and Evercore Group L.L.C. The underwriters may permit our officers, directors and other securityholders who are subject to the lock-up agreements to sell shares prior to the expiration of the lock-up agreements, subject to limitations. Sales of these shares, or perceptions that they will be sold, could cause the trading price of our common stock to decline. After the lock-up agreements expire, these shares of common stock will be eligible for sale in the public market of which 13,452,229 shares are held by directors, executive officers and other affiliates and will be subject to volume limitations under Rule 144 under the Securities Act.</w:t>
      </w:r>
    </w:p>
    <w:p>
      <w:pPr>
        <w:spacing w:after="0" w:line="151" w:lineRule="exact"/>
        <w:rPr>
          <w:sz w:val="20"/>
          <w:szCs w:val="20"/>
          <w:color w:val="auto"/>
        </w:rPr>
      </w:pPr>
    </w:p>
    <w:p>
      <w:pPr>
        <w:ind w:right="300" w:firstLine="589"/>
        <w:spacing w:after="0" w:line="257" w:lineRule="auto"/>
        <w:rPr>
          <w:sz w:val="20"/>
          <w:szCs w:val="20"/>
          <w:color w:val="auto"/>
        </w:rPr>
      </w:pPr>
      <w:r>
        <w:rPr>
          <w:rFonts w:ascii="Arial" w:cs="Arial" w:eastAsia="Arial" w:hAnsi="Arial"/>
          <w:sz w:val="18"/>
          <w:szCs w:val="18"/>
          <w:color w:val="auto"/>
        </w:rPr>
        <w:t>In addition, as of December 31, 2019, up to 11,974,974 shares of common stock that are either subject to outstanding options, warrants or other rights or reserved for future issuance under our employee benefit plans will become eligible for sale in the public market to the extent permitted by the provisions of various vesting schedules, exercise limitations,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96</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6" w:name="page97"/>
    <w:bookmarkEnd w:id="96"/>
    <w:p>
      <w:pPr>
        <w:ind w:right="240" w:firstLine="589"/>
        <w:spacing w:after="0" w:line="273" w:lineRule="auto"/>
        <w:rPr>
          <w:sz w:val="20"/>
          <w:szCs w:val="20"/>
          <w:color w:val="auto"/>
        </w:rPr>
      </w:pPr>
      <w:r>
        <w:rPr>
          <w:rFonts w:ascii="Arial" w:cs="Arial" w:eastAsia="Arial" w:hAnsi="Arial"/>
          <w:sz w:val="17"/>
          <w:szCs w:val="17"/>
          <w:color w:val="auto"/>
        </w:rPr>
        <w:t>The holders of 12,069,916 shares of our outstanding common stock, or approximately 41.7% of our total outstanding common stock as of December 31, 2019, will be entitled to rights with respect to the registration of their shares under the Securities Act, subject to vesting and the 180-day lock-up agreements described above. In addition, Takeda is entitled to the same rights with respect to the registration of 7,588,000 shares of our common stock underlying the Takeda Warrant.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5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company may make our common stock less attractive to investors.</w:t>
      </w:r>
    </w:p>
    <w:p>
      <w:pPr>
        <w:spacing w:after="0" w:line="130"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 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37" w:lineRule="exact"/>
        <w:rPr>
          <w:sz w:val="20"/>
          <w:szCs w:val="20"/>
          <w:color w:val="auto"/>
        </w:rPr>
      </w:pPr>
    </w:p>
    <w:p>
      <w:pPr>
        <w:ind w:left="1020" w:right="140" w:hanging="432"/>
        <w:spacing w:after="0" w:line="342"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83" w:lineRule="exact"/>
        <w:rPr>
          <w:rFonts w:ascii="Arial" w:cs="Arial" w:eastAsia="Arial" w:hAnsi="Arial"/>
          <w:sz w:val="16"/>
          <w:szCs w:val="16"/>
          <w:color w:val="auto"/>
        </w:rPr>
      </w:pPr>
    </w:p>
    <w:p>
      <w:pPr>
        <w:ind w:left="1020" w:right="540" w:hanging="432"/>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the Sarbanes-Oxley Act;</w:t>
      </w:r>
    </w:p>
    <w:p>
      <w:pPr>
        <w:spacing w:after="0" w:line="129" w:lineRule="exact"/>
        <w:rPr>
          <w:rFonts w:ascii="Arial" w:cs="Arial" w:eastAsia="Arial" w:hAnsi="Arial"/>
          <w:sz w:val="18"/>
          <w:szCs w:val="18"/>
          <w:color w:val="auto"/>
        </w:rPr>
      </w:pPr>
    </w:p>
    <w:p>
      <w:pPr>
        <w:ind w:left="1020" w:right="480" w:hanging="432"/>
        <w:spacing w:after="0" w:line="286"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124" w:lineRule="exact"/>
        <w:rPr>
          <w:rFonts w:ascii="Arial" w:cs="Arial" w:eastAsia="Arial" w:hAnsi="Arial"/>
          <w:sz w:val="17"/>
          <w:szCs w:val="17"/>
          <w:color w:val="auto"/>
        </w:rPr>
      </w:pPr>
    </w:p>
    <w:p>
      <w:pPr>
        <w:ind w:left="1020" w:hanging="432"/>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84" w:lineRule="exact"/>
        <w:rPr>
          <w:rFonts w:ascii="Arial" w:cs="Arial" w:eastAsia="Arial" w:hAnsi="Arial"/>
          <w:sz w:val="18"/>
          <w:szCs w:val="18"/>
          <w:color w:val="auto"/>
        </w:rPr>
      </w:pPr>
    </w:p>
    <w:p>
      <w:pPr>
        <w:ind w:left="1020" w:right="60" w:hanging="432"/>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30"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Investors may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65"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97</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7" w:name="page98"/>
    <w:bookmarkEnd w:id="97"/>
    <w:p>
      <w:pPr>
        <w:ind w:right="700"/>
        <w:spacing w:after="0" w:line="277"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be required to devote substantial time to new compliance initiatives.</w:t>
      </w:r>
    </w:p>
    <w:p>
      <w:pPr>
        <w:spacing w:after="0" w:line="143"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26"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5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43" w:lineRule="exact"/>
        <w:rPr>
          <w:sz w:val="20"/>
          <w:szCs w:val="20"/>
          <w:color w:val="auto"/>
        </w:rPr>
      </w:pPr>
    </w:p>
    <w:p>
      <w:pPr>
        <w:ind w:right="280" w:firstLine="589"/>
        <w:spacing w:after="0" w:line="275"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our business, our market or our competitors. If no securities or industry analysts commence or continue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36"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60"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Pursuant to Section 404 of Sarbanes-Oxley, our management will be required to report upon the effectiveness of our internal control over financial reporting beginning with the annual report for our fiscal year ending December 31, 2020.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are in the process of implementing additional financial and management controls, reporting systems and procedures; and hiring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98</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8" w:name="page99"/>
    <w:bookmarkEnd w:id="98"/>
    <w:p>
      <w:pPr>
        <w:ind w:right="40" w:firstLine="589"/>
        <w:spacing w:after="0" w:line="254" w:lineRule="auto"/>
        <w:rPr>
          <w:sz w:val="20"/>
          <w:szCs w:val="20"/>
          <w:color w:val="auto"/>
        </w:rPr>
      </w:pPr>
      <w:r>
        <w:rPr>
          <w:rFonts w:ascii="Arial" w:cs="Arial" w:eastAsia="Arial" w:hAnsi="Arial"/>
          <w:sz w:val="18"/>
          <w:szCs w:val="18"/>
          <w:color w:val="auto"/>
        </w:rPr>
        <w:t>There could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30"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43" w:lineRule="exact"/>
        <w:rPr>
          <w:sz w:val="20"/>
          <w:szCs w:val="20"/>
          <w:color w:val="auto"/>
        </w:rPr>
      </w:pPr>
    </w:p>
    <w:p>
      <w:pPr>
        <w:ind w:left="1020" w:right="300" w:hanging="43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84" w:lineRule="exact"/>
        <w:rPr>
          <w:rFonts w:ascii="Arial" w:cs="Arial" w:eastAsia="Arial" w:hAnsi="Arial"/>
          <w:sz w:val="18"/>
          <w:szCs w:val="18"/>
          <w:color w:val="auto"/>
        </w:rPr>
      </w:pPr>
    </w:p>
    <w:p>
      <w:pPr>
        <w:jc w:val="both"/>
        <w:ind w:left="1020" w:right="360" w:hanging="432"/>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43" w:lineRule="exact"/>
        <w:rPr>
          <w:rFonts w:ascii="Arial" w:cs="Arial" w:eastAsia="Arial" w:hAnsi="Arial"/>
          <w:sz w:val="18"/>
          <w:szCs w:val="18"/>
          <w:color w:val="auto"/>
        </w:rPr>
      </w:pPr>
    </w:p>
    <w:p>
      <w:pPr>
        <w:ind w:left="1020" w:right="500" w:hanging="43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29" w:lineRule="exact"/>
        <w:rPr>
          <w:rFonts w:ascii="Arial" w:cs="Arial" w:eastAsia="Arial" w:hAnsi="Arial"/>
          <w:sz w:val="18"/>
          <w:szCs w:val="18"/>
          <w:color w:val="auto"/>
        </w:rPr>
      </w:pPr>
    </w:p>
    <w:p>
      <w:pPr>
        <w:jc w:val="both"/>
        <w:ind w:left="1020" w:right="160" w:hanging="432"/>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43" w:lineRule="exact"/>
        <w:rPr>
          <w:rFonts w:ascii="Arial" w:cs="Arial" w:eastAsia="Arial" w:hAnsi="Arial"/>
          <w:sz w:val="18"/>
          <w:szCs w:val="18"/>
          <w:color w:val="auto"/>
        </w:rPr>
      </w:pPr>
    </w:p>
    <w:p>
      <w:pPr>
        <w:ind w:left="1020" w:hanging="43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84" w:lineRule="exact"/>
        <w:rPr>
          <w:rFonts w:ascii="Arial" w:cs="Arial" w:eastAsia="Arial" w:hAnsi="Arial"/>
          <w:sz w:val="18"/>
          <w:szCs w:val="18"/>
          <w:color w:val="auto"/>
        </w:rPr>
      </w:pPr>
    </w:p>
    <w:p>
      <w:pPr>
        <w:ind w:left="1020" w:right="220" w:hanging="432"/>
        <w:spacing w:after="0" w:line="308"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05" w:lineRule="exact"/>
        <w:rPr>
          <w:rFonts w:ascii="Arial" w:cs="Arial" w:eastAsia="Arial" w:hAnsi="Arial"/>
          <w:sz w:val="17"/>
          <w:szCs w:val="17"/>
          <w:color w:val="auto"/>
        </w:rPr>
      </w:pPr>
    </w:p>
    <w:p>
      <w:pPr>
        <w:ind w:left="1020" w:right="380" w:hanging="43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29" w:lineRule="exact"/>
        <w:rPr>
          <w:rFonts w:ascii="Arial" w:cs="Arial" w:eastAsia="Arial" w:hAnsi="Arial"/>
          <w:sz w:val="18"/>
          <w:szCs w:val="18"/>
          <w:color w:val="auto"/>
        </w:rPr>
      </w:pPr>
    </w:p>
    <w:p>
      <w:pPr>
        <w:ind w:left="1020" w:right="280" w:hanging="43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129" w:lineRule="exact"/>
        <w:rPr>
          <w:rFonts w:ascii="Arial" w:cs="Arial" w:eastAsia="Arial" w:hAnsi="Arial"/>
          <w:sz w:val="18"/>
          <w:szCs w:val="18"/>
          <w:color w:val="auto"/>
        </w:rPr>
      </w:pPr>
    </w:p>
    <w:p>
      <w:pPr>
        <w:ind w:left="1020" w:right="560" w:hanging="43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29" w:lineRule="exact"/>
        <w:rPr>
          <w:rFonts w:ascii="Arial" w:cs="Arial" w:eastAsia="Arial" w:hAnsi="Arial"/>
          <w:sz w:val="18"/>
          <w:szCs w:val="18"/>
          <w:color w:val="auto"/>
        </w:rPr>
      </w:pPr>
    </w:p>
    <w:p>
      <w:pPr>
        <w:ind w:left="1020" w:right="40" w:hanging="432"/>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US-DOCS\113023198.3</w:t>
            </w:r>
          </w:p>
        </w:tc>
        <w:tc>
          <w:tcPr>
            <w:tcW w:w="7600" w:type="dxa"/>
            <w:vAlign w:val="bottom"/>
          </w:tcPr>
          <w:p>
            <w:pPr>
              <w:jc w:val="right"/>
              <w:ind w:right="5450"/>
              <w:spacing w:after="0"/>
              <w:rPr>
                <w:sz w:val="20"/>
                <w:szCs w:val="20"/>
                <w:color w:val="auto"/>
              </w:rPr>
            </w:pPr>
            <w:r>
              <w:rPr>
                <w:rFonts w:ascii="Arial" w:cs="Arial" w:eastAsia="Arial" w:hAnsi="Arial"/>
                <w:sz w:val="18"/>
                <w:szCs w:val="18"/>
                <w:color w:val="auto"/>
              </w:rPr>
              <w:t>99</w:t>
            </w:r>
          </w:p>
        </w:tc>
      </w:tr>
      <w:tr>
        <w:trPr>
          <w:trHeight w:val="331"/>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9" w:name="page100"/>
    <w:bookmarkEnd w:id="99"/>
    <w:p>
      <w:pPr>
        <w:ind w:right="180" w:firstLine="589"/>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5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43"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is the exclusive forum for any derivative action or proceeding brought on our behalf under Delaware statutory or common law, including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The choice of forum provisions in our amended and restated certificate of incorporation may limit a stockholder’s ability to bring a claim in a judicial forum that it finds favorable for disputes with us or our directors, officers or other employees, which may discourage such lawsuits against us and our directors, officers and other employees. By agreeing to these provisions,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w:t>
      </w:r>
    </w:p>
    <w:p>
      <w:pPr>
        <w:spacing w:after="0" w:line="198"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(if at all).</w:t>
      </w:r>
    </w:p>
    <w:p>
      <w:pPr>
        <w:spacing w:after="0" w:line="143"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Under recently enacted U.S. tax legislation, federal net operating loss, or NOL, carryforwards generated in periods after December 31, 2017, may be carried forward indefinitely but may only be used to offset 80% of our taxable income annually. Our NOL carryforwards are subject to review and possible adjustment by the Internal Revenue Service, or the IRS, and state tax authorities. Under Section 382 of the Internal Revenue Code of 1986, as amended, or the Code, our federal NOL carryforwards may become subject to an annual limitation in the event of certain cumulative changes in the ownership interest of significant stockholders over a three-year period in excess of 50 percentage points. Our ability to utilize our NOL carryforwards and other tax attributes to offset future taxable income or tax liabilities may be limited as a result of ownership changes, including potential changes in connection with our IPO or future offerings. Similar rules may apply under state tax laws. We have not yet determined the amount of the cumulative change in our ownership resulting from our IPO or other transactions, or any resulting limitations on our ability to utilize our NOL carryforwards and other tax attributes. If we earn taxable income, such limitations could result in increased future tax liability to us and our future cash flows could be adversely affected. We have recorded a full valuation allowance related to our NOLs and other deferred tax assets due to the uncertainty of the ultimate realization of the future benefits of those assets.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100</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198"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The Tax Act has significantly changed the U.S. federal income taxation of U.S. corporations, including by reducing the U.S. corporate income tax rate and revising the rules governing NOLs. Many of these changes became effective beginning in 2018, without any transition periods or grandfathering for existing transactions. The legislation is unclear in many respects and may continue to be subject to potential amendments and technical corrections, as well as interpretations and implementing regulations by the U.S. Treasury Department and the IRS, which have lessened or increased certain adverse impacts of the legislation and may do so in the future. We continue to work with our tax advisors to determine the full impact that the recent tax legislation as a whole will have on us. We urge our investors to consult with their legal and tax advisors with respect to such legislation and the potential tax consequences of investing in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85"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1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02" w:lineRule="exact"/>
        <w:rPr>
          <w:sz w:val="20"/>
          <w:szCs w:val="20"/>
          <w:color w:val="auto"/>
        </w:rPr>
      </w:pPr>
    </w:p>
    <w:p>
      <w:pPr>
        <w:ind w:right="120" w:firstLine="589"/>
        <w:spacing w:after="0" w:line="308" w:lineRule="auto"/>
        <w:rPr>
          <w:sz w:val="20"/>
          <w:szCs w:val="20"/>
          <w:color w:val="auto"/>
        </w:rPr>
      </w:pPr>
      <w:r>
        <w:rPr>
          <w:rFonts w:ascii="Arial" w:cs="Arial" w:eastAsia="Arial" w:hAnsi="Arial"/>
          <w:sz w:val="17"/>
          <w:szCs w:val="17"/>
          <w:color w:val="auto"/>
        </w:rPr>
        <w:t>Our corporate offices are located in Buffalo Grove, Illinois, and Florham Park, New Jersey. We believe that our facilities are adequate to meet our current needs, and that suitable additional alternative spaces will be available in the future on commercially reasonable terms, if required.</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additional information, see Note 6, Lease Commitments included in Item 15 of this Annual Report on Form 10-K.</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right="300" w:firstLine="589"/>
        <w:spacing w:after="0" w:line="311" w:lineRule="auto"/>
        <w:rPr>
          <w:sz w:val="20"/>
          <w:szCs w:val="20"/>
          <w:color w:val="auto"/>
        </w:rPr>
      </w:pPr>
      <w:r>
        <w:rPr>
          <w:rFonts w:ascii="Arial" w:cs="Arial" w:eastAsia="Arial" w:hAnsi="Arial"/>
          <w:sz w:val="16"/>
          <w:szCs w:val="16"/>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0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101</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Our common stock has been publicly traded on the Nasdaq Global Select Market under the symbol “PHAT” since our initial public offering on October 25, 2019, which was completed at a price to the public of $19.00 per share. Prior to our initial public offering, there was no public market for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02"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As of March 10, 2020, there were 28,964,506 shares of our common stock outstanding held by approximately 40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under the terms of our Loan Agreement, we are prohibited from paying any cash dividends without the consent of the lenders.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See Item 12 of Part III of this annual report on Form 10-K for information about our equity compensation plans which is incorporated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From January 1, 2019 through December 31, 2019, we issued and sold the equity securities described below.</w:t>
      </w:r>
    </w:p>
    <w:p>
      <w:pPr>
        <w:spacing w:after="0" w:line="198" w:lineRule="exact"/>
        <w:rPr>
          <w:sz w:val="20"/>
          <w:szCs w:val="20"/>
          <w:color w:val="auto"/>
        </w:rPr>
      </w:pPr>
    </w:p>
    <w:p>
      <w:pPr>
        <w:ind w:right="80" w:firstLine="597"/>
        <w:spacing w:after="0" w:line="277" w:lineRule="auto"/>
        <w:tabs>
          <w:tab w:leader="none" w:pos="7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March 2019, we issued 1,491,072 shares of common stock to Frazier Life Sciences IX, L.P., or FLS IX, at a purchase price of $0.0002958 per share pursuant to a stock purchase agreement.</w:t>
      </w:r>
    </w:p>
    <w:p>
      <w:pPr>
        <w:spacing w:after="0" w:line="129" w:lineRule="exact"/>
        <w:rPr>
          <w:rFonts w:ascii="Arial" w:cs="Arial" w:eastAsia="Arial" w:hAnsi="Arial"/>
          <w:sz w:val="18"/>
          <w:szCs w:val="18"/>
          <w:color w:val="auto"/>
        </w:rPr>
      </w:pPr>
    </w:p>
    <w:p>
      <w:pPr>
        <w:ind w:right="440" w:firstLine="597"/>
        <w:spacing w:after="0" w:line="277" w:lineRule="auto"/>
        <w:tabs>
          <w:tab w:leader="none" w:pos="7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March 2019, we issued 1,743,072 shares of our restricted common stock to certain of our founders at a purchase price of $0.0002958 per share pursuant to restricted stock purchase agreements.</w:t>
      </w:r>
    </w:p>
    <w:p>
      <w:pPr>
        <w:spacing w:after="0" w:line="129" w:lineRule="exact"/>
        <w:rPr>
          <w:rFonts w:ascii="Arial" w:cs="Arial" w:eastAsia="Arial" w:hAnsi="Arial"/>
          <w:sz w:val="18"/>
          <w:szCs w:val="18"/>
          <w:color w:val="auto"/>
        </w:rPr>
      </w:pPr>
    </w:p>
    <w:p>
      <w:pPr>
        <w:ind w:right="620" w:firstLine="597"/>
        <w:spacing w:after="0" w:line="277" w:lineRule="auto"/>
        <w:tabs>
          <w:tab w:leader="none" w:pos="7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From April 2019 to May 2019, we issued 781,780 shares of our restricted common stock to certain of our employees and consultants at a purchase price of $0.0002958 per share pursuant to restricted stock purchase agreements.</w:t>
      </w:r>
    </w:p>
    <w:p>
      <w:pPr>
        <w:spacing w:after="0" w:line="143" w:lineRule="exact"/>
        <w:rPr>
          <w:rFonts w:ascii="Arial" w:cs="Arial" w:eastAsia="Arial" w:hAnsi="Arial"/>
          <w:sz w:val="18"/>
          <w:szCs w:val="18"/>
          <w:color w:val="auto"/>
        </w:rPr>
      </w:pPr>
    </w:p>
    <w:p>
      <w:pPr>
        <w:ind w:right="740" w:firstLine="597"/>
        <w:spacing w:after="0" w:line="277" w:lineRule="auto"/>
        <w:tabs>
          <w:tab w:leader="none" w:pos="7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May 2019, we granted 16,260 shares of our restricted common stock under our existing 2019 equity incentive plan to a consultant in connection with services provided to us by such person.</w:t>
      </w:r>
    </w:p>
    <w:p>
      <w:pPr>
        <w:spacing w:after="0" w:line="129" w:lineRule="exact"/>
        <w:rPr>
          <w:rFonts w:ascii="Arial" w:cs="Arial" w:eastAsia="Arial" w:hAnsi="Arial"/>
          <w:sz w:val="18"/>
          <w:szCs w:val="18"/>
          <w:color w:val="auto"/>
        </w:rPr>
      </w:pPr>
    </w:p>
    <w:p>
      <w:pPr>
        <w:ind w:left="780" w:hanging="183"/>
        <w:spacing w:after="0"/>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May 2019, we issued 1,084,000 shares of common stock to Takeda pursuant to a stock issuance agreement and a warrant to purchase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7,588,000 shares of our common stock with an exercise price of $0.00004613 per share as partial consideration for the Takeda License.</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102</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2" w:name="page103"/>
    <w:bookmarkEnd w:id="102"/>
    <w:p>
      <w:pPr>
        <w:ind w:right="140" w:firstLine="597"/>
        <w:spacing w:after="0" w:line="263" w:lineRule="auto"/>
        <w:tabs>
          <w:tab w:leader="none" w:pos="7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May 2019, we issued convertible promissory notes in an aggregate principal amount of $90.3 million to FLS IX and other investors pursuant to a note purchase agreement. The notes automatically converted into an aggregate of 6,107,918 shares of our common stock immediately prior to the closing of our initial public offering.</w:t>
      </w:r>
    </w:p>
    <w:p>
      <w:pPr>
        <w:spacing w:after="0" w:line="156" w:lineRule="exact"/>
        <w:rPr>
          <w:rFonts w:ascii="Arial" w:cs="Arial" w:eastAsia="Arial" w:hAnsi="Arial"/>
          <w:sz w:val="18"/>
          <w:szCs w:val="18"/>
          <w:color w:val="auto"/>
        </w:rPr>
      </w:pPr>
    </w:p>
    <w:p>
      <w:pPr>
        <w:ind w:right="240" w:firstLine="597"/>
        <w:spacing w:after="0" w:line="277" w:lineRule="auto"/>
        <w:tabs>
          <w:tab w:leader="none" w:pos="7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May 2019, we issued warrants to purchase 16,446 shares of common stock to Silicon Valley Bank and WestRiver Innovation Lending Fund VIII, L.P. at an exercise price of $15.20 per share.</w:t>
      </w:r>
    </w:p>
    <w:p>
      <w:pPr>
        <w:spacing w:after="0" w:line="129" w:lineRule="exact"/>
        <w:rPr>
          <w:rFonts w:ascii="Arial" w:cs="Arial" w:eastAsia="Arial" w:hAnsi="Arial"/>
          <w:sz w:val="18"/>
          <w:szCs w:val="18"/>
          <w:color w:val="auto"/>
        </w:rPr>
      </w:pPr>
    </w:p>
    <w:p>
      <w:pPr>
        <w:ind w:right="480" w:firstLine="597"/>
        <w:spacing w:after="0" w:line="277" w:lineRule="auto"/>
        <w:tabs>
          <w:tab w:leader="none" w:pos="7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August 2019, we granted stock options to purchase an aggregate of 906,224 shares of our common stock at a price of $6.95 per share, to certain of our employees and directors in connection with services provided to us by such persons.</w:t>
      </w:r>
    </w:p>
    <w:p>
      <w:pPr>
        <w:spacing w:after="0" w:line="129" w:lineRule="exact"/>
        <w:rPr>
          <w:rFonts w:ascii="Arial" w:cs="Arial" w:eastAsia="Arial" w:hAnsi="Arial"/>
          <w:sz w:val="18"/>
          <w:szCs w:val="18"/>
          <w:color w:val="auto"/>
        </w:rPr>
      </w:pPr>
    </w:p>
    <w:p>
      <w:pPr>
        <w:ind w:right="140" w:firstLine="597"/>
        <w:spacing w:after="0" w:line="277" w:lineRule="auto"/>
        <w:tabs>
          <w:tab w:leader="none" w:pos="7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September 2019, we granted stock options to purchase an aggregate of 494,304 shares of our common stock at a price of $13.04 per share, to certain of our employees and directors in connection with services provided to us by such persons.</w:t>
      </w:r>
    </w:p>
    <w:p>
      <w:pPr>
        <w:spacing w:after="0" w:line="143"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The securities described in paragraphs (1) and (5) through (7) above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126" w:lineRule="exact"/>
        <w:rPr>
          <w:sz w:val="20"/>
          <w:szCs w:val="20"/>
          <w:color w:val="auto"/>
        </w:rPr>
      </w:pPr>
    </w:p>
    <w:p>
      <w:pPr>
        <w:ind w:right="140" w:firstLine="589"/>
        <w:spacing w:after="0" w:line="296" w:lineRule="auto"/>
        <w:rPr>
          <w:sz w:val="20"/>
          <w:szCs w:val="20"/>
          <w:color w:val="auto"/>
        </w:rPr>
      </w:pPr>
      <w:r>
        <w:rPr>
          <w:rFonts w:ascii="Arial" w:cs="Arial" w:eastAsia="Arial" w:hAnsi="Arial"/>
          <w:sz w:val="16"/>
          <w:szCs w:val="16"/>
          <w:color w:val="auto"/>
        </w:rPr>
        <w:t>The restricted common stock, stock options and the common stock issuable upon the exercise of such options as described in paragraph (2), (3), (4), (8) and (9) above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12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All of the foregoing securities are deemed restricted securities for purposes of the Securities Act. All of the foregoing securities included appropriate legends setting forth that the securities had not been registered and the applicable restrictions on transfer. No underwriters were involved in the foregoing sales of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right="260" w:firstLine="589"/>
        <w:spacing w:after="0" w:line="291" w:lineRule="auto"/>
        <w:rPr>
          <w:sz w:val="20"/>
          <w:szCs w:val="20"/>
          <w:color w:val="auto"/>
        </w:rPr>
      </w:pPr>
      <w:r>
        <w:rPr>
          <w:rFonts w:ascii="Arial" w:cs="Arial" w:eastAsia="Arial" w:hAnsi="Arial"/>
          <w:sz w:val="16"/>
          <w:szCs w:val="16"/>
          <w:color w:val="auto"/>
        </w:rPr>
        <w:t>On October 24, 2019, our registration statement on Form S-1 (File No. 333-234020) was declared effective by the SEC for our initial public offering. At the closing of the offering on October 29, 2019, we sold 10,997,630 shares of common stock, which included the exercise in full by the underwriters of their option to purchase 1,434,473 additional shares, at an initial public offering price of $19.00 per share and received gross proceeds of $209.0 million, which resulted in net proceeds to us of approximately $191.5 million, after deducting underwriting discounts and commissions of approximately $14.6 million and offering-related transaction costs of approximately $2.9 million. None of the expenses associated with the initial public offering were paid to directors, officers, persons owning ten percent or more of any class of equity securities, or to their associates, or to our affiliates. Goldman Sachs &amp; Co. LLC, Jefferies LLC and Evercore Group L.L.C. acted as joint book-running managers for the offering.</w:t>
      </w:r>
    </w:p>
    <w:p>
      <w:pPr>
        <w:spacing w:after="0" w:line="126"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There has been no change in our planned use of proceeds from our initial public offering contained in our quarterly report on Form 10-Q for the quarter ended September 30, 2019.</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103</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repurchases of our common stock during the three months ended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 Number</w:t>
            </w:r>
          </w:p>
        </w:tc>
        <w:tc>
          <w:tcPr>
            <w:tcW w:w="1740" w:type="dxa"/>
            <w:vAlign w:val="bottom"/>
          </w:tcPr>
          <w:p>
            <w:pPr>
              <w:jc w:val="center"/>
              <w:ind w:right="62"/>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Shares</w:t>
            </w:r>
          </w:p>
        </w:tc>
        <w:tc>
          <w:tcPr>
            <w:tcW w:w="17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7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Part of a</w:t>
            </w:r>
          </w:p>
        </w:tc>
        <w:tc>
          <w:tcPr>
            <w:tcW w:w="17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Total Number of</w:t>
            </w: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Publicly</w:t>
            </w:r>
          </w:p>
        </w:tc>
        <w:tc>
          <w:tcPr>
            <w:tcW w:w="17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Average Price</w:t>
            </w: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Announced</w:t>
            </w:r>
          </w:p>
        </w:tc>
        <w:tc>
          <w:tcPr>
            <w:tcW w:w="17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 or</w:t>
            </w:r>
          </w:p>
        </w:tc>
        <w:tc>
          <w:tcPr>
            <w:tcW w:w="17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Purchased (1)</w:t>
            </w:r>
          </w:p>
        </w:tc>
        <w:tc>
          <w:tcPr>
            <w:tcW w:w="22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Paid Per Share</w:t>
            </w: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Programs</w:t>
            </w:r>
          </w:p>
        </w:tc>
        <w:tc>
          <w:tcPr>
            <w:tcW w:w="17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2019 – October 31, 2019</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ind w:left="14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00" w:type="dxa"/>
            <w:vAlign w:val="bottom"/>
            <w:gridSpan w:val="2"/>
          </w:tcPr>
          <w:p>
            <w:pPr>
              <w:spacing w:after="0"/>
              <w:rPr>
                <w:sz w:val="20"/>
                <w:szCs w:val="20"/>
                <w:color w:val="auto"/>
              </w:rPr>
            </w:pPr>
            <w:r>
              <w:rPr>
                <w:rFonts w:ascii="Arial" w:cs="Arial" w:eastAsia="Arial" w:hAnsi="Arial"/>
                <w:sz w:val="18"/>
                <w:szCs w:val="18"/>
                <w:color w:val="auto"/>
              </w:rPr>
              <w:t>November 1, 2019 – November 30,</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17,560</w:t>
            </w:r>
          </w:p>
        </w:tc>
        <w:tc>
          <w:tcPr>
            <w:tcW w:w="14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0.0003</w:t>
            </w:r>
          </w:p>
        </w:tc>
        <w:tc>
          <w:tcPr>
            <w:tcW w:w="140" w:type="dxa"/>
            <w:vAlign w:val="bottom"/>
          </w:tcPr>
          <w:p>
            <w:pPr>
              <w:spacing w:after="0"/>
              <w:rPr>
                <w:sz w:val="20"/>
                <w:szCs w:val="20"/>
                <w:color w:val="auto"/>
              </w:rPr>
            </w:pPr>
          </w:p>
        </w:tc>
        <w:tc>
          <w:tcPr>
            <w:tcW w:w="188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740" w:type="dxa"/>
            <w:vAlign w:val="bottom"/>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 2019 – December 31,</w:t>
            </w:r>
          </w:p>
        </w:tc>
        <w:tc>
          <w:tcPr>
            <w:tcW w:w="1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ind w:left="14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17,560</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0.0003</w:t>
            </w:r>
          </w:p>
        </w:tc>
        <w:tc>
          <w:tcPr>
            <w:tcW w:w="140" w:type="dxa"/>
            <w:vAlign w:val="bottom"/>
          </w:tcPr>
          <w:p>
            <w:pPr>
              <w:spacing w:after="0"/>
              <w:rPr>
                <w:sz w:val="19"/>
                <w:szCs w:val="19"/>
                <w:color w:val="auto"/>
              </w:rPr>
            </w:pPr>
          </w:p>
        </w:tc>
        <w:tc>
          <w:tcPr>
            <w:tcW w:w="1740" w:type="dxa"/>
            <w:vAlign w:val="bottom"/>
            <w:tcBorders>
              <w:top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40" w:type="dxa"/>
            <w:vAlign w:val="bottom"/>
            <w:tcBorders>
              <w:top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 November 2019, we repurchased 17,560 shares of our common stock at the original purchase price of the shares for an aggregate purchase price of $5.20.</w:t>
      </w:r>
    </w:p>
    <w:p>
      <w:pPr>
        <w:spacing w:after="0" w:line="19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89"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The following tables set forth our selected financial data as of, and for the periods ended on, the dates indicated. We have derived the statement of operations data from our audited financial statements included elsewhere in this annual report. You should read this data together with our financial statements and related notes and “Management’s Discussion and Analysis of Financial Condition and Results of Operations” included elsewhere in this annual report. Our historical results for any prior period are not indicative of our future results.</w:t>
      </w:r>
    </w:p>
    <w:p>
      <w:pPr>
        <w:spacing w:after="0" w:line="17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40" w:type="dxa"/>
            <w:vAlign w:val="bottom"/>
            <w:tcBorders>
              <w:bottom w:val="single" w:sz="8" w:color="CFF0FC"/>
            </w:tcBorders>
            <w:vMerge w:val="continue"/>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20,374</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In-process research and development</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78,897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6,944</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106,215</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(106,215)</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convertible</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promissory notes</w:t>
            </w: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(49,546)</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 (expense)</w:t>
            </w:r>
          </w:p>
        </w:tc>
        <w:tc>
          <w:tcPr>
            <w:tcW w:w="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8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(148,916)</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3"/>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8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(255,131)</w:t>
            </w: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loss per share, basic and diluted </w:t>
            </w:r>
            <w:r>
              <w:rPr>
                <w:rFonts w:ascii="Arial" w:cs="Arial" w:eastAsia="Arial" w:hAnsi="Arial"/>
                <w:sz w:val="15"/>
                <w:szCs w:val="15"/>
                <w:color w:val="auto"/>
              </w:rPr>
              <w:t>(1)</w:t>
            </w:r>
          </w:p>
        </w:tc>
        <w:tc>
          <w:tcPr>
            <w:tcW w:w="8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w:t>
            </w: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outstanding, basic and diluted</w:t>
            </w:r>
          </w:p>
        </w:tc>
        <w:tc>
          <w:tcPr>
            <w:tcW w:w="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11,366,916</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6,051,675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40" w:right="260" w:hanging="426"/>
        <w:spacing w:after="0" w:line="236" w:lineRule="auto"/>
        <w:tabs>
          <w:tab w:leader="none" w:pos="20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See Note 1 "Organization, Basis of Presentation and Summary of Significant Accounting Policies" to our financial statements included in Item 15 of this annual report for further details on the calculation of basic and diluted net loss per share attributable to common stockholders.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104</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104" w:name="page105"/>
    <w:bookmarkEnd w:id="104"/>
    <w:tbl>
      <w:tblPr>
        <w:tblLayout w:type="fixed"/>
        <w:tblInd w:w="1700" w:type="dxa"/>
        <w:tblCellMar>
          <w:top w:w="0" w:type="dxa"/>
          <w:left w:w="0" w:type="dxa"/>
          <w:bottom w:w="0" w:type="dxa"/>
          <w:right w:w="0" w:type="dxa"/>
        </w:tblCellMar>
      </w:tblP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6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Sheets Data</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243,765</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(1)</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251,853</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257,178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29,223</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(256,419)</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227,955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40" w:right="40" w:hanging="426"/>
        <w:spacing w:after="0" w:line="236" w:lineRule="auto"/>
        <w:tabs>
          <w:tab w:leader="none" w:pos="20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financial statements included in Item 15 of this annual report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105</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1" w:right="319" w:bottom="1440" w:gutter="0" w:footer="0" w:header="0"/>
        </w:sectPr>
      </w:pPr>
    </w:p>
    <w:bookmarkStart w:id="105" w:name="page106"/>
    <w:bookmarkEnd w:id="105"/>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included elsewhere in this annual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including those set forth under “Risk Factors” or in other parts of this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 xml:space="preserve">We are a late clinical-stage biopharmaceutical company focused on developing and commercializing novel treatments for GI diseases. Our initial product candidate, vonoprazan, is an oral small molecule P-CAB. P-CABs are a novel class of medicines that block acid secretion in the stomach. Vonoprazan has shown rapid, potent, and durable anti-secretory effects and has demonstrated clinical benefits over the current standard of care as a single agent in the treatment of GERD, and in combination with antibiotics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Takeda developed vonoprazan and has received marketing approval in thirteen countries in Asia and Latin America. Vonoprazan generated over $500 million in net sales in its fourth full year on the market since its approval in Japan in late 2014. In May 2019, we in-licensed the U.S., European, and Canadian rights to vonoprazan from Takeda. We initiated two pivotal Phase 3 clinical trials in the fourth quarter of 2019 for vonoprazan: one for the treatment of erosive GERD, also known as erosive esophagitis, and a second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We believe that the successful completion of our Phase 3 clinical trials, together with the existing clinical data, will support regulatory submissions in 2021 and 2022 for marketing approval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and erosive esophagitis, respectively. We have received QIDP and Fast Track designations from the FDA, for vonoprazan in combination with certain antibiotics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QIDP designation also provides potential eligibility for priority review and extension of any regulatory exclusivity awarded if approved. If approved, we plan to independently commercialize vonoprazan in the United States. We also plan to seek commercial partnerships for vonoprazan in Europe and Canada, expand development of vonoprazan across indications, dosing regimens and alternative formulations and packaging, and in-license or acquire additional clinical or commercial stage product candidates for the treatment of GI diseases in a capital efficient manner.</w:t>
      </w:r>
    </w:p>
    <w:p>
      <w:pPr>
        <w:spacing w:after="0" w:line="130"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preparing for our planned Phase 3 clinical trials of vonoprazan, and providing other general and administrative support for these operations. Our operations to date have been funded primarily through the issuance of convertible promissory notes, commercial bank debt and the proceeds from our initial public offering. From our inception through December 31, 2019, we have raised aggregate gross proceeds of $90.3 million from the issuance of convertible promissory notes, $25.0 million of commercial bank debt and net proceeds from our initial public offering of $191.5 million from the sale of 10,997,630 shares of common stock, which included the exercise in full by the underwriters of their option to purchase 1,434,473 additional shares at a public offering price of $19.00 per share, after deducting underwriting discounts, commissions and offering costs. As of December 31, 2019, we had cash and cash equivalents of $243.8 million. Based on our current operating plan, we believe that our existing cash and cash equivalents will be sufficient to meet our anticipated cash requirements through at least the next 24 months.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106</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6" w:name="page107"/>
    <w:bookmarkEnd w:id="106"/>
    <w:p>
      <w:pPr>
        <w:ind w:right="20" w:firstLine="589"/>
        <w:spacing w:after="0" w:line="288" w:lineRule="auto"/>
        <w:rPr>
          <w:sz w:val="20"/>
          <w:szCs w:val="20"/>
          <w:color w:val="auto"/>
        </w:rPr>
      </w:pPr>
      <w:r>
        <w:rPr>
          <w:rFonts w:ascii="Arial" w:cs="Arial" w:eastAsia="Arial" w:hAnsi="Arial"/>
          <w:sz w:val="16"/>
          <w:szCs w:val="16"/>
          <w:color w:val="auto"/>
        </w:rPr>
        <w:t>We do not have any products approved for sale and have incurred net losses since our inception. Our net losses for the years ended December 31, 2019 and 2018 were $255.1 million and $1.3 million, respectively. Our net losses for the year ended December 31, 2019 included non-cash charges related to the change in fair value of warrant liabilities of $96.3 million, the change in fair value of convertible promissory notes of $49.5 million, the issuance to Takeda of 1,084,000 shares of our common stock at a fair value of $5.9 million and the issuance of the Takeda Warrant at an initial fair value of $47.9 million. As of December 31, 2019, we had an accumulated deficit of $256.4 million. Our net losses may fluctuate significantly from quarter-to-quarter and year-to-year, depending on the timing of our clinical development activities, other research and development activities and pre-commercialization activities. We expect our expenses and operating losses will increase substantially as we advance vonoprazan through clinical trials, seek regulatory approval for vonoprazan, expand our clinical, regulatory, quality, manufacturing and commercialization capabilities, incur significant commercialization expenses for marketing, sales, manufacturing and distribution if we obtain marketing approval for vonoprazan, protect our intellectual property, expand our general and administrative support functions, including hiring additional personnel, and incur additional costs associated with operating as a public company.</w:t>
      </w:r>
    </w:p>
    <w:p>
      <w:pPr>
        <w:spacing w:after="0" w:line="141"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We have never generated any revenue and do not expect to generate any revenues from product sales unless and until we successfully complete development and obtain regulatory approval for vonoprazan, which will not be for several years, if ever. Accordingly, until such time as we can generate significant revenue from sales of vonoprazan, if ever, we expect to finance our cash needs through equity offerings, our Loan Agreement,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Operations Overview</w:t>
      </w:r>
    </w:p>
    <w:p>
      <w:pPr>
        <w:spacing w:after="0" w:line="185" w:lineRule="exact"/>
        <w:rPr>
          <w:sz w:val="20"/>
          <w:szCs w:val="20"/>
          <w:color w:val="auto"/>
        </w:rPr>
      </w:pPr>
    </w:p>
    <w:p>
      <w:pPr>
        <w:ind w:right="200" w:firstLine="589"/>
        <w:spacing w:after="0" w:line="291" w:lineRule="auto"/>
        <w:rPr>
          <w:sz w:val="20"/>
          <w:szCs w:val="20"/>
          <w:color w:val="auto"/>
        </w:rPr>
      </w:pPr>
      <w:r>
        <w:rPr>
          <w:rFonts w:ascii="Arial" w:cs="Arial" w:eastAsia="Arial" w:hAnsi="Arial"/>
          <w:sz w:val="16"/>
          <w:szCs w:val="16"/>
          <w:color w:val="auto"/>
        </w:rPr>
        <w:t>Our combined financial statements include the accounts of Phathom (the receiving entity) and YamadaCo IIA prior to being merged into a single entity effective March 13, 2019. Phathom and YamadaCo IIA were entities under common control of Frazier Life Sciences IX, L.P., or Frazier, as a result of, among other things, Frazier’s: (i) ownership of a majority of the outstanding capital stock of both companies; (ii) financing of both companies; (iii) control of the board of directors of both companies; and (iv) management of both companies. Both Phathom and YamadaCo IIA were formed for the purpose of identifying potential assets around which to form an operating company. As the merged entities were under common control, the combined financial statements report the financial position, results of operations and cash flows of Phathom and YamadaCo IIA as though the transfer of net assets and equity interests had occurred at the beginning of 2018. All intercompany accounts and transactions have been eliminated in combination.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85"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On May 7, 2019, we and Takeda entered into the Takeda License, pursuant to which we in-licensed the U.S., European, and Canadian rights to vonoprazan.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36"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107</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07" w:name="page108"/>
    <w:bookmarkEnd w:id="107"/>
    <w:p>
      <w:pPr>
        <w:ind w:right="40" w:firstLine="589"/>
        <w:spacing w:after="0" w:line="288" w:lineRule="auto"/>
        <w:rPr>
          <w:sz w:val="20"/>
          <w:szCs w:val="20"/>
          <w:color w:val="auto"/>
        </w:rPr>
      </w:pPr>
      <w:r>
        <w:rPr>
          <w:rFonts w:ascii="Arial" w:cs="Arial" w:eastAsia="Arial" w:hAnsi="Arial"/>
          <w:sz w:val="16"/>
          <w:szCs w:val="16"/>
          <w:color w:val="auto"/>
        </w:rPr>
        <w:t>We paid Takeda upfront consideration consisting of a cash fee of $25.0 million, 1,084,000 shares of our common stock, the Takeda Warrant to purchase 7,588,000 shares of our common stock at an exercise price of $0.00004613 per share,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very low to mid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8"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Research and development expenses include:</w:t>
      </w:r>
    </w:p>
    <w:p>
      <w:pPr>
        <w:spacing w:after="0" w:line="185" w:lineRule="exact"/>
        <w:rPr>
          <w:sz w:val="20"/>
          <w:szCs w:val="20"/>
          <w:color w:val="auto"/>
        </w:rPr>
      </w:pPr>
    </w:p>
    <w:p>
      <w:pPr>
        <w:ind w:left="1020" w:right="100" w:hanging="432"/>
        <w:spacing w:after="0" w:line="277"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salaries, payroll taxes, employee benefits, and stock-based compensation charges for those individuals involved in research and development efforts;</w:t>
      </w:r>
    </w:p>
    <w:p>
      <w:pPr>
        <w:spacing w:after="0" w:line="129" w:lineRule="exact"/>
        <w:rPr>
          <w:rFonts w:ascii="Arial" w:cs="Arial" w:eastAsia="Arial" w:hAnsi="Arial"/>
          <w:sz w:val="18"/>
          <w:szCs w:val="18"/>
          <w:color w:val="auto"/>
        </w:rPr>
      </w:pPr>
    </w:p>
    <w:p>
      <w:pPr>
        <w:ind w:left="1020" w:right="420" w:hanging="432"/>
        <w:spacing w:after="0" w:line="277"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CROs, and consultants to conduct and support our ongoing clinical trials of vonoprazan; and</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related to the manufacturing of vonoprazan for our clinical trials.</w:t>
      </w:r>
    </w:p>
    <w:p>
      <w:pPr>
        <w:spacing w:after="0" w:line="185"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We plan to substantially increase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clinical development costs may vary significantly based on factors such as:</w:t>
      </w:r>
    </w:p>
    <w:p>
      <w:pPr>
        <w:spacing w:after="0" w:line="185" w:lineRule="exact"/>
        <w:rPr>
          <w:sz w:val="20"/>
          <w:szCs w:val="20"/>
          <w:color w:val="auto"/>
        </w:rPr>
      </w:pPr>
    </w:p>
    <w:p>
      <w:pPr>
        <w:ind w:left="1020" w:hanging="43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108</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08" w:name="page109"/>
    <w:bookmarkEnd w:id="108"/>
    <w:p>
      <w:pPr>
        <w:ind w:left="1020" w:hanging="432"/>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doses evaluated in the trials;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phase of development of the product candidate;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98"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In-process research and development expenses relate to the Takeda License, and include the $78.9 million purchase price of the acquired research and development assets. The purchase price of the Takeda License consisted of the following: (i) $25.0 million in cash; (ii) issuance to Takeda of 1,084,000 shares of our common stock at a fair value of $5.9 million; (iii) issuance of the Takeda Warrant at an initial fair value of $47.9 million; (iv) issuance of the Takeda Warrant Right, with a nominal initial fair value due to the low probability of issuance; and (v) $0.1 million of transaction costs incurred by us. The fair value of the Takeda Warrant and Takeda Warrant Right were determined using the methodologies described below under “Change in Fair Value of Warrant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General and administrative expenses consist of salaries and employee-related costs, including stock-based compensation, for personnel in executive, finance and other administrative functions, legal fees relating to intellectual property and corporate matters, and professional fees for accounting and consulting services. We anticipate that our general and administrative expenses will increase in the future to support our continued research and development activities, pre-commercial preparation activities for vonoprazan and, if any future product candidate receives marketing approval, commercialization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Interest income consists of interest on our money market fund.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Interest expense consists of (i) interest on our convertible promissory notes at per annum interest rates ranging from 1.68% to 6.00% and (ii) interest on our outstanding commercial bank debt at a floating per annum interest rate which was 7.25% as of December 31, 2019, and amortization of the commercial bank debt discount recorded in connection with the fair value of warrants issued to the lenders, the debt issuance costs incurred and the obligation to make a final payment fee.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109</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98"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In connection with the Takeda License, we issued the Takeda Warrant and Takeda Warrant Right, or together the Takeda Warrants. Prior to increasing the number of authorized shares of our common stock in October 2019, the Takeda Warrants are accounted for as liabilities as they did not meet all the conditions for equity classification due to (i) insufficient authorized shares for the Takeda Warrant and (ii) the Takeda Warrant Right not being indexed to our own stock. We adjusted the carrying value of the Takeda Warrants to their estimated fair value at each reporting date, with any change in fair value of the warrant liabilities recorded as an increase or decrease to change in fair value of warrant liabilities in the combined statements of operations.</w:t>
      </w:r>
    </w:p>
    <w:p>
      <w:pPr>
        <w:spacing w:after="0" w:line="121"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The fair value of the Takeda Warrants was derived from the model used to estimate the fair value of our common stock prior to our IPO. On October 11, 2019, we increased our authorized shares of common stock to 50,000,000, and as a result, there were sufficient authorized shares of common stock for us to settle the Takeda Warrant. As such, we recorded an adjustment to the fair value of the Takeda Warrant as of October 11, 2019, and reclassified the balance from warrant liabilities to additional paid-in capital. Additionally, upon closing of the IPO, the Takeda Warrant Right expired without effect since no fair value had been allocated to it.</w:t>
      </w:r>
    </w:p>
    <w:p>
      <w:pPr>
        <w:spacing w:after="0" w:line="147" w:lineRule="exact"/>
        <w:rPr>
          <w:sz w:val="20"/>
          <w:szCs w:val="20"/>
          <w:color w:val="auto"/>
        </w:rPr>
      </w:pPr>
    </w:p>
    <w:p>
      <w:pPr>
        <w:ind w:right="160" w:firstLine="589"/>
        <w:spacing w:after="0" w:line="269" w:lineRule="auto"/>
        <w:rPr>
          <w:sz w:val="20"/>
          <w:szCs w:val="20"/>
          <w:color w:val="auto"/>
        </w:rPr>
      </w:pPr>
      <w:r>
        <w:rPr>
          <w:rFonts w:ascii="Arial" w:cs="Arial" w:eastAsia="Arial" w:hAnsi="Arial"/>
          <w:sz w:val="17"/>
          <w:szCs w:val="17"/>
          <w:color w:val="auto"/>
        </w:rPr>
        <w:t>In connection with the entry into the Loan Agreement, we issued the lenders warrants to purchase our capital stock, or the Lender Warrants. The Lender Warrants are accounted for as liabilities as they contain a holder put right under which the lenders could require us to pay cash in exchange for the warrants. We adjust the carrying value of the Lender Warrants to their estimated fair value at each reporting date, with any change in fair value of the warrant liabilities recorded as an increase or decrease to change in fair value of warrant liabilities in the combined statements of operations. Prior to our IPO, the fair value of the Lender Warrants was estimated using a probability-weighted model considering IPO and non-IPO scenarios. The IPO scenarios utilized a binomial lattice model to estimate a distribution of total equity values as of a projected IPO date. The non-IPO scenario utilized the repurchase price associated with the warrant put right discounted to present value based on venture capital rates of return and the term associated with the put right. Subsequent to our IPO, the Lender Warrants are accounted for at fair value using the Black-Scholes option-pricing model with an expected term equal to the remaining contractual term of the warrants. The Lender Warrants will continue to be accounted for as liabilities adjusted to fair value at each reporting date, until the lender put right expires.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Convertible Promissory Notes</w:t>
      </w:r>
    </w:p>
    <w:p>
      <w:pPr>
        <w:spacing w:after="0" w:line="185" w:lineRule="exact"/>
        <w:rPr>
          <w:sz w:val="20"/>
          <w:szCs w:val="20"/>
          <w:color w:val="auto"/>
        </w:rPr>
      </w:pPr>
    </w:p>
    <w:p>
      <w:pPr>
        <w:ind w:right="100" w:firstLine="589"/>
        <w:spacing w:after="0" w:line="286" w:lineRule="auto"/>
        <w:rPr>
          <w:sz w:val="20"/>
          <w:szCs w:val="20"/>
          <w:color w:val="auto"/>
        </w:rPr>
      </w:pPr>
      <w:r>
        <w:rPr>
          <w:rFonts w:ascii="Arial" w:cs="Arial" w:eastAsia="Arial" w:hAnsi="Arial"/>
          <w:sz w:val="17"/>
          <w:szCs w:val="17"/>
          <w:color w:val="auto"/>
        </w:rPr>
        <w:t>We issued convertible promissory notes in 2018 and 2019 for which we elected the fair value option. We adjust the carrying value of our convertible promissory notes to their estimated fair value at each reporting date, with any change in fair value of the convertible promissory notes recorded as an increase or decrease to change in fair value of convertible promissory notes in our combined statements of operations.</w:t>
      </w:r>
    </w:p>
    <w:p>
      <w:pPr>
        <w:spacing w:after="0" w:line="125"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Prior to their exchange into convertible promissory notes issued in May 2019, the fair value of convertible promissory notes issued from inception through April 2019 was estimated using a scenario-based analysis that estimated the fair value of the convertible promissory notes based on the probability-weighted present value of expected future investment returns, considering possible outcomes available to the noteholders, including conversions in subsequent equity financings, change of control transactions, settlement and dissolution. The fair value of the convertible promissory notes issued in May 2019 is estimated using a scenario-based analysis that estimates the fair value of the convertible promissory notes based on the probability-weighted present value of expected future investment returns, considering each of the possible outcomes available to the noteholders, including various IPO, settlement, equity financing, corporate transaction and dissolution scenarios.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notes issued in May 2019 and related accrued interest thereon were converted into 6,107,918 shares immediately prior to the completion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110</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24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20,374</w:t>
            </w: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20,354</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In-process research and development</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78,897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78,897</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6,944</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106,215</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104,990</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(106,215)</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(104,990)</w:t>
            </w: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29"/>
        </w:trPr>
        <w:tc>
          <w:tcPr>
            <w:tcW w:w="424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(96,272)</w:t>
            </w: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convertible</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promissory notes</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(49,546)</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(49,496)</w:t>
            </w:r>
          </w:p>
        </w:tc>
        <w:tc>
          <w:tcPr>
            <w:tcW w:w="0" w:type="dxa"/>
            <w:vAlign w:val="bottom"/>
          </w:tcPr>
          <w:p>
            <w:pPr>
              <w:spacing w:after="0"/>
              <w:rPr>
                <w:sz w:val="1"/>
                <w:szCs w:val="1"/>
                <w:color w:val="auto"/>
              </w:rPr>
            </w:pPr>
          </w:p>
        </w:tc>
      </w:tr>
      <w:tr>
        <w:trPr>
          <w:trHeight w:val="229"/>
        </w:trPr>
        <w:tc>
          <w:tcPr>
            <w:tcW w:w="424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0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(148,916)</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(148,853)</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(253,843)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$20.4 million of research and development expenses for the year ended December 31, 2019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$16.0 million of expenses for the clinical development of vonoprazan, $2.3 million of personnel-related expenses, $1.7 million of consulting expenses, and $0.4 million of expenses related to regulatory requirements. We had minimal research and development expenses for the year ended December 31, 2018 as we had not yet entered into the Takeda License.</w:t>
      </w:r>
    </w:p>
    <w:p>
      <w:pPr>
        <w:spacing w:after="0" w:line="146"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i w:val="1"/>
          <w:iCs w:val="1"/>
          <w:color w:val="auto"/>
        </w:rPr>
        <w:t xml:space="preserve">In-Process Research and Development Expenses. </w:t>
      </w:r>
      <w:r>
        <w:rPr>
          <w:rFonts w:ascii="Arial" w:cs="Arial" w:eastAsia="Arial" w:hAnsi="Arial"/>
          <w:sz w:val="17"/>
          <w:szCs w:val="17"/>
          <w:color w:val="auto"/>
        </w:rPr>
        <w:t>The $78.9 million of in-process research and development expenses for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2019 consisted of the purchase price for the research and development assets we acquired as part of the Takeda License. The purchase price of the Takeda License consisted of the following: (i) $25.0 million in cash; (ii) issuance to Takeda of 1,084,000 shares of our common stock at a fair value of $5.9 million as of the date of issuance; (iii) issuance of the Takeda Warrant at an initial fair value of $47.9 million; (iv) issuance of the Takeda Warrant Right, with a nominal initial fair value due to the low probability of issuance; and (v) $0.1 million of transaction costs incurred by us. We had no in-process research and development expenses for the year ended December 31, 2018.</w:t>
      </w:r>
    </w:p>
    <w:p>
      <w:pPr>
        <w:spacing w:after="0" w:line="151"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were $6.9 million and $1.2 million for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and 2018, respectively. The increase of $5.7 million was due to increases of $1.8 million in personnel-related expenses, $1.3 million in professional services expenses for accounting, audit, tax, valuation and other services, $0.9 million in legal fees related to corporate and intellectual property matters, $0.8 million of insurance premiums related to general operating matters, $0.2 million of consulting expenses, and $0.7 million of other operating expenses.</w:t>
      </w:r>
    </w:p>
    <w:p>
      <w:pPr>
        <w:spacing w:after="0" w:line="117" w:lineRule="exact"/>
        <w:rPr>
          <w:sz w:val="20"/>
          <w:szCs w:val="20"/>
          <w:color w:val="auto"/>
        </w:rPr>
      </w:pPr>
    </w:p>
    <w:p>
      <w:pPr>
        <w:ind w:right="300" w:firstLine="589"/>
        <w:spacing w:after="0" w:line="255"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$148.9 million for the year ended December 31, 2019 consisted of $96.3 million of other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increase in the fair value of warrant liabilities, $49.5 million of other expense related to the increase in the fair value of our convertible promissory notes, $2.6 million of interest expense on our then outstanding convertible promissory notes, $1.6 million of interest expense on outstanding commercial bank debt, partially offset by $1.1 million of interest income. Other expense of $63,000 for the year ended December 31, 2018 consisted of $13,000 of interest expense on our outstanding convertible promissory notes and $50,000 of other expense related to the increase in fair value of those convertible promissory notes.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111</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We have incurred net losses and negative cash flows from operations since our inception and anticipate we will continue to incur net losses for the foreseeable future. As of December 31, 2019, we had cash and cash equivalents of $243.8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Bank Debt</w:t>
      </w:r>
    </w:p>
    <w:p>
      <w:pPr>
        <w:spacing w:after="0" w:line="185"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231F20"/>
        </w:rPr>
        <w:t>On May 14, 2019, we entered into the Loan Agreement with SVB, as administrative and collateral agent, and lenders SVB and WestRiver Innovation Lending Fund VIII, L.P.. We borrowed $25.0 million, or Term Loan A, at the inception of the Loan Agreement and had the right to borrow an additional $25.0 million, or Term Loan B, which we collectively refer to as the Term Loans. Term Loan B was available through March 31, 2020, provided that (i) we have received at least $150.0 million of net cash proceeds in connection with the issuance and sale, subsequent to April 1, 2019, of our equity securities and subordinated debt, (ii) we had initiated Phase 3 clinical trials for vonoprazan, and (iii) no event of default has occurred. As of December 31, 2019, we had outstanding principal on the Term Loans of $25.0 million and accrued interest of $0.2 million</w:t>
      </w:r>
      <w:r>
        <w:rPr>
          <w:rFonts w:ascii="Arial" w:cs="Arial" w:eastAsia="Arial" w:hAnsi="Arial"/>
          <w:sz w:val="18"/>
          <w:szCs w:val="18"/>
          <w:color w:val="000000"/>
        </w:rPr>
        <w:t>. In March 2020, we borrowed the additional</w:t>
      </w:r>
      <w:r>
        <w:rPr>
          <w:rFonts w:ascii="Arial" w:cs="Arial" w:eastAsia="Arial" w:hAnsi="Arial"/>
          <w:sz w:val="18"/>
          <w:szCs w:val="18"/>
          <w:color w:val="231F20"/>
        </w:rPr>
        <w:t xml:space="preserve"> </w:t>
      </w:r>
      <w:r>
        <w:rPr>
          <w:rFonts w:ascii="Arial" w:cs="Arial" w:eastAsia="Arial" w:hAnsi="Arial"/>
          <w:sz w:val="18"/>
          <w:szCs w:val="18"/>
          <w:color w:val="000000"/>
        </w:rPr>
        <w:t>$25.0 million available under Term Loan B.</w:t>
      </w:r>
    </w:p>
    <w:p>
      <w:pPr>
        <w:spacing w:after="0" w:line="168"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 xml:space="preserve">The Term Loans bear interest at a floating rate of the higher of the Wall Street Journal Prime rate plus 1.75% (6.5% at December 31, 2019) or 7.25%. The monthly payments consist of interest-only through May 31, 2021 or, in the event of positive data with respect to our Phase 3 clinical trials in both indications for vonoprazan sufficient to file a NDA, with the FDA, through May 31, 2022. On March 11, 2020, we amended the Loan Agreement to potentially extend the interest-only payment period. Pursuant to the amendment to the Loan Agreement, the interest-only payment period, which ends on May 31, 2021, will be extended either (i) until December 31, 2021, if we receive positive data from our Phase 3 clinical trial in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sufficient to file an NDA with the FDA; or (ii) until November 30, 2022, if we receive positive data from our Phase 3 clinical trials in both indications for vonoprazan sufficient to file an NDA with the FDA; provided, in each case, that we had drawn down Term Loan B. Subsequent to the interest-only period, the Term Loans will be payable in equal monthly installments of principal, plus accrued and unpaid interest through the maturity date of May 1, 2024. In addition, we are obligated to pay a final payment fee of 8.25% of the original principal amount of the Term Loans. We may elect to prepay all or a portion of the Term Loans prior to maturity, subject to a prepayment fee of up to 2.0% of the then outstanding principal balance and payment of a pro rata portion of the final payment fee. After repayment, no Term Loan amounts may be borrowed again. The borrowings under the Loan Agreement are collateralized by substantially all of our assets, excluding intellectual property and certain other assets. We have agreed not to encumber our intellectual property assets without SVB’s prior written consent unless a security interest in the underlying intellectual property is necessary to have a security interest in the accounts and proceeds that are part of the assets securing the Term Loans, in which case our intellectual property will automatically be included within the assets securing the Term Loans.</w:t>
      </w:r>
    </w:p>
    <w:p>
      <w:pPr>
        <w:spacing w:after="0" w:line="141"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The Loan Agreement contains certain customary affirmative and negative covenants and events of default. The affirmative covenants include, among others, covenants requiring us to maintain our legal existence and governmental approvals,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Upon the occurrence of an event of default, subject to any specified cure periods, all amounts owed by us would begin to bear interest at a rate that is 4.00% above the rate effective immediately before the event of default and may be declared immediately due and payable by SVB, as collateral agent. As of December 31, 2019, we were in compliance with all applicable covenants under the Loan Agreement.</w:t>
      </w:r>
    </w:p>
    <w:p>
      <w:pPr>
        <w:spacing w:after="0" w:line="125"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In connection with the Loan Agreement, we issued the Lender Warrants, which became exercisable when we borrowed Term Loan B in March 2020. The Lender Warrants are exercisable for 16,446 shares of common stock. The Lender Warrants expire ten years from the date of issuance. The Lender Warrants included a put option pursuant to which, in the event that we did not draw down Term Loan B on or before March 31, 2020, the warrant holders could have required us to repurchase the warrants for a total aggregate repurchase price of $0.5 million. The put right expired when we drew down Term Loan B in March 2020.</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112</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Convertible Note Financings</w:t>
      </w:r>
    </w:p>
    <w:p>
      <w:pPr>
        <w:spacing w:after="0" w:line="198"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From January 2018 to April 2019, we issued an aggregate of $2.4 million of convertible promissory notes to Frazier, or the Frazier Notes, bearing interest at per annum rates ranging from 1.68% to 2.55%. In May 2019, these notes and related accrued interest were exchanged, at their then fair value of $2.4 million, for the May 2019 convertible promissory notes described below.</w:t>
      </w:r>
    </w:p>
    <w:p>
      <w:pPr>
        <w:spacing w:after="0" w:line="143"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On May 7, 2019, we entered into a note purchase agreement under which we issued an aggregate of $90.3 million of unsecured convertible promissory notes, or the May 2019 Notes, resulting in gross proceeds to us of $87.8 million in cash and $2.4 million related to the exchange of the Frazier Notes. Including the conversion of the Frazier Notes, Frazier purchased $20.0 million of the May 2019 Notes. The May 2019 Notes bear interest at a rate of 6% per annum and are subordinated to borrowings under our Loan Agreement. The May 2019 Notes were payable upon demand of the holders of at least 60% of the outstanding principal amount of the May 2019 Notes, including Frazier, on May 7, 2020, or the Maturity Date, and were due and payable on May 7, 2022, subject to earlier conversion or repayment in the event we completed certain equity financings or a change of control. The note purchase agreement included certain customary covenants and events of default. Immediately prior to the completion of our IPO on October 29, 2019, the May 2019 Notes automatically converted into 6,107,918 shares of common stock, representing the outstanding principal and interest of the May 2019 notes at the date of automatic conversion.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98"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 xml:space="preserve">Based on our current operating plan, we believe that our existing cash and cash equivalents will be sufficient to meet our anticipated cash requirements through at least the next 24 months. We expect our current cash and cash equivalents will allow us to complete our ongoing Phase 3 clinical trials of vonoprazan in the treatment of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1020" w:right="320" w:hanging="432"/>
        <w:spacing w:after="0" w:line="342" w:lineRule="auto"/>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83" w:lineRule="exact"/>
        <w:rPr>
          <w:rFonts w:ascii="Arial" w:cs="Arial" w:eastAsia="Arial" w:hAnsi="Arial"/>
          <w:sz w:val="16"/>
          <w:szCs w:val="16"/>
          <w:color w:val="auto"/>
        </w:rPr>
      </w:pPr>
    </w:p>
    <w:p>
      <w:pPr>
        <w:ind w:left="1020" w:hanging="432"/>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and cost increases as a result of the COVID-19 outbreak;</w:t>
      </w:r>
    </w:p>
    <w:p>
      <w:pPr>
        <w:spacing w:after="0" w:line="184" w:lineRule="exact"/>
        <w:rPr>
          <w:rFonts w:ascii="Arial" w:cs="Arial" w:eastAsia="Arial" w:hAnsi="Arial"/>
          <w:sz w:val="18"/>
          <w:szCs w:val="18"/>
          <w:color w:val="auto"/>
        </w:rPr>
      </w:pPr>
    </w:p>
    <w:p>
      <w:pPr>
        <w:ind w:left="1020" w:right="380" w:hanging="432"/>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manufacturing for vonoprazan or any future product candidates, including commercial scale manufacturing if any product candidate is approved;</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vonoprazan or any future product candidates;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84" w:lineRule="exact"/>
        <w:rPr>
          <w:rFonts w:ascii="Arial" w:cs="Arial" w:eastAsia="Arial" w:hAnsi="Arial"/>
          <w:sz w:val="18"/>
          <w:szCs w:val="18"/>
          <w:color w:val="auto"/>
        </w:rPr>
      </w:pPr>
    </w:p>
    <w:p>
      <w:pPr>
        <w:ind w:left="1020" w:right="240" w:hanging="432"/>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29" w:lineRule="exact"/>
        <w:rPr>
          <w:rFonts w:ascii="Arial" w:cs="Arial" w:eastAsia="Arial" w:hAnsi="Arial"/>
          <w:sz w:val="18"/>
          <w:szCs w:val="18"/>
          <w:color w:val="auto"/>
        </w:rPr>
      </w:pPr>
    </w:p>
    <w:p>
      <w:pPr>
        <w:ind w:left="1020" w:right="540" w:hanging="432"/>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for vonoprazan or any future product candidate;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113</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3" w:name="page114"/>
    <w:bookmarkEnd w:id="113"/>
    <w:p>
      <w:pPr>
        <w:ind w:left="1020" w:right="80" w:hanging="432"/>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29" w:lineRule="exact"/>
        <w:rPr>
          <w:rFonts w:ascii="Arial" w:cs="Arial" w:eastAsia="Arial" w:hAnsi="Arial"/>
          <w:sz w:val="18"/>
          <w:szCs w:val="18"/>
          <w:color w:val="auto"/>
        </w:rPr>
      </w:pPr>
    </w:p>
    <w:p>
      <w:pPr>
        <w:ind w:left="1020" w:right="200" w:hanging="432"/>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29" w:lineRule="exact"/>
        <w:rPr>
          <w:rFonts w:ascii="Arial" w:cs="Arial" w:eastAsia="Arial" w:hAnsi="Arial"/>
          <w:sz w:val="18"/>
          <w:szCs w:val="18"/>
          <w:color w:val="auto"/>
        </w:rPr>
      </w:pPr>
    </w:p>
    <w:p>
      <w:pPr>
        <w:ind w:left="1020" w:hanging="432"/>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84" w:lineRule="exact"/>
        <w:rPr>
          <w:rFonts w:ascii="Arial" w:cs="Arial" w:eastAsia="Arial" w:hAnsi="Arial"/>
          <w:sz w:val="18"/>
          <w:szCs w:val="18"/>
          <w:color w:val="auto"/>
        </w:rPr>
      </w:pPr>
    </w:p>
    <w:p>
      <w:pPr>
        <w:ind w:left="1020" w:hanging="432"/>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85"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Until such time, if ever, as we can generate substantial product revenues to support our cost structure, we expect to finance our cash needs through equity offerings, the Loan Agreement,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55"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combined financial statements were issued. There can be no assurance that we will be successful in acquiring additional funding, that our projections of its future working capital needs will prove accurate, or that any additional funding would be sufficient to continue operations in future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78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(36,510)</w:t>
            </w: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(35,487)</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304,646</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302,744</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242,886</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242,007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8" w:lineRule="exact"/>
        <w:rPr>
          <w:sz w:val="20"/>
          <w:szCs w:val="20"/>
          <w:color w:val="auto"/>
        </w:rPr>
      </w:pPr>
    </w:p>
    <w:p>
      <w:pPr>
        <w:ind w:right="180" w:firstLine="589"/>
        <w:spacing w:after="0" w:line="271" w:lineRule="auto"/>
        <w:rPr>
          <w:sz w:val="20"/>
          <w:szCs w:val="20"/>
          <w:color w:val="auto"/>
        </w:rPr>
      </w:pPr>
      <w:r>
        <w:rPr>
          <w:rFonts w:ascii="Arial" w:cs="Arial" w:eastAsia="Arial" w:hAnsi="Arial"/>
          <w:sz w:val="17"/>
          <w:szCs w:val="17"/>
          <w:color w:val="auto"/>
        </w:rPr>
        <w:t>Net cash used in operating activities was approximately $36.5 million and $1.0 million for the years ended December 31, 2019 and 2018, respectively. The net cash used in operating activities for the year ended December 31, 2019 was due to approximately $27.0 million spent on recently commenced research and development activities and ongoing general and administrative activities as well as a $9.5 million net change in operating assets and liabilities. The net change in operating assets and liabilities related to a $0.2 million increase in accrued interest on our commercial bank debt, $0.1 million increase for changes related to our operating right-of-use asset and lease liabilities and a $2.2 million increase in accounts payable and accrued expenses in support of the growth in our operating activities, partially offset by a $11.8 million increase in prepaid clinical activities and $0.2 million increase in other long-term assets. The net cash used in operating activities the year ended December 31, 2018 was primarily due to approximately $1.2 million spent on general and administrative activities.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114</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98"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Net cash used in investing activities for the year ended December 31, 2019 was primarily due to the cash we paid, including transaction costs, to acquire the Takeda License. We had no investing activities for the year ended December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jc w:val="both"/>
        <w:ind w:right="300" w:firstLine="589"/>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2019 was $304.6 million, due to $191.5 million of net proceeds from our IPO, $88.3 million of net proceeds from our issuance of convertible promissory notes, and $24.8 million of net proceeds from our commercial bank debt. Net cash provided by financing activities for the year ended December 31, 2018 was due to proceeds from our issuance of convertible promissory notes.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2"/>
              </w:rPr>
              <w:t>Payments Due by Period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227"/>
        </w:trPr>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9"/>
                <w:szCs w:val="19"/>
                <w:color w:val="auto"/>
              </w:rPr>
            </w:pPr>
          </w:p>
        </w:tc>
        <w:tc>
          <w:tcPr>
            <w:tcW w:w="660" w:type="dxa"/>
            <w:vAlign w:val="bottom"/>
          </w:tcPr>
          <w:p>
            <w:pPr>
              <w:jc w:val="center"/>
              <w:ind w:right="137"/>
              <w:spacing w:after="0"/>
              <w:rPr>
                <w:sz w:val="20"/>
                <w:szCs w:val="20"/>
                <w:color w:val="auto"/>
              </w:rPr>
            </w:pPr>
            <w:r>
              <w:rPr>
                <w:rFonts w:ascii="Arial" w:cs="Arial" w:eastAsia="Arial" w:hAnsi="Arial"/>
                <w:sz w:val="14"/>
                <w:szCs w:val="14"/>
                <w:b w:val="1"/>
                <w:bCs w:val="1"/>
                <w:color w:val="auto"/>
                <w:w w:val="98"/>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257"/>
              <w:spacing w:after="0"/>
              <w:rPr>
                <w:sz w:val="20"/>
                <w:szCs w:val="20"/>
                <w:color w:val="auto"/>
              </w:rPr>
            </w:pPr>
            <w:r>
              <w:rPr>
                <w:rFonts w:ascii="Arial" w:cs="Arial" w:eastAsia="Arial" w:hAnsi="Arial"/>
                <w:sz w:val="14"/>
                <w:szCs w:val="14"/>
                <w:b w:val="1"/>
                <w:bCs w:val="1"/>
                <w:color w:val="auto"/>
              </w:rPr>
              <w:t>3-5</w:t>
            </w:r>
          </w:p>
        </w:tc>
        <w:tc>
          <w:tcPr>
            <w:tcW w:w="80" w:type="dxa"/>
            <w:vAlign w:val="bottom"/>
          </w:tcPr>
          <w:p>
            <w:pPr>
              <w:spacing w:after="0"/>
              <w:rPr>
                <w:sz w:val="19"/>
                <w:szCs w:val="19"/>
                <w:color w:val="auto"/>
              </w:rPr>
            </w:pPr>
          </w:p>
        </w:tc>
        <w:tc>
          <w:tcPr>
            <w:tcW w:w="800" w:type="dxa"/>
            <w:vAlign w:val="bottom"/>
            <w:gridSpan w:val="2"/>
          </w:tcPr>
          <w:p>
            <w:pPr>
              <w:jc w:val="center"/>
              <w:ind w:right="15"/>
              <w:spacing w:after="0"/>
              <w:rPr>
                <w:sz w:val="20"/>
                <w:szCs w:val="20"/>
                <w:color w:val="auto"/>
              </w:rPr>
            </w:pPr>
            <w:r>
              <w:rPr>
                <w:rFonts w:ascii="Arial" w:cs="Arial" w:eastAsia="Arial" w:hAnsi="Arial"/>
                <w:sz w:val="14"/>
                <w:szCs w:val="14"/>
                <w:b w:val="1"/>
                <w:bCs w:val="1"/>
                <w:color w:val="auto"/>
                <w:w w:val="98"/>
              </w:rPr>
              <w:t>More than</w:t>
            </w:r>
          </w:p>
        </w:tc>
      </w:tr>
      <w:tr>
        <w:trPr>
          <w:trHeight w:val="17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1 Year</w:t>
            </w:r>
          </w:p>
        </w:tc>
        <w:tc>
          <w:tcPr>
            <w:tcW w:w="140" w:type="dxa"/>
            <w:vAlign w:val="bottom"/>
          </w:tcPr>
          <w:p>
            <w:pPr>
              <w:spacing w:after="0"/>
              <w:rPr>
                <w:sz w:val="14"/>
                <w:szCs w:val="14"/>
                <w:color w:val="auto"/>
              </w:rPr>
            </w:pPr>
          </w:p>
        </w:tc>
        <w:tc>
          <w:tcPr>
            <w:tcW w:w="66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Years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70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5 Years</w:t>
            </w:r>
          </w:p>
        </w:tc>
      </w:tr>
      <w:tr>
        <w:trPr>
          <w:trHeight w:val="209"/>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including interest</w:t>
            </w: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r>
      <w:tr>
        <w:trPr>
          <w:trHeight w:val="230"/>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and final payment fee </w:t>
            </w:r>
            <w:r>
              <w:rPr>
                <w:rFonts w:ascii="Arial" w:cs="Arial" w:eastAsia="Arial" w:hAnsi="Arial"/>
                <w:sz w:val="15"/>
                <w:szCs w:val="15"/>
                <w:color w:val="auto"/>
              </w:rPr>
              <w:t>(1)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32,504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14,519</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w:t>
            </w:r>
          </w:p>
        </w:tc>
      </w:tr>
      <w:tr>
        <w:trPr>
          <w:trHeight w:val="215"/>
        </w:trPr>
        <w:tc>
          <w:tcPr>
            <w:tcW w:w="3540" w:type="dxa"/>
            <w:vAlign w:val="bottom"/>
          </w:tcPr>
          <w:p>
            <w:pPr>
              <w:spacing w:after="0"/>
              <w:rPr>
                <w:sz w:val="20"/>
                <w:szCs w:val="20"/>
                <w:color w:val="auto"/>
              </w:rPr>
            </w:pPr>
            <w:r>
              <w:rPr>
                <w:rFonts w:ascii="Arial" w:cs="Arial" w:eastAsia="Arial" w:hAnsi="Arial"/>
                <w:sz w:val="18"/>
                <w:szCs w:val="18"/>
                <w:color w:val="auto"/>
              </w:rPr>
              <w:t>Minimum operating lease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35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80</w:t>
            </w:r>
          </w:p>
        </w:tc>
      </w:tr>
      <w:tr>
        <w:trPr>
          <w:trHeight w:val="22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33,464</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16,489</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14,886</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rPr>
              <w:t>80</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1700" w:right="2140" w:hanging="5"/>
        <w:spacing w:after="0" w:line="274" w:lineRule="auto"/>
        <w:tabs>
          <w:tab w:leader="none" w:pos="1917"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outstanding long-term debt bears interest at a variable rate. The interest amounts included herein are based on the interest rate in effect as of December 31, 2019.</w:t>
      </w:r>
    </w:p>
    <w:p>
      <w:pPr>
        <w:spacing w:after="0" w:line="172"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Under the Takeda License, we have milestone payment obligations that are contingent upon the achievement of specified levels of product sales and are required to make certain royalty payments in connection with the sale of products developed under the agreement. As of December 31, 2019, we are unable to estimate the timing or likelihood of achieving the milestones or making future product sales and, therefore, any related payments are not included in the table above.</w:t>
      </w:r>
    </w:p>
    <w:p>
      <w:pPr>
        <w:spacing w:after="0" w:line="146" w:lineRule="exact"/>
        <w:rPr>
          <w:sz w:val="20"/>
          <w:szCs w:val="20"/>
          <w:color w:val="auto"/>
        </w:rPr>
      </w:pPr>
    </w:p>
    <w:p>
      <w:pPr>
        <w:jc w:val="both"/>
        <w:ind w:right="200" w:firstLine="589"/>
        <w:spacing w:after="0" w:line="263" w:lineRule="auto"/>
        <w:rPr>
          <w:sz w:val="20"/>
          <w:szCs w:val="20"/>
          <w:color w:val="auto"/>
        </w:rPr>
      </w:pPr>
      <w:r>
        <w:rPr>
          <w:rFonts w:ascii="Arial" w:cs="Arial" w:eastAsia="Arial" w:hAnsi="Arial"/>
          <w:sz w:val="18"/>
          <w:szCs w:val="18"/>
          <w:color w:val="auto"/>
        </w:rPr>
        <w:t>We enter into contracts in the normal course of business for contract research services, contract manufacturing services, professional services and other services and products for operating purposes. These contracts generally provide for termination after a notice period, and, therefore, are cancelable contracts and not included in the table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combined financial statements, which have been prepared in accordance with generally accepted accounting principles in the United States, or GAAP. The preparation of our combined financial statements requires us to make estimates and assumptions that affect the reported amounts of assets, liabilities and expenses and the disclosure of contingent assets and liabilities in our combined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7" w:lineRule="exact"/>
        <w:rPr>
          <w:sz w:val="20"/>
          <w:szCs w:val="20"/>
          <w:color w:val="auto"/>
        </w:rPr>
      </w:pPr>
    </w:p>
    <w:p>
      <w:pPr>
        <w:ind w:right="300" w:firstLine="589"/>
        <w:spacing w:after="0" w:line="308" w:lineRule="auto"/>
        <w:rPr>
          <w:sz w:val="20"/>
          <w:szCs w:val="20"/>
          <w:color w:val="auto"/>
        </w:rPr>
      </w:pPr>
      <w:r>
        <w:rPr>
          <w:rFonts w:ascii="Arial" w:cs="Arial" w:eastAsia="Arial" w:hAnsi="Arial"/>
          <w:sz w:val="17"/>
          <w:szCs w:val="17"/>
          <w:color w:val="auto"/>
        </w:rPr>
        <w:t>While our significant accounting policies are more fully described in Note 1 to our combined financial statements, we believe that the following accounting policies are the most critical for fully understanding and evaluating our financial condition and results of operations.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115</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98"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As part of the process of preparing our combined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37"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51"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85"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We evaluate whether acquired intangible assets are a business under applicable accounting standards. Additionally, we evaluate whether the acquired assets have a future alternative use. Intangible assets that do not have future alternative use, such as the Takeda License,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Warrant Liabilities and Convertible Promissory Notes</w:t>
      </w:r>
    </w:p>
    <w:p>
      <w:pPr>
        <w:spacing w:after="0" w:line="198"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As described above, our warrant liabilities and convertible promissory notes are revalued at each reporting period with changes in the fair value of the liabilities recorded as a component of other income (expense) in the combined statements of operations. There are significant judgments and estimates inherent in the determination of the fair value of these liabilities. If we had made different assumptions including, among others, those related to the timing and probability of various corporate scenarios, discount rates, volatilities and exit valuations, the carrying values of our warrant liabilities and convertible promissory notes, and our net loss and net loss per common share could have been significantly different.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At the inception of any contractual arrangements we may enter into, we determine whether the contract contains a lease by assessing whether there is an identified asset and whether the contract conveys the right to control the use of the identified asset in exchange for consideration over a period of time. If both criteria are met, we record the associated lease liability and corresponding right-of-use asset upon commencement of the lease using either the implicit rate or a discount rate based on our credit-adjusted secured borrowing rate commensurate with the term of the lease. Additionally, we evaluate leases at their inception to determine if they are to be accounted for as an operating lease or a finance lease. We assess if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116</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6" w:name="page117"/>
    <w:bookmarkEnd w:id="116"/>
    <w:p>
      <w:pPr>
        <w:ind w:right="20"/>
        <w:spacing w:after="0" w:line="269" w:lineRule="auto"/>
        <w:rPr>
          <w:sz w:val="20"/>
          <w:szCs w:val="20"/>
          <w:color w:val="auto"/>
        </w:rPr>
      </w:pPr>
      <w:r>
        <w:rPr>
          <w:rFonts w:ascii="Arial" w:cs="Arial" w:eastAsia="Arial" w:hAnsi="Arial"/>
          <w:sz w:val="17"/>
          <w:szCs w:val="17"/>
          <w:color w:val="auto"/>
        </w:rPr>
        <w:t>the end of the lease term, or if the underlying asset is of such a specialized nature that it is expected to have no alternative uses to the lessor at the end of the term. We account for leases that do not meet the finance lease criteria as operating leases, representing our right to use an underlying asset for the lease term. We also recognize operating lease liabilities as our obligation to make lease payments arising from the lease. We recognize operating lease liabilities with a term greater than one year and their corresponding right-of-use assets on the balance sheet at the commencement date of the lease based on the present value of lease payments over the expected lease term. As needed, we make certain adjustments to the right-of-use asset for items such as initial direct costs paid or incentives received. Because our leases do not typically provide an implicit rate, we utilize the rate of interest that we would have to pay to borrow on a collateralized basis over a similar term and in a similar economic environment. We recognize lease costs on a straight-line basis over the lease term and variable lease payments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we lease.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Stock-based compensation expense represents the cost of the grant date fair value of equity awards recognized over the requisite service period of the awards (generally the vesting period) on a straight-line basis with forfeitures recognized as they occur. Through December 31, 2019, our stock-based compensation expense consisted of our issuance of restricted stock awards, for which the fair value is determined based on the fair value of the underlying common stock and stock options. As of December 31, 2019, unrecognized stock-based compensation expense was $6.8 million, which is expected to be recognized over a weighted-average period of approximately 3.75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85" w:lineRule="exact"/>
        <w:rPr>
          <w:sz w:val="20"/>
          <w:szCs w:val="20"/>
          <w:color w:val="auto"/>
        </w:rPr>
      </w:pPr>
    </w:p>
    <w:p>
      <w:pPr>
        <w:ind w:right="160" w:firstLine="589"/>
        <w:spacing w:after="0" w:line="255" w:lineRule="auto"/>
        <w:rPr>
          <w:sz w:val="20"/>
          <w:szCs w:val="20"/>
          <w:color w:val="auto"/>
        </w:rPr>
      </w:pPr>
      <w:r>
        <w:rPr>
          <w:rFonts w:ascii="Arial" w:cs="Arial" w:eastAsia="Arial" w:hAnsi="Arial"/>
          <w:sz w:val="18"/>
          <w:szCs w:val="18"/>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52" w:lineRule="exact"/>
        <w:rPr>
          <w:sz w:val="20"/>
          <w:szCs w:val="20"/>
          <w:color w:val="auto"/>
        </w:rPr>
      </w:pPr>
    </w:p>
    <w:p>
      <w:pPr>
        <w:ind w:right="260" w:firstLine="589"/>
        <w:spacing w:after="0" w:line="275"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Item 15 of this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117</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7" w:name="page118"/>
    <w:bookmarkEnd w:id="117"/>
    <w:p>
      <w:pPr>
        <w:spacing w:after="0"/>
        <w:tabs>
          <w:tab w:leader="none" w:pos="13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right="80" w:firstLine="589"/>
        <w:spacing w:after="0" w:line="286" w:lineRule="auto"/>
        <w:rPr>
          <w:sz w:val="20"/>
          <w:szCs w:val="20"/>
          <w:color w:val="auto"/>
        </w:rPr>
      </w:pPr>
      <w:r>
        <w:rPr>
          <w:rFonts w:ascii="Arial" w:cs="Arial" w:eastAsia="Arial" w:hAnsi="Arial"/>
          <w:sz w:val="17"/>
          <w:szCs w:val="17"/>
          <w:color w:val="auto"/>
        </w:rPr>
        <w:t>Our cash and cash equivalents consist of cash in readily available checking accounts and money market funds. As a result, the fair value of our portfolio is relatively insensitive to interest rate changes. Our long-term debt bears interest at a variable rate. A 10% increase or decrease in the interest rate on our long-term debt would not have a material effect on our financial position, results of operations or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98"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 costs. We do not believe inflation has had a material effect on our results of operations during the periods presented.</w:t>
      </w:r>
    </w:p>
    <w:p>
      <w:pPr>
        <w:spacing w:after="0" w:line="12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89"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 financial statements required pursuant to this item are incorporated by reference herein from the applicable information included in Item 15 of this annual report and are presented beginning on page F-1.</w:t>
      </w:r>
    </w:p>
    <w:p>
      <w:pPr>
        <w:spacing w:after="0" w:line="13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89"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1"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Based on such evaluation, our principal executive officer and principal financial officer have concluded that as of such date, our disclosure controls and procedures were effective at the reasonable assurance level.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9"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due to a transition period established by the rules of the SEC for newly public companies.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02"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an exemption provided by the JOBS Act for “emerging growth companies.”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118</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year ended December 31, 2019 that have materially affected, or are reasonably likely to materially affect, our internal control over financial reporting.</w:t>
      </w:r>
    </w:p>
    <w:p>
      <w:pPr>
        <w:spacing w:after="0" w:line="12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119</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119" w:name="page120"/>
    <w:bookmarkEnd w:id="119"/>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2" w:lineRule="exact"/>
        <w:rPr>
          <w:sz w:val="20"/>
          <w:szCs w:val="20"/>
          <w:color w:val="auto"/>
        </w:rPr>
      </w:pPr>
    </w:p>
    <w:p>
      <w:pPr>
        <w:ind w:right="320" w:firstLine="589"/>
        <w:spacing w:after="0" w:line="259"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2020 Annual Meeting of Stockholders, or the Definitive Proxy Statement, which is expected to be filed not later than 120 days after the end of our fiscal year ended December 31, 2019, under the headings “Election of Directors,” “Executive Officers,” and “Section 16(a) Beneficial Ownership Reporting Compliance,”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189"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We have adopted a Code of Conduct and Ethics that applies to our officers, directors and employees, which is available on our website at www.phathompharma.com. The Code of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3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89"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 and Other Information” in our Definitive Proxy Statement and is incorporated herein by reference.</w:t>
      </w:r>
    </w:p>
    <w:p>
      <w:pPr>
        <w:spacing w:after="0" w:line="12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02"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“Security Ownership of Certain Beneficial Owners and Management” in our Definitive Proxy Statement and is incorporated herein by reference.</w:t>
      </w:r>
    </w:p>
    <w:p>
      <w:pPr>
        <w:spacing w:after="0" w:line="130"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The information required by Item 201(d) of Regulation S-K will be set forth in the section headed “Executive Compensation” in our Definitive Proxy Statement and is incorporated herein by reference.</w:t>
      </w:r>
    </w:p>
    <w:p>
      <w:pPr>
        <w:spacing w:after="0" w:line="12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02" w:lineRule="exact"/>
        <w:rPr>
          <w:sz w:val="20"/>
          <w:szCs w:val="20"/>
          <w:color w:val="auto"/>
        </w:rPr>
      </w:pPr>
    </w:p>
    <w:p>
      <w:pPr>
        <w:ind w:right="460" w:firstLine="589"/>
        <w:spacing w:after="0" w:line="308" w:lineRule="auto"/>
        <w:rPr>
          <w:sz w:val="20"/>
          <w:szCs w:val="20"/>
          <w:color w:val="auto"/>
        </w:rPr>
      </w:pPr>
      <w:r>
        <w:rPr>
          <w:rFonts w:ascii="Arial" w:cs="Arial" w:eastAsia="Arial" w:hAnsi="Arial"/>
          <w:sz w:val="17"/>
          <w:szCs w:val="17"/>
          <w:color w:val="auto"/>
        </w:rPr>
        <w:t>The information required by this item will be set forth in the section headed “Certain Relationships and Related Person Transactions,” “Board Independence” and “Committees of the Board of Directors” in our Definitive Proxy Statement and is incorporated herein by reference.</w:t>
      </w:r>
    </w:p>
    <w:p>
      <w:pPr>
        <w:spacing w:after="0" w:line="10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89"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“Independent Registered Public Accountants’ Fees” in our Definitive Proxy Statement and is incorporated herein by reference.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120</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98"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All financial statements.</w:t>
      </w:r>
    </w:p>
    <w:p>
      <w:pPr>
        <w:spacing w:after="0" w:line="189"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The financial statements of Phathom Pharmaceuticals, Inc., together with the report thereon of Ernst &amp; Young LLP, an independent registered public accounting firm, are included in this annual report on Form 10-K beginning on page F-1.</w:t>
      </w:r>
    </w:p>
    <w:p>
      <w:pPr>
        <w:spacing w:after="0" w:line="126"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89"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126"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A list of exhibits is set forth on the Exhibit Index immediately preceding the signature page of this annual report on Form 10-K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121</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1" w:name="page122"/>
    <w:bookmarkEnd w:id="121"/>
    <w:p>
      <w:pPr>
        <w:ind w:left="44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250"/>
        </w:trPr>
        <w:tc>
          <w:tcPr>
            <w:tcW w:w="5000" w:type="dxa"/>
            <w:vAlign w:val="bottom"/>
            <w:gridSpan w:val="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Report of Independent Registered Public Accounting Firm</w:t>
              </w:r>
            </w:hyperlink>
          </w:p>
        </w:tc>
        <w:tc>
          <w:tcPr>
            <w:tcW w:w="5580" w:type="dxa"/>
            <w:vAlign w:val="bottom"/>
          </w:tcPr>
          <w:p>
            <w:pPr>
              <w:spacing w:after="0"/>
              <w:rPr>
                <w:sz w:val="21"/>
                <w:szCs w:val="21"/>
                <w:color w:val="auto"/>
              </w:rPr>
            </w:pPr>
          </w:p>
        </w:tc>
        <w:tc>
          <w:tcPr>
            <w:tcW w:w="680" w:type="dxa"/>
            <w:vAlign w:val="bottom"/>
            <w:gridSpan w:val="2"/>
          </w:tcPr>
          <w:p>
            <w:pPr>
              <w:ind w:left="420"/>
              <w:spacing w:after="0"/>
              <w:rPr>
                <w:sz w:val="20"/>
                <w:szCs w:val="20"/>
                <w:color w:val="auto"/>
              </w:rPr>
            </w:pPr>
            <w:r>
              <w:rPr>
                <w:rFonts w:ascii="Arial" w:cs="Arial" w:eastAsia="Arial" w:hAnsi="Arial"/>
                <w:sz w:val="18"/>
                <w:szCs w:val="18"/>
                <w:color w:val="auto"/>
                <w:w w:val="88"/>
              </w:rPr>
              <w:t>F-2</w:t>
            </w:r>
          </w:p>
        </w:tc>
      </w:tr>
      <w:tr>
        <w:trPr>
          <w:trHeight w:val="196"/>
        </w:trPr>
        <w:tc>
          <w:tcPr>
            <w:tcW w:w="1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Combined Balance Sheets</w:t>
              </w:r>
            </w:hyperlink>
          </w:p>
        </w:tc>
        <w:tc>
          <w:tcPr>
            <w:tcW w:w="2320" w:type="dxa"/>
            <w:vAlign w:val="bottom"/>
            <w:tcBorders>
              <w:top w:val="single" w:sz="8" w:color="0000EE"/>
            </w:tcBorders>
            <w:gridSpan w:val="4"/>
          </w:tcPr>
          <w:p>
            <w:pPr>
              <w:spacing w:after="0"/>
              <w:rPr>
                <w:sz w:val="17"/>
                <w:szCs w:val="17"/>
                <w:color w:val="auto"/>
              </w:rPr>
            </w:pPr>
          </w:p>
        </w:tc>
        <w:tc>
          <w:tcPr>
            <w:tcW w:w="780" w:type="dxa"/>
            <w:vAlign w:val="bottom"/>
            <w:gridSpan w:val="2"/>
          </w:tcPr>
          <w:p>
            <w:pPr>
              <w:spacing w:after="0"/>
              <w:rPr>
                <w:sz w:val="17"/>
                <w:szCs w:val="17"/>
                <w:color w:val="auto"/>
              </w:rPr>
            </w:pPr>
          </w:p>
        </w:tc>
        <w:tc>
          <w:tcPr>
            <w:tcW w:w="5580" w:type="dxa"/>
            <w:vAlign w:val="bottom"/>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F-3</w:t>
            </w:r>
          </w:p>
        </w:tc>
      </w:tr>
      <w:tr>
        <w:trPr>
          <w:trHeight w:val="196"/>
        </w:trPr>
        <w:tc>
          <w:tcPr>
            <w:tcW w:w="5000" w:type="dxa"/>
            <w:vAlign w:val="bottom"/>
            <w:gridSpan w:val="7"/>
          </w:tcPr>
          <w:p>
            <w:pPr>
              <w:spacing w:after="0" w:line="196" w:lineRule="exact"/>
              <w:rPr>
                <w:rFonts w:ascii="Arial" w:cs="Arial" w:eastAsia="Arial" w:hAnsi="Arial"/>
                <w:sz w:val="18"/>
                <w:szCs w:val="18"/>
                <w:color w:val="0000EE"/>
                <w:w w:val="99"/>
              </w:rPr>
            </w:pPr>
            <w:hyperlink w:anchor="page125">
              <w:r>
                <w:rPr>
                  <w:rFonts w:ascii="Arial" w:cs="Arial" w:eastAsia="Arial" w:hAnsi="Arial"/>
                  <w:sz w:val="18"/>
                  <w:szCs w:val="18"/>
                  <w:color w:val="0000EE"/>
                  <w:w w:val="99"/>
                </w:rPr>
                <w:t>Combined Statements of Operations and Comprehensive Loss</w:t>
              </w:r>
            </w:hyperlink>
          </w:p>
        </w:tc>
        <w:tc>
          <w:tcPr>
            <w:tcW w:w="5580" w:type="dxa"/>
            <w:vAlign w:val="bottom"/>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F-4</w:t>
            </w:r>
          </w:p>
        </w:tc>
      </w:tr>
      <w:tr>
        <w:trPr>
          <w:trHeight w:val="196"/>
        </w:trPr>
        <w:tc>
          <w:tcPr>
            <w:tcW w:w="44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Combined Statements of Stockholders’ Equity (Deficit)</w:t>
              </w:r>
            </w:hyperlink>
          </w:p>
        </w:tc>
        <w:tc>
          <w:tcPr>
            <w:tcW w:w="5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2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Combined Statements of Cash Flows</w:t>
              </w:r>
            </w:hyperlink>
          </w:p>
        </w:tc>
        <w:tc>
          <w:tcPr>
            <w:tcW w:w="1340" w:type="dxa"/>
            <w:vAlign w:val="bottom"/>
            <w:tcBorders>
              <w:top w:val="single" w:sz="8" w:color="0000EE"/>
            </w:tcBorders>
          </w:tcPr>
          <w:p>
            <w:pPr>
              <w:spacing w:after="0"/>
              <w:rPr>
                <w:sz w:val="17"/>
                <w:szCs w:val="17"/>
                <w:color w:val="auto"/>
              </w:rPr>
            </w:pPr>
          </w:p>
        </w:tc>
        <w:tc>
          <w:tcPr>
            <w:tcW w:w="980" w:type="dxa"/>
            <w:vAlign w:val="bottom"/>
            <w:gridSpan w:val="3"/>
          </w:tcPr>
          <w:p>
            <w:pPr>
              <w:spacing w:after="0"/>
              <w:rPr>
                <w:sz w:val="17"/>
                <w:szCs w:val="17"/>
                <w:color w:val="auto"/>
              </w:rPr>
            </w:pPr>
          </w:p>
        </w:tc>
        <w:tc>
          <w:tcPr>
            <w:tcW w:w="5580" w:type="dxa"/>
            <w:vAlign w:val="bottom"/>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5000" w:type="dxa"/>
            <w:vAlign w:val="bottom"/>
            <w:gridSpan w:val="7"/>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Notes to Financial Statements</w:t>
              </w:r>
            </w:hyperlink>
          </w:p>
        </w:tc>
        <w:tc>
          <w:tcPr>
            <w:tcW w:w="5580" w:type="dxa"/>
            <w:vAlign w:val="bottom"/>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F-7</w:t>
            </w:r>
          </w:p>
        </w:tc>
      </w:tr>
      <w:tr>
        <w:trPr>
          <w:trHeight w:val="885"/>
        </w:trPr>
        <w:tc>
          <w:tcPr>
            <w:tcW w:w="21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US-DOCS\113023198.3</w:t>
            </w:r>
          </w:p>
        </w:tc>
        <w:tc>
          <w:tcPr>
            <w:tcW w:w="2840" w:type="dxa"/>
            <w:vAlign w:val="bottom"/>
            <w:gridSpan w:val="5"/>
          </w:tcPr>
          <w:p>
            <w:pPr>
              <w:spacing w:after="0"/>
              <w:rPr>
                <w:sz w:val="24"/>
                <w:szCs w:val="24"/>
                <w:color w:val="auto"/>
              </w:rPr>
            </w:pPr>
          </w:p>
        </w:tc>
        <w:tc>
          <w:tcPr>
            <w:tcW w:w="6260" w:type="dxa"/>
            <w:vAlign w:val="bottom"/>
            <w:gridSpan w:val="3"/>
          </w:tcPr>
          <w:p>
            <w:pPr>
              <w:ind w:left="500"/>
              <w:spacing w:after="0"/>
              <w:rPr>
                <w:sz w:val="20"/>
                <w:szCs w:val="20"/>
                <w:color w:val="auto"/>
              </w:rPr>
            </w:pPr>
            <w:r>
              <w:rPr>
                <w:rFonts w:ascii="Arial" w:cs="Arial" w:eastAsia="Arial" w:hAnsi="Arial"/>
                <w:sz w:val="18"/>
                <w:szCs w:val="18"/>
                <w:color w:val="auto"/>
              </w:rPr>
              <w:t>F-1</w:t>
            </w:r>
          </w:p>
        </w:tc>
      </w:tr>
      <w:tr>
        <w:trPr>
          <w:trHeight w:val="331"/>
        </w:trPr>
        <w:tc>
          <w:tcPr>
            <w:tcW w:w="1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2" w:name="page123"/>
    <w:bookmarkEnd w:id="122"/>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030303"/>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30303"/>
        </w:rPr>
        <w:t>Phathom Pharmaceuticals,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30303"/>
        </w:rPr>
        <w:t>Opinion on the Financial Statements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030303"/>
        </w:rPr>
        <w:t>We have audited the accompanying combined balance sheets of Phathom Pharmaceuticals, Inc. (the Company) as of December 31, 2019 and 2018, the related combined statements of operations and comprehensive loss, stockholders’ equity (deficit) and cash flows for the years then ended, and the related notes (collectively referred to as the "combined financial statements"). In our opinion, the combined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030303"/>
        </w:rPr>
        <w:t>Basis for Opinion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03030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030303"/>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030303"/>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030303"/>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30303"/>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30303"/>
        </w:rPr>
        <w:t>San Diego, California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30303"/>
        </w:rPr>
        <w:t>March 19,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ind w:left="1860"/>
              <w:spacing w:after="0"/>
              <w:rPr>
                <w:sz w:val="20"/>
                <w:szCs w:val="20"/>
                <w:color w:val="auto"/>
              </w:rPr>
            </w:pPr>
            <w:r>
              <w:rPr>
                <w:rFonts w:ascii="Arial" w:cs="Arial" w:eastAsia="Arial" w:hAnsi="Arial"/>
                <w:sz w:val="18"/>
                <w:szCs w:val="18"/>
                <w:color w:val="auto"/>
              </w:rPr>
              <w:t>F-2</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3" w:name="page124"/>
    <w:bookmarkEnd w:id="123"/>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Current assets:</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243,765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879</w:t>
            </w:r>
          </w:p>
        </w:tc>
        <w:tc>
          <w:tcPr>
            <w:tcW w:w="20" w:type="dxa"/>
            <w:vAlign w:val="bottom"/>
          </w:tcPr>
          <w:p>
            <w:pPr>
              <w:spacing w:after="0"/>
              <w:rPr>
                <w:sz w:val="19"/>
                <w:szCs w:val="19"/>
                <w:color w:val="auto"/>
              </w:rPr>
            </w:pPr>
          </w:p>
        </w:tc>
      </w:tr>
      <w:tr>
        <w:trPr>
          <w:trHeight w:val="215"/>
        </w:trPr>
        <w:tc>
          <w:tcPr>
            <w:tcW w:w="7960" w:type="dxa"/>
            <w:vAlign w:val="bottom"/>
            <w:gridSpan w:val="3"/>
          </w:tcPr>
          <w:p>
            <w:pPr>
              <w:ind w:left="260"/>
              <w:spacing w:after="0"/>
              <w:rPr>
                <w:sz w:val="20"/>
                <w:szCs w:val="20"/>
                <w:color w:val="auto"/>
              </w:rPr>
            </w:pPr>
            <w:r>
              <w:rPr>
                <w:rFonts w:ascii="Arial" w:cs="Arial" w:eastAsia="Arial" w:hAnsi="Arial"/>
                <w:sz w:val="18"/>
                <w:szCs w:val="18"/>
                <w:color w:val="auto"/>
              </w:rPr>
              <w:t>Prepaid expenses and other current assets (including related party amounts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of $0 and $19, respectively)</w:t>
            </w:r>
          </w:p>
        </w:tc>
        <w:tc>
          <w:tcPr>
            <w:tcW w:w="23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11,836</w:t>
            </w: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255,601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902</w:t>
            </w:r>
          </w:p>
        </w:tc>
        <w:tc>
          <w:tcPr>
            <w:tcW w:w="20" w:type="dxa"/>
            <w:vAlign w:val="bottom"/>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933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2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257,178</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902</w:t>
            </w:r>
          </w:p>
        </w:tc>
        <w:tc>
          <w:tcPr>
            <w:tcW w:w="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Current liabilities:</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Accounts payable (including related party amounts of $200 and $45,</w:t>
            </w:r>
          </w:p>
        </w:tc>
        <w:tc>
          <w:tcPr>
            <w:tcW w:w="2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r>
      <w:tr>
        <w:trPr>
          <w:trHeight w:val="215"/>
        </w:trPr>
        <w:tc>
          <w:tcPr>
            <w:tcW w:w="5340" w:type="dxa"/>
            <w:vAlign w:val="bottom"/>
          </w:tcPr>
          <w:p>
            <w:pPr>
              <w:ind w:left="260"/>
              <w:spacing w:after="0"/>
              <w:rPr>
                <w:sz w:val="20"/>
                <w:szCs w:val="20"/>
                <w:color w:val="auto"/>
              </w:rPr>
            </w:pPr>
            <w:r>
              <w:rPr>
                <w:rFonts w:ascii="Arial" w:cs="Arial" w:eastAsia="Arial" w:hAnsi="Arial"/>
                <w:sz w:val="18"/>
                <w:szCs w:val="18"/>
                <w:color w:val="auto"/>
                <w:w w:val="93"/>
              </w:rPr>
              <w:t>Accrued expenses (including related party amounts of $308 and $2,</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2,319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0"/>
                <w:szCs w:val="20"/>
                <w:color w:val="auto"/>
              </w:rPr>
            </w:pPr>
          </w:p>
        </w:tc>
      </w:tr>
      <w:tr>
        <w:trPr>
          <w:trHeight w:val="215"/>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Accrued interest (including related party amounts of $0 and $13,</w:t>
            </w:r>
          </w:p>
        </w:tc>
        <w:tc>
          <w:tcPr>
            <w:tcW w:w="2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15"/>
        </w:trPr>
        <w:tc>
          <w:tcPr>
            <w:tcW w:w="7960" w:type="dxa"/>
            <w:vAlign w:val="bottom"/>
            <w:gridSpan w:val="3"/>
          </w:tcPr>
          <w:p>
            <w:pPr>
              <w:ind w:left="260"/>
              <w:spacing w:after="0"/>
              <w:rPr>
                <w:sz w:val="20"/>
                <w:szCs w:val="20"/>
                <w:color w:val="auto"/>
              </w:rPr>
            </w:pPr>
            <w:r>
              <w:rPr>
                <w:rFonts w:ascii="Arial" w:cs="Arial" w:eastAsia="Arial" w:hAnsi="Arial"/>
                <w:sz w:val="18"/>
                <w:szCs w:val="18"/>
                <w:color w:val="auto"/>
              </w:rPr>
              <w:t>Convertible promissory notes payable at fair value (including related party</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amounts of $0 and $1,950, respectively)</w:t>
            </w: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20"/>
                <w:szCs w:val="20"/>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2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5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Warrant liabilities</w:t>
            </w:r>
          </w:p>
        </w:tc>
        <w:tc>
          <w:tcPr>
            <w:tcW w:w="2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413</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3,748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2,188</w:t>
            </w:r>
          </w:p>
        </w:tc>
        <w:tc>
          <w:tcPr>
            <w:tcW w:w="20" w:type="dxa"/>
            <w:vAlign w:val="bottom"/>
          </w:tcPr>
          <w:p>
            <w:pPr>
              <w:spacing w:after="0"/>
              <w:rPr>
                <w:sz w:val="19"/>
                <w:szCs w:val="19"/>
                <w:color w:val="auto"/>
              </w:rPr>
            </w:pPr>
          </w:p>
        </w:tc>
      </w:tr>
      <w:tr>
        <w:trPr>
          <w:trHeight w:val="229"/>
        </w:trPr>
        <w:tc>
          <w:tcPr>
            <w:tcW w:w="5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discount</w:t>
            </w:r>
          </w:p>
        </w:tc>
        <w:tc>
          <w:tcPr>
            <w:tcW w:w="2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22,777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3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2,063</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29,223</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2,188</w:t>
            </w:r>
          </w:p>
        </w:tc>
        <w:tc>
          <w:tcPr>
            <w:tcW w:w="20" w:type="dxa"/>
            <w:vAlign w:val="bottom"/>
          </w:tcPr>
          <w:p>
            <w:pPr>
              <w:spacing w:after="0"/>
              <w:rPr>
                <w:sz w:val="19"/>
                <w:szCs w:val="19"/>
                <w:color w:val="auto"/>
              </w:rPr>
            </w:pPr>
          </w:p>
        </w:tc>
      </w:tr>
      <w:tr>
        <w:trPr>
          <w:trHeight w:val="223"/>
        </w:trPr>
        <w:tc>
          <w:tcPr>
            <w:tcW w:w="534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authorized shares</w:t>
            </w:r>
          </w:p>
        </w:tc>
        <w:tc>
          <w:tcPr>
            <w:tcW w:w="2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—400,000,000 at December 31, 2019; issued shares—</w:t>
            </w:r>
          </w:p>
        </w:tc>
        <w:tc>
          <w:tcPr>
            <w:tcW w:w="2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28,964,506 at December 31, 2019; outstanding shares—</w:t>
            </w:r>
          </w:p>
        </w:tc>
        <w:tc>
          <w:tcPr>
            <w:tcW w:w="2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24,728,258 at December 31, 2019;</w:t>
            </w:r>
          </w:p>
        </w:tc>
        <w:tc>
          <w:tcPr>
            <w:tcW w:w="2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484,372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3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(256,419)</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 (deficit)</w:t>
            </w:r>
          </w:p>
        </w:tc>
        <w:tc>
          <w:tcPr>
            <w:tcW w:w="2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227,955</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257,178</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902</w:t>
            </w:r>
          </w:p>
        </w:tc>
        <w:tc>
          <w:tcPr>
            <w:tcW w:w="20" w:type="dxa"/>
            <w:vAlign w:val="bottom"/>
          </w:tcPr>
          <w:p>
            <w:pPr>
              <w:spacing w:after="0"/>
              <w:rPr>
                <w:sz w:val="19"/>
                <w:szCs w:val="19"/>
                <w:color w:val="auto"/>
              </w:rPr>
            </w:pPr>
          </w:p>
        </w:tc>
      </w:tr>
      <w:tr>
        <w:trPr>
          <w:trHeight w:val="20"/>
        </w:trPr>
        <w:tc>
          <w:tcPr>
            <w:tcW w:w="77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7960" w:type="dxa"/>
            <w:vAlign w:val="bottom"/>
            <w:gridSpan w:val="3"/>
          </w:tcPr>
          <w:p>
            <w:pPr>
              <w:ind w:left="4720"/>
              <w:spacing w:after="0"/>
              <w:rPr>
                <w:sz w:val="20"/>
                <w:szCs w:val="20"/>
                <w:color w:val="auto"/>
              </w:rPr>
            </w:pPr>
            <w:r>
              <w:rPr>
                <w:rFonts w:ascii="Arial" w:cs="Arial" w:eastAsia="Arial" w:hAnsi="Arial"/>
                <w:sz w:val="18"/>
                <w:szCs w:val="18"/>
                <w:i w:val="1"/>
                <w:iCs w:val="1"/>
                <w:color w:val="auto"/>
              </w:rPr>
              <w:t>See accompanying notes.</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5340" w:type="dxa"/>
            <w:vAlign w:val="bottom"/>
          </w:tcPr>
          <w:p>
            <w:pPr>
              <w:spacing w:after="0"/>
              <w:rPr>
                <w:sz w:val="20"/>
                <w:szCs w:val="20"/>
                <w:color w:val="auto"/>
              </w:rPr>
            </w:pPr>
            <w:r>
              <w:rPr>
                <w:rFonts w:ascii="Arial" w:cs="Arial" w:eastAsia="Arial" w:hAnsi="Arial"/>
                <w:sz w:val="18"/>
                <w:szCs w:val="18"/>
                <w:color w:val="auto"/>
              </w:rPr>
              <w:t>US-DOCS\113023198.3</w:t>
            </w:r>
          </w:p>
        </w:tc>
        <w:tc>
          <w:tcPr>
            <w:tcW w:w="2620" w:type="dxa"/>
            <w:vAlign w:val="bottom"/>
            <w:gridSpan w:val="2"/>
          </w:tcPr>
          <w:p>
            <w:pPr>
              <w:jc w:val="right"/>
              <w:ind w:right="2110"/>
              <w:spacing w:after="0"/>
              <w:rPr>
                <w:sz w:val="20"/>
                <w:szCs w:val="20"/>
                <w:color w:val="auto"/>
              </w:rPr>
            </w:pPr>
            <w:r>
              <w:rPr>
                <w:rFonts w:ascii="Arial" w:cs="Arial" w:eastAsia="Arial" w:hAnsi="Arial"/>
                <w:sz w:val="18"/>
                <w:szCs w:val="18"/>
                <w:color w:val="auto"/>
              </w:rPr>
              <w:t>F-3</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53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Years Ended</w:t>
      </w:r>
    </w:p>
    <w:p>
      <w:pPr>
        <w:ind w:left="90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5400" w:type="dxa"/>
            <w:vAlign w:val="bottom"/>
            <w:tcBorders>
              <w:bottom w:val="single" w:sz="8" w:color="CFF0FC"/>
            </w:tcBorders>
          </w:tcPr>
          <w:p>
            <w:pPr>
              <w:spacing w:after="0"/>
              <w:rPr>
                <w:sz w:val="13"/>
                <w:szCs w:val="13"/>
                <w:color w:val="auto"/>
              </w:rPr>
            </w:pPr>
          </w:p>
        </w:tc>
        <w:tc>
          <w:tcPr>
            <w:tcW w:w="23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260"/>
              <w:spacing w:after="0"/>
              <w:rPr>
                <w:sz w:val="20"/>
                <w:szCs w:val="20"/>
                <w:color w:val="auto"/>
              </w:rPr>
            </w:pPr>
            <w:r>
              <w:rPr>
                <w:rFonts w:ascii="Arial" w:cs="Arial" w:eastAsia="Arial" w:hAnsi="Arial"/>
                <w:sz w:val="18"/>
                <w:szCs w:val="18"/>
                <w:color w:val="auto"/>
                <w:w w:val="92"/>
              </w:rPr>
              <w:t>Research and development (includes related party amounts of $1,243</w:t>
            </w: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and $0, respectively)</w:t>
            </w:r>
          </w:p>
        </w:tc>
        <w:tc>
          <w:tcPr>
            <w:tcW w:w="2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20,374</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In-process research and development</w:t>
            </w:r>
          </w:p>
        </w:tc>
        <w:tc>
          <w:tcPr>
            <w:tcW w:w="2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78,897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260"/>
              <w:spacing w:after="0"/>
              <w:rPr>
                <w:sz w:val="20"/>
                <w:szCs w:val="20"/>
                <w:color w:val="auto"/>
              </w:rPr>
            </w:pPr>
            <w:r>
              <w:rPr>
                <w:rFonts w:ascii="Arial" w:cs="Arial" w:eastAsia="Arial" w:hAnsi="Arial"/>
                <w:sz w:val="18"/>
                <w:szCs w:val="18"/>
                <w:color w:val="auto"/>
                <w:w w:val="95"/>
              </w:rPr>
              <w:t>General and administrative (includes related party amounts of $312</w:t>
            </w: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and $321, respectively)</w:t>
            </w:r>
          </w:p>
        </w:tc>
        <w:tc>
          <w:tcPr>
            <w:tcW w:w="23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6,944</w:t>
            </w: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106,215</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(106,215)</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1,089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Interest expense (includes related party amounts of $(590) and $(13),</w:t>
            </w:r>
          </w:p>
        </w:tc>
        <w:tc>
          <w:tcPr>
            <w:tcW w:w="2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liabilities (includes related party</w:t>
            </w: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80"/>
              <w:spacing w:after="0"/>
              <w:rPr>
                <w:sz w:val="20"/>
                <w:szCs w:val="20"/>
                <w:color w:val="auto"/>
              </w:rPr>
            </w:pPr>
            <w:r>
              <w:rPr>
                <w:rFonts w:ascii="Arial" w:cs="Arial" w:eastAsia="Arial" w:hAnsi="Arial"/>
                <w:sz w:val="18"/>
                <w:szCs w:val="18"/>
                <w:color w:val="auto"/>
              </w:rPr>
              <w:t>amounts of ($96,278) and ($0), respectively)</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(96,272)</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Change in fair value of convertible promissory notes (includes related</w:t>
            </w:r>
          </w:p>
        </w:tc>
        <w:tc>
          <w:tcPr>
            <w:tcW w:w="2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party amounts of ($10,941) and ($50), respectively)</w:t>
            </w:r>
          </w:p>
        </w:tc>
        <w:tc>
          <w:tcPr>
            <w:tcW w:w="2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(49,546)</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 (expense)</w:t>
            </w:r>
          </w:p>
        </w:tc>
        <w:tc>
          <w:tcPr>
            <w:tcW w:w="2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2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(148,916)</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3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(255,131)</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w w:val="91"/>
              </w:rPr>
              <w:t>Weighted-average shares of common stock outstanding, basic and diluted</w:t>
            </w:r>
          </w:p>
        </w:tc>
        <w:tc>
          <w:tcPr>
            <w:tcW w:w="2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11,366,916</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6,051,675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3"/>
          </w:tcPr>
          <w:p>
            <w:pPr>
              <w:ind w:left="4740"/>
              <w:spacing w:after="0"/>
              <w:rPr>
                <w:sz w:val="20"/>
                <w:szCs w:val="20"/>
                <w:color w:val="auto"/>
              </w:rPr>
            </w:pPr>
            <w:r>
              <w:rPr>
                <w:rFonts w:ascii="Arial" w:cs="Arial" w:eastAsia="Arial" w:hAnsi="Arial"/>
                <w:sz w:val="18"/>
                <w:szCs w:val="18"/>
                <w:i w:val="1"/>
                <w:iCs w:val="1"/>
                <w:color w:val="auto"/>
              </w:rPr>
              <w:t>See accompanying notes</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5400" w:type="dxa"/>
            <w:vAlign w:val="bottom"/>
          </w:tcPr>
          <w:p>
            <w:pPr>
              <w:spacing w:after="0"/>
              <w:rPr>
                <w:sz w:val="20"/>
                <w:szCs w:val="20"/>
                <w:color w:val="auto"/>
              </w:rPr>
            </w:pPr>
            <w:r>
              <w:rPr>
                <w:rFonts w:ascii="Arial" w:cs="Arial" w:eastAsia="Arial" w:hAnsi="Arial"/>
                <w:sz w:val="18"/>
                <w:szCs w:val="18"/>
                <w:color w:val="auto"/>
              </w:rPr>
              <w:t>US-DOCS\113023198.3</w:t>
            </w:r>
          </w:p>
        </w:tc>
        <w:tc>
          <w:tcPr>
            <w:tcW w:w="2680" w:type="dxa"/>
            <w:vAlign w:val="bottom"/>
            <w:gridSpan w:val="2"/>
          </w:tcPr>
          <w:p>
            <w:pPr>
              <w:jc w:val="right"/>
              <w:ind w:right="2230"/>
              <w:spacing w:after="0"/>
              <w:rPr>
                <w:sz w:val="20"/>
                <w:szCs w:val="20"/>
                <w:color w:val="auto"/>
              </w:rPr>
            </w:pPr>
            <w:r>
              <w:rPr>
                <w:rFonts w:ascii="Arial" w:cs="Arial" w:eastAsia="Arial" w:hAnsi="Arial"/>
                <w:sz w:val="18"/>
                <w:szCs w:val="18"/>
                <w:color w:val="auto"/>
              </w:rPr>
              <w:t>F-4</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920" w:type="dxa"/>
            <w:vAlign w:val="bottom"/>
          </w:tcPr>
          <w:p>
            <w:pPr>
              <w:jc w:val="center"/>
              <w:ind w:right="251"/>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tcPr>
          <w:p>
            <w:pPr>
              <w:jc w:val="center"/>
              <w:ind w:right="31"/>
              <w:spacing w:after="0"/>
              <w:rPr>
                <w:sz w:val="20"/>
                <w:szCs w:val="20"/>
                <w:color w:val="auto"/>
              </w:rPr>
            </w:pPr>
            <w:r>
              <w:rPr>
                <w:rFonts w:ascii="Arial" w:cs="Arial" w:eastAsia="Arial" w:hAnsi="Arial"/>
                <w:sz w:val="14"/>
                <w:szCs w:val="14"/>
                <w:b w:val="1"/>
                <w:bCs w:val="1"/>
                <w:color w:val="auto"/>
                <w:w w:val="92"/>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Deficit</w:t>
            </w:r>
          </w:p>
        </w:tc>
        <w:tc>
          <w:tcPr>
            <w:tcW w:w="1140" w:type="dxa"/>
            <w:vAlign w:val="bottom"/>
            <w:gridSpan w:val="2"/>
          </w:tcPr>
          <w:p>
            <w:pPr>
              <w:jc w:val="center"/>
              <w:ind w:right="31"/>
              <w:spacing w:after="0" w:line="155" w:lineRule="exact"/>
              <w:rPr>
                <w:sz w:val="20"/>
                <w:szCs w:val="20"/>
                <w:color w:val="auto"/>
              </w:rPr>
            </w:pPr>
            <w:r>
              <w:rPr>
                <w:rFonts w:ascii="Arial" w:cs="Arial" w:eastAsia="Arial" w:hAnsi="Arial"/>
                <w:sz w:val="14"/>
                <w:szCs w:val="14"/>
                <w:b w:val="1"/>
                <w:bCs w:val="1"/>
                <w:color w:val="auto"/>
                <w:w w:val="95"/>
              </w:rPr>
              <w:t>Equity (Deficit)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9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Issuance of common stock to founders</w:t>
            </w:r>
          </w:p>
        </w:tc>
        <w:tc>
          <w:tcPr>
            <w:tcW w:w="98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2018</w:t>
            </w:r>
          </w:p>
        </w:tc>
        <w:tc>
          <w:tcPr>
            <w:tcW w:w="980" w:type="dxa"/>
            <w:vAlign w:val="bottom"/>
            <w:tcBorders>
              <w:bottom w:val="single" w:sz="8" w:color="CFF0FC"/>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Merger of entities under common control into</w:t>
            </w:r>
          </w:p>
        </w:tc>
        <w:tc>
          <w:tcPr>
            <w:tcW w:w="9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Company</w:t>
            </w:r>
          </w:p>
        </w:tc>
        <w:tc>
          <w:tcPr>
            <w:tcW w:w="210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6,760,334</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8"/>
                <w:szCs w:val="18"/>
                <w:color w:val="auto"/>
              </w:rPr>
              <w:t>Vesting restrictions placed on previously issued</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and outstanding common stock</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(3,373,408)</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210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1,491,072</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8"/>
                <w:szCs w:val="18"/>
                <w:color w:val="auto"/>
              </w:rPr>
              <w:t>Issuance of common stock in connection with</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license agreement</w:t>
            </w:r>
          </w:p>
        </w:tc>
        <w:tc>
          <w:tcPr>
            <w:tcW w:w="2100" w:type="dxa"/>
            <w:vAlign w:val="bottom"/>
            <w:gridSpan w:val="2"/>
          </w:tcPr>
          <w:p>
            <w:pPr>
              <w:jc w:val="right"/>
              <w:ind w:right="33"/>
              <w:spacing w:after="0"/>
              <w:rPr>
                <w:sz w:val="20"/>
                <w:szCs w:val="20"/>
                <w:color w:val="auto"/>
              </w:rPr>
            </w:pPr>
            <w:r>
              <w:rPr>
                <w:rFonts w:ascii="Arial" w:cs="Arial" w:eastAsia="Arial" w:hAnsi="Arial"/>
                <w:sz w:val="18"/>
                <w:szCs w:val="18"/>
                <w:color w:val="auto"/>
              </w:rPr>
              <w:t>1,084,000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5,885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Takeda warrant liability into equity</w:t>
            </w:r>
          </w:p>
        </w:tc>
        <w:tc>
          <w:tcPr>
            <w:tcW w:w="9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144,172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144,172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8"/>
                <w:szCs w:val="18"/>
                <w:color w:val="auto"/>
              </w:rPr>
              <w:t>Issuance of common stock in connection with</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initial public offering (IPO), net of issuance costs</w:t>
            </w:r>
          </w:p>
        </w:tc>
        <w:tc>
          <w:tcPr>
            <w:tcW w:w="2100" w:type="dxa"/>
            <w:vAlign w:val="bottom"/>
            <w:gridSpan w:val="2"/>
          </w:tcPr>
          <w:p>
            <w:pPr>
              <w:jc w:val="right"/>
              <w:ind w:right="33"/>
              <w:spacing w:after="0"/>
              <w:rPr>
                <w:sz w:val="20"/>
                <w:szCs w:val="20"/>
                <w:color w:val="auto"/>
              </w:rPr>
            </w:pPr>
            <w:r>
              <w:rPr>
                <w:rFonts w:ascii="Arial" w:cs="Arial" w:eastAsia="Arial" w:hAnsi="Arial"/>
                <w:sz w:val="18"/>
                <w:szCs w:val="18"/>
                <w:color w:val="auto"/>
              </w:rPr>
              <w:t>10,997,630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191,471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191,472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May 2019 Notes and accrued</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into common shares</w:t>
            </w:r>
          </w:p>
        </w:tc>
        <w:tc>
          <w:tcPr>
            <w:tcW w:w="210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6,107,918</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142,436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142,437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Vesting of restricted shares</w:t>
            </w:r>
          </w:p>
        </w:tc>
        <w:tc>
          <w:tcPr>
            <w:tcW w:w="2100" w:type="dxa"/>
            <w:vAlign w:val="bottom"/>
            <w:gridSpan w:val="2"/>
          </w:tcPr>
          <w:p>
            <w:pPr>
              <w:jc w:val="right"/>
              <w:ind w:right="33"/>
              <w:spacing w:after="0"/>
              <w:rPr>
                <w:sz w:val="20"/>
                <w:szCs w:val="20"/>
                <w:color w:val="auto"/>
              </w:rPr>
            </w:pPr>
            <w:r>
              <w:rPr>
                <w:rFonts w:ascii="Arial" w:cs="Arial" w:eastAsia="Arial" w:hAnsi="Arial"/>
                <w:sz w:val="18"/>
                <w:szCs w:val="18"/>
                <w:color w:val="auto"/>
              </w:rPr>
              <w:t>1,660,712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24,728,258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484,372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227,955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tcPr>
          <w:p>
            <w:pPr>
              <w:spacing w:after="0"/>
              <w:rPr>
                <w:sz w:val="24"/>
                <w:szCs w:val="24"/>
                <w:color w:val="auto"/>
              </w:rPr>
            </w:pPr>
          </w:p>
        </w:tc>
        <w:tc>
          <w:tcPr>
            <w:tcW w:w="2980" w:type="dxa"/>
            <w:vAlign w:val="bottom"/>
            <w:gridSpan w:val="4"/>
          </w:tcPr>
          <w:p>
            <w:pPr>
              <w:jc w:val="right"/>
              <w:ind w:right="615"/>
              <w:spacing w:after="0"/>
              <w:rPr>
                <w:sz w:val="20"/>
                <w:szCs w:val="20"/>
                <w:color w:val="auto"/>
              </w:rPr>
            </w:pPr>
            <w:r>
              <w:rPr>
                <w:rFonts w:ascii="Arial" w:cs="Arial" w:eastAsia="Arial" w:hAnsi="Arial"/>
                <w:sz w:val="18"/>
                <w:szCs w:val="18"/>
                <w:i w:val="1"/>
                <w:iCs w:val="1"/>
                <w:color w:val="auto"/>
              </w:rPr>
              <w:t>See accompanying notes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220" w:type="dxa"/>
            <w:vAlign w:val="bottom"/>
          </w:tcPr>
          <w:p>
            <w:pPr>
              <w:spacing w:after="0"/>
              <w:rPr>
                <w:sz w:val="20"/>
                <w:szCs w:val="20"/>
                <w:color w:val="auto"/>
              </w:rPr>
            </w:pPr>
            <w:r>
              <w:rPr>
                <w:rFonts w:ascii="Arial" w:cs="Arial" w:eastAsia="Arial" w:hAnsi="Arial"/>
                <w:sz w:val="18"/>
                <w:szCs w:val="18"/>
                <w:color w:val="auto"/>
              </w:rPr>
              <w:t>US-DOCS\113023198.3</w:t>
            </w:r>
          </w:p>
        </w:tc>
        <w:tc>
          <w:tcPr>
            <w:tcW w:w="980" w:type="dxa"/>
            <w:vAlign w:val="bottom"/>
          </w:tcPr>
          <w:p>
            <w:pPr>
              <w:spacing w:after="0"/>
              <w:rPr>
                <w:sz w:val="24"/>
                <w:szCs w:val="24"/>
                <w:color w:val="auto"/>
              </w:rPr>
            </w:pPr>
          </w:p>
        </w:tc>
        <w:tc>
          <w:tcPr>
            <w:tcW w:w="1120" w:type="dxa"/>
            <w:vAlign w:val="bottom"/>
          </w:tcPr>
          <w:p>
            <w:pPr>
              <w:jc w:val="right"/>
              <w:ind w:right="473"/>
              <w:spacing w:after="0"/>
              <w:rPr>
                <w:sz w:val="20"/>
                <w:szCs w:val="20"/>
                <w:color w:val="auto"/>
              </w:rPr>
            </w:pPr>
            <w:r>
              <w:rPr>
                <w:rFonts w:ascii="Arial" w:cs="Arial" w:eastAsia="Arial" w:hAnsi="Arial"/>
                <w:sz w:val="18"/>
                <w:szCs w:val="18"/>
                <w:color w:val="auto"/>
              </w:rPr>
              <w:t>F-5</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p>
      <w:pPr>
        <w:ind w:left="9060"/>
        <w:spacing w:after="0"/>
        <w:rPr>
          <w:sz w:val="20"/>
          <w:szCs w:val="20"/>
          <w:color w:val="auto"/>
        </w:rPr>
      </w:pPr>
      <w:r>
        <w:rPr>
          <w:rFonts w:ascii="Arial" w:cs="Arial" w:eastAsia="Arial" w:hAnsi="Arial"/>
          <w:sz w:val="13"/>
          <w:szCs w:val="13"/>
          <w:b w:val="1"/>
          <w:bCs w:val="1"/>
          <w:color w:val="auto"/>
        </w:rPr>
        <w:t>Years Ended</w:t>
      </w:r>
    </w:p>
    <w:p>
      <w:pPr>
        <w:spacing w:after="0" w:line="11" w:lineRule="exact"/>
        <w:rPr>
          <w:sz w:val="20"/>
          <w:szCs w:val="20"/>
          <w:color w:val="auto"/>
        </w:rPr>
      </w:pPr>
    </w:p>
    <w:p>
      <w:pPr>
        <w:ind w:left="9020"/>
        <w:spacing w:after="0"/>
        <w:rPr>
          <w:sz w:val="20"/>
          <w:szCs w:val="20"/>
          <w:color w:val="auto"/>
        </w:rPr>
      </w:pPr>
      <w:r>
        <w:rPr>
          <w:rFonts w:ascii="Arial" w:cs="Arial" w:eastAsia="Arial" w:hAnsi="Arial"/>
          <w:sz w:val="13"/>
          <w:szCs w:val="13"/>
          <w:b w:val="1"/>
          <w:bCs w:val="1"/>
          <w:color w:val="auto"/>
        </w:rPr>
        <w:t>December 31,</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7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9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(255,131)</w:t>
            </w:r>
          </w:p>
        </w:tc>
        <w:tc>
          <w:tcPr>
            <w:tcW w:w="16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406</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Amortization of debt discount</w:t>
            </w: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409</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Acquired in-process research and development</w:t>
            </w: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78,897</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Non-cash interest expense (includes related party amounts of $590 and 0, respectively)</w:t>
            </w: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2,605</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Change in fair value of warrant liabilities (includes related party amounts</w:t>
            </w: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of $96,278 and $0, respectively)</w:t>
            </w: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96,272</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20" w:type="dxa"/>
            <w:vAlign w:val="bottom"/>
          </w:tcPr>
          <w:p>
            <w:pPr>
              <w:ind w:left="260"/>
              <w:spacing w:after="0" w:line="143" w:lineRule="exact"/>
              <w:rPr>
                <w:sz w:val="20"/>
                <w:szCs w:val="20"/>
                <w:color w:val="auto"/>
              </w:rPr>
            </w:pPr>
            <w:r>
              <w:rPr>
                <w:rFonts w:ascii="Arial" w:cs="Arial" w:eastAsia="Arial" w:hAnsi="Arial"/>
                <w:sz w:val="14"/>
                <w:szCs w:val="14"/>
                <w:color w:val="auto"/>
              </w:rPr>
              <w:t>Change in fair value of convertible promissory notes (includes related party</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360"/>
              <w:spacing w:after="0"/>
              <w:rPr>
                <w:sz w:val="20"/>
                <w:szCs w:val="20"/>
                <w:color w:val="auto"/>
              </w:rPr>
            </w:pPr>
            <w:r>
              <w:rPr>
                <w:rFonts w:ascii="Arial" w:cs="Arial" w:eastAsia="Arial" w:hAnsi="Arial"/>
                <w:sz w:val="14"/>
                <w:szCs w:val="14"/>
                <w:color w:val="auto"/>
              </w:rPr>
              <w:t>amounts of $10,941 and $50, respectively)</w:t>
            </w: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49,546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tcPr>
          <w:p>
            <w:pPr>
              <w:ind w:left="500"/>
              <w:spacing w:after="0" w:line="143" w:lineRule="exact"/>
              <w:rPr>
                <w:sz w:val="20"/>
                <w:szCs w:val="20"/>
                <w:color w:val="auto"/>
              </w:rPr>
            </w:pPr>
            <w:r>
              <w:rPr>
                <w:rFonts w:ascii="Arial" w:cs="Arial" w:eastAsia="Arial" w:hAnsi="Arial"/>
                <w:sz w:val="14"/>
                <w:szCs w:val="14"/>
                <w:color w:val="auto"/>
              </w:rPr>
              <w:t>Prepaid expenses and other current assets (includes related party amounts</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600"/>
              <w:spacing w:after="0"/>
              <w:rPr>
                <w:sz w:val="20"/>
                <w:szCs w:val="20"/>
                <w:color w:val="auto"/>
              </w:rPr>
            </w:pPr>
            <w:r>
              <w:rPr>
                <w:rFonts w:ascii="Arial" w:cs="Arial" w:eastAsia="Arial" w:hAnsi="Arial"/>
                <w:sz w:val="14"/>
                <w:szCs w:val="14"/>
                <w:color w:val="auto"/>
              </w:rPr>
              <w:t>of $19, and $(19), respectively)</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(11,813)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ind w:left="500"/>
              <w:spacing w:after="0" w:line="143" w:lineRule="exact"/>
              <w:rPr>
                <w:sz w:val="20"/>
                <w:szCs w:val="20"/>
                <w:color w:val="auto"/>
              </w:rPr>
            </w:pPr>
            <w:r>
              <w:rPr>
                <w:rFonts w:ascii="Arial" w:cs="Arial" w:eastAsia="Arial" w:hAnsi="Arial"/>
                <w:sz w:val="14"/>
                <w:szCs w:val="14"/>
                <w:color w:val="auto"/>
              </w:rPr>
              <w:t>Accounts payable and accrued expenses (includes related party amounts of</w:t>
            </w: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FF0FC"/>
          </w:tcPr>
          <w:p>
            <w:pPr>
              <w:ind w:left="600"/>
              <w:spacing w:after="0"/>
              <w:rPr>
                <w:sz w:val="20"/>
                <w:szCs w:val="20"/>
                <w:color w:val="auto"/>
              </w:rPr>
            </w:pPr>
            <w:r>
              <w:rPr>
                <w:rFonts w:ascii="Arial" w:cs="Arial" w:eastAsia="Arial" w:hAnsi="Arial"/>
                <w:sz w:val="14"/>
                <w:szCs w:val="14"/>
                <w:color w:val="auto"/>
              </w:rPr>
              <w:t>$460, and $47, respectively)</w:t>
            </w: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2,265</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3"/>
        </w:trPr>
        <w:tc>
          <w:tcPr>
            <w:tcW w:w="7720" w:type="dxa"/>
            <w:vAlign w:val="bottom"/>
          </w:tcPr>
          <w:p>
            <w:pPr>
              <w:ind w:left="500"/>
              <w:spacing w:after="0" w:line="143" w:lineRule="exact"/>
              <w:rPr>
                <w:sz w:val="20"/>
                <w:szCs w:val="20"/>
                <w:color w:val="auto"/>
              </w:rPr>
            </w:pPr>
            <w:r>
              <w:rPr>
                <w:rFonts w:ascii="Arial" w:cs="Arial" w:eastAsia="Arial" w:hAnsi="Arial"/>
                <w:sz w:val="14"/>
                <w:szCs w:val="14"/>
                <w:color w:val="auto"/>
              </w:rPr>
              <w:t>Accrued interest (includes related party amounts of $0 and $13,</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600"/>
              <w:spacing w:after="0"/>
              <w:rPr>
                <w:sz w:val="20"/>
                <w:szCs w:val="20"/>
                <w:color w:val="auto"/>
              </w:rPr>
            </w:pPr>
            <w:r>
              <w:rPr>
                <w:rFonts w:ascii="Arial" w:cs="Arial" w:eastAsia="Arial" w:hAnsi="Arial"/>
                <w:sz w:val="14"/>
                <w:szCs w:val="14"/>
                <w:color w:val="auto"/>
              </w:rPr>
              <w:t>respectively)</w:t>
            </w:r>
          </w:p>
        </w:tc>
        <w:tc>
          <w:tcPr>
            <w:tcW w:w="9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156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Operating right-of-use asset and lease liabilities</w:t>
            </w: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51</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Other long-term assets</w:t>
            </w: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9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(36,510)</w:t>
            </w: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paid for purchased in-process research and development</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(25,118)</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Cash paid for property, plant and equipment</w:t>
            </w:r>
          </w:p>
        </w:tc>
        <w:tc>
          <w:tcPr>
            <w:tcW w:w="9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6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9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(25,250)</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initial public offering, net of issuance costs</w:t>
            </w: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191,472</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Proceeds from issuance of common stock</w:t>
            </w:r>
          </w:p>
        </w:tc>
        <w:tc>
          <w:tcPr>
            <w:tcW w:w="9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convertible promissory notes</w:t>
            </w:r>
          </w:p>
        </w:tc>
        <w:tc>
          <w:tcPr>
            <w:tcW w:w="9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88,324</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Net proceeds from issuance of long-term debt</w:t>
            </w: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24,850</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304,646</w:t>
            </w:r>
          </w:p>
        </w:tc>
        <w:tc>
          <w:tcPr>
            <w:tcW w:w="16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color w:val="auto"/>
              </w:rPr>
              <w:t>Net increase in cash and cash equivalents</w:t>
            </w:r>
          </w:p>
        </w:tc>
        <w:tc>
          <w:tcPr>
            <w:tcW w:w="980" w:type="dxa"/>
            <w:vAlign w:val="bottom"/>
          </w:tcPr>
          <w:p>
            <w:pPr>
              <w:spacing w:after="0"/>
              <w:rPr>
                <w:sz w:val="13"/>
                <w:szCs w:val="13"/>
                <w:color w:val="auto"/>
              </w:rPr>
            </w:pPr>
          </w:p>
        </w:tc>
        <w:tc>
          <w:tcPr>
            <w:tcW w:w="7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242,886</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 beginning of period</w:t>
            </w:r>
          </w:p>
        </w:tc>
        <w:tc>
          <w:tcPr>
            <w:tcW w:w="9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879</w:t>
            </w:r>
          </w:p>
        </w:tc>
        <w:tc>
          <w:tcPr>
            <w:tcW w:w="16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and cash equivalents – end of period</w:t>
            </w:r>
          </w:p>
        </w:tc>
        <w:tc>
          <w:tcPr>
            <w:tcW w:w="980" w:type="dxa"/>
            <w:vAlign w:val="bottom"/>
            <w:tcBorders>
              <w:bottom w:val="single" w:sz="8" w:color="auto"/>
            </w:tcBorders>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243,765</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Interest paid</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1,007</w:t>
            </w:r>
          </w:p>
        </w:tc>
        <w:tc>
          <w:tcPr>
            <w:tcW w:w="1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Exchange of accrued interest for convertible promissory notes</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27</w:t>
            </w:r>
          </w:p>
        </w:tc>
        <w:tc>
          <w:tcPr>
            <w:tcW w:w="1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Issuance of Takeda Warrants in connection with Takeda License</w:t>
            </w: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right"/>
              <w:ind w:right="828"/>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47,894</w:t>
            </w: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2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in connection with Takeda License</w:t>
            </w:r>
          </w:p>
        </w:tc>
        <w:tc>
          <w:tcPr>
            <w:tcW w:w="980" w:type="dxa"/>
            <w:vAlign w:val="bottom"/>
            <w:tcBorders>
              <w:bottom w:val="single" w:sz="8" w:color="auto"/>
            </w:tcBorders>
            <w:shd w:val="clear" w:color="auto" w:fill="CFF0FC"/>
          </w:tcPr>
          <w:p>
            <w:pPr>
              <w:jc w:val="right"/>
              <w:ind w:right="828"/>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5,885</w:t>
            </w:r>
          </w:p>
        </w:tc>
        <w:tc>
          <w:tcPr>
            <w:tcW w:w="1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Issuance of common stock warrants in connection with long-term debt</w:t>
            </w: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right"/>
              <w:ind w:right="828"/>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419</w:t>
            </w: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2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Property and equipment purchases included in accounts payable and accrued liabilities</w:t>
            </w:r>
          </w:p>
        </w:tc>
        <w:tc>
          <w:tcPr>
            <w:tcW w:w="980" w:type="dxa"/>
            <w:vAlign w:val="bottom"/>
            <w:tcBorders>
              <w:bottom w:val="single" w:sz="8" w:color="auto"/>
            </w:tcBorders>
            <w:shd w:val="clear" w:color="auto" w:fill="CFF0FC"/>
          </w:tcPr>
          <w:p>
            <w:pPr>
              <w:jc w:val="right"/>
              <w:ind w:right="828"/>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339</w:t>
            </w:r>
          </w:p>
        </w:tc>
        <w:tc>
          <w:tcPr>
            <w:tcW w:w="1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Final interest payment fee</w:t>
            </w: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right"/>
              <w:ind w:right="828"/>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2,063</w:t>
            </w: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2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Operating lease liabilities arising from obtaining right-of-use assets</w:t>
            </w:r>
          </w:p>
        </w:tc>
        <w:tc>
          <w:tcPr>
            <w:tcW w:w="980" w:type="dxa"/>
            <w:vAlign w:val="bottom"/>
            <w:tcBorders>
              <w:bottom w:val="single" w:sz="8" w:color="auto"/>
            </w:tcBorders>
            <w:shd w:val="clear" w:color="auto" w:fill="CFF0FC"/>
          </w:tcPr>
          <w:p>
            <w:pPr>
              <w:jc w:val="right"/>
              <w:ind w:right="828"/>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796</w:t>
            </w:r>
          </w:p>
        </w:tc>
        <w:tc>
          <w:tcPr>
            <w:tcW w:w="1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Conversion of Takeda Warrants into Equity</w:t>
            </w: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right"/>
              <w:ind w:right="828"/>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144,172</w:t>
            </w: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2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Conversion of convertible promissory notes and accrued interest into common shares</w:t>
            </w:r>
          </w:p>
        </w:tc>
        <w:tc>
          <w:tcPr>
            <w:tcW w:w="980" w:type="dxa"/>
            <w:vAlign w:val="bottom"/>
            <w:tcBorders>
              <w:bottom w:val="single" w:sz="8" w:color="auto"/>
            </w:tcBorders>
            <w:shd w:val="clear" w:color="auto" w:fill="CFF0FC"/>
          </w:tcPr>
          <w:p>
            <w:pPr>
              <w:jc w:val="right"/>
              <w:ind w:right="828"/>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142,437</w:t>
            </w:r>
          </w:p>
        </w:tc>
        <w:tc>
          <w:tcPr>
            <w:tcW w:w="1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ind w:left="1860"/>
              <w:spacing w:after="0"/>
              <w:rPr>
                <w:sz w:val="20"/>
                <w:szCs w:val="20"/>
                <w:color w:val="auto"/>
              </w:rPr>
            </w:pPr>
            <w:r>
              <w:rPr>
                <w:rFonts w:ascii="Arial" w:cs="Arial" w:eastAsia="Arial" w:hAnsi="Arial"/>
                <w:sz w:val="18"/>
                <w:szCs w:val="18"/>
                <w:color w:val="auto"/>
              </w:rPr>
              <w:t>F-6</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7" w:name="page128"/>
    <w:bookmarkEnd w:id="127"/>
    <w:p>
      <w:pPr>
        <w:ind w:left="400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ind w:right="4600"/>
        <w:spacing w:after="0" w:line="464" w:lineRule="auto"/>
        <w:rPr>
          <w:sz w:val="20"/>
          <w:szCs w:val="20"/>
          <w:color w:val="auto"/>
        </w:rPr>
      </w:pPr>
      <w:r>
        <w:rPr>
          <w:rFonts w:ascii="Arial" w:cs="Arial" w:eastAsia="Arial" w:hAnsi="Arial"/>
          <w:sz w:val="18"/>
          <w:szCs w:val="18"/>
          <w:b w:val="1"/>
          <w:bCs w:val="1"/>
          <w:color w:val="auto"/>
        </w:rPr>
        <w:t xml:space="preserve">1. Organization, Basis of Presentation and Summary of Significant Accounting Policies </w:t>
      </w:r>
      <w:r>
        <w:rPr>
          <w:rFonts w:ascii="Arial" w:cs="Arial" w:eastAsia="Arial" w:hAnsi="Arial"/>
          <w:sz w:val="18"/>
          <w:szCs w:val="18"/>
          <w:b w:val="1"/>
          <w:bCs w:val="1"/>
          <w:i w:val="1"/>
          <w:iCs w:val="1"/>
          <w:color w:val="auto"/>
        </w:rPr>
        <w:t>Organization</w:t>
      </w:r>
    </w:p>
    <w:p>
      <w:pPr>
        <w:ind w:right="260" w:firstLine="589"/>
        <w:spacing w:after="0" w:line="257" w:lineRule="auto"/>
        <w:rPr>
          <w:sz w:val="20"/>
          <w:szCs w:val="20"/>
          <w:color w:val="auto"/>
        </w:rPr>
      </w:pPr>
      <w:r>
        <w:rPr>
          <w:rFonts w:ascii="Arial" w:cs="Arial" w:eastAsia="Arial" w:hAnsi="Arial"/>
          <w:sz w:val="18"/>
          <w:szCs w:val="18"/>
          <w:color w:val="auto"/>
        </w:rPr>
        <w:t>Phathom Pharmaceuticals, Inc. (the “Company” or “Phathom”) was incorporated in the state of Delaware in January 2018 under the name North Bridge IV, Inc. On March 13, 2019, the Company changed its name to Phathom Pharmaceuticals, Inc. and merged with YamadaCo IIA, Inc. (“YamadaCo”), a Delaware corporation formed in September 2017, with Phathom being the surviving entity (the “Merger”). All activities of YamadaCo prior to 2018 related to formation and were insignificant. The Company is a late clinical-stage biopharmaceutical company focused on developing and commercializing novel treatments for gastrointestinal diseases.</w:t>
      </w:r>
    </w:p>
    <w:p>
      <w:pPr>
        <w:spacing w:after="0" w:line="147"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On October 29, 2019, the Company completed its initial public offering (the “IPO”) and issued 10,997,630 shares of common stock for net proceeds of approximately $191.5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 and Conversion</w:t>
      </w:r>
    </w:p>
    <w:p>
      <w:pPr>
        <w:spacing w:after="0" w:line="198"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During 2018, without consideration of the forward stock split described immediately below, both the Company and YamadaCo issued 1,000 shares of common stock at a purchase price of $1.00 per share and had no other capital transactions prior to the Merger. Immediately prior to the Merger, the Company effected a 1,559.1183-for-1 forward stock split for each outstanding share of its common stock and, effective upon the closing of the Merger, each issued and outstanding share of YamadaCo was converted into 1,559.1183 shares of the Company’s common stock. Upon completion of the Merger, the Company had 6,760,334 shares of common stock outstanding, with the prior stockholders of each YamadaCo and Phathom holding an equal number of shares. The accompanying combined financial statements and notes to the combined financial statements give retroactive effect to the forward stock split and conversion for all periods presented.</w:t>
      </w:r>
    </w:p>
    <w:p>
      <w:pPr>
        <w:spacing w:after="0" w:line="154"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On October 11, 2019, the Company effected a 2.168-for-1 forward stock split of its common stock (the “Forward Stock Split”). The par value of the common stock was not adjusted as a result of the Forward Stock Split and the authorized shares were increased to 50,000,000 shares of common stock in connection with the Forward Stock Split. The accompanying combined financial statements and notes to the combined financial statements give retroactive effect to the Forward Stock Split for all periods presented, unless otherwise indicated.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The Company’s combined financial statements are prepared in accordance with U.S. generally accepted accounting principles. The accompanying combined financial statements include the accounts of the Company (the receiving entity) and YamadaCo, prior to the Merger. The Company and YamadaCo were entities under the common control of Frazier Life Sciences IX, L.P. (“Frazier”) as a result of, among other things, Frazier’s; (i) ownership of a majority of the outstanding capital stock of both companies, (ii) financing of both companies, (iii) control of the board of directors of both companies, and (iv) management of both companies. Both the Company and YamadaCo were formed for the purpose of identifying potential assets around which to form an operating company. As the merged entities were under common control, the combined financial statements report the financial position, results of operations and cash flows of the Company and YamadaCo as though the transfer of net assets and equity interests had occurred at the beginning of 2018. All intercompany accounts and transactions have been eliminated in combination.</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ind w:left="1860"/>
              <w:spacing w:after="0"/>
              <w:rPr>
                <w:sz w:val="20"/>
                <w:szCs w:val="20"/>
                <w:color w:val="auto"/>
              </w:rPr>
            </w:pPr>
            <w:r>
              <w:rPr>
                <w:rFonts w:ascii="Arial" w:cs="Arial" w:eastAsia="Arial" w:hAnsi="Arial"/>
                <w:sz w:val="18"/>
                <w:szCs w:val="18"/>
                <w:color w:val="auto"/>
              </w:rPr>
              <w:t>F-7</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From inception to December 31, 2019, the Company has devoted substantially all of its efforts to organizing and staffing the Company, business planning, raising capital, in-licensing its initial product candidate, vonoprazan, meeting with regulatory authorities, and initiating the Phase 3 clinical trials of vonoprazan.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the development and commercialization of vonoprazan. From inception to December 31, 2019, the Company has funded its operations through the issuance of convertible promissory notes, commercial bank debt and the sale of 10,997,630 shares of common stock for net proceeds of approximately $191.5 million in its IPO.</w:t>
      </w:r>
    </w:p>
    <w:p>
      <w:pPr>
        <w:spacing w:after="0" w:line="150" w:lineRule="exact"/>
        <w:rPr>
          <w:sz w:val="20"/>
          <w:szCs w:val="20"/>
          <w:color w:val="auto"/>
        </w:rPr>
      </w:pPr>
    </w:p>
    <w:p>
      <w:pPr>
        <w:ind w:right="180" w:firstLine="589"/>
        <w:spacing w:after="0" w:line="293" w:lineRule="auto"/>
        <w:rPr>
          <w:sz w:val="20"/>
          <w:szCs w:val="20"/>
          <w:color w:val="auto"/>
        </w:rPr>
      </w:pPr>
      <w:r>
        <w:rPr>
          <w:rFonts w:ascii="Arial" w:cs="Arial" w:eastAsia="Arial" w:hAnsi="Arial"/>
          <w:sz w:val="16"/>
          <w:szCs w:val="16"/>
          <w:color w:val="auto"/>
        </w:rPr>
        <w:t>The accompanying combined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24"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As a result of the IPO that closed on October 29, 2019, management believes that it has sufficient working capital on hand to fund operations through at least the next twelve months from the date these combined financial statements were available to be issued. There can be no assurance that the Company will be successful in acquiring additional funding, that the Company’s projections of its future working capital needs will prove accurate, or that any additional funding would be sufficient to continue operations in future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The preparation of the Company’s combined financial statements requires it to make estimates and assumptions that impact the reported amounts of assets, liabilities and expenses and the disclosure of contingent assets and liabilities in the Company’s combined financial statements and accompanying notes. The most significant estimates in the Company’s combined financial statements relate to accruals for research and development expenses, and the valuation of convertible promissory notes, warrant liabilities and various other equity instruments. Although these estimates are based on the Company’s knowledge of current events and actions it may undertake in the future, actual results could differ materially from those estimates and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85"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 xml:space="preserve">As permitted under Accounting Standards Codification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(“ASC 825”), the Company has elected the fair value option to account for its convertible promissory notes issued since inception. In accordance with ASC 825, the Company records these convertible promissory notes at fair value with changes in fair value recorded in the combined statements of operations. As a result of applying the fair value option, direct costs and fees related to the convertible promissory notes were recognized in earnings as incurred and not deferred.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52" w:lineRule="exact"/>
        <w:rPr>
          <w:sz w:val="20"/>
          <w:szCs w:val="20"/>
          <w:color w:val="auto"/>
        </w:rPr>
      </w:pPr>
    </w:p>
    <w:p>
      <w:pPr>
        <w:ind w:left="58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185" w:lineRule="exact"/>
        <w:rPr>
          <w:sz w:val="20"/>
          <w:szCs w:val="20"/>
          <w:color w:val="auto"/>
        </w:rPr>
      </w:pPr>
    </w:p>
    <w:p>
      <w:pPr>
        <w:ind w:left="580"/>
        <w:spacing w:after="0"/>
        <w:tabs>
          <w:tab w:leader="none" w:pos="14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the quoted prices in active markets that are observable either directly or indirectly.</w:t>
      </w:r>
    </w:p>
    <w:p>
      <w:pPr>
        <w:spacing w:after="0" w:line="185" w:lineRule="exact"/>
        <w:rPr>
          <w:sz w:val="20"/>
          <w:szCs w:val="20"/>
          <w:color w:val="auto"/>
        </w:rPr>
      </w:pPr>
    </w:p>
    <w:p>
      <w:pPr>
        <w:ind w:left="580"/>
        <w:spacing w:after="0"/>
        <w:tabs>
          <w:tab w:leader="none" w:pos="14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 the reporting entity to develop its own assumptions.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ind w:left="1860"/>
              <w:spacing w:after="0"/>
              <w:rPr>
                <w:sz w:val="20"/>
                <w:szCs w:val="20"/>
                <w:color w:val="auto"/>
              </w:rPr>
            </w:pPr>
            <w:r>
              <w:rPr>
                <w:rFonts w:ascii="Arial" w:cs="Arial" w:eastAsia="Arial" w:hAnsi="Arial"/>
                <w:sz w:val="18"/>
                <w:szCs w:val="18"/>
                <w:color w:val="auto"/>
              </w:rPr>
              <w:t>F-8</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00" w:lineRule="exact"/>
        <w:rPr>
          <w:sz w:val="20"/>
          <w:szCs w:val="20"/>
          <w:color w:val="auto"/>
        </w:rPr>
      </w:pPr>
    </w:p>
    <w:p>
      <w:pPr>
        <w:spacing w:after="0" w:line="205"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The carrying amounts of the Company’s financial instruments, including cash and cash equivalents classified within the Level 1 designation discussed above, prepaid and other current assets, accounts payable, and accrued liabilities, approximate fair value due to their short maturities. Warrant liabilities and convertible promissory notes are recorded at fair value on a recurring basis.</w:t>
      </w:r>
    </w:p>
    <w:p>
      <w:pPr>
        <w:spacing w:after="0" w:line="157" w:lineRule="exact"/>
        <w:rPr>
          <w:sz w:val="20"/>
          <w:szCs w:val="20"/>
          <w:color w:val="auto"/>
        </w:rPr>
      </w:pPr>
    </w:p>
    <w:p>
      <w:pPr>
        <w:ind w:right="440" w:firstLine="589"/>
        <w:spacing w:after="0" w:line="308"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Liabilities measured at fair value on a recurring basis are as follows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3"/>
              </w:rPr>
              <w:t>Fair Value Measurements at</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Reporting Date Using:</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1"/>
                <w:szCs w:val="11"/>
                <w:color w:val="auto"/>
              </w:rPr>
            </w:pPr>
          </w:p>
        </w:tc>
        <w:tc>
          <w:tcPr>
            <w:tcW w:w="10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06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December 31, 2018:</w:t>
            </w:r>
          </w:p>
        </w:tc>
        <w:tc>
          <w:tcPr>
            <w:tcW w:w="1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800" w:type="dxa"/>
            <w:vAlign w:val="bottom"/>
          </w:tcPr>
          <w:p>
            <w:pPr>
              <w:ind w:left="240"/>
              <w:spacing w:after="0"/>
              <w:rPr>
                <w:sz w:val="20"/>
                <w:szCs w:val="20"/>
                <w:color w:val="auto"/>
              </w:rPr>
            </w:pPr>
            <w:r>
              <w:rPr>
                <w:rFonts w:ascii="Arial" w:cs="Arial" w:eastAsia="Arial" w:hAnsi="Arial"/>
                <w:sz w:val="18"/>
                <w:szCs w:val="18"/>
                <w:color w:val="auto"/>
              </w:rPr>
              <w:t>Convertible promissory notes</w:t>
            </w:r>
          </w:p>
        </w:tc>
        <w:tc>
          <w:tcPr>
            <w:tcW w:w="16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1,950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As of December 31, 2019:</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 liabilities</w:t>
            </w:r>
          </w:p>
        </w:tc>
        <w:tc>
          <w:tcPr>
            <w:tcW w:w="16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413</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3800" w:type="dxa"/>
            <w:vAlign w:val="bottom"/>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89"/>
        <w:spacing w:after="0" w:line="288" w:lineRule="auto"/>
        <w:rPr>
          <w:sz w:val="20"/>
          <w:szCs w:val="20"/>
          <w:color w:val="auto"/>
        </w:rPr>
      </w:pPr>
      <w:r>
        <w:rPr>
          <w:rFonts w:ascii="Arial" w:cs="Arial" w:eastAsia="Arial" w:hAnsi="Arial"/>
          <w:sz w:val="16"/>
          <w:szCs w:val="16"/>
          <w:color w:val="auto"/>
        </w:rPr>
        <w:t>The warrant liabilities consist of an issued and outstanding common stock warrant (the “Takeda Warrant”) and a right to receive an additional common stock warrant (the “Takeda Warrant Right”, and together with the Takeda Warrant, the “Takeda Warrants”) issued to Takeda Pharmaceutical Company Limited (“Takeda”) in connection with a May 2019 license agreement (see Note 4) and warrants (the “Lender Warrants”) issued in connection with a loan and security agreement for commercial bank debt (see Note 7). From inception through October 11, 2019, the date at which the Company increased its authorized shares of common stock available for issuance, the Takeda Warrants were accounted for as liabilities as they did not meet all the conditions for equity classification due to (i) insufficient authorized shares for the Takeda Warrant and (ii) the Takeda Warrant Right not being indexed to the Company’s own stock. The fair value of the Takeda Warrants was derived from the model used to estimate the fair value the Company’s common stock (see Note 8) prior to the IPO. The Company continued to record the Takeda warrants at fair value until October 11, 2019 when the Company’s authorized shares of common stock increased to 50,000,000. The Company reclassified the full balance from warrant liabilities to additional paid-in capital. Additionally, upon the closing of the IPO, the Takeda Warrant Right expired without effect since no fair value had been allocated to it.</w:t>
      </w:r>
    </w:p>
    <w:p>
      <w:pPr>
        <w:spacing w:after="0" w:line="128"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The Lender Warrants are accounted for as liabilities as they contain a holder put right under which the lenders could require the Company to pay cash in exchange for the Lender Warrants. Prior to the Company’s IPO, the fair value of the Lender Warrants was estimated using a probability-weighted model considering IPO and non-IPO scenarios. The IPO scenarios utilized a binomial lattice model to estimate a distribution of total equity values as of a projected IPO date. The non-IPO scenario utilized the repurchase price associated with the warrant put right discounted to present value based on venture capital rates of return and the term associated with the put right. Following the Company’s IPO, the fair value of the Lender Warrants was estimated on the date of grant using the Black-Scholes option-pricing model with an expected term equal to the remaining contractual term of the warrants.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grant of the award for time periods approximately equal to the expected term of the award. The Company uses an expected dividend yield of zero based on the fact that the Company has never paid cash dividends and does not expect to pay cash dividends in the foreseeable future. As of December 31, 2019, the fair value of the Lender Warrants was $0.4 million.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ind w:left="1860"/>
              <w:spacing w:after="0"/>
              <w:rPr>
                <w:sz w:val="20"/>
                <w:szCs w:val="20"/>
                <w:color w:val="auto"/>
              </w:rPr>
            </w:pPr>
            <w:r>
              <w:rPr>
                <w:rFonts w:ascii="Arial" w:cs="Arial" w:eastAsia="Arial" w:hAnsi="Arial"/>
                <w:sz w:val="18"/>
                <w:szCs w:val="18"/>
                <w:color w:val="auto"/>
              </w:rPr>
              <w:t>F-9</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00" w:lineRule="exact"/>
        <w:rPr>
          <w:sz w:val="20"/>
          <w:szCs w:val="20"/>
          <w:color w:val="auto"/>
        </w:rPr>
      </w:pPr>
    </w:p>
    <w:p>
      <w:pPr>
        <w:spacing w:after="0" w:line="205"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As further described in Note 5, the Company issued convertible promissory notes to Frazier (the “Frazier Notes”) from January 2018 to April 2019 and issued convertible promissory notes in May 2019 (the “May 2019 Notes”) to investors including Frazier. The Company has elected the fair value option for each of its convertible promissory note issuances. The fair value of the Frazier Notes was estimated using a scenario-based analysis that estimated the fair value of the convertible promissory notes based on the probability-weighted present value of expected future investment returns, considering possible outcomes available to the noteholders, including conversions in subsequent equity financings, change of control transactions, settlement and dissolution. The fair value of the May 2019 Notes is estimated using a scenario-based analysis that estimates the fair value of the convertible promissory notes based on the probability-weighted present value of expected future investment returns, considering each of the possible outcomes available to the noteholders, including various IPO, settlement, equity financing, corporate transaction and dissolution scenarios. As of December 31, 2018, the fair value of the Frazier Notes was $2.0 million and the Frazier Notes were exchanged for May 2019 Notes in May 2019. The principal and accrued interest of the May 2019 Notes automatically converted into 6,107,918 shares of common stock immediately prior to the completion of the IPO.</w:t>
      </w:r>
    </w:p>
    <w:p>
      <w:pPr>
        <w:spacing w:after="0" w:line="141"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The Company adjusts the carrying value of its warrant liabilities and convertible promissory notes to their estimated fair value at each reporting date, with any related increases or decreases in the fair value recorded as change in fair value of warrant liabilities and change in fair value of convertible promissory notes, respectively, in the combined 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58"/>
              <w:spacing w:after="0"/>
              <w:rPr>
                <w:sz w:val="20"/>
                <w:szCs w:val="20"/>
                <w:color w:val="auto"/>
              </w:rPr>
            </w:pPr>
            <w:r>
              <w:rPr>
                <w:rFonts w:ascii="Arial" w:cs="Arial" w:eastAsia="Arial" w:hAnsi="Arial"/>
                <w:sz w:val="12"/>
                <w:szCs w:val="12"/>
                <w:b w:val="1"/>
                <w:bCs w:val="1"/>
                <w:color w:val="auto"/>
                <w:w w:val="92"/>
              </w:rPr>
              <w:t>At initial</w:t>
            </w:r>
          </w:p>
        </w:tc>
        <w:tc>
          <w:tcPr>
            <w:tcW w:w="12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89"/>
              </w:rPr>
              <w:t>Fair value method at</w:t>
            </w: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58"/>
              <w:spacing w:after="0" w:line="135" w:lineRule="exact"/>
              <w:rPr>
                <w:sz w:val="20"/>
                <w:szCs w:val="20"/>
                <w:color w:val="auto"/>
              </w:rPr>
            </w:pPr>
            <w:r>
              <w:rPr>
                <w:rFonts w:ascii="Arial" w:cs="Arial" w:eastAsia="Arial" w:hAnsi="Arial"/>
                <w:sz w:val="12"/>
                <w:szCs w:val="12"/>
                <w:b w:val="1"/>
                <w:bCs w:val="1"/>
                <w:color w:val="auto"/>
                <w:w w:val="91"/>
              </w:rPr>
              <w:t>valuation</w:t>
            </w:r>
          </w:p>
        </w:tc>
        <w:tc>
          <w:tcPr>
            <w:tcW w:w="12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initial valuation date</w:t>
            </w: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Fair value at</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Conversion</w:t>
            </w:r>
          </w:p>
        </w:tc>
      </w:tr>
      <w:tr>
        <w:trPr>
          <w:trHeight w:val="143"/>
        </w:trPr>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Liability</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58"/>
              <w:spacing w:after="0"/>
              <w:rPr>
                <w:sz w:val="20"/>
                <w:szCs w:val="20"/>
                <w:color w:val="auto"/>
              </w:rPr>
            </w:pPr>
            <w:r>
              <w:rPr>
                <w:rFonts w:ascii="Arial" w:cs="Arial" w:eastAsia="Arial" w:hAnsi="Arial"/>
                <w:sz w:val="12"/>
                <w:szCs w:val="12"/>
                <w:b w:val="1"/>
                <w:bCs w:val="1"/>
                <w:color w:val="auto"/>
                <w:w w:val="80"/>
              </w:rPr>
              <w:t>date</w:t>
            </w:r>
          </w:p>
        </w:tc>
        <w:tc>
          <w:tcPr>
            <w:tcW w:w="120" w:type="dxa"/>
            <w:vAlign w:val="bottom"/>
            <w:tcBorders>
              <w:bottom w:val="single" w:sz="8" w:color="CFF0FC"/>
            </w:tcBorders>
          </w:tcPr>
          <w:p>
            <w:pPr>
              <w:spacing w:after="0"/>
              <w:rPr>
                <w:sz w:val="12"/>
                <w:szCs w:val="12"/>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(and relative weighting)</w:t>
            </w:r>
          </w:p>
        </w:tc>
        <w:tc>
          <w:tcPr>
            <w:tcW w:w="120" w:type="dxa"/>
            <w:vAlign w:val="bottom"/>
            <w:tcBorders>
              <w:bottom w:val="single" w:sz="8" w:color="CFF0FC"/>
            </w:tcBorders>
          </w:tcPr>
          <w:p>
            <w:pPr>
              <w:spacing w:after="0"/>
              <w:rPr>
                <w:sz w:val="12"/>
                <w:szCs w:val="12"/>
                <w:color w:val="auto"/>
              </w:rPr>
            </w:pPr>
          </w:p>
        </w:tc>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2"/>
                <w:szCs w:val="12"/>
                <w:b w:val="1"/>
                <w:bCs w:val="1"/>
                <w:color w:val="auto"/>
              </w:rPr>
              <w:t>KEY unobservable inputs</w:t>
            </w:r>
          </w:p>
        </w:tc>
        <w:tc>
          <w:tcPr>
            <w:tcW w:w="120" w:type="dxa"/>
            <w:vAlign w:val="bottom"/>
            <w:tcBorders>
              <w:bottom w:val="single" w:sz="8" w:color="CFF0FC"/>
            </w:tcBorders>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Range</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2"/>
                <w:szCs w:val="12"/>
                <w:b w:val="1"/>
                <w:bCs w:val="1"/>
                <w:color w:val="auto"/>
                <w:w w:val="86"/>
              </w:rPr>
              <w:t>conversion date</w:t>
            </w:r>
          </w:p>
        </w:tc>
        <w:tc>
          <w:tcPr>
            <w:tcW w:w="140" w:type="dxa"/>
            <w:vAlign w:val="bottom"/>
            <w:tcBorders>
              <w:bottom w:val="single" w:sz="8" w:color="CFF0FC"/>
            </w:tcBorders>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r>
      <w:tr>
        <w:trPr>
          <w:trHeight w:val="145"/>
        </w:trPr>
        <w:tc>
          <w:tcPr>
            <w:tcW w:w="1240" w:type="dxa"/>
            <w:vAlign w:val="bottom"/>
            <w:shd w:val="clear" w:color="auto" w:fill="CFF0FC"/>
          </w:tcPr>
          <w:p>
            <w:pPr>
              <w:spacing w:after="0" w:line="145" w:lineRule="exact"/>
              <w:rPr>
                <w:sz w:val="20"/>
                <w:szCs w:val="20"/>
                <w:color w:val="auto"/>
              </w:rPr>
            </w:pPr>
            <w:r>
              <w:rPr>
                <w:rFonts w:ascii="Arial" w:cs="Arial" w:eastAsia="Arial" w:hAnsi="Arial"/>
                <w:sz w:val="13"/>
                <w:szCs w:val="13"/>
                <w:color w:val="auto"/>
              </w:rPr>
              <w:t>Takeda</w:t>
            </w:r>
          </w:p>
        </w:tc>
        <w:tc>
          <w:tcPr>
            <w:tcW w:w="220" w:type="dxa"/>
            <w:vAlign w:val="bottom"/>
            <w:gridSpan w:val="2"/>
            <w:shd w:val="clear" w:color="auto" w:fill="CFF0FC"/>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8"/>
              <w:spacing w:after="0" w:line="145" w:lineRule="exact"/>
              <w:rPr>
                <w:sz w:val="20"/>
                <w:szCs w:val="20"/>
                <w:color w:val="auto"/>
              </w:rPr>
            </w:pPr>
            <w:r>
              <w:rPr>
                <w:rFonts w:ascii="Arial" w:cs="Arial" w:eastAsia="Arial" w:hAnsi="Arial"/>
                <w:sz w:val="13"/>
                <w:szCs w:val="13"/>
                <w:color w:val="auto"/>
              </w:rPr>
              <w:t>47,894</w:t>
            </w:r>
          </w:p>
        </w:tc>
        <w:tc>
          <w:tcPr>
            <w:tcW w:w="2160" w:type="dxa"/>
            <w:vAlign w:val="bottom"/>
            <w:gridSpan w:val="2"/>
            <w:shd w:val="clear" w:color="auto" w:fill="CFF0FC"/>
          </w:tcPr>
          <w:p>
            <w:pPr>
              <w:ind w:left="120"/>
              <w:spacing w:after="0" w:line="145" w:lineRule="exact"/>
              <w:rPr>
                <w:sz w:val="20"/>
                <w:szCs w:val="20"/>
                <w:color w:val="auto"/>
              </w:rPr>
            </w:pPr>
            <w:r>
              <w:rPr>
                <w:rFonts w:ascii="Arial" w:cs="Arial" w:eastAsia="Arial" w:hAnsi="Arial"/>
                <w:sz w:val="13"/>
                <w:szCs w:val="13"/>
                <w:color w:val="auto"/>
              </w:rPr>
              <w:t>Financing transactions (40%)</w:t>
            </w:r>
          </w:p>
        </w:tc>
        <w:tc>
          <w:tcPr>
            <w:tcW w:w="2900" w:type="dxa"/>
            <w:vAlign w:val="bottom"/>
            <w:gridSpan w:val="3"/>
            <w:shd w:val="clear" w:color="auto" w:fill="CFF0FC"/>
          </w:tcPr>
          <w:p>
            <w:pPr>
              <w:ind w:left="120"/>
              <w:spacing w:after="0" w:line="145" w:lineRule="exact"/>
              <w:rPr>
                <w:sz w:val="20"/>
                <w:szCs w:val="20"/>
                <w:color w:val="auto"/>
              </w:rPr>
            </w:pPr>
            <w:r>
              <w:rPr>
                <w:rFonts w:ascii="Arial" w:cs="Arial" w:eastAsia="Arial" w:hAnsi="Arial"/>
                <w:sz w:val="13"/>
                <w:szCs w:val="13"/>
                <w:color w:val="auto"/>
              </w:rPr>
              <w:t>Transaction prices per share</w:t>
            </w:r>
          </w:p>
        </w:tc>
        <w:tc>
          <w:tcPr>
            <w:tcW w:w="1240" w:type="dxa"/>
            <w:vAlign w:val="bottom"/>
            <w:shd w:val="clear" w:color="auto" w:fill="CFF0FC"/>
          </w:tcPr>
          <w:p>
            <w:pPr>
              <w:jc w:val="center"/>
              <w:spacing w:after="0" w:line="145" w:lineRule="exact"/>
              <w:rPr>
                <w:sz w:val="20"/>
                <w:szCs w:val="20"/>
                <w:color w:val="auto"/>
              </w:rPr>
            </w:pPr>
            <w:r>
              <w:rPr>
                <w:rFonts w:ascii="Arial" w:cs="Arial" w:eastAsia="Arial" w:hAnsi="Arial"/>
                <w:sz w:val="13"/>
                <w:szCs w:val="13"/>
                <w:color w:val="auto"/>
                <w:w w:val="92"/>
              </w:rPr>
              <w:t>$9.33 - $19.00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ind w:right="57"/>
              <w:spacing w:after="0" w:line="145" w:lineRule="exact"/>
              <w:rPr>
                <w:sz w:val="20"/>
                <w:szCs w:val="20"/>
                <w:color w:val="auto"/>
              </w:rPr>
            </w:pPr>
            <w:r>
              <w:rPr>
                <w:rFonts w:ascii="Arial" w:cs="Arial" w:eastAsia="Arial" w:hAnsi="Arial"/>
                <w:sz w:val="13"/>
                <w:szCs w:val="13"/>
                <w:color w:val="auto"/>
              </w:rPr>
              <w:t>144,172</w:t>
            </w: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ind w:left="320"/>
              <w:spacing w:after="0" w:line="145" w:lineRule="exact"/>
              <w:rPr>
                <w:sz w:val="20"/>
                <w:szCs w:val="20"/>
                <w:color w:val="auto"/>
              </w:rPr>
            </w:pPr>
            <w:r>
              <w:rPr>
                <w:rFonts w:ascii="Arial" w:cs="Arial" w:eastAsia="Arial" w:hAnsi="Arial"/>
                <w:sz w:val="13"/>
                <w:szCs w:val="13"/>
                <w:color w:val="auto"/>
                <w:w w:val="91"/>
              </w:rPr>
              <w:t>October 11, 2019</w:t>
            </w:r>
          </w:p>
        </w:tc>
      </w:tr>
      <w:tr>
        <w:trPr>
          <w:trHeight w:val="149"/>
        </w:trPr>
        <w:tc>
          <w:tcPr>
            <w:tcW w:w="12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Warrants</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1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Income approach (60%)</w:t>
            </w:r>
          </w:p>
        </w:tc>
        <w:tc>
          <w:tcPr>
            <w:tcW w:w="290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Estimated time to liquidity</w:t>
            </w:r>
          </w:p>
        </w:tc>
        <w:tc>
          <w:tcPr>
            <w:tcW w:w="136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2"/>
              </w:rPr>
              <w:t>0.09 - 1.77 years</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r>
      <w:tr>
        <w:trPr>
          <w:trHeight w:val="159"/>
        </w:trPr>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290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Discount rate</w:t>
            </w:r>
          </w:p>
        </w:tc>
        <w:tc>
          <w:tcPr>
            <w:tcW w:w="12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4"/>
              </w:rPr>
              <w:t>7.5%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r>
      <w:tr>
        <w:trPr>
          <w:trHeight w:val="162"/>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1"/>
        </w:trPr>
        <w:tc>
          <w:tcPr>
            <w:tcW w:w="1240" w:type="dxa"/>
            <w:vAlign w:val="bottom"/>
            <w:shd w:val="clear" w:color="auto" w:fill="CFF0FC"/>
          </w:tcPr>
          <w:p>
            <w:pPr>
              <w:spacing w:after="0"/>
              <w:rPr>
                <w:sz w:val="20"/>
                <w:szCs w:val="20"/>
                <w:color w:val="auto"/>
              </w:rPr>
            </w:pPr>
            <w:r>
              <w:rPr>
                <w:rFonts w:ascii="Arial" w:cs="Arial" w:eastAsia="Arial" w:hAnsi="Arial"/>
                <w:sz w:val="13"/>
                <w:szCs w:val="13"/>
                <w:color w:val="auto"/>
              </w:rPr>
              <w:t>May 2019 Notes</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8"/>
              <w:spacing w:after="0"/>
              <w:rPr>
                <w:sz w:val="20"/>
                <w:szCs w:val="20"/>
                <w:color w:val="auto"/>
              </w:rPr>
            </w:pPr>
            <w:r>
              <w:rPr>
                <w:rFonts w:ascii="Arial" w:cs="Arial" w:eastAsia="Arial" w:hAnsi="Arial"/>
                <w:sz w:val="13"/>
                <w:szCs w:val="13"/>
                <w:color w:val="auto"/>
              </w:rPr>
              <w:t>90,250</w:t>
            </w:r>
          </w:p>
        </w:tc>
        <w:tc>
          <w:tcPr>
            <w:tcW w:w="21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Financing transactions (40%)</w:t>
            </w:r>
          </w:p>
        </w:tc>
        <w:tc>
          <w:tcPr>
            <w:tcW w:w="12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92"/>
              </w:rPr>
              <w:t>0.09 - 1.77 years</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139,847</w:t>
            </w: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ind w:left="300"/>
              <w:spacing w:after="0"/>
              <w:rPr>
                <w:sz w:val="20"/>
                <w:szCs w:val="20"/>
                <w:color w:val="auto"/>
              </w:rPr>
            </w:pPr>
            <w:r>
              <w:rPr>
                <w:rFonts w:ascii="Arial" w:cs="Arial" w:eastAsia="Arial" w:hAnsi="Arial"/>
                <w:sz w:val="13"/>
                <w:szCs w:val="13"/>
                <w:color w:val="auto"/>
                <w:w w:val="93"/>
              </w:rPr>
              <w:t>October 29, 2019</w:t>
            </w:r>
          </w:p>
        </w:tc>
      </w:tr>
      <w:tr>
        <w:trPr>
          <w:trHeight w:val="149"/>
        </w:trPr>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1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Income approach (60%)</w:t>
            </w:r>
          </w:p>
        </w:tc>
        <w:tc>
          <w:tcPr>
            <w:tcW w:w="290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Estimated time to liquidity</w:t>
            </w:r>
          </w:p>
        </w:tc>
        <w:tc>
          <w:tcPr>
            <w:tcW w:w="12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9"/>
              </w:rPr>
              <w:t>65%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r>
      <w:tr>
        <w:trPr>
          <w:trHeight w:val="159"/>
        </w:trPr>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290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Volatility Discount rate</w:t>
            </w:r>
          </w:p>
        </w:tc>
        <w:tc>
          <w:tcPr>
            <w:tcW w:w="12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3"/>
              </w:rPr>
              <w:t>22.6% - 25%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provides a reconciliation of all liabilities measured at fair value using Level 3 significant unobservable inputs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Warrant</w:t>
            </w:r>
          </w:p>
        </w:tc>
        <w:tc>
          <w:tcPr>
            <w:tcW w:w="300" w:type="dxa"/>
            <w:vAlign w:val="bottom"/>
          </w:tcPr>
          <w:p>
            <w:pPr>
              <w:spacing w:after="0"/>
              <w:rPr>
                <w:sz w:val="14"/>
                <w:szCs w:val="14"/>
                <w:color w:val="auto"/>
              </w:rPr>
            </w:pPr>
          </w:p>
        </w:tc>
        <w:tc>
          <w:tcPr>
            <w:tcW w:w="154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Convertible</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0"/>
              </w:rPr>
              <w:t>Promissory</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Liabilities</w:t>
            </w:r>
          </w:p>
        </w:tc>
        <w:tc>
          <w:tcPr>
            <w:tcW w:w="300" w:type="dxa"/>
            <w:vAlign w:val="bottom"/>
          </w:tcPr>
          <w:p>
            <w:pPr>
              <w:spacing w:after="0"/>
              <w:rPr>
                <w:sz w:val="14"/>
                <w:szCs w:val="14"/>
                <w:color w:val="auto"/>
              </w:rPr>
            </w:pPr>
          </w:p>
        </w:tc>
        <w:tc>
          <w:tcPr>
            <w:tcW w:w="1540" w:type="dxa"/>
            <w:vAlign w:val="bottom"/>
          </w:tcPr>
          <w:p>
            <w:pPr>
              <w:jc w:val="center"/>
              <w:ind w:right="314"/>
              <w:spacing w:after="0"/>
              <w:rPr>
                <w:sz w:val="20"/>
                <w:szCs w:val="20"/>
                <w:color w:val="auto"/>
              </w:rPr>
            </w:pPr>
            <w:r>
              <w:rPr>
                <w:rFonts w:ascii="Arial" w:cs="Arial" w:eastAsia="Arial" w:hAnsi="Arial"/>
                <w:sz w:val="14"/>
                <w:szCs w:val="14"/>
                <w:b w:val="1"/>
                <w:bCs w:val="1"/>
                <w:color w:val="auto"/>
                <w:w w:val="87"/>
              </w:rPr>
              <w:t>Notes</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7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Issuance of convertible promissory</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20" w:type="dxa"/>
            <w:vAlign w:val="bottom"/>
          </w:tcPr>
          <w:p>
            <w:pPr>
              <w:ind w:left="380"/>
              <w:spacing w:after="0"/>
              <w:rPr>
                <w:sz w:val="20"/>
                <w:szCs w:val="20"/>
                <w:color w:val="auto"/>
              </w:rPr>
            </w:pPr>
            <w:r>
              <w:rPr>
                <w:rFonts w:ascii="Arial" w:cs="Arial" w:eastAsia="Arial" w:hAnsi="Arial"/>
                <w:sz w:val="18"/>
                <w:szCs w:val="18"/>
                <w:color w:val="auto"/>
              </w:rPr>
              <w:t>notes</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1,900</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1700"/>
              <w:spacing w:after="0"/>
              <w:rPr>
                <w:sz w:val="20"/>
                <w:szCs w:val="20"/>
                <w:color w:val="auto"/>
              </w:rPr>
            </w:pPr>
            <w:r>
              <w:rPr>
                <w:rFonts w:ascii="Arial" w:cs="Arial" w:eastAsia="Arial" w:hAnsi="Arial"/>
                <w:sz w:val="18"/>
                <w:szCs w:val="18"/>
                <w:color w:val="auto"/>
              </w:rPr>
              <w:t>Balance at December 31, 2018</w:t>
            </w:r>
          </w:p>
        </w:tc>
        <w:tc>
          <w:tcPr>
            <w:tcW w:w="7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of convertible promissory</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90,750</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Exchange of convertible promissory</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20" w:type="dxa"/>
            <w:vAlign w:val="bottom"/>
          </w:tcPr>
          <w:p>
            <w:pPr>
              <w:ind w:left="380"/>
              <w:spacing w:after="0"/>
              <w:rPr>
                <w:sz w:val="20"/>
                <w:szCs w:val="20"/>
                <w:color w:val="auto"/>
              </w:rPr>
            </w:pPr>
            <w:r>
              <w:rPr>
                <w:rFonts w:ascii="Arial" w:cs="Arial" w:eastAsia="Arial" w:hAnsi="Arial"/>
                <w:sz w:val="18"/>
                <w:szCs w:val="18"/>
                <w:color w:val="auto"/>
              </w:rPr>
              <w:t>notes (Note 5)</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(2,399)</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of warrants</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48,313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96,272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49,546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 Takeda Warrant into equity</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 4)</w:t>
            </w:r>
          </w:p>
        </w:tc>
        <w:tc>
          <w:tcPr>
            <w:tcW w:w="7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(144,172)</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Conversion of May 2019 Notes into</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320" w:type="dxa"/>
            <w:vAlign w:val="bottom"/>
          </w:tcPr>
          <w:p>
            <w:pPr>
              <w:ind w:left="380"/>
              <w:spacing w:after="0"/>
              <w:rPr>
                <w:sz w:val="20"/>
                <w:szCs w:val="20"/>
                <w:color w:val="auto"/>
              </w:rPr>
            </w:pPr>
            <w:r>
              <w:rPr>
                <w:rFonts w:ascii="Arial" w:cs="Arial" w:eastAsia="Arial" w:hAnsi="Arial"/>
                <w:sz w:val="18"/>
                <w:szCs w:val="18"/>
                <w:color w:val="auto"/>
              </w:rPr>
              <w:t>common shares upon IPO (Note 5)</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(139,847)</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413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020" w:type="dxa"/>
            <w:vAlign w:val="bottom"/>
            <w:gridSpan w:val="2"/>
          </w:tcPr>
          <w:p>
            <w:pPr>
              <w:spacing w:after="0"/>
              <w:rPr>
                <w:sz w:val="20"/>
                <w:szCs w:val="20"/>
                <w:color w:val="auto"/>
              </w:rPr>
            </w:pPr>
            <w:r>
              <w:rPr>
                <w:rFonts w:ascii="Arial" w:cs="Arial" w:eastAsia="Arial" w:hAnsi="Arial"/>
                <w:sz w:val="18"/>
                <w:szCs w:val="18"/>
                <w:color w:val="auto"/>
              </w:rPr>
              <w:t>US-DOCS\113023198.3</w:t>
            </w:r>
          </w:p>
        </w:tc>
        <w:tc>
          <w:tcPr>
            <w:tcW w:w="1080" w:type="dxa"/>
            <w:vAlign w:val="bottom"/>
            <w:gridSpan w:val="2"/>
          </w:tcPr>
          <w:p>
            <w:pPr>
              <w:jc w:val="right"/>
              <w:ind w:right="227"/>
              <w:spacing w:after="0"/>
              <w:rPr>
                <w:sz w:val="20"/>
                <w:szCs w:val="20"/>
                <w:color w:val="auto"/>
              </w:rPr>
            </w:pPr>
            <w:r>
              <w:rPr>
                <w:rFonts w:ascii="Arial" w:cs="Arial" w:eastAsia="Arial" w:hAnsi="Arial"/>
                <w:sz w:val="18"/>
                <w:szCs w:val="18"/>
                <w:color w:val="auto"/>
              </w:rPr>
              <w:t>F-10</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1" w:name="page132"/>
    <w:bookmarkEnd w:id="131"/>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5"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Property, plant and equipment are recorded at cost, less accumulated depreciation. Depreciation expense is recognized using the straight-line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method over the useful life of the asset. Computer equipment and related software are depreciated over two to three years. Furniture and fixtures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depreciated over three years. Leasehold improvements are amortized over the lesser of the lease term or the estimated useful lives of the related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assets. Expenditures for repairs and maintenance of assets are charged to expense as incurred. Upon retirement or sale, the cost and related accumulated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assets disposed of are removed from the accounts and any resulting gain or loss is included in loss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December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40" w:firstLine="589"/>
        <w:spacing w:after="0" w:line="285" w:lineRule="auto"/>
        <w:rPr>
          <w:sz w:val="20"/>
          <w:szCs w:val="20"/>
          <w:color w:val="auto"/>
        </w:rPr>
      </w:pPr>
      <w:r>
        <w:rPr>
          <w:rFonts w:ascii="Arial" w:cs="Arial" w:eastAsia="Arial" w:hAnsi="Arial"/>
          <w:sz w:val="16"/>
          <w:szCs w:val="16"/>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US-DOCS\113023198.3</w:t>
            </w:r>
          </w:p>
        </w:tc>
        <w:tc>
          <w:tcPr>
            <w:tcW w:w="7640" w:type="dxa"/>
            <w:vAlign w:val="bottom"/>
          </w:tcPr>
          <w:p>
            <w:pPr>
              <w:ind w:left="1840"/>
              <w:spacing w:after="0"/>
              <w:rPr>
                <w:sz w:val="20"/>
                <w:szCs w:val="20"/>
                <w:color w:val="auto"/>
              </w:rPr>
            </w:pPr>
            <w:r>
              <w:rPr>
                <w:rFonts w:ascii="Arial" w:cs="Arial" w:eastAsia="Arial" w:hAnsi="Arial"/>
                <w:sz w:val="18"/>
                <w:szCs w:val="18"/>
                <w:color w:val="auto"/>
              </w:rPr>
              <w:t>F-11</w:t>
            </w:r>
          </w:p>
        </w:tc>
      </w:tr>
      <w:tr>
        <w:trPr>
          <w:trHeight w:val="331"/>
        </w:trPr>
        <w:tc>
          <w:tcPr>
            <w:tcW w:w="36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Accruals</w:t>
      </w:r>
    </w:p>
    <w:p>
      <w:pPr>
        <w:spacing w:after="0" w:line="185"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p>
    <w:p>
      <w:pPr>
        <w:spacing w:after="0" w:line="160"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85"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(generally the vesting period) on a straight-line basis. The Company recognizes forfeitures as they occur.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61" w:lineRule="exact"/>
        <w:rPr>
          <w:sz w:val="20"/>
          <w:szCs w:val="20"/>
          <w:color w:val="auto"/>
        </w:rPr>
      </w:pPr>
    </w:p>
    <w:p>
      <w:pPr>
        <w:ind w:right="180" w:firstLine="589"/>
        <w:spacing w:after="0" w:line="275"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US-DOCS\113023198.3</w:t>
            </w:r>
          </w:p>
        </w:tc>
        <w:tc>
          <w:tcPr>
            <w:tcW w:w="7640" w:type="dxa"/>
            <w:vAlign w:val="bottom"/>
          </w:tcPr>
          <w:p>
            <w:pPr>
              <w:ind w:left="1840"/>
              <w:spacing w:after="0"/>
              <w:rPr>
                <w:sz w:val="20"/>
                <w:szCs w:val="20"/>
                <w:color w:val="auto"/>
              </w:rPr>
            </w:pPr>
            <w:r>
              <w:rPr>
                <w:rFonts w:ascii="Arial" w:cs="Arial" w:eastAsia="Arial" w:hAnsi="Arial"/>
                <w:sz w:val="18"/>
                <w:szCs w:val="18"/>
                <w:color w:val="auto"/>
              </w:rPr>
              <w:t>F-12</w:t>
            </w:r>
          </w:p>
        </w:tc>
      </w:tr>
      <w:tr>
        <w:trPr>
          <w:trHeight w:val="331"/>
        </w:trPr>
        <w:tc>
          <w:tcPr>
            <w:tcW w:w="36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00" w:lineRule="exact"/>
        <w:rPr>
          <w:sz w:val="20"/>
          <w:szCs w:val="20"/>
          <w:color w:val="auto"/>
        </w:rPr>
      </w:pPr>
    </w:p>
    <w:p>
      <w:pPr>
        <w:spacing w:after="0" w:line="205"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Comprehensive loss is defined as a change in equity during a period from transactions and other events and circumstances from non-owner sources.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comprehensive loss was the same as its reported net loss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8"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5" w:lineRule="exact"/>
        <w:rPr>
          <w:sz w:val="20"/>
          <w:szCs w:val="20"/>
          <w:color w:val="auto"/>
        </w:rPr>
      </w:pPr>
    </w:p>
    <w:p>
      <w:pPr>
        <w:ind w:right="80" w:firstLine="589"/>
        <w:spacing w:after="0" w:line="287" w:lineRule="auto"/>
        <w:rPr>
          <w:sz w:val="20"/>
          <w:szCs w:val="20"/>
          <w:color w:val="auto"/>
        </w:rPr>
      </w:pPr>
      <w:r>
        <w:rPr>
          <w:rFonts w:ascii="Arial" w:cs="Arial" w:eastAsia="Arial" w:hAnsi="Arial"/>
          <w:sz w:val="16"/>
          <w:szCs w:val="16"/>
          <w:color w:val="auto"/>
        </w:rPr>
        <w:t>For the years ended December 31, 2019 and 2018, the net loss per share was recast to include in the numerator the net losses of both the Company and YamadaCo and include in the denominator the combined weighted-average outstanding shares of both the Company and YamadaCo. Basic net loss per share is computed by dividing the combined net loss by the weighted-average number of common shares outstanding for the period, without consideration for potentially dilutive securities. The Company included 7,588,000 shares of common stock under the Takeda Warrant in the calculation of basic weighted-average common shares outstanding from the time it became exercisable at the Company’s IPO because the Takeda Warrant is issuable for little consideration. The Company has excluded weighted-average unvested shares of 3,593,034 from the weighted-average number of common shares outstanding for the year ended December 31, 2019. No shares of common stock were unvested during the year ended December 31, 2018. Diluted net loss per share is computed by dividing the combined net loss by the weighted-average number of common shares and dilutive common stock equivalents outstanding for the period determined using the treasury-stock and if-converted methods. Dilutive common stock equivalents are comprised of unvested common stock, options, warrants and convertible promissory notes. For all periods presented, there is no difference in the number of shares used to calculate basic and diluted shares outstanding as inclusion of the potentially dilutive securities would be antidilutive.</w:t>
      </w:r>
    </w:p>
    <w:p>
      <w:pPr>
        <w:spacing w:after="0" w:line="145"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for the periods presented because their inclusion would have been antidilutive:</w:t>
      </w:r>
    </w:p>
    <w:p>
      <w:pPr>
        <w:spacing w:after="0" w:line="175"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Years Ended</w:t>
      </w:r>
    </w:p>
    <w:p>
      <w:pPr>
        <w:ind w:left="7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1700" w:type="dxa"/>
            <w:vAlign w:val="bottom"/>
          </w:tcPr>
          <w:p>
            <w:pPr>
              <w:spacing w:after="0"/>
              <w:rPr>
                <w:sz w:val="13"/>
                <w:szCs w:val="13"/>
                <w:color w:val="auto"/>
              </w:rPr>
            </w:pPr>
          </w:p>
        </w:tc>
        <w:tc>
          <w:tcPr>
            <w:tcW w:w="29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9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715"/>
              <w:spacing w:after="0" w:line="155" w:lineRule="exact"/>
              <w:rPr>
                <w:sz w:val="20"/>
                <w:szCs w:val="20"/>
                <w:color w:val="auto"/>
              </w:rPr>
            </w:pPr>
            <w:r>
              <w:rPr>
                <w:rFonts w:ascii="Arial" w:cs="Arial" w:eastAsia="Arial" w:hAnsi="Arial"/>
                <w:sz w:val="14"/>
                <w:szCs w:val="14"/>
                <w:b w:val="1"/>
                <w:bCs w:val="1"/>
                <w:color w:val="auto"/>
              </w:rPr>
              <w:t>2018</w:t>
            </w:r>
          </w:p>
        </w:tc>
        <w:tc>
          <w:tcPr>
            <w:tcW w:w="170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2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16,446</w:t>
            </w: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ind w:left="15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Stock options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1,400,528</w:t>
            </w:r>
          </w:p>
        </w:tc>
        <w:tc>
          <w:tcPr>
            <w:tcW w:w="140" w:type="dxa"/>
            <w:vAlign w:val="bottom"/>
          </w:tcPr>
          <w:p>
            <w:pPr>
              <w:spacing w:after="0"/>
              <w:rPr>
                <w:sz w:val="19"/>
                <w:szCs w:val="19"/>
                <w:color w:val="auto"/>
              </w:rPr>
            </w:pPr>
          </w:p>
        </w:tc>
        <w:tc>
          <w:tcPr>
            <w:tcW w:w="1780" w:type="dxa"/>
            <w:vAlign w:val="bottom"/>
          </w:tcPr>
          <w:p>
            <w:pPr>
              <w:ind w:left="15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Shares subject to repurchase</w:t>
            </w:r>
          </w:p>
        </w:tc>
        <w:tc>
          <w:tcPr>
            <w:tcW w:w="3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3,593,034</w:t>
            </w: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ind w:left="15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864"/>
        </w:trPr>
        <w:tc>
          <w:tcPr>
            <w:tcW w:w="4600" w:type="dxa"/>
            <w:vAlign w:val="bottom"/>
            <w:gridSpan w:val="2"/>
          </w:tcPr>
          <w:p>
            <w:pPr>
              <w:spacing w:after="0"/>
              <w:rPr>
                <w:sz w:val="20"/>
                <w:szCs w:val="20"/>
                <w:color w:val="auto"/>
              </w:rPr>
            </w:pPr>
            <w:r>
              <w:rPr>
                <w:rFonts w:ascii="Arial" w:cs="Arial" w:eastAsia="Arial" w:hAnsi="Arial"/>
                <w:sz w:val="18"/>
                <w:szCs w:val="18"/>
                <w:color w:val="auto"/>
              </w:rPr>
              <w:t>US-DOCS\113023198.3</w:t>
            </w:r>
          </w:p>
        </w:tc>
        <w:tc>
          <w:tcPr>
            <w:tcW w:w="3180" w:type="dxa"/>
            <w:vAlign w:val="bottom"/>
            <w:gridSpan w:val="3"/>
          </w:tcPr>
          <w:p>
            <w:pPr>
              <w:ind w:left="860"/>
              <w:spacing w:after="0"/>
              <w:rPr>
                <w:sz w:val="20"/>
                <w:szCs w:val="20"/>
                <w:color w:val="auto"/>
              </w:rPr>
            </w:pPr>
            <w:r>
              <w:rPr>
                <w:rFonts w:ascii="Arial" w:cs="Arial" w:eastAsia="Arial" w:hAnsi="Arial"/>
                <w:sz w:val="18"/>
                <w:szCs w:val="18"/>
                <w:color w:val="auto"/>
              </w:rPr>
              <w:t>F-13</w:t>
            </w: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1"/>
        </w:trPr>
        <w:tc>
          <w:tcPr>
            <w:tcW w:w="17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89"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 xml:space="preserve">In June 2018, the Financial Accounting Standards Board (“FASB”) issued Accounting Standards Update (“ASU”) No. 2018-07,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 (Topic 718): Improvements to Nonemployee Share-Based Payment Accounting</w:t>
      </w:r>
      <w:r>
        <w:rPr>
          <w:rFonts w:ascii="Arial" w:cs="Arial" w:eastAsia="Arial" w:hAnsi="Arial"/>
          <w:sz w:val="18"/>
          <w:szCs w:val="18"/>
          <w:color w:val="auto"/>
        </w:rPr>
        <w:t>. This guidance expands the scope of Topic 718,</w:t>
      </w:r>
      <w:r>
        <w:rPr>
          <w:rFonts w:ascii="Arial" w:cs="Arial" w:eastAsia="Arial" w:hAnsi="Arial"/>
          <w:sz w:val="18"/>
          <w:szCs w:val="18"/>
          <w:i w:val="1"/>
          <w:iCs w:val="1"/>
          <w:color w:val="auto"/>
        </w:rPr>
        <w:t xml:space="preserve"> Compensation—Stock Compensation</w:t>
      </w:r>
      <w:r>
        <w:rPr>
          <w:rFonts w:ascii="Arial" w:cs="Arial" w:eastAsia="Arial" w:hAnsi="Arial"/>
          <w:sz w:val="18"/>
          <w:szCs w:val="18"/>
          <w:color w:val="auto"/>
        </w:rPr>
        <w:t>, 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nonemployees for goods or services. Consequently, the accounting for share-based payments to nonemployees and employees will be substantially aligned. This ASU supersedes Subtopic 505-50, </w:t>
      </w:r>
      <w:r>
        <w:rPr>
          <w:rFonts w:ascii="Arial" w:cs="Arial" w:eastAsia="Arial" w:hAnsi="Arial"/>
          <w:sz w:val="18"/>
          <w:szCs w:val="18"/>
          <w:i w:val="1"/>
          <w:iCs w:val="1"/>
          <w:color w:val="auto"/>
        </w:rPr>
        <w:t>Equity—Equity-Based Payments to Non-Employees</w:t>
      </w:r>
      <w:r>
        <w:rPr>
          <w:rFonts w:ascii="Arial" w:cs="Arial" w:eastAsia="Arial" w:hAnsi="Arial"/>
          <w:sz w:val="18"/>
          <w:szCs w:val="18"/>
          <w:color w:val="auto"/>
        </w:rPr>
        <w:t xml:space="preserve"> and is effective for public companies for annual periods beginning after December 15, 2018, including interim periods within those fiscal years, with early adoption permitted as long as ASU No. 2014-09 has been adopted by the Company. The Company adopted this guidance effective January 1, 2018, and the adoption did not have a material impact on the Company's financial statements.</w:t>
      </w:r>
    </w:p>
    <w:p>
      <w:pPr>
        <w:spacing w:after="0" w:line="165"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 lessee to recognize a lease liability and a right-of-use asset for all leases with lease terms of more than 12 months. Additionally, certain qualitative and quantitative disclosures will be required in the financial statements. This guidance is effective for annual reporting periods beginning after December 15, 2018, including interim periods within those fiscal years, and early adoption is permitted. Companies may adopt this guidance using a modified retrospective approach for leases that exist or are entered into after the beginning of the earliest comparative period in the financial statements. The Company adopted this guidance effective January 1, 2018, and at the time of adoption, there was no impact on the Company’s financial statements as the Company did not have any leases at the time of adoption. During 2019, adoption of this standard has resulted in the recognition of operating lease right-of-use assets of $0.9 million and lease liabilities of $0.8 million as of December 31, 2019. The standard did not materially impact the Company’s combined statements of operations or combined statements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280" w:firstLine="589"/>
        <w:spacing w:after="0" w:line="30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which eliminates, modifies and adds disclosure requirements on fair value measurements. The standard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annual periods beginning after December 15, 2019, including interim periods within those fiscal years, and early adoption is permitted. The Company is currently evaluating the impact the adoption of ASU No. 2018-13 will have on the Company’s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plant and equipment, net, consist of the following (in thousands):</w:t>
      </w:r>
    </w:p>
    <w:p>
      <w:pPr>
        <w:spacing w:after="0" w:line="230"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Years Ended</w:t>
      </w:r>
    </w:p>
    <w:p>
      <w:pPr>
        <w:ind w:left="7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5"/>
        </w:trPr>
        <w:tc>
          <w:tcPr>
            <w:tcW w:w="4080" w:type="dxa"/>
            <w:vAlign w:val="bottom"/>
            <w:tcBorders>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ind w:left="116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Depreciation expense for the year ended December 31, 2019 was approximately $8,000. There was no depreciation expense for the year ended December 31, 2018. No property, plant or equipment was disposed of during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US-DOCS\113023198.3</w:t>
            </w:r>
          </w:p>
        </w:tc>
        <w:tc>
          <w:tcPr>
            <w:tcW w:w="7640" w:type="dxa"/>
            <w:vAlign w:val="bottom"/>
          </w:tcPr>
          <w:p>
            <w:pPr>
              <w:ind w:left="1840"/>
              <w:spacing w:after="0"/>
              <w:rPr>
                <w:sz w:val="20"/>
                <w:szCs w:val="20"/>
                <w:color w:val="auto"/>
              </w:rPr>
            </w:pPr>
            <w:r>
              <w:rPr>
                <w:rFonts w:ascii="Arial" w:cs="Arial" w:eastAsia="Arial" w:hAnsi="Arial"/>
                <w:sz w:val="18"/>
                <w:szCs w:val="18"/>
                <w:color w:val="auto"/>
              </w:rPr>
              <w:t>F-14</w:t>
            </w:r>
          </w:p>
        </w:tc>
      </w:tr>
      <w:tr>
        <w:trPr>
          <w:trHeight w:val="331"/>
        </w:trPr>
        <w:tc>
          <w:tcPr>
            <w:tcW w:w="36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Years Ended</w:t>
      </w:r>
    </w:p>
    <w:p>
      <w:pPr>
        <w:ind w:left="7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6"/>
        </w:trPr>
        <w:tc>
          <w:tcPr>
            <w:tcW w:w="33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Accrued R&amp;D expenses</w:t>
            </w:r>
          </w:p>
        </w:tc>
        <w:tc>
          <w:tcPr>
            <w:tcW w:w="8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Accrued compensation expenses</w:t>
            </w: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5"/>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&amp; consulting</w:t>
            </w:r>
          </w:p>
        </w:tc>
        <w:tc>
          <w:tcPr>
            <w:tcW w:w="8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30"/>
        </w:trPr>
        <w:tc>
          <w:tcPr>
            <w:tcW w:w="3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8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8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8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202"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Frazier is a principal stockholder of the Company and is represented on the Company’s board of directors. For the years ended December 31, 2019 and 2018, the Company conducted its operations within office space controlled by Frazier and Frazier allocated a portion of the costs associated with this office to the Company. In addition, Frazier paid for various goods and services, such as employee wages, insurance and expense reimbursements and various administrative services associated with the operations of the Company and charged the Company for those expenses. As of December 31, 2019 and 2018, the Company had outstanding accounts payable and accrued expenses due to Frazier in the amount of $0.1 million and $45,000 respectively, related to these shared operating expenses. For the years ended December 31, 2019 and 2018, the Company incurred $0.4 million and $0.3 million, respectively, of shared operating expenses. In addition to the shared operating expenses, the Company issued convertible promissory notes to Frazier during 2018 and 2019 (see Note 5).</w:t>
      </w:r>
    </w:p>
    <w:p>
      <w:pPr>
        <w:spacing w:after="0" w:line="138" w:lineRule="exact"/>
        <w:rPr>
          <w:sz w:val="20"/>
          <w:szCs w:val="20"/>
          <w:color w:val="auto"/>
        </w:rPr>
      </w:pPr>
    </w:p>
    <w:p>
      <w:pPr>
        <w:jc w:val="center"/>
        <w:ind w:right="400"/>
        <w:spacing w:after="0" w:line="311" w:lineRule="auto"/>
        <w:rPr>
          <w:sz w:val="20"/>
          <w:szCs w:val="20"/>
          <w:color w:val="auto"/>
        </w:rPr>
      </w:pPr>
      <w:r>
        <w:rPr>
          <w:rFonts w:ascii="Arial" w:cs="Arial" w:eastAsia="Arial" w:hAnsi="Arial"/>
          <w:sz w:val="16"/>
          <w:szCs w:val="16"/>
          <w:color w:val="auto"/>
        </w:rPr>
        <w:t>Frazier is a principal stockholder in PCI Pharma Services (“PCI”). In the third quarter of 2019, the Company engaged PCI for clinical manufacturing services. As of December 31, 2019, the Company had $0.3 million outstanding accounts payable and accrued expenses related to these manufacturing services. For the year ended December 31, 2019, the Company incurred $1.1 million of expenses related to services performed by PCI.</w:t>
      </w:r>
    </w:p>
    <w:p>
      <w:pPr>
        <w:spacing w:after="0" w:line="108"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Mountain Field LLC (“Mountain Field”) is an entity owned by the chairman of the Company’s board of directors. During the years ended December 31, 2019 and 2018, the Company charged Mountain Field for certain rent and payroll related expenses. These shared expenses were allocated based on usage of the related facilities and time incurred by personnel. As of December 31, 2019, and 2018, the Company had an outstanding accounts receivable balance from Mountain Field of $0 and $19,000, respectively, related to shared operating expenses. For the years ended December 31, 2019 and 2018, the Company charged Mountain Field $0.1 million and $4,000, respectively, for shared expenses.</w:t>
      </w:r>
    </w:p>
    <w:p>
      <w:pPr>
        <w:spacing w:after="0" w:line="149"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Takeda became a common stockholder of the Company as of May 7, 2019 in connection with the Takeda License (see Note 4). In conjunction with the Takeda License, Takeda will provide proprietary supplies for the Company’s ongoing clinical development of vonoprazan in addition to the exclusive license for the commercialization of vonoprazan in the United States, Canada and Europe. As of December 31, 2019, the Company had $0.1 million in outstanding accounts payable and accrued expenses related to these supply services. For the year ended December 31, 2019, the Company incurred $0.1 million of expenses related to services performed by Takeda.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US-DOCS\113023198.3</w:t>
            </w:r>
          </w:p>
        </w:tc>
        <w:tc>
          <w:tcPr>
            <w:tcW w:w="7640" w:type="dxa"/>
            <w:vAlign w:val="bottom"/>
          </w:tcPr>
          <w:p>
            <w:pPr>
              <w:ind w:left="1840"/>
              <w:spacing w:after="0"/>
              <w:rPr>
                <w:sz w:val="20"/>
                <w:szCs w:val="20"/>
                <w:color w:val="auto"/>
              </w:rPr>
            </w:pPr>
            <w:r>
              <w:rPr>
                <w:rFonts w:ascii="Arial" w:cs="Arial" w:eastAsia="Arial" w:hAnsi="Arial"/>
                <w:sz w:val="18"/>
                <w:szCs w:val="18"/>
                <w:color w:val="auto"/>
              </w:rPr>
              <w:t>F-15</w:t>
            </w:r>
          </w:p>
        </w:tc>
      </w:tr>
      <w:tr>
        <w:trPr>
          <w:trHeight w:val="331"/>
        </w:trPr>
        <w:tc>
          <w:tcPr>
            <w:tcW w:w="36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85" w:lineRule="exact"/>
        <w:rPr>
          <w:sz w:val="20"/>
          <w:szCs w:val="20"/>
          <w:color w:val="auto"/>
        </w:rPr>
      </w:pPr>
    </w:p>
    <w:p>
      <w:pPr>
        <w:ind w:right="160" w:firstLine="589"/>
        <w:spacing w:after="0" w:line="287" w:lineRule="auto"/>
        <w:rPr>
          <w:sz w:val="20"/>
          <w:szCs w:val="20"/>
          <w:color w:val="auto"/>
        </w:rPr>
      </w:pPr>
      <w:r>
        <w:rPr>
          <w:rFonts w:ascii="Arial" w:cs="Arial" w:eastAsia="Arial" w:hAnsi="Arial"/>
          <w:sz w:val="16"/>
          <w:szCs w:val="16"/>
          <w:color w:val="auto"/>
        </w:rPr>
        <w:t>On May 7, 2019, the Company entered into a license agreement with Takeda pursuant to which it was granted an exclusive license to commercialize vonoprazan in the United States, Canada and Europe (the “Takeda License”). The Company also has the right to sublicense its rights under the agreement, subject to certain conditions. The agreement will remain in effect, on a country-by-country and product-by-product basis, until the later of</w:t>
      </w:r>
    </w:p>
    <w:p>
      <w:pPr>
        <w:spacing w:after="0" w:line="2" w:lineRule="exact"/>
        <w:rPr>
          <w:sz w:val="20"/>
          <w:szCs w:val="20"/>
          <w:color w:val="auto"/>
        </w:rPr>
      </w:pPr>
    </w:p>
    <w:p>
      <w:pPr>
        <w:ind w:right="60" w:firstLine="8"/>
        <w:spacing w:after="0" w:line="253" w:lineRule="auto"/>
        <w:tabs>
          <w:tab w:leader="none" w:pos="2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expiration of the last to expire valid patent claim covering vonoprazan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50" w:lineRule="exact"/>
        <w:rPr>
          <w:sz w:val="20"/>
          <w:szCs w:val="20"/>
          <w:color w:val="auto"/>
        </w:rPr>
      </w:pPr>
    </w:p>
    <w:p>
      <w:pPr>
        <w:ind w:right="80" w:firstLine="589"/>
        <w:spacing w:after="0" w:line="286" w:lineRule="auto"/>
        <w:rPr>
          <w:sz w:val="20"/>
          <w:szCs w:val="20"/>
          <w:color w:val="auto"/>
        </w:rPr>
      </w:pPr>
      <w:r>
        <w:rPr>
          <w:rFonts w:ascii="Arial" w:cs="Arial" w:eastAsia="Arial" w:hAnsi="Arial"/>
          <w:sz w:val="16"/>
          <w:szCs w:val="16"/>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the Takeda Warrant Right to receive an additional common stock warrant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Company incurred $0.1 million of transaction costs in connection with the Takeda License. The Takeda Warrant has an exercise price of $0.00004613 per share, expires on May 7, 2029 and becomes exercisable upon (i) certain change of control transactions of the Company or (ii) the consummation of an IPO by the Company. Following the October 11, 2019 increase in the Company’s authorized shares of common stock to 50,000,000, the Company recorded a non-cash charge related to the final fair value adjustment of the Takeda Warrants and reclassified the full balance of $144.2 million from warrant liabilities to additional paid-in capital. Additionally, upon closing of the IPO, the Takeda Warrant Right expired without effect since no fair value had been allocated to it.</w:t>
      </w:r>
    </w:p>
    <w:p>
      <w:pPr>
        <w:spacing w:after="0" w:line="147" w:lineRule="exact"/>
        <w:rPr>
          <w:sz w:val="20"/>
          <w:szCs w:val="20"/>
          <w:color w:val="auto"/>
        </w:rPr>
      </w:pPr>
    </w:p>
    <w:p>
      <w:pPr>
        <w:ind w:right="180" w:firstLine="589"/>
        <w:spacing w:after="0" w:line="286" w:lineRule="auto"/>
        <w:rPr>
          <w:sz w:val="20"/>
          <w:szCs w:val="20"/>
          <w:color w:val="auto"/>
        </w:rPr>
      </w:pPr>
      <w:r>
        <w:rPr>
          <w:rFonts w:ascii="Arial" w:cs="Arial" w:eastAsia="Arial" w:hAnsi="Arial"/>
          <w:sz w:val="17"/>
          <w:szCs w:val="17"/>
          <w:color w:val="auto"/>
        </w:rPr>
        <w:t xml:space="preserve">The transaction has been accounted for as an asset acquisition as substantially all of the fair value is concentrated in a group of similar assets. The $78.9 million fair value of the consideration paid for these research and development assets, which have no alternative future use, was recorded as in-process research and development in the Company’s combined statement of operations for the year ended </w:t>
      </w:r>
      <w:r>
        <w:rPr>
          <w:rFonts w:ascii="Arial" w:cs="Arial" w:eastAsia="Arial" w:hAnsi="Arial"/>
          <w:sz w:val="17"/>
          <w:szCs w:val="17"/>
          <w:color w:val="231F20"/>
        </w:rPr>
        <w:t>December 31</w:t>
      </w:r>
      <w:r>
        <w:rPr>
          <w:rFonts w:ascii="Arial" w:cs="Arial" w:eastAsia="Arial" w:hAnsi="Arial"/>
          <w:sz w:val="17"/>
          <w:szCs w:val="17"/>
          <w:color w:val="auto"/>
        </w:rPr>
        <w:t>, 2019.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85" w:lineRule="exact"/>
        <w:rPr>
          <w:sz w:val="20"/>
          <w:szCs w:val="20"/>
          <w:color w:val="auto"/>
        </w:rPr>
      </w:pPr>
    </w:p>
    <w:p>
      <w:pPr>
        <w:ind w:right="260" w:firstLine="589"/>
        <w:spacing w:after="0" w:line="308" w:lineRule="auto"/>
        <w:rPr>
          <w:sz w:val="20"/>
          <w:szCs w:val="20"/>
          <w:color w:val="auto"/>
        </w:rPr>
      </w:pPr>
      <w:r>
        <w:rPr>
          <w:rFonts w:ascii="Arial" w:cs="Arial" w:eastAsia="Arial" w:hAnsi="Arial"/>
          <w:sz w:val="17"/>
          <w:szCs w:val="17"/>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Promissory Notes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Frazier Convertible Note Financing</w:t>
      </w:r>
    </w:p>
    <w:p>
      <w:pPr>
        <w:spacing w:after="0" w:line="185"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From January 2018 to April 2019, the Company issued the Frazier Notes for an aggregate of $2.4 million and bearing interest at per annum rates ranging from 1.68% to 2.55%. Of the Frazier Notes, $1.9 million were issued in 2018 and $0.5 million were issued in April 2019. Due to certain embedded features within the Frazier Notes, the Company elected to account for these notes and all their embedded features under the fair value option. The Company recorded changes in the fair value of the Frazier Notes in the combined statements of operations until May 2019, when the Frazier Notes and related accrued interest were exchanged, at their then fair value of $2.4 million, for the May 2019 Notes. For the years ended December 31, 2019 and 2018, the Company recognized $50,000 of other income and $50,000 of other expense, respectively, in the combined statements of operations related to changes in the fair value of the Frazier Notes. For the year ended December 31, 2019 and 2018, the Company recognized $15,000 and $13,000, respectively, of interest expense in connection with the Frazier Notes.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US-DOCS\113023198.3</w:t>
            </w:r>
          </w:p>
        </w:tc>
        <w:tc>
          <w:tcPr>
            <w:tcW w:w="7640" w:type="dxa"/>
            <w:vAlign w:val="bottom"/>
          </w:tcPr>
          <w:p>
            <w:pPr>
              <w:ind w:left="1840"/>
              <w:spacing w:after="0"/>
              <w:rPr>
                <w:sz w:val="20"/>
                <w:szCs w:val="20"/>
                <w:color w:val="auto"/>
              </w:rPr>
            </w:pPr>
            <w:r>
              <w:rPr>
                <w:rFonts w:ascii="Arial" w:cs="Arial" w:eastAsia="Arial" w:hAnsi="Arial"/>
                <w:sz w:val="18"/>
                <w:szCs w:val="18"/>
                <w:color w:val="auto"/>
              </w:rPr>
              <w:t>F-16</w:t>
            </w:r>
          </w:p>
        </w:tc>
      </w:tr>
      <w:tr>
        <w:trPr>
          <w:trHeight w:val="331"/>
        </w:trPr>
        <w:tc>
          <w:tcPr>
            <w:tcW w:w="36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2019 Convertible Note Financing</w:t>
      </w:r>
    </w:p>
    <w:p>
      <w:pPr>
        <w:spacing w:after="0" w:line="198"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On May 7, 2019, the Company entered into a note purchase agreement under which it issued the unsecured May 2019 Notes for an aggregate of $90.3 million, resulting in gross proceeds to the Company of $87.8 million in cash and $2.4 million related to the exchange of the Frazier Notes and related accrued interest for the May 2019 Notes. Including the conversion of the Frazier Notes, Frazier purchased $20.0 million of the May 2019 Notes. The May 2019 Notes bore interest at a rate of 6% per annum and were subordinated to borrowings under the Company’s loan and security agreement (see Note 7).</w:t>
      </w:r>
    </w:p>
    <w:p>
      <w:pPr>
        <w:spacing w:after="0" w:line="11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Due to certain embedded features within the May 2019 Notes, the Company elected to account for these notes and all their embedded features under the fair value option. The outstanding principal and accrued interest of the May 2019 Notes automatically converted into 6,107,918 shares of common stock immediately prior to the completion of the IPO on October 29, 2019. In connection with the IPO conversion, the Company recorded a non-cash charge related to the final fair value adjustment of the convertible promissory notes payable in the amount of $44.6 million. For the year ended December 31, 2019, the Company recognized $49.5 million of other expense in the combined statements of operations related to increases in the fair value of the May 2019 Notes. For the year ended December 31, 2019, the Company recognized $2.6 million of interest expense in connection with the May 2019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 Commitments</w:t>
      </w:r>
    </w:p>
    <w:p>
      <w:pPr>
        <w:spacing w:after="0" w:line="202"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In August 2019, the Company entered into a 65-month operating lease for 10,043 rentable square feet of office space for offices located in Buffalo Grove, Illinois. The lease contains an option to extend the term for one additional five-year period, which has not been considered in the determination of the right-of-use asset or the lease liability as the Company did not consider it reasonably certain that it would exercise such option. The lease commenced in October 2019, the date on which the underlying asset was made available for use to the Company. The Company's lease provides for fixed monthly payments for the term of the lease, with monthly rent increasing approximately 3% every 12 months following the commencement date. The total rent expense for the year ended December 31, 2019 was approximately $51,000.</w:t>
      </w:r>
    </w:p>
    <w:p>
      <w:pPr>
        <w:spacing w:after="0" w:line="137"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The following table summarizes supplemental balance sheet information related to leases as of December 31, 2019. The Company had no leases during the year ended December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257"/>
              <w:spacing w:after="0"/>
              <w:rPr>
                <w:sz w:val="20"/>
                <w:szCs w:val="20"/>
                <w:color w:val="auto"/>
              </w:rPr>
            </w:pPr>
            <w:r>
              <w:rPr>
                <w:rFonts w:ascii="Arial" w:cs="Arial" w:eastAsia="Arial" w:hAnsi="Arial"/>
                <w:sz w:val="14"/>
                <w:szCs w:val="14"/>
                <w:b w:val="1"/>
                <w:bCs w:val="1"/>
                <w:color w:val="auto"/>
                <w:w w:val="93"/>
              </w:rPr>
              <w:t>Year Ended</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0"/>
              </w:rPr>
              <w:t>December 31,</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310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237"/>
              <w:spacing w:after="0" w:line="155" w:lineRule="exact"/>
              <w:rPr>
                <w:sz w:val="20"/>
                <w:szCs w:val="20"/>
                <w:color w:val="auto"/>
              </w:rPr>
            </w:pPr>
            <w:r>
              <w:rPr>
                <w:rFonts w:ascii="Arial" w:cs="Arial" w:eastAsia="Arial" w:hAnsi="Arial"/>
                <w:sz w:val="14"/>
                <w:szCs w:val="14"/>
                <w:b w:val="1"/>
                <w:bCs w:val="1"/>
                <w:color w:val="auto"/>
                <w:w w:val="96"/>
              </w:rPr>
              <w:t>2019</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22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933</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right-of-use assets</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vMerge w:val="continue"/>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Operating lease liabilities, non-current</w:t>
            </w:r>
          </w:p>
        </w:tc>
        <w:tc>
          <w:tcPr>
            <w:tcW w:w="2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20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360" w:type="dxa"/>
            <w:vAlign w:val="bottom"/>
            <w:gridSpan w:val="2"/>
          </w:tcPr>
          <w:p>
            <w:pPr>
              <w:spacing w:after="0"/>
              <w:rPr>
                <w:sz w:val="20"/>
                <w:szCs w:val="20"/>
                <w:color w:val="auto"/>
              </w:rPr>
            </w:pPr>
            <w:r>
              <w:rPr>
                <w:rFonts w:ascii="Arial" w:cs="Arial" w:eastAsia="Arial" w:hAnsi="Arial"/>
                <w:sz w:val="18"/>
                <w:szCs w:val="18"/>
                <w:color w:val="auto"/>
              </w:rPr>
              <w:t>US-DOCS\113023198.3</w:t>
            </w:r>
          </w:p>
        </w:tc>
        <w:tc>
          <w:tcPr>
            <w:tcW w:w="2220" w:type="dxa"/>
            <w:vAlign w:val="bottom"/>
            <w:gridSpan w:val="2"/>
          </w:tcPr>
          <w:p>
            <w:pPr>
              <w:jc w:val="right"/>
              <w:ind w:right="1707"/>
              <w:spacing w:after="0"/>
              <w:rPr>
                <w:sz w:val="20"/>
                <w:szCs w:val="20"/>
                <w:color w:val="auto"/>
              </w:rPr>
            </w:pPr>
            <w:r>
              <w:rPr>
                <w:rFonts w:ascii="Arial" w:cs="Arial" w:eastAsia="Arial" w:hAnsi="Arial"/>
                <w:sz w:val="18"/>
                <w:szCs w:val="18"/>
                <w:color w:val="auto"/>
              </w:rPr>
              <w:t>F-17</w:t>
            </w:r>
          </w:p>
        </w:tc>
        <w:tc>
          <w:tcPr>
            <w:tcW w:w="1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2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2019, the future minimum annual lease payments under the operating lease were as follows (in thousands):</w:t>
      </w:r>
    </w:p>
    <w:p>
      <w:pPr>
        <w:sectPr>
          <w:pgSz w:w="11900" w:h="16838" w:orient="portrait"/>
          <w:cols w:equalWidth="0" w:num="1">
            <w:col w:w="11260"/>
          </w:cols>
          <w:pgMar w:left="320" w:top="121" w:right="319" w:bottom="1440" w:gutter="0" w:footer="0" w:header="0"/>
        </w:sectPr>
      </w:pPr>
    </w:p>
    <w:p>
      <w:pPr>
        <w:spacing w:after="0" w:line="26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-130175</wp:posOffset>
            </wp:positionV>
            <wp:extent cx="4277360" cy="145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54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5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631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Total minimum lease payments</w:t>
      </w:r>
    </w:p>
    <w:p>
      <w:pPr>
        <w:spacing w:after="0" w:line="29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Less: 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-130175</wp:posOffset>
            </wp:positionV>
            <wp:extent cx="4277360" cy="1454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Present value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5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Less: operating lease liabilities, current</w:t>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23495</wp:posOffset>
            </wp:positionV>
            <wp:extent cx="4277360" cy="1631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27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29210</wp:posOffset>
            </wp:positionV>
            <wp:extent cx="4277360" cy="145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Weighted-average incremental borrowing rate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289" w:hanging="1289"/>
        <w:spacing w:after="0"/>
        <w:tabs>
          <w:tab w:leader="none" w:pos="12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166</w:t>
      </w:r>
    </w:p>
    <w:p>
      <w:pPr>
        <w:spacing w:after="0" w:line="23" w:lineRule="exact"/>
        <w:rPr>
          <w:rFonts w:ascii="Arial" w:cs="Arial" w:eastAsia="Arial" w:hAnsi="Arial"/>
          <w:sz w:val="18"/>
          <w:szCs w:val="18"/>
          <w:color w:val="auto"/>
        </w:rPr>
      </w:pPr>
    </w:p>
    <w:p>
      <w:pPr>
        <w:ind w:left="1289"/>
        <w:spacing w:after="0"/>
        <w:rPr>
          <w:rFonts w:ascii="Arial" w:cs="Arial" w:eastAsia="Arial" w:hAnsi="Arial"/>
          <w:sz w:val="18"/>
          <w:szCs w:val="18"/>
          <w:color w:val="auto"/>
        </w:rPr>
      </w:pPr>
      <w:r>
        <w:rPr>
          <w:rFonts w:ascii="Arial" w:cs="Arial" w:eastAsia="Arial" w:hAnsi="Arial"/>
          <w:sz w:val="18"/>
          <w:szCs w:val="18"/>
          <w:color w:val="auto"/>
        </w:rPr>
        <w:t>171</w:t>
      </w:r>
    </w:p>
    <w:p>
      <w:pPr>
        <w:spacing w:after="0" w:line="22" w:lineRule="exact"/>
        <w:rPr>
          <w:rFonts w:ascii="Arial" w:cs="Arial" w:eastAsia="Arial" w:hAnsi="Arial"/>
          <w:sz w:val="18"/>
          <w:szCs w:val="18"/>
          <w:color w:val="auto"/>
        </w:rPr>
      </w:pPr>
    </w:p>
    <w:p>
      <w:pPr>
        <w:ind w:left="1289"/>
        <w:spacing w:after="0"/>
        <w:rPr>
          <w:rFonts w:ascii="Arial" w:cs="Arial" w:eastAsia="Arial" w:hAnsi="Arial"/>
          <w:sz w:val="18"/>
          <w:szCs w:val="18"/>
          <w:color w:val="auto"/>
        </w:rPr>
      </w:pPr>
      <w:r>
        <w:rPr>
          <w:rFonts w:ascii="Arial" w:cs="Arial" w:eastAsia="Arial" w:hAnsi="Arial"/>
          <w:sz w:val="18"/>
          <w:szCs w:val="18"/>
          <w:color w:val="auto"/>
        </w:rPr>
        <w:t>176</w:t>
      </w:r>
    </w:p>
    <w:p>
      <w:pPr>
        <w:spacing w:after="0" w:line="22" w:lineRule="exact"/>
        <w:rPr>
          <w:rFonts w:ascii="Arial" w:cs="Arial" w:eastAsia="Arial" w:hAnsi="Arial"/>
          <w:sz w:val="18"/>
          <w:szCs w:val="18"/>
          <w:color w:val="auto"/>
        </w:rPr>
      </w:pPr>
    </w:p>
    <w:p>
      <w:pPr>
        <w:ind w:left="1289"/>
        <w:spacing w:after="0"/>
        <w:rPr>
          <w:rFonts w:ascii="Arial" w:cs="Arial" w:eastAsia="Arial" w:hAnsi="Arial"/>
          <w:sz w:val="18"/>
          <w:szCs w:val="18"/>
          <w:color w:val="auto"/>
        </w:rPr>
      </w:pPr>
      <w:r>
        <w:rPr>
          <w:rFonts w:ascii="Arial" w:cs="Arial" w:eastAsia="Arial" w:hAnsi="Arial"/>
          <w:sz w:val="18"/>
          <w:szCs w:val="18"/>
          <w:color w:val="auto"/>
        </w:rPr>
        <w:t>181</w:t>
      </w:r>
    </w:p>
    <w:p>
      <w:pPr>
        <w:spacing w:after="0" w:line="22" w:lineRule="exact"/>
        <w:rPr>
          <w:rFonts w:ascii="Arial" w:cs="Arial" w:eastAsia="Arial" w:hAnsi="Arial"/>
          <w:sz w:val="18"/>
          <w:szCs w:val="18"/>
          <w:color w:val="auto"/>
        </w:rPr>
      </w:pPr>
    </w:p>
    <w:p>
      <w:pPr>
        <w:ind w:left="1289"/>
        <w:spacing w:after="0"/>
        <w:rPr>
          <w:rFonts w:ascii="Arial" w:cs="Arial" w:eastAsia="Arial" w:hAnsi="Arial"/>
          <w:sz w:val="18"/>
          <w:szCs w:val="18"/>
          <w:color w:val="auto"/>
        </w:rPr>
      </w:pPr>
      <w:r>
        <w:rPr>
          <w:rFonts w:ascii="Arial" w:cs="Arial" w:eastAsia="Arial" w:hAnsi="Arial"/>
          <w:sz w:val="18"/>
          <w:szCs w:val="18"/>
          <w:color w:val="auto"/>
        </w:rPr>
        <w:t>186</w:t>
      </w:r>
    </w:p>
    <w:p>
      <w:pPr>
        <w:spacing w:after="0" w:line="22" w:lineRule="exact"/>
        <w:rPr>
          <w:rFonts w:ascii="Arial" w:cs="Arial" w:eastAsia="Arial" w:hAnsi="Arial"/>
          <w:sz w:val="18"/>
          <w:szCs w:val="18"/>
          <w:color w:val="auto"/>
        </w:rPr>
      </w:pPr>
    </w:p>
    <w:p>
      <w:pPr>
        <w:ind w:left="1369"/>
        <w:spacing w:after="0"/>
        <w:rPr>
          <w:rFonts w:ascii="Arial" w:cs="Arial" w:eastAsia="Arial" w:hAnsi="Arial"/>
          <w:sz w:val="18"/>
          <w:szCs w:val="18"/>
          <w:color w:val="auto"/>
        </w:rPr>
      </w:pPr>
      <w:r>
        <w:rPr>
          <w:rFonts w:ascii="Arial" w:cs="Arial" w:eastAsia="Arial" w:hAnsi="Arial"/>
          <w:sz w:val="18"/>
          <w:szCs w:val="18"/>
          <w:color w:val="auto"/>
        </w:rPr>
        <w:t>80</w:t>
      </w:r>
    </w:p>
    <w:p>
      <w:pPr>
        <w:spacing w:after="0" w:line="35" w:lineRule="exact"/>
        <w:rPr>
          <w:sz w:val="20"/>
          <w:szCs w:val="20"/>
          <w:color w:val="auto"/>
        </w:rPr>
      </w:pPr>
    </w:p>
    <w:p>
      <w:pPr>
        <w:ind w:left="1289" w:hanging="1289"/>
        <w:spacing w:after="0"/>
        <w:tabs>
          <w:tab w:leader="none" w:pos="12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11055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73" w:lineRule="exact"/>
        <w:rPr>
          <w:sz w:val="20"/>
          <w:szCs w:val="20"/>
          <w:color w:val="auto"/>
        </w:rPr>
      </w:pPr>
    </w:p>
    <w:p>
      <w:pPr>
        <w:ind w:left="1229"/>
        <w:spacing w:after="0"/>
        <w:rPr>
          <w:sz w:val="20"/>
          <w:szCs w:val="20"/>
          <w:color w:val="auto"/>
        </w:rPr>
      </w:pPr>
      <w:r>
        <w:rPr>
          <w:rFonts w:ascii="Arial" w:cs="Arial" w:eastAsia="Arial" w:hAnsi="Arial"/>
          <w:sz w:val="18"/>
          <w:szCs w:val="18"/>
          <w:color w:val="auto"/>
        </w:rPr>
        <w:t>(164)</w:t>
      </w:r>
    </w:p>
    <w:p>
      <w:pPr>
        <w:spacing w:after="0" w:line="23" w:lineRule="exact"/>
        <w:rPr>
          <w:sz w:val="20"/>
          <w:szCs w:val="20"/>
          <w:color w:val="auto"/>
        </w:rPr>
      </w:pPr>
    </w:p>
    <w:p>
      <w:pPr>
        <w:ind w:left="1289"/>
        <w:spacing w:after="0"/>
        <w:rPr>
          <w:sz w:val="20"/>
          <w:szCs w:val="20"/>
          <w:color w:val="auto"/>
        </w:rPr>
      </w:pPr>
      <w:r>
        <w:rPr>
          <w:rFonts w:ascii="Arial" w:cs="Arial" w:eastAsia="Arial" w:hAnsi="Arial"/>
          <w:sz w:val="18"/>
          <w:szCs w:val="18"/>
          <w:color w:val="auto"/>
        </w:rPr>
        <w:t>796</w:t>
      </w:r>
    </w:p>
    <w:p>
      <w:pPr>
        <w:spacing w:after="0" w:line="23" w:lineRule="exact"/>
        <w:rPr>
          <w:sz w:val="20"/>
          <w:szCs w:val="20"/>
          <w:color w:val="auto"/>
        </w:rPr>
      </w:pPr>
    </w:p>
    <w:p>
      <w:pPr>
        <w:ind w:left="122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1055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5" w:lineRule="exact"/>
        <w:rPr>
          <w:sz w:val="20"/>
          <w:szCs w:val="20"/>
          <w:color w:val="auto"/>
        </w:rPr>
      </w:pPr>
    </w:p>
    <w:p>
      <w:pPr>
        <w:ind w:left="1289" w:hanging="1289"/>
        <w:spacing w:after="0"/>
        <w:tabs>
          <w:tab w:leader="none" w:pos="12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1055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73" w:lineRule="exact"/>
        <w:rPr>
          <w:sz w:val="20"/>
          <w:szCs w:val="20"/>
          <w:color w:val="auto"/>
        </w:rPr>
      </w:pPr>
    </w:p>
    <w:p>
      <w:pPr>
        <w:ind w:left="1229"/>
        <w:spacing w:after="0"/>
        <w:rPr>
          <w:sz w:val="20"/>
          <w:szCs w:val="20"/>
          <w:color w:val="auto"/>
        </w:rPr>
      </w:pPr>
      <w:r>
        <w:rPr>
          <w:rFonts w:ascii="Arial" w:cs="Arial" w:eastAsia="Arial" w:hAnsi="Arial"/>
          <w:sz w:val="18"/>
          <w:szCs w:val="18"/>
          <w:color w:val="auto"/>
        </w:rPr>
        <w:t>5.33</w:t>
      </w:r>
    </w:p>
    <w:p>
      <w:pPr>
        <w:spacing w:after="0" w:line="23" w:lineRule="exact"/>
        <w:rPr>
          <w:sz w:val="20"/>
          <w:szCs w:val="20"/>
          <w:color w:val="auto"/>
        </w:rPr>
      </w:pPr>
    </w:p>
    <w:p>
      <w:pPr>
        <w:ind w:left="1229"/>
        <w:spacing w:after="0"/>
        <w:rPr>
          <w:sz w:val="20"/>
          <w:szCs w:val="20"/>
          <w:color w:val="auto"/>
        </w:rPr>
      </w:pPr>
      <w:r>
        <w:rPr>
          <w:rFonts w:ascii="Arial" w:cs="Arial" w:eastAsia="Arial" w:hAnsi="Arial"/>
          <w:sz w:val="16"/>
          <w:szCs w:val="16"/>
          <w:color w:val="auto"/>
        </w:rPr>
        <w:t>7.25%</w:t>
      </w:r>
    </w:p>
    <w:p>
      <w:pPr>
        <w:spacing w:after="0" w:line="211" w:lineRule="exact"/>
        <w:rPr>
          <w:sz w:val="20"/>
          <w:szCs w:val="20"/>
          <w:color w:val="auto"/>
        </w:rPr>
      </w:pPr>
    </w:p>
    <w:p>
      <w:pPr>
        <w:sectPr>
          <w:pgSz w:w="11900" w:h="16838" w:orient="portrait"/>
          <w:cols w:equalWidth="0" w:num="2">
            <w:col w:w="6531" w:space="720"/>
            <w:col w:w="4009"/>
          </w:cols>
          <w:pgMar w:left="320" w:top="121" w:right="319" w:bottom="1440" w:gutter="0" w:footer="0" w:header="0"/>
          <w:type w:val="continuous"/>
        </w:sectPr>
      </w:pPr>
    </w:p>
    <w:p>
      <w:pPr>
        <w:spacing w:after="0" w:line="36"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The table below summarizes the Company’s lease costs, cash payments, and operating lease liabilities arising from obtaining right-of-use assets under its operating lease obligations during the year ended December 31, 2019:</w:t>
      </w:r>
    </w:p>
    <w:p>
      <w:pPr>
        <w:spacing w:after="0" w:line="16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00" w:type="dxa"/>
            <w:vAlign w:val="bottom"/>
          </w:tcPr>
          <w:p>
            <w:pPr>
              <w:jc w:val="right"/>
              <w:ind w:right="35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lease expense</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non-cash information:</w:t>
            </w:r>
          </w:p>
        </w:tc>
        <w:tc>
          <w:tcPr>
            <w:tcW w:w="1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Operating lease liabilities arising from obtaining</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right-of-use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 xml:space="preserve">In December 2019, the Company entered into a 62-month operating lease for 9,420 rentable square feet of office space in Florham Park, New Jersey. The lease contains an option to extend the term for one additional five-year period, which will not be considered in the determination of the right-of-use asset or the lease liability as the Company is not reasonably certain that it would exercise such option. </w:t>
      </w:r>
      <w:r>
        <w:rPr>
          <w:rFonts w:ascii="Arial" w:cs="Arial" w:eastAsia="Arial" w:hAnsi="Arial"/>
          <w:sz w:val="18"/>
          <w:szCs w:val="18"/>
          <w:color w:val="212529"/>
        </w:rPr>
        <w:t>The Company has future minimum lease</w:t>
      </w:r>
      <w:r>
        <w:rPr>
          <w:rFonts w:ascii="Arial" w:cs="Arial" w:eastAsia="Arial" w:hAnsi="Arial"/>
          <w:sz w:val="18"/>
          <w:szCs w:val="18"/>
          <w:color w:val="auto"/>
        </w:rPr>
        <w:t xml:space="preserve"> </w:t>
      </w:r>
      <w:r>
        <w:rPr>
          <w:rFonts w:ascii="Arial" w:cs="Arial" w:eastAsia="Arial" w:hAnsi="Arial"/>
          <w:sz w:val="18"/>
          <w:szCs w:val="18"/>
          <w:color w:val="212529"/>
        </w:rPr>
        <w:t>payment obligations of approximately $1.7 million related to the leased office space. The lease liability and the corresponding right-of-use asset associated with this lease obligation will be recorded upon the commencement of the lease, or the date in which the underlying asset is made available for use to the Company, which had not occurred as of December 31, 2019.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Long-term debt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226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2920" w:type="dxa"/>
            <w:vAlign w:val="bottom"/>
            <w:tcBorders>
              <w:bottom w:val="single" w:sz="8" w:color="CFF0FC"/>
            </w:tcBorders>
          </w:tcPr>
          <w:p>
            <w:pPr>
              <w:spacing w:after="0"/>
              <w:rPr>
                <w:sz w:val="14"/>
                <w:szCs w:val="14"/>
                <w:color w:val="auto"/>
              </w:rPr>
            </w:pPr>
          </w:p>
        </w:tc>
        <w:tc>
          <w:tcPr>
            <w:tcW w:w="2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2260" w:type="dxa"/>
            <w:vAlign w:val="bottom"/>
          </w:tcPr>
          <w:p>
            <w:pPr>
              <w:spacing w:after="0"/>
              <w:rPr>
                <w:sz w:val="14"/>
                <w:szCs w:val="14"/>
                <w:color w:val="auto"/>
              </w:rPr>
            </w:pPr>
          </w:p>
        </w:tc>
      </w:tr>
      <w:tr>
        <w:trPr>
          <w:trHeight w:val="223"/>
        </w:trPr>
        <w:tc>
          <w:tcPr>
            <w:tcW w:w="22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25,000</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Unamortized debt discount</w:t>
            </w:r>
          </w:p>
        </w:tc>
        <w:tc>
          <w:tcPr>
            <w:tcW w:w="2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226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net of debt discount</w:t>
            </w:r>
          </w:p>
        </w:tc>
        <w:tc>
          <w:tcPr>
            <w:tcW w:w="2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22,777</w:t>
            </w:r>
          </w:p>
        </w:tc>
        <w:tc>
          <w:tcPr>
            <w:tcW w:w="2260" w:type="dxa"/>
            <w:vAlign w:val="bottom"/>
          </w:tcPr>
          <w:p>
            <w:pPr>
              <w:spacing w:after="0"/>
              <w:rPr>
                <w:sz w:val="19"/>
                <w:szCs w:val="19"/>
                <w:color w:val="auto"/>
              </w:rPr>
            </w:pPr>
          </w:p>
        </w:tc>
      </w:tr>
      <w:tr>
        <w:trPr>
          <w:trHeight w:val="20"/>
        </w:trPr>
        <w:tc>
          <w:tcPr>
            <w:tcW w:w="51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845"/>
        </w:trPr>
        <w:tc>
          <w:tcPr>
            <w:tcW w:w="5180" w:type="dxa"/>
            <w:vAlign w:val="bottom"/>
            <w:gridSpan w:val="2"/>
          </w:tcPr>
          <w:p>
            <w:pPr>
              <w:spacing w:after="0"/>
              <w:rPr>
                <w:sz w:val="20"/>
                <w:szCs w:val="20"/>
                <w:color w:val="auto"/>
              </w:rPr>
            </w:pPr>
            <w:r>
              <w:rPr>
                <w:rFonts w:ascii="Arial" w:cs="Arial" w:eastAsia="Arial" w:hAnsi="Arial"/>
                <w:sz w:val="18"/>
                <w:szCs w:val="18"/>
                <w:color w:val="auto"/>
              </w:rPr>
              <w:t>US-DOCS\113023198.3</w:t>
            </w:r>
          </w:p>
        </w:tc>
        <w:tc>
          <w:tcPr>
            <w:tcW w:w="2380" w:type="dxa"/>
            <w:vAlign w:val="bottom"/>
            <w:gridSpan w:val="2"/>
          </w:tcPr>
          <w:p>
            <w:pPr>
              <w:jc w:val="right"/>
              <w:ind w:right="1687"/>
              <w:spacing w:after="0"/>
              <w:rPr>
                <w:sz w:val="20"/>
                <w:szCs w:val="20"/>
                <w:color w:val="auto"/>
              </w:rPr>
            </w:pPr>
            <w:r>
              <w:rPr>
                <w:rFonts w:ascii="Arial" w:cs="Arial" w:eastAsia="Arial" w:hAnsi="Arial"/>
                <w:sz w:val="18"/>
                <w:szCs w:val="18"/>
                <w:color w:val="auto"/>
              </w:rPr>
              <w:t>F-18</w:t>
            </w:r>
          </w:p>
        </w:tc>
        <w:tc>
          <w:tcPr>
            <w:tcW w:w="14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31"/>
        </w:trPr>
        <w:tc>
          <w:tcPr>
            <w:tcW w:w="22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39" w:name="page140"/>
    <w:bookmarkEnd w:id="139"/>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29"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On May 14, 2019, the Company entered into a loan and security agreement (the “Loan Agreement”, and all amounts borrowed thereunder the “Term Loans”) with Silicon Valley Bank (“SVB”), as administrative and collateral agent, and lenders including SVB and WestRiver Innovation Lending Fund VIII, L.P. (“WestRiver”). The Company borrowed $25.0 million (“Term Loan A”) at the inception of the Loan Agreement and has the right to borrow an additional $25.0 million (“Term Loan B”). Term Loan B is available through March 31, 2020, provided that (i) the Company has received at least $150.0 million of net cash proceeds in connection with the issuance and sale, subsequent to April 1, 2019, of its equity securities and subordinated debt, (ii) the Company has initiated Phase 3 clinical trials for vonoprazan, and (iii) no event of default has occurred.</w:t>
      </w:r>
    </w:p>
    <w:p>
      <w:pPr>
        <w:spacing w:after="0" w:line="137"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The Term Loans bear interest at a floating rate of the higher of the Wall Street Journal Prime rate plus 1.75% (6.5% at December 31, 2019) or 7.25%. The monthly payments consist of interest-only through May 31, 2021 or, in the event of positive data with respect to the Company’s Phase 3 clinical trial in both indications for vonoprazan sufficient to file an NDA with the FDA, through May 31, 2022. Subsequent to the interest-only period, the Term Loans will be payable in equal monthly installments of principal, plus accrued and unpaid interest through the maturity date of May 1, 2024. In addition, the Company is obligated to pay a final payment fee of 8.25% of the original principal amount of the Term Loans. As of December 31, 2019, the final payment fee of $2.1 million has been recorded as an other long-term liability.</w:t>
      </w:r>
    </w:p>
    <w:p>
      <w:pPr>
        <w:spacing w:after="0" w:line="151" w:lineRule="exact"/>
        <w:rPr>
          <w:sz w:val="20"/>
          <w:szCs w:val="20"/>
          <w:color w:val="auto"/>
        </w:rPr>
      </w:pPr>
    </w:p>
    <w:p>
      <w:pPr>
        <w:ind w:right="100" w:firstLine="589"/>
        <w:spacing w:after="0" w:line="342" w:lineRule="auto"/>
        <w:rPr>
          <w:sz w:val="20"/>
          <w:szCs w:val="20"/>
          <w:color w:val="auto"/>
        </w:rPr>
      </w:pPr>
      <w:r>
        <w:rPr>
          <w:rFonts w:ascii="Arial" w:cs="Arial" w:eastAsia="Arial" w:hAnsi="Arial"/>
          <w:sz w:val="16"/>
          <w:szCs w:val="16"/>
          <w:color w:val="auto"/>
        </w:rPr>
        <w:t>The Company may elect to prepay all or a portion of the Term Loans prior to maturity, subject to a prepayment fee of up to 2.0% of the then outstanding principal balance and payment of a pro rata portion of the final payment fee. After repayment, no Term Loan amounts may be borrowed again.</w:t>
      </w:r>
    </w:p>
    <w:p>
      <w:pPr>
        <w:spacing w:after="0" w:line="83" w:lineRule="exact"/>
        <w:rPr>
          <w:sz w:val="20"/>
          <w:szCs w:val="20"/>
          <w:color w:val="auto"/>
        </w:rPr>
      </w:pPr>
    </w:p>
    <w:p>
      <w:pPr>
        <w:ind w:right="100" w:firstLine="589"/>
        <w:spacing w:after="0" w:line="288" w:lineRule="auto"/>
        <w:rPr>
          <w:sz w:val="20"/>
          <w:szCs w:val="20"/>
          <w:color w:val="auto"/>
        </w:rPr>
      </w:pPr>
      <w:r>
        <w:rPr>
          <w:rFonts w:ascii="Arial" w:cs="Arial" w:eastAsia="Arial" w:hAnsi="Arial"/>
          <w:sz w:val="16"/>
          <w:szCs w:val="16"/>
          <w:color w:val="auto"/>
        </w:rPr>
        <w:t>The borrowings under the Loan Agreement are collateralized by substantially all of the Company’s assets, excluding intellectual property and certain other assets. The Loan Agreement includes affirmative and negative covenants. The affirmative covenants include, among others, covenants requiring the Company to maintain its legal existence and governmental approvals, deliver certain financial reports, maintain insurance coverage and satisfy certain requirements regarding its operating accounts. The negative covenants include, among others, limitations on the Company’s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The Loan Agreement also contains customary events of default, including bankruptcy, the failure to make payments when due, and a material adverse change. Upon the occurrence of an event of default, subject to any specified cure periods, all amounts owed by the Company would begin to bear interest at a rate that is 4.00% above the rate effective immediately before the event of default and may be declared immediately due and payable by SVB, as collateral agent. As of December 31, 2019, the Company was in compliance with all applicable covenants under the Loan Agreement.</w:t>
      </w:r>
    </w:p>
    <w:p>
      <w:pPr>
        <w:spacing w:after="0" w:line="128"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In connection with the Loan Agreement, the Company issued the Lender Warrants to purchase stock of the Company. The Lender Warrants become exercisable only if the Company borrows Term Loan B, and the number, class and per share price of the shares subject to the warrants is dependent on the terms of certain future equity financing transactions of the Company, including an IPO. Upon completion of the IPO, the Lender Warrants became exercisable for 16,446 shares of common stock. The Lender Warrants expire ten years from the date of issuance, subject to earlier termination on December 31, 2020 if the Company does not draw down Term Loan B on or before March 31, 2020. The Lender Warrants include a put option pursuant to which, in the event that the Company does not draw down Term Loan B on or before March 31, 2020, the warrant holders may require that the Company repurchase the warrants for a total aggregate repurchase price of $0.5 million. The put right is exercisable through September 30, 2020.</w:t>
      </w:r>
    </w:p>
    <w:p>
      <w:pPr>
        <w:spacing w:after="0" w:line="139" w:lineRule="exact"/>
        <w:rPr>
          <w:sz w:val="20"/>
          <w:szCs w:val="20"/>
          <w:color w:val="auto"/>
        </w:rPr>
      </w:pPr>
    </w:p>
    <w:p>
      <w:pPr>
        <w:ind w:right="260" w:firstLine="589"/>
        <w:spacing w:after="0" w:line="301" w:lineRule="auto"/>
        <w:rPr>
          <w:sz w:val="20"/>
          <w:szCs w:val="20"/>
          <w:color w:val="auto"/>
        </w:rPr>
      </w:pPr>
      <w:r>
        <w:rPr>
          <w:rFonts w:ascii="Arial" w:cs="Arial" w:eastAsia="Arial" w:hAnsi="Arial"/>
          <w:sz w:val="16"/>
          <w:szCs w:val="16"/>
          <w:color w:val="auto"/>
        </w:rPr>
        <w:t>The initial $0.4 million fair value of the Lender Warrants, the $2.1 million final payment fee and $0.2 million of debt issuance costs have been recorded as debt discount and are being amortized to interest expense using the effective interest method over the term of the Term Loans. For the year ended December 31, 2019, the Company recognized $1.6 million of interest expense, including amortization of the debt discount, in connection with the Loan Agreement. As of December 31, 2019, the Company had outstanding Term Loans of $25.0 million and accrued interest of $0.2 million.</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US-DOCS\113023198.3</w:t>
            </w:r>
          </w:p>
        </w:tc>
        <w:tc>
          <w:tcPr>
            <w:tcW w:w="7640" w:type="dxa"/>
            <w:vAlign w:val="bottom"/>
          </w:tcPr>
          <w:p>
            <w:pPr>
              <w:ind w:left="1840"/>
              <w:spacing w:after="0"/>
              <w:rPr>
                <w:sz w:val="20"/>
                <w:szCs w:val="20"/>
                <w:color w:val="auto"/>
              </w:rPr>
            </w:pPr>
            <w:r>
              <w:rPr>
                <w:rFonts w:ascii="Arial" w:cs="Arial" w:eastAsia="Arial" w:hAnsi="Arial"/>
                <w:sz w:val="18"/>
                <w:szCs w:val="18"/>
                <w:color w:val="auto"/>
              </w:rPr>
              <w:t>F-19</w:t>
            </w:r>
          </w:p>
        </w:tc>
      </w:tr>
      <w:tr>
        <w:trPr>
          <w:trHeight w:val="331"/>
        </w:trPr>
        <w:tc>
          <w:tcPr>
            <w:tcW w:w="36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00" w:lineRule="exact"/>
        <w:rPr>
          <w:sz w:val="20"/>
          <w:szCs w:val="20"/>
          <w:color w:val="auto"/>
        </w:rPr>
      </w:pPr>
    </w:p>
    <w:p>
      <w:pPr>
        <w:spacing w:after="0" w:line="205"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Future minimum principal and interest payments under the Term Loans, including the final payment fee, as of December 31, 2019 are as follows (in thousands):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3860" w:type="dxa"/>
            <w:vAlign w:val="bottom"/>
          </w:tcPr>
          <w:p>
            <w:pPr>
              <w:jc w:val="right"/>
              <w:ind w:right="3170"/>
              <w:spacing w:after="0"/>
              <w:rPr>
                <w:sz w:val="20"/>
                <w:szCs w:val="20"/>
                <w:color w:val="auto"/>
              </w:rPr>
            </w:pPr>
            <w:r>
              <w:rPr>
                <w:rFonts w:ascii="Arial" w:cs="Arial" w:eastAsia="Arial" w:hAnsi="Arial"/>
                <w:sz w:val="18"/>
                <w:szCs w:val="18"/>
                <w:color w:val="auto"/>
              </w:rPr>
              <w:t>2020</w:t>
            </w:r>
          </w:p>
        </w:tc>
        <w:tc>
          <w:tcPr>
            <w:tcW w:w="18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1,843</w:t>
            </w:r>
          </w:p>
        </w:tc>
      </w:tr>
      <w:tr>
        <w:trPr>
          <w:trHeight w:val="229"/>
        </w:trPr>
        <w:tc>
          <w:tcPr>
            <w:tcW w:w="3860" w:type="dxa"/>
            <w:vAlign w:val="bottom"/>
            <w:shd w:val="clear" w:color="auto" w:fill="CFF0FC"/>
          </w:tcPr>
          <w:p>
            <w:pPr>
              <w:jc w:val="right"/>
              <w:ind w:right="3170"/>
              <w:spacing w:after="0"/>
              <w:rPr>
                <w:sz w:val="20"/>
                <w:szCs w:val="20"/>
                <w:color w:val="auto"/>
              </w:rPr>
            </w:pPr>
            <w:r>
              <w:rPr>
                <w:rFonts w:ascii="Arial" w:cs="Arial" w:eastAsia="Arial" w:hAnsi="Arial"/>
                <w:sz w:val="18"/>
                <w:szCs w:val="18"/>
                <w:color w:val="auto"/>
              </w:rPr>
              <w:t>2021</w:t>
            </w:r>
          </w:p>
        </w:tc>
        <w:tc>
          <w:tcPr>
            <w:tcW w:w="1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6,609</w:t>
            </w:r>
          </w:p>
        </w:tc>
      </w:tr>
      <w:tr>
        <w:trPr>
          <w:trHeight w:val="229"/>
        </w:trPr>
        <w:tc>
          <w:tcPr>
            <w:tcW w:w="3860" w:type="dxa"/>
            <w:vAlign w:val="bottom"/>
          </w:tcPr>
          <w:p>
            <w:pPr>
              <w:jc w:val="right"/>
              <w:ind w:right="3170"/>
              <w:spacing w:after="0"/>
              <w:rPr>
                <w:sz w:val="20"/>
                <w:szCs w:val="20"/>
                <w:color w:val="auto"/>
              </w:rPr>
            </w:pPr>
            <w:r>
              <w:rPr>
                <w:rFonts w:ascii="Arial" w:cs="Arial" w:eastAsia="Arial" w:hAnsi="Arial"/>
                <w:sz w:val="18"/>
                <w:szCs w:val="18"/>
                <w:color w:val="auto"/>
              </w:rPr>
              <w:t>2022</w:t>
            </w: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9,533</w:t>
            </w:r>
          </w:p>
        </w:tc>
      </w:tr>
      <w:tr>
        <w:trPr>
          <w:trHeight w:val="230"/>
        </w:trPr>
        <w:tc>
          <w:tcPr>
            <w:tcW w:w="3860" w:type="dxa"/>
            <w:vAlign w:val="bottom"/>
            <w:shd w:val="clear" w:color="auto" w:fill="CFF0FC"/>
          </w:tcPr>
          <w:p>
            <w:pPr>
              <w:jc w:val="right"/>
              <w:ind w:right="3170"/>
              <w:spacing w:after="0"/>
              <w:rPr>
                <w:sz w:val="20"/>
                <w:szCs w:val="20"/>
                <w:color w:val="auto"/>
              </w:rPr>
            </w:pPr>
            <w:r>
              <w:rPr>
                <w:rFonts w:ascii="Arial" w:cs="Arial" w:eastAsia="Arial" w:hAnsi="Arial"/>
                <w:sz w:val="18"/>
                <w:szCs w:val="18"/>
                <w:color w:val="auto"/>
              </w:rPr>
              <w:t>2023</w:t>
            </w:r>
          </w:p>
        </w:tc>
        <w:tc>
          <w:tcPr>
            <w:tcW w:w="1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8,920</w:t>
            </w:r>
          </w:p>
        </w:tc>
      </w:tr>
      <w:tr>
        <w:trPr>
          <w:trHeight w:val="229"/>
        </w:trPr>
        <w:tc>
          <w:tcPr>
            <w:tcW w:w="3860" w:type="dxa"/>
            <w:vAlign w:val="bottom"/>
            <w:tcBorders>
              <w:bottom w:val="single" w:sz="8" w:color="CFF0FC"/>
            </w:tcBorders>
          </w:tcPr>
          <w:p>
            <w:pPr>
              <w:jc w:val="right"/>
              <w:ind w:right="3170"/>
              <w:spacing w:after="0"/>
              <w:rPr>
                <w:sz w:val="20"/>
                <w:szCs w:val="20"/>
                <w:color w:val="auto"/>
              </w:rPr>
            </w:pPr>
            <w:r>
              <w:rPr>
                <w:rFonts w:ascii="Arial" w:cs="Arial" w:eastAsia="Arial" w:hAnsi="Arial"/>
                <w:sz w:val="18"/>
                <w:szCs w:val="18"/>
                <w:color w:val="auto"/>
              </w:rPr>
              <w:t>2024</w:t>
            </w:r>
          </w:p>
        </w:tc>
        <w:tc>
          <w:tcPr>
            <w:tcW w:w="12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5,599</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principal and interest payments</w:t>
            </w:r>
          </w:p>
        </w:tc>
        <w:tc>
          <w:tcPr>
            <w:tcW w:w="1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32,504</w:t>
            </w:r>
          </w:p>
        </w:tc>
      </w:tr>
      <w:tr>
        <w:trPr>
          <w:trHeight w:val="229"/>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 and final payment fee</w:t>
            </w:r>
          </w:p>
        </w:tc>
        <w:tc>
          <w:tcPr>
            <w:tcW w:w="12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(7,504)</w:t>
            </w:r>
          </w:p>
        </w:tc>
      </w:tr>
      <w:tr>
        <w:trPr>
          <w:trHeight w:val="223"/>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2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25,000</w:t>
            </w:r>
          </w:p>
        </w:tc>
      </w:tr>
      <w:tr>
        <w:trPr>
          <w:trHeight w:val="20"/>
        </w:trPr>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March 2019, subsequent to the Merger, the Company sold 1,491,072 shares of the Company’s common stock to Frazier.</w:t>
      </w:r>
    </w:p>
    <w:p>
      <w:pPr>
        <w:spacing w:after="0" w:line="185"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December 31, 2019, 2,055,684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May 2019, the Company issued Takeda 1,084,000 shares of common stock in connection with the Takeda License.</w:t>
      </w:r>
    </w:p>
    <w:p>
      <w:pPr>
        <w:spacing w:after="0" w:line="185"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December 31, 2019, 2,177,861 shares remain available for repurchase by the Company and the associated repurchase liability was not significant.</w:t>
      </w:r>
    </w:p>
    <w:p>
      <w:pPr>
        <w:spacing w:after="0" w:line="154"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US-DOCS\113023198.3</w:t>
            </w:r>
          </w:p>
        </w:tc>
        <w:tc>
          <w:tcPr>
            <w:tcW w:w="7640" w:type="dxa"/>
            <w:vAlign w:val="bottom"/>
          </w:tcPr>
          <w:p>
            <w:pPr>
              <w:ind w:left="1840"/>
              <w:spacing w:after="0"/>
              <w:rPr>
                <w:sz w:val="20"/>
                <w:szCs w:val="20"/>
                <w:color w:val="auto"/>
              </w:rPr>
            </w:pPr>
            <w:r>
              <w:rPr>
                <w:rFonts w:ascii="Arial" w:cs="Arial" w:eastAsia="Arial" w:hAnsi="Arial"/>
                <w:sz w:val="18"/>
                <w:szCs w:val="18"/>
                <w:color w:val="auto"/>
              </w:rPr>
              <w:t>F-20</w:t>
            </w:r>
          </w:p>
        </w:tc>
      </w:tr>
      <w:tr>
        <w:trPr>
          <w:trHeight w:val="331"/>
        </w:trPr>
        <w:tc>
          <w:tcPr>
            <w:tcW w:w="36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98" w:lineRule="exact"/>
        <w:rPr>
          <w:sz w:val="20"/>
          <w:szCs w:val="20"/>
          <w:color w:val="auto"/>
        </w:rPr>
      </w:pPr>
    </w:p>
    <w:p>
      <w:pPr>
        <w:ind w:right="180" w:firstLine="589"/>
        <w:spacing w:after="0" w:line="275" w:lineRule="auto"/>
        <w:rPr>
          <w:sz w:val="20"/>
          <w:szCs w:val="20"/>
          <w:color w:val="auto"/>
        </w:rPr>
      </w:pPr>
      <w:r>
        <w:rPr>
          <w:rFonts w:ascii="Arial" w:cs="Arial" w:eastAsia="Arial" w:hAnsi="Arial"/>
          <w:sz w:val="17"/>
          <w:szCs w:val="17"/>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in 2019. As a result of the adoption of the 2019 Equity Incentive Plan, no further shares are available for issuance under the Existing Incentive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85"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In October 2019, the board of directors adopted, and the Company’s stockholders approved the 2019 Equity Incentive Plan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As of December 31, 2019, an aggregate of 2,700,000 shares of the Company’s common stock were available for issuance under awards granted pursuant to the 2019 Plan.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In October 2019, the board of directors adopted, and the Company’s stockholders approved, the Employee Stock Purchase Plan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is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w:t>
      </w:r>
    </w:p>
    <w:p>
      <w:pPr>
        <w:spacing w:after="0" w:line="126"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A summary of the Company’s unvested shares is as follows: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6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660" w:type="dxa"/>
            <w:vAlign w:val="bottom"/>
          </w:tcPr>
          <w:p>
            <w:pPr>
              <w:spacing w:after="0"/>
              <w:rPr>
                <w:sz w:val="18"/>
                <w:szCs w:val="18"/>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Vesting restrictions placed on previously</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5540" w:type="dxa"/>
            <w:vAlign w:val="bottom"/>
          </w:tcPr>
          <w:p>
            <w:pPr>
              <w:ind w:left="380"/>
              <w:spacing w:after="0"/>
              <w:rPr>
                <w:sz w:val="20"/>
                <w:szCs w:val="20"/>
                <w:color w:val="auto"/>
              </w:rPr>
            </w:pPr>
            <w:r>
              <w:rPr>
                <w:rFonts w:ascii="Arial" w:cs="Arial" w:eastAsia="Arial" w:hAnsi="Arial"/>
                <w:sz w:val="18"/>
                <w:szCs w:val="18"/>
                <w:color w:val="auto"/>
              </w:rPr>
              <w:t>issued shares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3,373,408</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 of unvested common stock</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2,524,852</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5540" w:type="dxa"/>
            <w:vAlign w:val="bottom"/>
          </w:tcPr>
          <w:p>
            <w:pPr>
              <w:ind w:left="240"/>
              <w:spacing w:after="0"/>
              <w:rPr>
                <w:sz w:val="20"/>
                <w:szCs w:val="20"/>
                <w:color w:val="auto"/>
              </w:rPr>
            </w:pPr>
            <w:r>
              <w:rPr>
                <w:rFonts w:ascii="Arial" w:cs="Arial" w:eastAsia="Arial" w:hAnsi="Arial"/>
                <w:sz w:val="18"/>
                <w:szCs w:val="18"/>
                <w:color w:val="auto"/>
              </w:rPr>
              <w:t>Issuance of unvested restricted stock awards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16,260</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Unvested common stock repurchased</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(17,560)</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5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 vesting</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(1,660,712)</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4,236,248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accounting purposes, unvested shares of common stock are considered issued, but not outstanding until they vest.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US-DOCS\113023198.3</w:t>
            </w:r>
          </w:p>
        </w:tc>
        <w:tc>
          <w:tcPr>
            <w:tcW w:w="7640" w:type="dxa"/>
            <w:vAlign w:val="bottom"/>
          </w:tcPr>
          <w:p>
            <w:pPr>
              <w:ind w:left="1840"/>
              <w:spacing w:after="0"/>
              <w:rPr>
                <w:sz w:val="20"/>
                <w:szCs w:val="20"/>
                <w:color w:val="auto"/>
              </w:rPr>
            </w:pPr>
            <w:r>
              <w:rPr>
                <w:rFonts w:ascii="Arial" w:cs="Arial" w:eastAsia="Arial" w:hAnsi="Arial"/>
                <w:sz w:val="18"/>
                <w:szCs w:val="18"/>
                <w:color w:val="auto"/>
              </w:rPr>
              <w:t>F-21</w:t>
            </w:r>
          </w:p>
        </w:tc>
      </w:tr>
      <w:tr>
        <w:trPr>
          <w:trHeight w:val="331"/>
        </w:trPr>
        <w:tc>
          <w:tcPr>
            <w:tcW w:w="36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2" w:name="page143"/>
    <w:bookmarkEnd w:id="142"/>
    <w:tbl>
      <w:tblPr>
        <w:tblLayout w:type="fixed"/>
        <w:tblInd w:w="60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5560" w:type="dxa"/>
            <w:vAlign w:val="bottom"/>
          </w:tcPr>
          <w:p>
            <w:pPr>
              <w:ind w:left="1720"/>
              <w:spacing w:after="0"/>
              <w:rPr>
                <w:sz w:val="20"/>
                <w:szCs w:val="20"/>
                <w:color w:val="auto"/>
              </w:rPr>
            </w:pPr>
            <w:r>
              <w:rPr>
                <w:rFonts w:ascii="Arial" w:cs="Arial" w:eastAsia="Arial" w:hAnsi="Arial"/>
                <w:sz w:val="18"/>
                <w:szCs w:val="18"/>
                <w:b w:val="1"/>
                <w:bCs w:val="1"/>
                <w:color w:val="auto"/>
              </w:rPr>
              <w:t>PHATHOM PHARMACEUTICALS, INC.</w:t>
            </w:r>
          </w:p>
        </w:tc>
        <w:tc>
          <w:tcPr>
            <w:tcW w:w="1180" w:type="dxa"/>
            <w:vAlign w:val="bottom"/>
          </w:tcPr>
          <w:p>
            <w:pPr>
              <w:spacing w:after="0"/>
              <w:rPr>
                <w:sz w:val="20"/>
                <w:szCs w:val="20"/>
                <w:color w:val="auto"/>
              </w:rPr>
            </w:pPr>
          </w:p>
        </w:tc>
      </w:tr>
      <w:tr>
        <w:trPr>
          <w:trHeight w:val="324"/>
        </w:trPr>
        <w:tc>
          <w:tcPr>
            <w:tcW w:w="1660" w:type="dxa"/>
            <w:vAlign w:val="bottom"/>
          </w:tcPr>
          <w:p>
            <w:pPr>
              <w:spacing w:after="0"/>
              <w:rPr>
                <w:sz w:val="24"/>
                <w:szCs w:val="24"/>
                <w:color w:val="auto"/>
              </w:rPr>
            </w:pPr>
          </w:p>
        </w:tc>
        <w:tc>
          <w:tcPr>
            <w:tcW w:w="5560" w:type="dxa"/>
            <w:vAlign w:val="bottom"/>
          </w:tcPr>
          <w:p>
            <w:pPr>
              <w:ind w:left="1260"/>
              <w:spacing w:after="0"/>
              <w:rPr>
                <w:sz w:val="20"/>
                <w:szCs w:val="20"/>
                <w:color w:val="auto"/>
              </w:rPr>
            </w:pPr>
            <w:r>
              <w:rPr>
                <w:rFonts w:ascii="Arial" w:cs="Arial" w:eastAsia="Arial" w:hAnsi="Arial"/>
                <w:sz w:val="18"/>
                <w:szCs w:val="18"/>
                <w:b w:val="1"/>
                <w:bCs w:val="1"/>
                <w:color w:val="auto"/>
                <w:w w:val="91"/>
              </w:rPr>
              <w:t>Notes to Combined Financial Statements — Continued</w:t>
            </w:r>
          </w:p>
        </w:tc>
        <w:tc>
          <w:tcPr>
            <w:tcW w:w="1180" w:type="dxa"/>
            <w:vAlign w:val="bottom"/>
          </w:tcPr>
          <w:p>
            <w:pPr>
              <w:spacing w:after="0"/>
              <w:rPr>
                <w:sz w:val="24"/>
                <w:szCs w:val="24"/>
                <w:color w:val="auto"/>
              </w:rPr>
            </w:pPr>
          </w:p>
        </w:tc>
      </w:tr>
      <w:tr>
        <w:trPr>
          <w:trHeight w:val="608"/>
        </w:trPr>
        <w:tc>
          <w:tcPr>
            <w:tcW w:w="7220" w:type="dxa"/>
            <w:vAlign w:val="bottom"/>
            <w:gridSpan w:val="2"/>
          </w:tcPr>
          <w:p>
            <w:pPr>
              <w:spacing w:after="0"/>
              <w:rPr>
                <w:sz w:val="20"/>
                <w:szCs w:val="20"/>
                <w:color w:val="auto"/>
              </w:rPr>
            </w:pPr>
            <w:r>
              <w:rPr>
                <w:rFonts w:ascii="Arial" w:cs="Arial" w:eastAsia="Arial" w:hAnsi="Arial"/>
                <w:sz w:val="18"/>
                <w:szCs w:val="18"/>
                <w:color w:val="auto"/>
              </w:rPr>
              <w:t>Common stock reserved for future issuance consists of the following:</w:t>
            </w:r>
          </w:p>
        </w:tc>
        <w:tc>
          <w:tcPr>
            <w:tcW w:w="1180" w:type="dxa"/>
            <w:vAlign w:val="bottom"/>
          </w:tcPr>
          <w:p>
            <w:pPr>
              <w:spacing w:after="0"/>
              <w:rPr>
                <w:sz w:val="24"/>
                <w:szCs w:val="24"/>
                <w:color w:val="auto"/>
              </w:rPr>
            </w:pPr>
          </w:p>
        </w:tc>
      </w:tr>
      <w:tr>
        <w:trPr>
          <w:trHeight w:val="355"/>
        </w:trPr>
        <w:tc>
          <w:tcPr>
            <w:tcW w:w="16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18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660" w:type="dxa"/>
            <w:vAlign w:val="bottom"/>
          </w:tcPr>
          <w:p>
            <w:pPr>
              <w:spacing w:after="0"/>
              <w:rPr>
                <w:sz w:val="14"/>
                <w:szCs w:val="14"/>
                <w:color w:val="auto"/>
              </w:rPr>
            </w:pPr>
          </w:p>
        </w:tc>
        <w:tc>
          <w:tcPr>
            <w:tcW w:w="556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3"/>
        </w:trPr>
        <w:tc>
          <w:tcPr>
            <w:tcW w:w="166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7,604,446</w:t>
            </w:r>
          </w:p>
        </w:tc>
      </w:tr>
      <w:tr>
        <w:trPr>
          <w:trHeight w:val="229"/>
        </w:trPr>
        <w:tc>
          <w:tcPr>
            <w:tcW w:w="166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180" w:type="dxa"/>
            <w:vAlign w:val="bottom"/>
          </w:tcPr>
          <w:p>
            <w:pPr>
              <w:jc w:val="right"/>
              <w:spacing w:after="0"/>
              <w:rPr>
                <w:sz w:val="20"/>
                <w:szCs w:val="20"/>
                <w:color w:val="auto"/>
              </w:rPr>
            </w:pPr>
            <w:r>
              <w:rPr>
                <w:rFonts w:ascii="Arial" w:cs="Arial" w:eastAsia="Arial" w:hAnsi="Arial"/>
                <w:sz w:val="18"/>
                <w:szCs w:val="18"/>
                <w:color w:val="auto"/>
              </w:rPr>
              <w:t>1,400,528</w:t>
            </w:r>
          </w:p>
        </w:tc>
      </w:tr>
      <w:tr>
        <w:trPr>
          <w:trHeight w:val="215"/>
        </w:trPr>
        <w:tc>
          <w:tcPr>
            <w:tcW w:w="166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the 2019 Incentive</w:t>
            </w:r>
          </w:p>
        </w:tc>
        <w:tc>
          <w:tcPr>
            <w:tcW w:w="1180" w:type="dxa"/>
            <w:vAlign w:val="bottom"/>
            <w:shd w:val="clear" w:color="auto" w:fill="CFF0FC"/>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5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2,700,000</w:t>
            </w:r>
          </w:p>
        </w:tc>
      </w:tr>
      <w:tr>
        <w:trPr>
          <w:trHeight w:val="229"/>
        </w:trPr>
        <w:tc>
          <w:tcPr>
            <w:tcW w:w="1660" w:type="dxa"/>
            <w:vAlign w:val="bottom"/>
          </w:tcPr>
          <w:p>
            <w:pPr>
              <w:spacing w:after="0"/>
              <w:rPr>
                <w:sz w:val="19"/>
                <w:szCs w:val="19"/>
                <w:color w:val="auto"/>
              </w:rPr>
            </w:pPr>
          </w:p>
        </w:tc>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available for issuance under the ESPP Plan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270,000</w:t>
            </w:r>
          </w:p>
        </w:tc>
      </w:tr>
      <w:tr>
        <w:trPr>
          <w:trHeight w:val="223"/>
        </w:trPr>
        <w:tc>
          <w:tcPr>
            <w:tcW w:w="1660" w:type="dxa"/>
            <w:vAlign w:val="bottom"/>
          </w:tcPr>
          <w:p>
            <w:pPr>
              <w:spacing w:after="0"/>
              <w:rPr>
                <w:sz w:val="19"/>
                <w:szCs w:val="19"/>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11,974,974</w:t>
            </w:r>
          </w:p>
        </w:tc>
      </w:tr>
      <w:tr>
        <w:trPr>
          <w:trHeight w:val="20"/>
        </w:trPr>
        <w:tc>
          <w:tcPr>
            <w:tcW w:w="16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00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4"/>
                <w:szCs w:val="14"/>
                <w:color w:val="auto"/>
              </w:rPr>
            </w:pPr>
          </w:p>
        </w:tc>
        <w:tc>
          <w:tcPr>
            <w:tcW w:w="1000" w:type="dxa"/>
            <w:vAlign w:val="bottom"/>
          </w:tcPr>
          <w:p>
            <w:pPr>
              <w:jc w:val="center"/>
              <w:ind w:right="178"/>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1,400,528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 and shares vested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1,400,528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9.10</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9.69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30,874</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Options exercisable as of December 31, 2019</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during 2019 was $5.12. As of December 31, 2019, the Company had $6.8 million of unrecognized stock-based compensation expense, which is expected to be recognized over a weighted-average period of 3.75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98"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The weighted-average assumptions used to estimate the fair value of stock options using the Black-Scholes option valuation model and the resulting weighted average fair value of stock options granted were as follows:</w:t>
      </w:r>
    </w:p>
    <w:p>
      <w:pPr>
        <w:spacing w:after="0" w:line="175"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Years Ended</w:t>
      </w:r>
    </w:p>
    <w:p>
      <w:pPr>
        <w:ind w:left="7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860" w:type="dxa"/>
            <w:vAlign w:val="bottom"/>
            <w:tcBorders>
              <w:top w:val="single" w:sz="8" w:color="auto"/>
              <w:bottom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780" w:type="dxa"/>
            <w:vAlign w:val="bottom"/>
            <w:tcBorders>
              <w:top w:val="single" w:sz="8" w:color="auto"/>
              <w:bottom w:val="single" w:sz="8" w:color="auto"/>
            </w:tcBorders>
          </w:tcPr>
          <w:p>
            <w:pPr>
              <w:ind w:left="700"/>
              <w:spacing w:after="0" w:line="155" w:lineRule="exact"/>
              <w:rPr>
                <w:sz w:val="20"/>
                <w:szCs w:val="20"/>
                <w:color w:val="auto"/>
              </w:rPr>
            </w:pPr>
            <w:r>
              <w:rPr>
                <w:rFonts w:ascii="Arial" w:cs="Arial" w:eastAsia="Arial" w:hAnsi="Arial"/>
                <w:sz w:val="14"/>
                <w:szCs w:val="14"/>
                <w:b w:val="1"/>
                <w:bCs w:val="1"/>
                <w:color w:val="auto"/>
              </w:rPr>
              <w:t>2018</w:t>
            </w:r>
          </w:p>
        </w:tc>
        <w:tc>
          <w:tcPr>
            <w:tcW w:w="170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Assumptions:</w:t>
            </w:r>
          </w:p>
        </w:tc>
        <w:tc>
          <w:tcPr>
            <w:tcW w:w="120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880" w:type="dxa"/>
            <w:vAlign w:val="bottom"/>
          </w:tcPr>
          <w:p>
            <w:pPr>
              <w:ind w:left="240"/>
              <w:spacing w:after="0"/>
              <w:rPr>
                <w:sz w:val="20"/>
                <w:szCs w:val="20"/>
                <w:color w:val="auto"/>
              </w:rPr>
            </w:pPr>
            <w:r>
              <w:rPr>
                <w:rFonts w:ascii="Arial" w:cs="Arial" w:eastAsia="Arial" w:hAnsi="Arial"/>
                <w:sz w:val="18"/>
                <w:szCs w:val="18"/>
                <w:color w:val="auto"/>
              </w:rPr>
              <w:t>Expected term (in years)</w:t>
            </w:r>
          </w:p>
        </w:tc>
        <w:tc>
          <w:tcPr>
            <w:tcW w:w="3060" w:type="dxa"/>
            <w:vAlign w:val="bottom"/>
            <w:gridSpan w:val="2"/>
          </w:tcPr>
          <w:p>
            <w:pPr>
              <w:jc w:val="right"/>
              <w:ind w:right="99"/>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9"/>
                <w:szCs w:val="19"/>
                <w:color w:val="auto"/>
              </w:rPr>
            </w:pPr>
          </w:p>
        </w:tc>
        <w:tc>
          <w:tcPr>
            <w:tcW w:w="1780" w:type="dxa"/>
            <w:vAlign w:val="bottom"/>
          </w:tcPr>
          <w:p>
            <w:pPr>
              <w:ind w:left="15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volatility</w:t>
            </w:r>
          </w:p>
        </w:tc>
        <w:tc>
          <w:tcPr>
            <w:tcW w:w="3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60.17%</w:t>
            </w: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ind w:left="15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880" w:type="dxa"/>
            <w:vAlign w:val="bottom"/>
          </w:tcPr>
          <w:p>
            <w:pPr>
              <w:ind w:left="240"/>
              <w:spacing w:after="0"/>
              <w:rPr>
                <w:sz w:val="20"/>
                <w:szCs w:val="20"/>
                <w:color w:val="auto"/>
              </w:rPr>
            </w:pPr>
            <w:r>
              <w:rPr>
                <w:rFonts w:ascii="Arial" w:cs="Arial" w:eastAsia="Arial" w:hAnsi="Arial"/>
                <w:sz w:val="18"/>
                <w:szCs w:val="18"/>
                <w:color w:val="auto"/>
              </w:rPr>
              <w:t>Risk free interest rate</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1780" w:type="dxa"/>
            <w:vAlign w:val="bottom"/>
          </w:tcPr>
          <w:p>
            <w:pPr>
              <w:ind w:left="15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120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ind w:left="15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648"/>
        </w:trPr>
        <w:tc>
          <w:tcPr>
            <w:tcW w:w="4580" w:type="dxa"/>
            <w:vAlign w:val="bottom"/>
            <w:gridSpan w:val="2"/>
          </w:tcPr>
          <w:p>
            <w:pPr>
              <w:spacing w:after="0"/>
              <w:rPr>
                <w:sz w:val="20"/>
                <w:szCs w:val="20"/>
                <w:color w:val="auto"/>
              </w:rPr>
            </w:pPr>
            <w:r>
              <w:rPr>
                <w:rFonts w:ascii="Arial" w:cs="Arial" w:eastAsia="Arial" w:hAnsi="Arial"/>
                <w:sz w:val="18"/>
                <w:szCs w:val="18"/>
                <w:color w:val="auto"/>
              </w:rPr>
              <w:t>US-DOCS\113023198.3</w:t>
            </w:r>
          </w:p>
        </w:tc>
        <w:tc>
          <w:tcPr>
            <w:tcW w:w="3200" w:type="dxa"/>
            <w:vAlign w:val="bottom"/>
            <w:gridSpan w:val="3"/>
          </w:tcPr>
          <w:p>
            <w:pPr>
              <w:ind w:left="880"/>
              <w:spacing w:after="0"/>
              <w:rPr>
                <w:sz w:val="20"/>
                <w:szCs w:val="20"/>
                <w:color w:val="auto"/>
              </w:rPr>
            </w:pPr>
            <w:r>
              <w:rPr>
                <w:rFonts w:ascii="Arial" w:cs="Arial" w:eastAsia="Arial" w:hAnsi="Arial"/>
                <w:sz w:val="18"/>
                <w:szCs w:val="18"/>
                <w:color w:val="auto"/>
              </w:rPr>
              <w:t>F-22</w:t>
            </w: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1"/>
        </w:trPr>
        <w:tc>
          <w:tcPr>
            <w:tcW w:w="17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3" w:name="page144"/>
    <w:bookmarkEnd w:id="143"/>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Stock-based compensation expense recognized for all equity awards, including founder stock, has been reported in the combined statements of operations as follows (in thousands):</w:t>
      </w:r>
    </w:p>
    <w:p>
      <w:pPr>
        <w:spacing w:after="0" w:line="175"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Years Ended</w:t>
      </w:r>
    </w:p>
    <w:p>
      <w:pPr>
        <w:ind w:left="7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5"/>
        </w:trPr>
        <w:tc>
          <w:tcPr>
            <w:tcW w:w="334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67"/>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715"/>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7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ind w:left="116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76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23"/>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3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02"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A reconciliation between the provision for income taxes and income taxes computed using the U.S. federal statutory corporate tax rate is as follows (in thousands):</w:t>
      </w:r>
    </w:p>
    <w:p>
      <w:pPr>
        <w:spacing w:after="0" w:line="175"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Years Ended</w:t>
      </w:r>
    </w:p>
    <w:p>
      <w:pPr>
        <w:ind w:left="7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5"/>
        </w:trPr>
        <w:tc>
          <w:tcPr>
            <w:tcW w:w="408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732"/>
              <w:spacing w:after="0" w:line="155" w:lineRule="exact"/>
              <w:rPr>
                <w:sz w:val="20"/>
                <w:szCs w:val="20"/>
                <w:color w:val="auto"/>
              </w:rPr>
            </w:pPr>
            <w:r>
              <w:rPr>
                <w:rFonts w:ascii="Arial" w:cs="Arial" w:eastAsia="Arial" w:hAnsi="Arial"/>
                <w:sz w:val="14"/>
                <w:szCs w:val="14"/>
                <w:b w:val="1"/>
                <w:bCs w:val="1"/>
                <w:color w:val="auto"/>
              </w:rPr>
              <w:t>2018</w:t>
            </w:r>
          </w:p>
        </w:tc>
      </w:tr>
      <w:tr>
        <w:trPr>
          <w:trHeight w:val="20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Income taxes computed at the statutory</w:t>
            </w:r>
          </w:p>
        </w:tc>
        <w:tc>
          <w:tcPr>
            <w:tcW w:w="10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w:t>
            </w: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(53,578)</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0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w:t>
            </w:r>
          </w:p>
        </w:tc>
        <w:tc>
          <w:tcPr>
            <w:tcW w:w="10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w:t>
            </w:r>
          </w:p>
        </w:tc>
      </w:tr>
      <w:tr>
        <w:trPr>
          <w:trHeight w:val="215"/>
        </w:trPr>
        <w:tc>
          <w:tcPr>
            <w:tcW w:w="4080" w:type="dxa"/>
            <w:vAlign w:val="bottom"/>
          </w:tcPr>
          <w:p>
            <w:pPr>
              <w:spacing w:after="0"/>
              <w:rPr>
                <w:sz w:val="20"/>
                <w:szCs w:val="20"/>
                <w:color w:val="auto"/>
              </w:rPr>
            </w:pPr>
            <w:r>
              <w:rPr>
                <w:rFonts w:ascii="Arial" w:cs="Arial" w:eastAsia="Arial" w:hAnsi="Arial"/>
                <w:sz w:val="18"/>
                <w:szCs w:val="18"/>
                <w:color w:val="auto"/>
              </w:rPr>
              <w:t>Change in fair value of warrants and</w:t>
            </w: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convertible debt</w:t>
            </w:r>
          </w:p>
        </w:tc>
        <w:tc>
          <w:tcPr>
            <w:tcW w:w="10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30,622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w:t>
            </w:r>
          </w:p>
        </w:tc>
        <w:tc>
          <w:tcPr>
            <w:tcW w:w="10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23,046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257</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Significant components of the Company’s net deferred tax assets are as follows (in thousands):</w:t>
      </w:r>
    </w:p>
    <w:p>
      <w:pPr>
        <w:spacing w:after="0" w:line="230"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Years Ended</w:t>
      </w:r>
    </w:p>
    <w:p>
      <w:pPr>
        <w:ind w:left="7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5"/>
        </w:trPr>
        <w:tc>
          <w:tcPr>
            <w:tcW w:w="408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732"/>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6,322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30"/>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Accruals and reserves</w:t>
            </w:r>
          </w:p>
        </w:tc>
        <w:tc>
          <w:tcPr>
            <w:tcW w:w="10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w:t>
            </w:r>
          </w:p>
        </w:tc>
      </w:tr>
      <w:tr>
        <w:trPr>
          <w:trHeight w:val="229"/>
        </w:trPr>
        <w:tc>
          <w:tcPr>
            <w:tcW w:w="408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0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16,050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236</w:t>
            </w:r>
          </w:p>
        </w:tc>
      </w:tr>
      <w:tr>
        <w:trPr>
          <w:trHeight w:val="230"/>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10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23,497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257</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10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(23,301)</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Deferred tax assets, net of valuation allowance</w:t>
            </w:r>
          </w:p>
        </w:tc>
        <w:tc>
          <w:tcPr>
            <w:tcW w:w="10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0"/>
        </w:trPr>
        <w:tc>
          <w:tcPr>
            <w:tcW w:w="4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Based upon the Company’s history of operating losses, the Company is unable to conclude that it is more likely than not that the benefit of its deferred tax assets will be realized. Accordingly, the Company has provided a full valuation allowance for its deferred tax assets as of December 31, 2019 and 2018.</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US-DOCS\113023198.3</w:t>
            </w:r>
          </w:p>
        </w:tc>
        <w:tc>
          <w:tcPr>
            <w:tcW w:w="7640" w:type="dxa"/>
            <w:vAlign w:val="bottom"/>
          </w:tcPr>
          <w:p>
            <w:pPr>
              <w:ind w:left="1840"/>
              <w:spacing w:after="0"/>
              <w:rPr>
                <w:sz w:val="20"/>
                <w:szCs w:val="20"/>
                <w:color w:val="auto"/>
              </w:rPr>
            </w:pPr>
            <w:r>
              <w:rPr>
                <w:rFonts w:ascii="Arial" w:cs="Arial" w:eastAsia="Arial" w:hAnsi="Arial"/>
                <w:sz w:val="18"/>
                <w:szCs w:val="18"/>
                <w:color w:val="auto"/>
              </w:rPr>
              <w:t>F-23</w:t>
            </w:r>
          </w:p>
        </w:tc>
      </w:tr>
      <w:tr>
        <w:trPr>
          <w:trHeight w:val="331"/>
        </w:trPr>
        <w:tc>
          <w:tcPr>
            <w:tcW w:w="36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00" w:lineRule="exact"/>
        <w:rPr>
          <w:sz w:val="20"/>
          <w:szCs w:val="20"/>
          <w:color w:val="auto"/>
        </w:rPr>
      </w:pPr>
    </w:p>
    <w:p>
      <w:pPr>
        <w:spacing w:after="0" w:line="205"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As of December 31, 2019 and 2018, the Company had federal net operating loss carryforwards of approximately $30.1 million and $23,000, respectively, which are carried over indefinitely.</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2019, the Company has available federal research and development credits of $0.9 million which begin to expire in 2038.</w:t>
      </w:r>
    </w:p>
    <w:p>
      <w:pPr>
        <w:spacing w:after="0" w:line="196"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The Company has not completed a formal analysis of the potential impact of Section 382 on its deferred tax assets as of December 31, 2019. Until this analysis has been completed, the Company has not adjusted any of its deferred tax assets, including net operating losses or research and development credits. The Company will reassess the amount of net operating losses and credits subject to limitation under Section 382 when a study is complete. Due to the existence of the valuation allowance, future changes in the deferred tax assets related to these tax attributes will not impact the Company’s effective tax rate.</w:t>
      </w:r>
    </w:p>
    <w:p>
      <w:pPr>
        <w:spacing w:after="0" w:line="147"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that it has appropriate support for the positions taken on its tax returns, the Company regularly assesses the potential outcome of examinations by tax authorities in determining the adequacy of its provision for income taxes.</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activity related to the Company's gross unrecognized tax benefits: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Year Ended</w:t>
            </w:r>
          </w:p>
        </w:tc>
        <w:tc>
          <w:tcPr>
            <w:tcW w:w="170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December 31,</w:t>
            </w:r>
          </w:p>
        </w:tc>
        <w:tc>
          <w:tcPr>
            <w:tcW w:w="1700" w:type="dxa"/>
            <w:vAlign w:val="bottom"/>
          </w:tcPr>
          <w:p>
            <w:pPr>
              <w:spacing w:after="0"/>
              <w:rPr>
                <w:sz w:val="14"/>
                <w:szCs w:val="14"/>
                <w:color w:val="auto"/>
              </w:rPr>
            </w:pPr>
          </w:p>
        </w:tc>
      </w:tr>
      <w:tr>
        <w:trPr>
          <w:trHeight w:val="156"/>
        </w:trPr>
        <w:tc>
          <w:tcPr>
            <w:tcW w:w="1700" w:type="dxa"/>
            <w:vAlign w:val="bottom"/>
          </w:tcPr>
          <w:p>
            <w:pPr>
              <w:spacing w:after="0"/>
              <w:rPr>
                <w:sz w:val="13"/>
                <w:szCs w:val="13"/>
                <w:color w:val="auto"/>
              </w:rPr>
            </w:pPr>
          </w:p>
        </w:tc>
        <w:tc>
          <w:tcPr>
            <w:tcW w:w="3640" w:type="dxa"/>
            <w:vAlign w:val="bottom"/>
            <w:tcBorders>
              <w:bottom w:val="single" w:sz="8" w:color="CFF0FC"/>
            </w:tcBorders>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79"/>
              <w:spacing w:after="0" w:line="155" w:lineRule="exact"/>
              <w:rPr>
                <w:sz w:val="20"/>
                <w:szCs w:val="20"/>
                <w:color w:val="auto"/>
              </w:rPr>
            </w:pPr>
            <w:r>
              <w:rPr>
                <w:rFonts w:ascii="Arial" w:cs="Arial" w:eastAsia="Arial" w:hAnsi="Arial"/>
                <w:sz w:val="14"/>
                <w:szCs w:val="14"/>
                <w:b w:val="1"/>
                <w:bCs w:val="1"/>
                <w:color w:val="auto"/>
                <w:w w:val="89"/>
              </w:rPr>
              <w:t>2019</w:t>
            </w:r>
          </w:p>
        </w:tc>
        <w:tc>
          <w:tcPr>
            <w:tcW w:w="170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8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2"/>
              </w:rPr>
              <w:t>Increases related to current year tax positions</w:t>
            </w:r>
          </w:p>
        </w:tc>
        <w:tc>
          <w:tcPr>
            <w:tcW w:w="28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70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8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700" w:type="dxa"/>
            <w:vAlign w:val="bottom"/>
          </w:tcPr>
          <w:p>
            <w:pPr>
              <w:spacing w:after="0"/>
              <w:rPr>
                <w:sz w:val="19"/>
                <w:szCs w:val="19"/>
                <w:color w:val="auto"/>
              </w:rPr>
            </w:pPr>
          </w:p>
        </w:tc>
      </w:tr>
      <w:tr>
        <w:trPr>
          <w:trHeight w:val="20"/>
        </w:trPr>
        <w:tc>
          <w:tcPr>
            <w:tcW w:w="534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844"/>
        </w:trPr>
        <w:tc>
          <w:tcPr>
            <w:tcW w:w="5340" w:type="dxa"/>
            <w:vAlign w:val="bottom"/>
            <w:gridSpan w:val="2"/>
          </w:tcPr>
          <w:p>
            <w:pPr>
              <w:spacing w:after="0"/>
              <w:rPr>
                <w:sz w:val="20"/>
                <w:szCs w:val="20"/>
                <w:color w:val="auto"/>
              </w:rPr>
            </w:pPr>
            <w:r>
              <w:rPr>
                <w:rFonts w:ascii="Arial" w:cs="Arial" w:eastAsia="Arial" w:hAnsi="Arial"/>
                <w:sz w:val="18"/>
                <w:szCs w:val="18"/>
                <w:color w:val="auto"/>
              </w:rPr>
              <w:t>US-DOCS\113023198.3</w:t>
            </w:r>
          </w:p>
        </w:tc>
        <w:tc>
          <w:tcPr>
            <w:tcW w:w="2960" w:type="dxa"/>
            <w:vAlign w:val="bottom"/>
            <w:gridSpan w:val="2"/>
          </w:tcPr>
          <w:p>
            <w:pPr>
              <w:jc w:val="right"/>
              <w:ind w:right="2427"/>
              <w:spacing w:after="0"/>
              <w:rPr>
                <w:sz w:val="20"/>
                <w:szCs w:val="20"/>
                <w:color w:val="auto"/>
              </w:rPr>
            </w:pPr>
            <w:r>
              <w:rPr>
                <w:rFonts w:ascii="Arial" w:cs="Arial" w:eastAsia="Arial" w:hAnsi="Arial"/>
                <w:sz w:val="18"/>
                <w:szCs w:val="18"/>
                <w:color w:val="auto"/>
              </w:rPr>
              <w:t>F-24</w:t>
            </w:r>
          </w:p>
        </w:tc>
        <w:tc>
          <w:tcPr>
            <w:tcW w:w="1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1"/>
        </w:trPr>
        <w:tc>
          <w:tcPr>
            <w:tcW w:w="17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5" w:name="page146"/>
    <w:bookmarkEnd w:id="145"/>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29"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As of December 31, 2019, the Company has gross unrecognized tax benefits of $0.2 million, none of which would affect the effective tax rate due to a full valuation allowance. The Company does not anticipate any significant changes in its unrecognized tax benefits over the next 12 months. The Company's policy is to recognize the interest expense and/or penalties related to income tax matters as a component of income tax expense. The Company has no accrual for interest or penalties on its balance sheet at December 31, 2019 and has not recognized interest or penalties in its statement of operations for the year ended December 31, 2019.</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is subject to taxation in the United States and California. The Company is not currently under examination by any taxing authorities.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 to the carryover of tax attributes, the statute of limitations is currently open for tax years since inception.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rFonts w:ascii="Arial" w:cs="Arial" w:eastAsia="Arial" w:hAnsi="Arial"/>
          <w:sz w:val="18"/>
          <w:szCs w:val="18"/>
          <w:b w:val="1"/>
          <w:bCs w:val="1"/>
          <w:color w:val="auto"/>
        </w:rPr>
        <w:t xml:space="preserve"> Quarterly Financial Information (unaudited)</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unaudited combined financial results of operations for the quarters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6"/>
              </w:rPr>
              <w:t>2019 Quarter Ended</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March 31,</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8"/>
              </w:rPr>
              <w:t>December 31,</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gridSpan w:val="5"/>
          </w:tcPr>
          <w:p>
            <w:pPr>
              <w:jc w:val="center"/>
              <w:ind w:right="480"/>
              <w:spacing w:after="0" w:line="155"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2,772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4,469</w:t>
            </w:r>
          </w:p>
        </w:tc>
        <w:tc>
          <w:tcPr>
            <w:tcW w:w="1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12,704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In-process research and</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development</w:t>
            </w: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78,897</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797</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1,345</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1,813</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2,989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1,226</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83,014</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6,282</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15,693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(83,014)</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(61,830)</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(87,762)</w:t>
            </w:r>
          </w:p>
        </w:tc>
        <w:tc>
          <w:tcPr>
            <w:tcW w:w="1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(68,112)</w:t>
            </w:r>
          </w:p>
        </w:tc>
        <w:tc>
          <w:tcPr>
            <w:tcW w:w="1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(98,006)</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82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w:t>
            </w: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of common</w:t>
            </w: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3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stock outstanding, basic and diluted</w:t>
            </w: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6,585,503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6,694,682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7,326,090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24,706,661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6"/>
              </w:rPr>
              <w:t>2018 Quarter Ended</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March 31,</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8"/>
              </w:rPr>
              <w:t>December 31,</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gridSpan w:val="5"/>
          </w:tcPr>
          <w:p>
            <w:pPr>
              <w:jc w:val="center"/>
              <w:ind w:right="480"/>
              <w:spacing w:after="0" w:line="155"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437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268</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300" w:type="dxa"/>
            <w:vAlign w:val="bottom"/>
            <w:vMerge w:val="continue"/>
          </w:tcPr>
          <w:p>
            <w:pPr>
              <w:spacing w:after="0"/>
              <w:rPr>
                <w:sz w:val="21"/>
                <w:szCs w:val="21"/>
                <w:color w:val="auto"/>
              </w:rPr>
            </w:pPr>
          </w:p>
        </w:tc>
        <w:tc>
          <w:tcPr>
            <w:tcW w:w="8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(0.07)</w:t>
            </w:r>
          </w:p>
        </w:tc>
        <w:tc>
          <w:tcPr>
            <w:tcW w:w="14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(0.04)</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(0.07)</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3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of common</w:t>
            </w:r>
          </w:p>
        </w:tc>
        <w:tc>
          <w:tcPr>
            <w:tcW w:w="6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3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stock outstanding, basic and diluted</w:t>
            </w:r>
          </w:p>
        </w:tc>
        <w:tc>
          <w:tcPr>
            <w:tcW w:w="6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3,886,328</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6"/>
                <w:szCs w:val="16"/>
                <w:color w:val="auto"/>
              </w:rPr>
              <w:t>6,760,334</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6"/>
                <w:szCs w:val="16"/>
                <w:color w:val="auto"/>
              </w:rPr>
              <w:t>6,760,334</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6"/>
                <w:szCs w:val="16"/>
                <w:color w:val="auto"/>
              </w:rPr>
              <w:t>6,760,334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80" w:type="dxa"/>
            <w:vAlign w:val="bottom"/>
            <w:gridSpan w:val="2"/>
          </w:tcPr>
          <w:p>
            <w:pPr>
              <w:spacing w:after="0"/>
              <w:rPr>
                <w:sz w:val="20"/>
                <w:szCs w:val="20"/>
                <w:color w:val="auto"/>
              </w:rPr>
            </w:pPr>
            <w:r>
              <w:rPr>
                <w:rFonts w:ascii="Arial" w:cs="Arial" w:eastAsia="Arial" w:hAnsi="Arial"/>
                <w:sz w:val="18"/>
                <w:szCs w:val="18"/>
                <w:color w:val="auto"/>
              </w:rPr>
              <w:t>US-DOCS\113023198.3</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F-25</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6" w:name="page147"/>
    <w:bookmarkEnd w:id="146"/>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In March 2020, the Company entered into the First Amendment (the “Amendment”) to the Loan Agreement which amended certain terms of the Loan Agreement, dated as of May 14, 2019.</w:t>
      </w:r>
    </w:p>
    <w:p>
      <w:pPr>
        <w:spacing w:after="0" w:line="170"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 xml:space="preserve">The Amendment redefined the events that extend the interest-only period of the Loan Agreement. Pursuant to the Amendment, the interest-only payment period, which ends on May 31, 2021, will be extended either (i) until December 31, 2021, if the Company receives positive data from its Phase 3 clinical trial in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sufficient to file an NDA with the FDA; or (ii) until November 30, 2022, if the Company receives positive data from its Phase 3 clinical trials in both indications for vonoprazan sufficient to file an NDA with the FDA; provided, in each case, that the Company has drawn down Term Loan B.</w:t>
      </w:r>
    </w:p>
    <w:p>
      <w:pPr>
        <w:spacing w:after="0" w:line="188"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Subsequent to the interest-only period, the Term Loans will be payable in equal monthly installments of principal, plus accrued and unpaid interest through the maturity date of May 1, 2024.</w:t>
      </w:r>
    </w:p>
    <w:p>
      <w:pPr>
        <w:spacing w:after="0" w:line="170"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The Company elected to draw the Term Loan B in March 2020 and received the additional $25.0 million of principal. Upon the Term Loan B draw, the Lender Warrants became exercisable and the put option related to the Lender Warrants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US-DOCS\113023198.3</w:t>
            </w:r>
          </w:p>
        </w:tc>
        <w:tc>
          <w:tcPr>
            <w:tcW w:w="7640" w:type="dxa"/>
            <w:vAlign w:val="bottom"/>
          </w:tcPr>
          <w:p>
            <w:pPr>
              <w:ind w:left="1840"/>
              <w:spacing w:after="0"/>
              <w:rPr>
                <w:sz w:val="20"/>
                <w:szCs w:val="20"/>
                <w:color w:val="auto"/>
              </w:rPr>
            </w:pPr>
            <w:r>
              <w:rPr>
                <w:rFonts w:ascii="Arial" w:cs="Arial" w:eastAsia="Arial" w:hAnsi="Arial"/>
                <w:sz w:val="18"/>
                <w:szCs w:val="18"/>
                <w:color w:val="auto"/>
              </w:rPr>
              <w:t>F-26</w:t>
            </w:r>
          </w:p>
        </w:tc>
      </w:tr>
      <w:tr>
        <w:trPr>
          <w:trHeight w:val="331"/>
        </w:trPr>
        <w:tc>
          <w:tcPr>
            <w:tcW w:w="36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1"/>
          </w:tcPr>
          <w:p>
            <w:pPr>
              <w:jc w:val="center"/>
              <w:ind w:right="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10"/>
            <w:vMerge w:val="restart"/>
          </w:tcPr>
          <w:p>
            <w:pPr>
              <w:ind w:left="240"/>
              <w:spacing w:after="0"/>
              <w:rPr>
                <w:sz w:val="20"/>
                <w:szCs w:val="20"/>
                <w:color w:val="auto"/>
              </w:rPr>
            </w:pPr>
            <w:r>
              <w:rPr>
                <w:rFonts w:ascii="Arial" w:cs="Arial" w:eastAsia="Arial" w:hAnsi="Arial"/>
                <w:sz w:val="14"/>
                <w:szCs w:val="14"/>
                <w:b w:val="1"/>
                <w:bCs w:val="1"/>
                <w:color w:val="auto"/>
              </w:rPr>
              <w:t>Exhibit Description</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10"/>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tcBorders>
              <w:top w:val="single" w:sz="8" w:color="auto"/>
            </w:tcBorders>
          </w:tcPr>
          <w:p>
            <w:pPr>
              <w:jc w:val="center"/>
              <w:ind w:right="611"/>
              <w:spacing w:after="0" w:line="169"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4"/>
                <w:szCs w:val="14"/>
                <w:color w:val="auto"/>
              </w:rPr>
            </w:pPr>
          </w:p>
        </w:tc>
        <w:tc>
          <w:tcPr>
            <w:tcW w:w="4240" w:type="dxa"/>
            <w:vAlign w:val="bottom"/>
            <w:tcBorders>
              <w:top w:val="single" w:sz="8" w:color="auto"/>
            </w:tcBorders>
            <w:gridSpan w:val="16"/>
          </w:tcPr>
          <w:p>
            <w:pPr>
              <w:spacing w:after="0" w:line="169" w:lineRule="exact"/>
              <w:rPr>
                <w:rFonts w:ascii="Arial" w:cs="Arial" w:eastAsia="Arial" w:hAnsi="Arial"/>
                <w:sz w:val="18"/>
                <w:szCs w:val="18"/>
                <w:color w:val="0000EE"/>
              </w:rPr>
            </w:pPr>
            <w:hyperlink r:id="rId341">
              <w:r>
                <w:rPr>
                  <w:rFonts w:ascii="Arial" w:cs="Arial" w:eastAsia="Arial" w:hAnsi="Arial"/>
                  <w:sz w:val="18"/>
                  <w:szCs w:val="18"/>
                  <w:color w:val="0000EE"/>
                </w:rPr>
                <w:t>Amended and Restated Certificate of Incorporation.</w:t>
              </w:r>
            </w:hyperlink>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7"/>
                <w:szCs w:val="17"/>
                <w:color w:val="auto"/>
              </w:rPr>
            </w:pPr>
          </w:p>
        </w:tc>
        <w:tc>
          <w:tcPr>
            <w:tcW w:w="37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42">
              <w:r>
                <w:rPr>
                  <w:rFonts w:ascii="Arial" w:cs="Arial" w:eastAsia="Arial" w:hAnsi="Arial"/>
                  <w:sz w:val="18"/>
                  <w:szCs w:val="18"/>
                  <w:color w:val="0000EE"/>
                </w:rPr>
                <w:t>Amended and Restated Bylaws.</w:t>
              </w:r>
            </w:hyperlink>
          </w:p>
        </w:tc>
        <w:tc>
          <w:tcPr>
            <w:tcW w:w="52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343">
              <w:r>
                <w:rPr>
                  <w:rFonts w:ascii="Arial" w:cs="Arial" w:eastAsia="Arial" w:hAnsi="Arial"/>
                  <w:sz w:val="18"/>
                  <w:szCs w:val="18"/>
                  <w:color w:val="0000EE"/>
                  <w:w w:val="91"/>
                </w:rPr>
                <w:t>Form of Common Stock Certificate.</w:t>
              </w:r>
            </w:hyperlink>
          </w:p>
        </w:tc>
        <w:tc>
          <w:tcPr>
            <w:tcW w:w="164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6"/>
              </w:rPr>
            </w:pPr>
            <w:hyperlink r:id="rId344">
              <w:r>
                <w:rPr>
                  <w:rFonts w:ascii="Arial" w:cs="Arial" w:eastAsia="Arial" w:hAnsi="Arial"/>
                  <w:sz w:val="18"/>
                  <w:szCs w:val="18"/>
                  <w:color w:val="0000EE"/>
                  <w:w w:val="96"/>
                </w:rPr>
                <w:t>Warrant to purchase shares of common stock issued to Takeda Company</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344">
              <w:r>
                <w:rPr>
                  <w:rFonts w:ascii="Arial" w:cs="Arial" w:eastAsia="Arial" w:hAnsi="Arial"/>
                  <w:sz w:val="18"/>
                  <w:szCs w:val="18"/>
                  <w:color w:val="0000EE"/>
                  <w:w w:val="91"/>
                </w:rPr>
                <w:t>Limited, dated May 7, 2019</w:t>
              </w:r>
            </w:hyperlink>
          </w:p>
        </w:tc>
        <w:tc>
          <w:tcPr>
            <w:tcW w:w="2240" w:type="dxa"/>
            <w:vAlign w:val="bottom"/>
            <w:tcBorders>
              <w:top w:val="single" w:sz="8" w:color="0000EE"/>
            </w:tcBorders>
            <w:gridSpan w:val="10"/>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2"/>
              </w:rPr>
            </w:pPr>
            <w:hyperlink r:id="rId345">
              <w:r>
                <w:rPr>
                  <w:rFonts w:ascii="Arial" w:cs="Arial" w:eastAsia="Arial" w:hAnsi="Arial"/>
                  <w:sz w:val="18"/>
                  <w:szCs w:val="18"/>
                  <w:color w:val="0000EE"/>
                  <w:w w:val="92"/>
                </w:rPr>
                <w:t>Warrant to purchase stock issued to Silicon Valley Bank, dated May 14,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2"/>
              </w:rPr>
            </w:pPr>
            <w:hyperlink r:id="rId346">
              <w:r>
                <w:rPr>
                  <w:rFonts w:ascii="Arial" w:cs="Arial" w:eastAsia="Arial" w:hAnsi="Arial"/>
                  <w:sz w:val="18"/>
                  <w:szCs w:val="18"/>
                  <w:color w:val="0000EE"/>
                  <w:w w:val="92"/>
                </w:rPr>
                <w:t>Warrant to purchase stock issued to WestRiver Innovation Lending Fund VIII,</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346">
              <w:r>
                <w:rPr>
                  <w:rFonts w:ascii="Arial" w:cs="Arial" w:eastAsia="Arial" w:hAnsi="Arial"/>
                  <w:sz w:val="18"/>
                  <w:szCs w:val="18"/>
                  <w:color w:val="0000EE"/>
                  <w:w w:val="88"/>
                </w:rPr>
                <w:t>L.P., dated May 14, 2019</w:t>
              </w:r>
            </w:hyperlink>
          </w:p>
        </w:tc>
        <w:tc>
          <w:tcPr>
            <w:tcW w:w="2440" w:type="dxa"/>
            <w:vAlign w:val="bottom"/>
            <w:tcBorders>
              <w:top w:val="single" w:sz="8" w:color="0000EE"/>
            </w:tcBorders>
            <w:gridSpan w:val="13"/>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2"/>
              </w:rPr>
            </w:pPr>
            <w:hyperlink r:id="rId347">
              <w:r>
                <w:rPr>
                  <w:rFonts w:ascii="Arial" w:cs="Arial" w:eastAsia="Arial" w:hAnsi="Arial"/>
                  <w:sz w:val="18"/>
                  <w:szCs w:val="18"/>
                  <w:color w:val="0000EE"/>
                  <w:w w:val="92"/>
                </w:rPr>
                <w:t>Note Purchase Agreement, dated May 7, 2019, by and among the Registrant</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347">
              <w:r>
                <w:rPr>
                  <w:rFonts w:ascii="Arial" w:cs="Arial" w:eastAsia="Arial" w:hAnsi="Arial"/>
                  <w:sz w:val="18"/>
                  <w:szCs w:val="18"/>
                  <w:color w:val="0000EE"/>
                </w:rPr>
                <w:t>and the other parties party thereto, as amended</w:t>
              </w:r>
            </w:hyperlink>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7"/>
                <w:szCs w:val="17"/>
                <w:color w:val="auto"/>
              </w:rPr>
            </w:pPr>
          </w:p>
        </w:tc>
        <w:tc>
          <w:tcPr>
            <w:tcW w:w="3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Description of Registered Securities</w:t>
              </w:r>
            </w:hyperlink>
          </w:p>
        </w:tc>
        <w:tc>
          <w:tcPr>
            <w:tcW w:w="90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17"/>
                <w:szCs w:val="17"/>
                <w:color w:val="auto"/>
              </w:rPr>
            </w:pPr>
          </w:p>
        </w:tc>
        <w:tc>
          <w:tcPr>
            <w:tcW w:w="42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348">
              <w:r>
                <w:rPr>
                  <w:rFonts w:ascii="Arial" w:cs="Arial" w:eastAsia="Arial" w:hAnsi="Arial"/>
                  <w:sz w:val="18"/>
                  <w:szCs w:val="18"/>
                  <w:color w:val="0000EE"/>
                  <w:w w:val="90"/>
                </w:rPr>
                <w:t>Phathom Pharmaceuticals, Inc. 2019 Equity Incentive Plan</w:t>
              </w:r>
            </w:hyperlink>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93"/>
              </w:rPr>
              <w:t>10.2#</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5"/>
              </w:rPr>
            </w:pPr>
            <w:hyperlink r:id="rId349">
              <w:r>
                <w:rPr>
                  <w:rFonts w:ascii="Arial" w:cs="Arial" w:eastAsia="Arial" w:hAnsi="Arial"/>
                  <w:sz w:val="18"/>
                  <w:szCs w:val="18"/>
                  <w:color w:val="0000EE"/>
                  <w:w w:val="95"/>
                </w:rPr>
                <w:t>Form of Stock Option Grant Notice and Stock Option Agreement under the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349">
              <w:r>
                <w:rPr>
                  <w:rFonts w:ascii="Arial" w:cs="Arial" w:eastAsia="Arial" w:hAnsi="Arial"/>
                  <w:sz w:val="18"/>
                  <w:szCs w:val="18"/>
                  <w:color w:val="0000EE"/>
                  <w:w w:val="90"/>
                </w:rPr>
                <w:t>Phathom Pharmaceuticals, Inc. 2019 Equity Incentive Plan</w:t>
              </w:r>
            </w:hyperlink>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93"/>
              </w:rPr>
              <w:t>10.3#</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1"/>
              </w:rPr>
            </w:pPr>
            <w:hyperlink r:id="rId350">
              <w:r>
                <w:rPr>
                  <w:rFonts w:ascii="Arial" w:cs="Arial" w:eastAsia="Arial" w:hAnsi="Arial"/>
                  <w:sz w:val="18"/>
                  <w:szCs w:val="18"/>
                  <w:color w:val="0000EE"/>
                  <w:w w:val="91"/>
                </w:rPr>
                <w:t>Form of Restricted Stock Grant Notice and Restricted Stock Agreement under</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350">
              <w:r>
                <w:rPr>
                  <w:rFonts w:ascii="Arial" w:cs="Arial" w:eastAsia="Arial" w:hAnsi="Arial"/>
                  <w:sz w:val="18"/>
                  <w:szCs w:val="18"/>
                  <w:color w:val="0000EE"/>
                  <w:w w:val="89"/>
                </w:rPr>
                <w:t>Phathom Pharmaceuticals, Inc. 2019 Equity Incentive Plan</w:t>
              </w:r>
            </w:hyperlink>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2"/>
              </w:rPr>
            </w:pPr>
            <w:hyperlink r:id="rId351">
              <w:r>
                <w:rPr>
                  <w:rFonts w:ascii="Arial" w:cs="Arial" w:eastAsia="Arial" w:hAnsi="Arial"/>
                  <w:sz w:val="18"/>
                  <w:szCs w:val="18"/>
                  <w:color w:val="0000EE"/>
                  <w:w w:val="92"/>
                </w:rPr>
                <w:t>Phathom Pharmaceuticals, Inc. 2019 Incentive Award Plan and form of stock</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6"/>
          </w:tcPr>
          <w:p>
            <w:pPr>
              <w:spacing w:after="0" w:line="196" w:lineRule="exact"/>
              <w:rPr>
                <w:rFonts w:ascii="Arial" w:cs="Arial" w:eastAsia="Arial" w:hAnsi="Arial"/>
                <w:sz w:val="18"/>
                <w:szCs w:val="18"/>
                <w:color w:val="0000EE"/>
                <w:w w:val="90"/>
              </w:rPr>
            </w:pPr>
            <w:hyperlink r:id="rId351">
              <w:r>
                <w:rPr>
                  <w:rFonts w:ascii="Arial" w:cs="Arial" w:eastAsia="Arial" w:hAnsi="Arial"/>
                  <w:sz w:val="18"/>
                  <w:szCs w:val="18"/>
                  <w:color w:val="0000EE"/>
                  <w:w w:val="90"/>
                </w:rPr>
                <w:t>option grant notice and stock option agreement thereunder</w:t>
              </w:r>
            </w:hyperlink>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93"/>
              </w:rPr>
              <w:t>10.5#</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rPr>
            </w:pPr>
            <w:hyperlink r:id="rId352">
              <w:r>
                <w:rPr>
                  <w:rFonts w:ascii="Arial" w:cs="Arial" w:eastAsia="Arial" w:hAnsi="Arial"/>
                  <w:sz w:val="18"/>
                  <w:szCs w:val="18"/>
                  <w:color w:val="0000EE"/>
                </w:rPr>
                <w:t>Phathom Pharmaceuticals, Inc. 2019 Employee Stock Purchase Plan</w:t>
              </w:r>
            </w:hyperlink>
          </w:p>
        </w:tc>
        <w:tc>
          <w:tcPr>
            <w:tcW w:w="0" w:type="dxa"/>
            <w:vAlign w:val="bottom"/>
          </w:tcPr>
          <w:p>
            <w:pPr>
              <w:spacing w:after="0"/>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93"/>
              </w:rPr>
              <w:t>10.6#</w:t>
            </w:r>
          </w:p>
        </w:tc>
        <w:tc>
          <w:tcPr>
            <w:tcW w:w="12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353">
              <w:r>
                <w:rPr>
                  <w:rFonts w:ascii="Arial" w:cs="Arial" w:eastAsia="Arial" w:hAnsi="Arial"/>
                  <w:sz w:val="18"/>
                  <w:szCs w:val="18"/>
                  <w:color w:val="0000EE"/>
                  <w:w w:val="91"/>
                </w:rPr>
                <w:t>Non-Employee Director Compensation Policy</w:t>
              </w:r>
            </w:hyperlink>
          </w:p>
        </w:tc>
        <w:tc>
          <w:tcPr>
            <w:tcW w:w="920" w:type="dxa"/>
            <w:vAlign w:val="bottom"/>
            <w:tcBorders>
              <w:top w:val="single" w:sz="8" w:color="0000EE"/>
            </w:tcBorders>
            <w:gridSpan w:val="6"/>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93"/>
              </w:rPr>
              <w:t>10.7#</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2"/>
              </w:rPr>
            </w:pPr>
            <w:hyperlink r:id="rId354">
              <w:r>
                <w:rPr>
                  <w:rFonts w:ascii="Arial" w:cs="Arial" w:eastAsia="Arial" w:hAnsi="Arial"/>
                  <w:sz w:val="18"/>
                  <w:szCs w:val="18"/>
                  <w:color w:val="0000EE"/>
                  <w:w w:val="92"/>
                </w:rPr>
                <w:t>Letter Agreement, dated July 21, 2019, by and between David Socks and the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354">
              <w:r>
                <w:rPr>
                  <w:rFonts w:ascii="Arial" w:cs="Arial" w:eastAsia="Arial" w:hAnsi="Arial"/>
                  <w:sz w:val="18"/>
                  <w:szCs w:val="18"/>
                  <w:color w:val="0000EE"/>
                </w:rPr>
                <w:t>Registrant</w:t>
              </w:r>
            </w:hyperlink>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93"/>
              </w:rPr>
              <w:t>10.8#</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4"/>
              </w:rPr>
            </w:pPr>
            <w:hyperlink r:id="rId355">
              <w:r>
                <w:rPr>
                  <w:rFonts w:ascii="Arial" w:cs="Arial" w:eastAsia="Arial" w:hAnsi="Arial"/>
                  <w:sz w:val="18"/>
                  <w:szCs w:val="18"/>
                  <w:color w:val="0000EE"/>
                  <w:w w:val="94"/>
                </w:rPr>
                <w:t>Employment Letter Agreement, dated July 21, 2019, by and between David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355">
              <w:r>
                <w:rPr>
                  <w:rFonts w:ascii="Arial" w:cs="Arial" w:eastAsia="Arial" w:hAnsi="Arial"/>
                  <w:sz w:val="18"/>
                  <w:szCs w:val="18"/>
                  <w:color w:val="0000EE"/>
                </w:rPr>
                <w:t>Socks and the Registrant</w:t>
              </w:r>
            </w:hyperlink>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93"/>
              </w:rPr>
              <w:t>10.9#</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2"/>
              </w:rPr>
            </w:pPr>
            <w:hyperlink r:id="rId356">
              <w:r>
                <w:rPr>
                  <w:rFonts w:ascii="Arial" w:cs="Arial" w:eastAsia="Arial" w:hAnsi="Arial"/>
                  <w:sz w:val="18"/>
                  <w:szCs w:val="18"/>
                  <w:color w:val="0000EE"/>
                  <w:w w:val="92"/>
                </w:rPr>
                <w:t>Amended and Restated Employment Letter Agreement, dated September 25,</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356">
              <w:r>
                <w:rPr>
                  <w:rFonts w:ascii="Arial" w:cs="Arial" w:eastAsia="Arial" w:hAnsi="Arial"/>
                  <w:sz w:val="18"/>
                  <w:szCs w:val="18"/>
                  <w:color w:val="0000EE"/>
                  <w:w w:val="91"/>
                </w:rPr>
                <w:t>2019, by and between Azmi Nabulsi, M.D., M.P.H. and the Registrant</w:t>
              </w:r>
            </w:hyperlink>
          </w:p>
        </w:tc>
        <w:tc>
          <w:tcPr>
            <w:tcW w:w="480" w:type="dxa"/>
            <w:vAlign w:val="bottom"/>
            <w:tcBorders>
              <w:top w:val="single" w:sz="8" w:color="0000EE"/>
            </w:tcBorders>
            <w:gridSpan w:val="7"/>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4"/>
              </w:rPr>
            </w:pPr>
            <w:hyperlink r:id="rId357">
              <w:r>
                <w:rPr>
                  <w:rFonts w:ascii="Arial" w:cs="Arial" w:eastAsia="Arial" w:hAnsi="Arial"/>
                  <w:sz w:val="18"/>
                  <w:szCs w:val="18"/>
                  <w:color w:val="0000EE"/>
                  <w:w w:val="94"/>
                </w:rPr>
                <w:t>Employment Letter Agreement, dated July 23, 2019, by and between Aditya</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357">
              <w:r>
                <w:rPr>
                  <w:rFonts w:ascii="Arial" w:cs="Arial" w:eastAsia="Arial" w:hAnsi="Arial"/>
                  <w:sz w:val="18"/>
                  <w:szCs w:val="18"/>
                  <w:color w:val="0000EE"/>
                </w:rPr>
                <w:t>Kohli, Ph.D. and the Registrant</w:t>
              </w:r>
            </w:hyperlink>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45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358">
              <w:r>
                <w:rPr>
                  <w:rFonts w:ascii="Arial" w:cs="Arial" w:eastAsia="Arial" w:hAnsi="Arial"/>
                  <w:sz w:val="18"/>
                  <w:szCs w:val="18"/>
                  <w:color w:val="0000EE"/>
                  <w:w w:val="92"/>
                </w:rPr>
                <w:t>Form of Indemnification Agreement for Directors and Officers</w:t>
              </w:r>
            </w:hyperlink>
          </w:p>
        </w:tc>
        <w:tc>
          <w:tcPr>
            <w:tcW w:w="11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10.12†</w:t>
            </w:r>
          </w:p>
        </w:tc>
        <w:tc>
          <w:tcPr>
            <w:tcW w:w="5700" w:type="dxa"/>
            <w:vAlign w:val="bottom"/>
            <w:gridSpan w:val="32"/>
          </w:tcPr>
          <w:p>
            <w:pPr>
              <w:spacing w:after="0" w:line="196" w:lineRule="exact"/>
              <w:rPr>
                <w:rFonts w:ascii="Arial" w:cs="Arial" w:eastAsia="Arial" w:hAnsi="Arial"/>
                <w:sz w:val="18"/>
                <w:szCs w:val="18"/>
                <w:color w:val="0000EE"/>
              </w:rPr>
            </w:pPr>
            <w:hyperlink r:id="rId359">
              <w:r>
                <w:rPr>
                  <w:rFonts w:ascii="Arial" w:cs="Arial" w:eastAsia="Arial" w:hAnsi="Arial"/>
                  <w:sz w:val="18"/>
                  <w:szCs w:val="18"/>
                  <w:color w:val="0000EE"/>
                </w:rPr>
                <w:t>License Agreement, dated May 7, 2019, by and between Takeda</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359">
              <w:r>
                <w:rPr>
                  <w:rFonts w:ascii="Arial" w:cs="Arial" w:eastAsia="Arial" w:hAnsi="Arial"/>
                  <w:sz w:val="18"/>
                  <w:szCs w:val="18"/>
                  <w:color w:val="0000EE"/>
                  <w:w w:val="90"/>
                </w:rPr>
                <w:t>Pharmaceuticals Company Limited and the Registrant</w:t>
              </w:r>
            </w:hyperlink>
          </w:p>
        </w:tc>
        <w:tc>
          <w:tcPr>
            <w:tcW w:w="340" w:type="dxa"/>
            <w:vAlign w:val="bottom"/>
            <w:tcBorders>
              <w:top w:val="single" w:sz="8" w:color="0000EE"/>
            </w:tcBorders>
            <w:gridSpan w:val="3"/>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ind w:right="611"/>
              <w:spacing w:after="0" w:line="196" w:lineRule="exact"/>
              <w:rPr>
                <w:sz w:val="20"/>
                <w:szCs w:val="20"/>
                <w:color w:val="auto"/>
              </w:rPr>
            </w:pPr>
            <w:r>
              <w:rPr>
                <w:rFonts w:ascii="Arial" w:cs="Arial" w:eastAsia="Arial" w:hAnsi="Arial"/>
                <w:sz w:val="18"/>
                <w:szCs w:val="18"/>
                <w:color w:val="auto"/>
                <w:w w:val="93"/>
              </w:rPr>
              <w:t>10.13</w:t>
            </w:r>
          </w:p>
        </w:tc>
        <w:tc>
          <w:tcPr>
            <w:tcW w:w="120" w:type="dxa"/>
            <w:vAlign w:val="bottom"/>
          </w:tcPr>
          <w:p>
            <w:pPr>
              <w:spacing w:after="0"/>
              <w:rPr>
                <w:sz w:val="17"/>
                <w:szCs w:val="17"/>
                <w:color w:val="auto"/>
              </w:rPr>
            </w:pPr>
          </w:p>
        </w:tc>
        <w:tc>
          <w:tcPr>
            <w:tcW w:w="53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360">
              <w:r>
                <w:rPr>
                  <w:rFonts w:ascii="Arial" w:cs="Arial" w:eastAsia="Arial" w:hAnsi="Arial"/>
                  <w:sz w:val="18"/>
                  <w:szCs w:val="18"/>
                  <w:color w:val="0000EE"/>
                  <w:w w:val="90"/>
                </w:rPr>
                <w:t>Loan and Security Agreement, dated May 14, 2019, by and among Silicon</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360">
              <w:r>
                <w:rPr>
                  <w:rFonts w:ascii="Arial" w:cs="Arial" w:eastAsia="Arial" w:hAnsi="Arial"/>
                  <w:sz w:val="18"/>
                  <w:szCs w:val="18"/>
                  <w:color w:val="0000EE"/>
                  <w:w w:val="92"/>
                </w:rPr>
                <w:t>Valley Bank, WestRiver Innovation Lending Fund VIII, L.P. and the Registrant</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0"/>
              </w:rPr>
            </w:pPr>
            <w:hyperlink r:id="rId361">
              <w:r>
                <w:rPr>
                  <w:rFonts w:ascii="Arial" w:cs="Arial" w:eastAsia="Arial" w:hAnsi="Arial"/>
                  <w:sz w:val="18"/>
                  <w:szCs w:val="18"/>
                  <w:color w:val="0000EE"/>
                  <w:w w:val="90"/>
                </w:rPr>
                <w:t>Employment Letter Agreement, dated August 29, 2019, by and between Terrie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361">
              <w:r>
                <w:rPr>
                  <w:rFonts w:ascii="Arial" w:cs="Arial" w:eastAsia="Arial" w:hAnsi="Arial"/>
                  <w:sz w:val="18"/>
                  <w:szCs w:val="18"/>
                  <w:color w:val="0000EE"/>
                  <w:w w:val="88"/>
                </w:rPr>
                <w:t>Curran and the Registrant</w:t>
              </w:r>
            </w:hyperlink>
          </w:p>
        </w:tc>
        <w:tc>
          <w:tcPr>
            <w:tcW w:w="2380" w:type="dxa"/>
            <w:vAlign w:val="bottom"/>
            <w:tcBorders>
              <w:top w:val="single" w:sz="8" w:color="0000EE"/>
            </w:tcBorders>
            <w:gridSpan w:val="11"/>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41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Consent of independent registered public accounting firm</w:t>
              </w:r>
            </w:hyperlink>
          </w:p>
        </w:tc>
        <w:tc>
          <w:tcPr>
            <w:tcW w:w="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5700" w:type="dxa"/>
            <w:vAlign w:val="bottom"/>
            <w:gridSpan w:val="32"/>
          </w:tcPr>
          <w:p>
            <w:pPr>
              <w:spacing w:after="0" w:line="196" w:lineRule="exact"/>
              <w:rPr>
                <w:rFonts w:ascii="Arial" w:cs="Arial" w:eastAsia="Arial" w:hAnsi="Arial"/>
                <w:sz w:val="18"/>
                <w:szCs w:val="18"/>
                <w:color w:val="0000EE"/>
                <w:w w:val="93"/>
              </w:rPr>
            </w:pPr>
            <w:hyperlink w:anchor="page156">
              <w:r>
                <w:rPr>
                  <w:rFonts w:ascii="Arial" w:cs="Arial" w:eastAsia="Arial" w:hAnsi="Arial"/>
                  <w:sz w:val="18"/>
                  <w:szCs w:val="18"/>
                  <w:color w:val="0000EE"/>
                  <w:w w:val="93"/>
                </w:rPr>
                <w:t>Certification of Chief Executive Officer of Phathom Pharmaceuticals, Inc., as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60" w:type="dxa"/>
            <w:vAlign w:val="bottom"/>
            <w:tcBorders>
              <w:top w:val="single" w:sz="8" w:color="0000EE"/>
            </w:tcBorders>
            <w:gridSpan w:val="28"/>
          </w:tcPr>
          <w:p>
            <w:pPr>
              <w:spacing w:after="0" w:line="196" w:lineRule="exact"/>
              <w:rPr>
                <w:rFonts w:ascii="Arial" w:cs="Arial" w:eastAsia="Arial" w:hAnsi="Arial"/>
                <w:sz w:val="18"/>
                <w:szCs w:val="18"/>
                <w:color w:val="0000EE"/>
                <w:w w:val="90"/>
              </w:rPr>
            </w:pPr>
            <w:hyperlink w:anchor="page156">
              <w:r>
                <w:rPr>
                  <w:rFonts w:ascii="Arial" w:cs="Arial" w:eastAsia="Arial" w:hAnsi="Arial"/>
                  <w:sz w:val="18"/>
                  <w:szCs w:val="18"/>
                  <w:color w:val="0000EE"/>
                  <w:w w:val="90"/>
                </w:rPr>
                <w:t>required by Rule 13a-14(a) or Rule 15d-14(a) under the Securities Exchange</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Act of 1934, as amended.</w:t>
              </w:r>
            </w:hyperlink>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gridSpan w:val="2"/>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2420" w:type="dxa"/>
            <w:vAlign w:val="bottom"/>
            <w:gridSpan w:val="1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5480" w:type="dxa"/>
            <w:vAlign w:val="bottom"/>
            <w:gridSpan w:val="18"/>
          </w:tcPr>
          <w:p>
            <w:pPr>
              <w:spacing w:after="0"/>
              <w:rPr>
                <w:sz w:val="20"/>
                <w:szCs w:val="20"/>
                <w:color w:val="auto"/>
              </w:rPr>
            </w:pPr>
            <w:r>
              <w:rPr>
                <w:rFonts w:ascii="Arial" w:cs="Arial" w:eastAsia="Arial" w:hAnsi="Arial"/>
                <w:sz w:val="18"/>
                <w:szCs w:val="18"/>
                <w:color w:val="auto"/>
              </w:rPr>
              <w:t>US-DOCS\113023198.3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6"/>
        </w:trPr>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9"/>
                <w:szCs w:val="9"/>
                <w:color w:val="auto"/>
              </w:rPr>
            </w:pPr>
          </w:p>
        </w:tc>
        <w:tc>
          <w:tcPr>
            <w:tcW w:w="14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Date</w:t>
            </w: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5"/>
        </w:trPr>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9-30-2019</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S-1/A</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10-15-2019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S-1/A</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10-15-2019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10.1</w:t>
            </w:r>
          </w:p>
        </w:tc>
        <w:tc>
          <w:tcPr>
            <w:tcW w:w="900" w:type="dxa"/>
            <w:vAlign w:val="bottom"/>
          </w:tcPr>
          <w:p>
            <w:pPr>
              <w:ind w:left="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2"/>
        </w:trPr>
        <w:tc>
          <w:tcPr>
            <w:tcW w:w="760" w:type="dxa"/>
            <w:vAlign w:val="bottom"/>
            <w:gridSpan w:val="2"/>
            <w:vMerge w:val="continue"/>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S-1/A</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10-15-2019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S-1/A</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10-15-2019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S-1/A</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10-15-2019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10.11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10.12</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S-1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9-30-2019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78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940" w:space="140"/>
            <w:col w:w="4160"/>
          </w:cols>
          <w:pgMar w:left="320" w:top="337"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55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57">
              <w:r>
                <w:rPr>
                  <w:rFonts w:ascii="Arial" w:cs="Arial" w:eastAsia="Arial" w:hAnsi="Arial"/>
                  <w:sz w:val="18"/>
                  <w:szCs w:val="18"/>
                  <w:color w:val="0000EE"/>
                  <w:w w:val="91"/>
                </w:rPr>
                <w:t>Certification of Chief Financial Officer of Phathom Pharmaceuticals, Inc., as</w:t>
              </w:r>
            </w:hyperlink>
          </w:p>
        </w:tc>
        <w:tc>
          <w:tcPr>
            <w:tcW w:w="21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required by Rule 13a-14(a) or Rule 15d-14(a) under the Securities Exchange</w:t>
              </w:r>
            </w:hyperlink>
          </w:p>
        </w:tc>
        <w:tc>
          <w:tcPr>
            <w:tcW w:w="2200" w:type="dxa"/>
            <w:vAlign w:val="bottom"/>
            <w:gridSpan w:val="2"/>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720" w:type="dxa"/>
            <w:vAlign w:val="bottom"/>
            <w:gridSpan w:val="7"/>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Act of 1934, as amended.</w:t>
              </w:r>
            </w:hyperlink>
          </w:p>
        </w:tc>
        <w:tc>
          <w:tcPr>
            <w:tcW w:w="2300" w:type="dxa"/>
            <w:vAlign w:val="bottom"/>
          </w:tcPr>
          <w:p>
            <w:pPr>
              <w:ind w:left="216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12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7720" w:type="dxa"/>
            <w:vAlign w:val="bottom"/>
            <w:gridSpan w:val="7"/>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Certification of Chief Executive Officer pursuant to Section 906 of the</w:t>
              </w:r>
            </w:hyperlink>
          </w:p>
        </w:tc>
        <w:tc>
          <w:tcPr>
            <w:tcW w:w="23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50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Sarbanes-Oxley Act of 2002.</w:t>
              </w:r>
            </w:hyperlink>
          </w:p>
        </w:tc>
        <w:tc>
          <w:tcPr>
            <w:tcW w:w="2640" w:type="dxa"/>
            <w:vAlign w:val="bottom"/>
            <w:gridSpan w:val="3"/>
          </w:tcPr>
          <w:p>
            <w:pPr>
              <w:spacing w:after="0"/>
              <w:rPr>
                <w:sz w:val="17"/>
                <w:szCs w:val="17"/>
                <w:color w:val="auto"/>
              </w:rPr>
            </w:pPr>
          </w:p>
        </w:tc>
        <w:tc>
          <w:tcPr>
            <w:tcW w:w="2300" w:type="dxa"/>
            <w:vAlign w:val="bottom"/>
          </w:tcPr>
          <w:p>
            <w:pPr>
              <w:ind w:left="216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12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50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59">
              <w:r>
                <w:rPr>
                  <w:rFonts w:ascii="Arial" w:cs="Arial" w:eastAsia="Arial" w:hAnsi="Arial"/>
                  <w:sz w:val="18"/>
                  <w:szCs w:val="18"/>
                  <w:color w:val="0000EE"/>
                  <w:w w:val="92"/>
                </w:rPr>
                <w:t>Certification of Chief Financial Officer pursuant to Section 906 of the</w:t>
              </w:r>
            </w:hyperlink>
          </w:p>
        </w:tc>
        <w:tc>
          <w:tcPr>
            <w:tcW w:w="2680" w:type="dxa"/>
            <w:vAlign w:val="bottom"/>
            <w:gridSpan w:val="4"/>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720" w:type="dxa"/>
            <w:vAlign w:val="bottom"/>
            <w:gridSpan w:val="7"/>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Sarbanes-Oxley Act of 2002.</w:t>
              </w:r>
            </w:hyperlink>
          </w:p>
        </w:tc>
        <w:tc>
          <w:tcPr>
            <w:tcW w:w="2300" w:type="dxa"/>
            <w:vAlign w:val="bottom"/>
          </w:tcPr>
          <w:p>
            <w:pPr>
              <w:ind w:left="2160"/>
              <w:spacing w:after="0" w:line="196" w:lineRule="exact"/>
              <w:rPr>
                <w:sz w:val="20"/>
                <w:szCs w:val="20"/>
                <w:color w:val="auto"/>
              </w:rPr>
            </w:pPr>
            <w:r>
              <w:rPr>
                <w:rFonts w:ascii="Arial" w:cs="Arial" w:eastAsia="Arial" w:hAnsi="Arial"/>
                <w:sz w:val="18"/>
                <w:szCs w:val="18"/>
                <w:color w:val="auto"/>
                <w:w w:val="99"/>
              </w:rPr>
              <w:t>X</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2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5620" w:type="dxa"/>
            <w:vAlign w:val="bottom"/>
            <w:gridSpan w:val="5"/>
          </w:tcPr>
          <w:p>
            <w:pPr>
              <w:spacing w:after="0"/>
              <w:rPr>
                <w:sz w:val="19"/>
                <w:szCs w:val="19"/>
                <w:color w:val="auto"/>
              </w:rPr>
            </w:pPr>
          </w:p>
        </w:tc>
        <w:tc>
          <w:tcPr>
            <w:tcW w:w="2300" w:type="dxa"/>
            <w:vAlign w:val="bottom"/>
          </w:tcPr>
          <w:p>
            <w:pPr>
              <w:ind w:left="2160"/>
              <w:spacing w:after="0"/>
              <w:rPr>
                <w:sz w:val="20"/>
                <w:szCs w:val="20"/>
                <w:color w:val="auto"/>
              </w:rPr>
            </w:pPr>
            <w:r>
              <w:rPr>
                <w:rFonts w:ascii="Arial" w:cs="Arial" w:eastAsia="Arial" w:hAnsi="Arial"/>
                <w:sz w:val="18"/>
                <w:szCs w:val="18"/>
                <w:color w:val="auto"/>
                <w:w w:val="99"/>
              </w:rPr>
              <w:t>X</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77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2300" w:type="dxa"/>
            <w:vAlign w:val="bottom"/>
          </w:tcPr>
          <w:p>
            <w:pPr>
              <w:ind w:left="2160"/>
              <w:spacing w:after="0"/>
              <w:rPr>
                <w:sz w:val="20"/>
                <w:szCs w:val="20"/>
                <w:color w:val="auto"/>
              </w:rPr>
            </w:pPr>
            <w:r>
              <w:rPr>
                <w:rFonts w:ascii="Arial" w:cs="Arial" w:eastAsia="Arial" w:hAnsi="Arial"/>
                <w:sz w:val="18"/>
                <w:szCs w:val="18"/>
                <w:color w:val="auto"/>
                <w:w w:val="99"/>
              </w:rPr>
              <w:t>X</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77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300" w:type="dxa"/>
            <w:vAlign w:val="bottom"/>
          </w:tcPr>
          <w:p>
            <w:pPr>
              <w:ind w:left="2160"/>
              <w:spacing w:after="0"/>
              <w:rPr>
                <w:sz w:val="20"/>
                <w:szCs w:val="20"/>
                <w:color w:val="auto"/>
              </w:rPr>
            </w:pPr>
            <w:r>
              <w:rPr>
                <w:rFonts w:ascii="Arial" w:cs="Arial" w:eastAsia="Arial" w:hAnsi="Arial"/>
                <w:sz w:val="18"/>
                <w:szCs w:val="18"/>
                <w:color w:val="auto"/>
                <w:w w:val="99"/>
              </w:rPr>
              <w:t>X</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77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300" w:type="dxa"/>
            <w:vAlign w:val="bottom"/>
          </w:tcPr>
          <w:p>
            <w:pPr>
              <w:ind w:left="2160"/>
              <w:spacing w:after="0"/>
              <w:rPr>
                <w:sz w:val="20"/>
                <w:szCs w:val="20"/>
                <w:color w:val="auto"/>
              </w:rPr>
            </w:pPr>
            <w:r>
              <w:rPr>
                <w:rFonts w:ascii="Arial" w:cs="Arial" w:eastAsia="Arial" w:hAnsi="Arial"/>
                <w:sz w:val="18"/>
                <w:szCs w:val="18"/>
                <w:color w:val="auto"/>
                <w:w w:val="99"/>
              </w:rPr>
              <w:t>X</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7720" w:type="dxa"/>
            <w:vAlign w:val="bottom"/>
            <w:gridSpan w:val="7"/>
          </w:tcPr>
          <w:p>
            <w:pPr>
              <w:spacing w:after="0"/>
              <w:rPr>
                <w:sz w:val="20"/>
                <w:szCs w:val="20"/>
                <w:color w:val="auto"/>
              </w:rPr>
            </w:pPr>
            <w:r>
              <w:rPr>
                <w:rFonts w:ascii="Arial" w:cs="Arial" w:eastAsia="Arial" w:hAnsi="Arial"/>
                <w:sz w:val="18"/>
                <w:szCs w:val="18"/>
                <w:color w:val="auto"/>
              </w:rPr>
              <w:t>XBRL Taxonomy Extension Labels Linkbase Document</w:t>
            </w:r>
          </w:p>
        </w:tc>
        <w:tc>
          <w:tcPr>
            <w:tcW w:w="2300" w:type="dxa"/>
            <w:vAlign w:val="bottom"/>
          </w:tcPr>
          <w:p>
            <w:pPr>
              <w:ind w:left="2160"/>
              <w:spacing w:after="0"/>
              <w:rPr>
                <w:sz w:val="20"/>
                <w:szCs w:val="20"/>
                <w:color w:val="auto"/>
              </w:rPr>
            </w:pPr>
            <w:r>
              <w:rPr>
                <w:rFonts w:ascii="Arial" w:cs="Arial" w:eastAsia="Arial" w:hAnsi="Arial"/>
                <w:sz w:val="18"/>
                <w:szCs w:val="18"/>
                <w:color w:val="auto"/>
                <w:w w:val="99"/>
              </w:rPr>
              <w:t>X</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77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300" w:type="dxa"/>
            <w:vAlign w:val="bottom"/>
          </w:tcPr>
          <w:p>
            <w:pPr>
              <w:ind w:left="2160"/>
              <w:spacing w:after="0"/>
              <w:rPr>
                <w:sz w:val="20"/>
                <w:szCs w:val="20"/>
                <w:color w:val="auto"/>
              </w:rPr>
            </w:pPr>
            <w:r>
              <w:rPr>
                <w:rFonts w:ascii="Arial" w:cs="Arial" w:eastAsia="Arial" w:hAnsi="Arial"/>
                <w:sz w:val="18"/>
                <w:szCs w:val="18"/>
                <w:color w:val="auto"/>
                <w:w w:val="99"/>
              </w:rPr>
              <w:t>X</w:t>
            </w:r>
          </w:p>
        </w:tc>
      </w:tr>
    </w:tbl>
    <w:p>
      <w:pPr>
        <w:spacing w:after="0" w:line="202" w:lineRule="exact"/>
        <w:rPr>
          <w:sz w:val="20"/>
          <w:szCs w:val="20"/>
          <w:color w:val="auto"/>
        </w:rPr>
      </w:pPr>
    </w:p>
    <w:p>
      <w:pPr>
        <w:ind w:left="440" w:hanging="432"/>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40" w:right="340" w:hanging="432"/>
        <w:spacing w:after="0" w:line="250" w:lineRule="auto"/>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information contained in this Exhibit. Such information has been omitted and filed separately with the SEC.</w:t>
      </w:r>
    </w:p>
    <w:p>
      <w:pPr>
        <w:spacing w:after="0" w:line="1" w:lineRule="exact"/>
        <w:rPr>
          <w:sz w:val="20"/>
          <w:szCs w:val="20"/>
          <w:color w:val="auto"/>
        </w:rPr>
      </w:pPr>
    </w:p>
    <w:p>
      <w:pPr>
        <w:ind w:left="440" w:right="180" w:hanging="432"/>
        <w:spacing w:after="0" w:line="255" w:lineRule="auto"/>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US-DOCS\113023198.3</w:t>
            </w:r>
          </w:p>
        </w:tc>
        <w:tc>
          <w:tcPr>
            <w:tcW w:w="7620" w:type="dxa"/>
            <w:vAlign w:val="bottom"/>
          </w:tcPr>
          <w:p>
            <w:pPr>
              <w:jc w:val="right"/>
              <w:ind w:right="5410"/>
              <w:spacing w:after="0"/>
              <w:rPr>
                <w:sz w:val="20"/>
                <w:szCs w:val="20"/>
                <w:color w:val="auto"/>
              </w:rPr>
            </w:pPr>
            <w:r>
              <w:rPr>
                <w:rFonts w:ascii="Arial" w:cs="Arial" w:eastAsia="Arial" w:hAnsi="Arial"/>
                <w:sz w:val="18"/>
                <w:szCs w:val="18"/>
                <w:color w:val="auto"/>
              </w:rPr>
              <w:t>123</w:t>
            </w:r>
          </w:p>
        </w:tc>
      </w:tr>
      <w:tr>
        <w:trPr>
          <w:trHeight w:val="331"/>
        </w:trPr>
        <w:tc>
          <w:tcPr>
            <w:tcW w:w="364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PHATHOM PHARMACEUTICALS, INC.</w:t>
      </w:r>
    </w:p>
    <w:p>
      <w:pPr>
        <w:spacing w:after="0" w:line="22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Terrie Curran</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2020</w:t>
      </w:r>
    </w:p>
    <w:p>
      <w:pPr>
        <w:spacing w:after="0" w:line="198"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0" w:type="dxa"/>
            <w:vAlign w:val="bottom"/>
          </w:tcPr>
          <w:p>
            <w:pPr>
              <w:spacing w:after="0"/>
              <w:rPr>
                <w:sz w:val="14"/>
                <w:szCs w:val="14"/>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4"/>
                <w:szCs w:val="14"/>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5"/>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Terrie Curran</w:t>
            </w:r>
          </w:p>
        </w:tc>
        <w:tc>
          <w:tcPr>
            <w:tcW w:w="14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Chief Executive Officer and</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19, 2020</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6"/>
              </w:rPr>
              <w:t>Terrie Curran</w:t>
            </w:r>
          </w:p>
        </w:tc>
        <w:tc>
          <w:tcPr>
            <w:tcW w:w="14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Director (Principal Executive Officer)</w:t>
            </w: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27"/>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Socks</w:t>
            </w:r>
          </w:p>
        </w:tc>
        <w:tc>
          <w:tcPr>
            <w:tcW w:w="14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Interim Chief Financial Officer and 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19, 2020</w:t>
            </w:r>
          </w:p>
        </w:tc>
      </w:tr>
      <w:tr>
        <w:trPr>
          <w:trHeight w:val="182"/>
        </w:trPr>
        <w:tc>
          <w:tcPr>
            <w:tcW w:w="328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7"/>
              </w:rPr>
              <w:t>David Socks</w:t>
            </w:r>
          </w:p>
        </w:tc>
        <w:tc>
          <w:tcPr>
            <w:tcW w:w="140" w:type="dxa"/>
            <w:vAlign w:val="bottom"/>
          </w:tcPr>
          <w:p>
            <w:pPr>
              <w:spacing w:after="0"/>
              <w:rPr>
                <w:sz w:val="15"/>
                <w:szCs w:val="15"/>
                <w:color w:val="auto"/>
              </w:rPr>
            </w:pPr>
          </w:p>
        </w:tc>
        <w:tc>
          <w:tcPr>
            <w:tcW w:w="4440" w:type="dxa"/>
            <w:vAlign w:val="bottom"/>
          </w:tcPr>
          <w:p>
            <w:pPr>
              <w:jc w:val="center"/>
              <w:spacing w:after="0" w:line="182" w:lineRule="exact"/>
              <w:rPr>
                <w:sz w:val="20"/>
                <w:szCs w:val="20"/>
                <w:color w:val="auto"/>
              </w:rPr>
            </w:pPr>
            <w:r>
              <w:rPr>
                <w:rFonts w:ascii="Arial" w:cs="Arial" w:eastAsia="Arial" w:hAnsi="Arial"/>
                <w:sz w:val="18"/>
                <w:szCs w:val="18"/>
                <w:color w:val="auto"/>
                <w:w w:val="91"/>
              </w:rPr>
              <w:t>(Principal Financial and</w:t>
            </w:r>
          </w:p>
        </w:tc>
        <w:tc>
          <w:tcPr>
            <w:tcW w:w="12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30"/>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Accounting Officer)</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45"/>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Tadataka Yamada</w:t>
            </w:r>
          </w:p>
        </w:tc>
        <w:tc>
          <w:tcPr>
            <w:tcW w:w="14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Executive Chairman of the Board of Directors</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19, 2020</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3"/>
              </w:rPr>
              <w:t>Tadataka Yamada, M.D.</w:t>
            </w:r>
          </w:p>
        </w:tc>
        <w:tc>
          <w:tcPr>
            <w:tcW w:w="1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27"/>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F. Cola</w:t>
            </w:r>
          </w:p>
        </w:tc>
        <w:tc>
          <w:tcPr>
            <w:tcW w:w="14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19, 2020</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3"/>
              </w:rPr>
              <w:t>Michael F. Cola</w:t>
            </w:r>
          </w:p>
        </w:tc>
        <w:tc>
          <w:tcPr>
            <w:tcW w:w="1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27"/>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Jonathan Edwards</w:t>
            </w:r>
          </w:p>
        </w:tc>
        <w:tc>
          <w:tcPr>
            <w:tcW w:w="14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19, 2020</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1"/>
              </w:rPr>
              <w:t>Jonathan Edwards, Ph.D.</w:t>
            </w:r>
          </w:p>
        </w:tc>
        <w:tc>
          <w:tcPr>
            <w:tcW w:w="1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Heidi Kunz</w:t>
            </w:r>
          </w:p>
        </w:tc>
        <w:tc>
          <w:tcPr>
            <w:tcW w:w="14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19, 2020</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6"/>
              </w:rPr>
              <w:t>Heidi Kunz</w:t>
            </w:r>
          </w:p>
        </w:tc>
        <w:tc>
          <w:tcPr>
            <w:tcW w:w="1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27"/>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Asit Parikh</w:t>
            </w:r>
          </w:p>
        </w:tc>
        <w:tc>
          <w:tcPr>
            <w:tcW w:w="14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19, 2020</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5"/>
              </w:rPr>
              <w:t>Asit Parikh, M.D., Ph.D.</w:t>
            </w:r>
          </w:p>
        </w:tc>
        <w:tc>
          <w:tcPr>
            <w:tcW w:w="1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27"/>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Topper</w:t>
            </w:r>
          </w:p>
        </w:tc>
        <w:tc>
          <w:tcPr>
            <w:tcW w:w="14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March 19, 2020</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1"/>
              </w:rPr>
              <w:t>James Topper, M.D., Ph.D.</w:t>
            </w:r>
          </w:p>
        </w:tc>
        <w:tc>
          <w:tcPr>
            <w:tcW w:w="1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859"/>
        </w:trPr>
        <w:tc>
          <w:tcPr>
            <w:tcW w:w="3280" w:type="dxa"/>
            <w:vAlign w:val="bottom"/>
          </w:tcPr>
          <w:p>
            <w:pPr>
              <w:spacing w:after="0"/>
              <w:rPr>
                <w:sz w:val="20"/>
                <w:szCs w:val="20"/>
                <w:color w:val="auto"/>
              </w:rPr>
            </w:pPr>
            <w:r>
              <w:rPr>
                <w:rFonts w:ascii="Arial" w:cs="Arial" w:eastAsia="Arial" w:hAnsi="Arial"/>
                <w:sz w:val="18"/>
                <w:szCs w:val="18"/>
                <w:color w:val="auto"/>
              </w:rPr>
              <w:t>US-DOCS\113023198.3</w:t>
            </w:r>
          </w:p>
        </w:tc>
        <w:tc>
          <w:tcPr>
            <w:tcW w:w="4580" w:type="dxa"/>
            <w:vAlign w:val="bottom"/>
            <w:gridSpan w:val="2"/>
          </w:tcPr>
          <w:p>
            <w:pPr>
              <w:jc w:val="center"/>
              <w:ind w:left="30"/>
              <w:spacing w:after="0"/>
              <w:rPr>
                <w:sz w:val="20"/>
                <w:szCs w:val="20"/>
                <w:color w:val="auto"/>
              </w:rPr>
            </w:pPr>
            <w:r>
              <w:rPr>
                <w:rFonts w:ascii="Arial" w:cs="Arial" w:eastAsia="Arial" w:hAnsi="Arial"/>
                <w:sz w:val="18"/>
                <w:szCs w:val="18"/>
                <w:color w:val="auto"/>
                <w:w w:val="86"/>
              </w:rPr>
              <w:t>124</w:t>
            </w: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50" w:name="page151"/>
    <w:bookmarkEnd w:id="150"/>
    <w:p>
      <w:pPr>
        <w:ind w:left="10320"/>
        <w:spacing w:after="0"/>
        <w:rPr>
          <w:sz w:val="20"/>
          <w:szCs w:val="20"/>
          <w:color w:val="auto"/>
        </w:rPr>
      </w:pPr>
      <w:r>
        <w:rPr>
          <w:rFonts w:ascii="Arial" w:cs="Arial" w:eastAsia="Arial" w:hAnsi="Arial"/>
          <w:sz w:val="18"/>
          <w:szCs w:val="18"/>
          <w:b w:val="1"/>
          <w:bCs w:val="1"/>
          <w:color w:val="auto"/>
        </w:rPr>
        <w:t>Exhibit 4.6</w:t>
      </w:r>
    </w:p>
    <w:p>
      <w:pPr>
        <w:spacing w:after="0" w:line="267" w:lineRule="exact"/>
        <w:rPr>
          <w:sz w:val="20"/>
          <w:szCs w:val="20"/>
          <w:color w:val="auto"/>
        </w:rPr>
      </w:pPr>
    </w:p>
    <w:p>
      <w:pPr>
        <w:jc w:val="center"/>
        <w:ind w:left="340" w:right="120"/>
        <w:spacing w:after="0" w:line="267" w:lineRule="auto"/>
        <w:rPr>
          <w:sz w:val="20"/>
          <w:szCs w:val="20"/>
          <w:color w:val="auto"/>
        </w:rPr>
      </w:pPr>
      <w:r>
        <w:rPr>
          <w:rFonts w:ascii="Arial" w:cs="Arial" w:eastAsia="Arial" w:hAnsi="Arial"/>
          <w:sz w:val="20"/>
          <w:szCs w:val="20"/>
          <w:b w:val="1"/>
          <w:bCs w:val="1"/>
          <w:u w:val="single" w:color="auto"/>
          <w:color w:val="auto"/>
        </w:rPr>
        <w:t>DESCRIPTION OF THE REGISTRANT’S SECURITIES REGISTERED PURSUANT TO SECTION 12 OF THE SECURITIES EXCHANGE ACT OF 1934</w:t>
      </w:r>
    </w:p>
    <w:p>
      <w:pPr>
        <w:spacing w:after="0" w:line="6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As of December 31, 2019, Phathom Pharmaceuticals, Inc. (“we,” “us” and “our”) had one class of securities registered pursuant to Section 12 of the Securities Exchange Act of 1934, as amended: our common stock.</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108"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The following description summarizes some of the terms of our common stock. Because it is only a summary, it does not contain all the information that may be important to you and and is subject to and qualified in its entirety by reference to our amended and restated certificate of incorporation (the “certificate of incorporation”), and amended and restated Bylaws (“bylaws”), which are filed as exhibits to our most recent Annual Report on Form 10-K and are incorporated by reference herein. We encourage you to read our certificate of incorporation and our bylaws for additional information.</w:t>
      </w:r>
    </w:p>
    <w:p>
      <w:pPr>
        <w:spacing w:after="0" w:line="86"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As of December 31, 2019, our authorized capital stock consisted of 400,000,000 shares of common stock, $0.0001 par value per share, and 40,000,000 shares of preferred stock, $0.0001 par value per share.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Rights</w:t>
      </w:r>
    </w:p>
    <w:p>
      <w:pPr>
        <w:spacing w:after="0" w:line="10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 Rights</w:t>
      </w:r>
    </w:p>
    <w:p>
      <w:pPr>
        <w:spacing w:after="0" w:line="10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Subject to preferences that may be applicable to any then outstanding preferred stock, holders of common stock are entitled to receive ratably those dividends, if any, as may be declared by the board of directors out of legally available funds.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Liquidation Rights</w:t>
      </w:r>
    </w:p>
    <w:p>
      <w:pPr>
        <w:spacing w:after="0" w:line="108"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US-DOCS\113145557.2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i w:val="1"/>
          <w:iCs w:val="1"/>
          <w:color w:val="auto"/>
        </w:rPr>
        <w:t>Rights and Preferences</w:t>
      </w:r>
    </w:p>
    <w:p>
      <w:pPr>
        <w:spacing w:after="0" w:line="10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Holders of common stock have no preemptive or conversion rights or other subscription rights and there are no redemption or sinking funds provisions applicable to the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Fully paid and nonassessable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outstanding shares of common stock are duly authorized, validly issued, fully paid and nonassessable.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Transfer Agent and Registrar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transfer agent and registrar for our common stock is Computershare Trust Company, N.A.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Nasdaq Global Market Listing</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and traded on the Nasdaq Global Select Market under the ticker symbol “PHAT.”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Delaware Law and Our Certificate of Incorporation and Bylaws</w:t>
      </w:r>
    </w:p>
    <w:p>
      <w:pPr>
        <w:spacing w:after="0" w:line="11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These provisions, summarized below, are intended to discourage coercive takeover practices and inadequate takeover bids.</w:t>
      </w:r>
    </w:p>
    <w:p>
      <w:pPr>
        <w:spacing w:after="0" w:line="5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Undesignated Preferred Stock</w:t>
      </w:r>
    </w:p>
    <w:p>
      <w:pPr>
        <w:spacing w:after="0" w:line="108"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ability of our board of directors, without action by the stockholders, to issue up to 40,000,000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 Meetings</w:t>
      </w:r>
    </w:p>
    <w:p>
      <w:pPr>
        <w:spacing w:after="0" w:line="108" w:lineRule="exact"/>
        <w:rPr>
          <w:sz w:val="20"/>
          <w:szCs w:val="20"/>
          <w:color w:val="auto"/>
        </w:rPr>
      </w:pPr>
    </w:p>
    <w:p>
      <w:pPr>
        <w:ind w:right="720"/>
        <w:spacing w:after="0" w:line="287" w:lineRule="auto"/>
        <w:rPr>
          <w:sz w:val="20"/>
          <w:szCs w:val="20"/>
          <w:color w:val="auto"/>
        </w:rPr>
      </w:pPr>
      <w:r>
        <w:rPr>
          <w:rFonts w:ascii="Arial" w:cs="Arial" w:eastAsia="Arial" w:hAnsi="Arial"/>
          <w:sz w:val="19"/>
          <w:szCs w:val="19"/>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Requirements for Advance Notification of Stockholder Nominations and Proposals</w:t>
      </w:r>
    </w:p>
    <w:p>
      <w:pPr>
        <w:spacing w:after="0" w:line="108"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US-DOCS\113145557.2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i w:val="1"/>
          <w:iCs w:val="1"/>
          <w:color w:val="auto"/>
        </w:rPr>
        <w:t>Elimination of Stockholder Action by Written Consent</w:t>
      </w:r>
    </w:p>
    <w:p>
      <w:pPr>
        <w:spacing w:after="0" w:line="10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Our amended and restated certificate of incorporation and amended and restated bylaws eliminate the right of stockholders to act by written consent without a meeting.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Staggered Board of Directors</w:t>
      </w:r>
    </w:p>
    <w:p>
      <w:pPr>
        <w:spacing w:after="0" w:line="108"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attempting to obtain control of us, because it generally makes it more difficult for stockholders to replace a majority of the directors.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Removal of Directors</w:t>
      </w:r>
    </w:p>
    <w:p>
      <w:pPr>
        <w:spacing w:after="0" w:line="108"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Stockholders Not Entitled to Cumulative Voting</w:t>
      </w:r>
    </w:p>
    <w:p>
      <w:pPr>
        <w:spacing w:after="0" w:line="108"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Delaware Anti-Takeover Statute</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Choice of Forum</w:t>
      </w:r>
    </w:p>
    <w:p>
      <w:pPr>
        <w:spacing w:after="0" w:line="108"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Our amended and restated certificate of incorporation provides that, unless we consent in writing to the selection of an alternative form, the Court of Chancery of the State of Delaware will be the sole and exclusive forum under Delaware statutory or common law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The provision would not apply to suits brought to enforce a duty or liability created by the Securities Act of 1933, as amended (the “Securities Act”), or the Securities Exchange Act of 1934 (the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US-DOCS\113145557.2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153" w:name="page154"/>
    <w:bookmarkEnd w:id="153"/>
    <w:p>
      <w:pPr>
        <w:spacing w:after="0" w:line="272" w:lineRule="auto"/>
        <w:rPr>
          <w:sz w:val="20"/>
          <w:szCs w:val="20"/>
          <w:color w:val="auto"/>
        </w:rPr>
      </w:pPr>
      <w:r>
        <w:rPr>
          <w:rFonts w:ascii="Arial" w:cs="Arial" w:eastAsia="Arial" w:hAnsi="Arial"/>
          <w:sz w:val="18"/>
          <w:szCs w:val="18"/>
          <w:color w:val="auto"/>
        </w:rPr>
        <w:t>“Exchange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to have consented to this choice of forum provision.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Amendment of Charter Provisions</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44"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US-DOCS\113145557.2</w:t>
      </w:r>
    </w:p>
    <w:p>
      <w:pPr>
        <w:sectPr>
          <w:pgSz w:w="11900" w:h="16838" w:orient="portrait"/>
          <w:cols w:equalWidth="0" w:num="1">
            <w:col w:w="11220"/>
          </w:cols>
          <w:pgMar w:left="320" w:top="352" w:right="35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333333"/>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Consent of Independent Registered Public Accounting Firm</w:t>
      </w:r>
    </w:p>
    <w:p>
      <w:pPr>
        <w:spacing w:after="0" w:line="22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333333"/>
        </w:rPr>
        <w:t>We consent to the incorporation by reference in the Registration Statement (Form S-8 No. 333-234357) pertaining to the 2019 Equity Incentive Plan, 2019 Incentive Award Plan, and 2019 Employee Stock Purchase Plan of Phathom Pharmaceuticals, Inc. of our report dated March 19, 2020, with respect to the combined financial statements of Phathom Pharmaceuticals, Inc. included in this Annual Report (Form 10-K) for the year ended December 31, 2019.</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2020</w:t>
      </w:r>
    </w:p>
    <w:p>
      <w:pPr>
        <w:sectPr>
          <w:pgSz w:w="11900" w:h="16838" w:orient="portrait"/>
          <w:cols w:equalWidth="0" w:num="1">
            <w:col w:w="11240"/>
          </w:cols>
          <w:pgMar w:left="320" w:top="121" w:right="339" w:bottom="1440" w:gutter="0" w:footer="0" w:header="0"/>
        </w:sectPr>
      </w:pPr>
    </w:p>
    <w:bookmarkStart w:id="155" w:name="page156"/>
    <w:bookmarkEnd w:id="155"/>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Terrie Curran, certify that:</w:t>
      </w:r>
    </w:p>
    <w:p>
      <w:pPr>
        <w:spacing w:after="0" w:line="117" w:lineRule="exact"/>
        <w:rPr>
          <w:sz w:val="20"/>
          <w:szCs w:val="20"/>
          <w:color w:val="auto"/>
        </w:rPr>
      </w:pPr>
    </w:p>
    <w:p>
      <w:pPr>
        <w:ind w:left="440" w:hanging="432"/>
        <w:spacing w:after="0"/>
        <w:tabs>
          <w:tab w:leader="none" w:pos="44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I have reviewed this Annual Report on Form 10-K of Phathom Pharmaceuticals, Inc.</w:t>
      </w:r>
    </w:p>
    <w:p>
      <w:pPr>
        <w:spacing w:after="0" w:line="117" w:lineRule="exact"/>
        <w:rPr>
          <w:rFonts w:ascii="Arial" w:cs="Arial" w:eastAsia="Arial" w:hAnsi="Arial"/>
          <w:sz w:val="18"/>
          <w:szCs w:val="18"/>
          <w:color w:val="010000"/>
        </w:rPr>
      </w:pPr>
    </w:p>
    <w:p>
      <w:pPr>
        <w:jc w:val="both"/>
        <w:ind w:left="440" w:right="340" w:hanging="432"/>
        <w:spacing w:after="0" w:line="263" w:lineRule="auto"/>
        <w:tabs>
          <w:tab w:leader="none" w:pos="44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010000"/>
        </w:rPr>
      </w:pPr>
    </w:p>
    <w:p>
      <w:pPr>
        <w:ind w:left="440" w:right="300" w:hanging="432"/>
        <w:spacing w:after="0" w:line="308" w:lineRule="auto"/>
        <w:tabs>
          <w:tab w:leader="none" w:pos="440"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010000"/>
        </w:rPr>
      </w:pPr>
    </w:p>
    <w:p>
      <w:pPr>
        <w:ind w:left="440" w:right="520" w:hanging="432"/>
        <w:spacing w:after="0" w:line="277" w:lineRule="auto"/>
        <w:tabs>
          <w:tab w:leader="none" w:pos="44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010000"/>
        </w:rPr>
      </w:pPr>
    </w:p>
    <w:p>
      <w:pPr>
        <w:ind w:left="880" w:right="160" w:hanging="440"/>
        <w:spacing w:after="0" w:line="263" w:lineRule="auto"/>
        <w:tabs>
          <w:tab w:leader="none" w:pos="880" w:val="left"/>
        </w:tabs>
        <w:numPr>
          <w:ilvl w:val="1"/>
          <w:numId w:val="74"/>
        </w:numPr>
        <w:rPr>
          <w:rFonts w:ascii="Arial" w:cs="Arial" w:eastAsia="Arial" w:hAnsi="Arial"/>
          <w:sz w:val="18"/>
          <w:szCs w:val="18"/>
          <w:color w:val="010000"/>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010000"/>
        </w:rPr>
      </w:pPr>
    </w:p>
    <w:p>
      <w:pPr>
        <w:ind w:left="880" w:hanging="440"/>
        <w:spacing w:after="0"/>
        <w:tabs>
          <w:tab w:leader="none" w:pos="880" w:val="left"/>
        </w:tabs>
        <w:numPr>
          <w:ilvl w:val="1"/>
          <w:numId w:val="74"/>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117" w:lineRule="exact"/>
        <w:rPr>
          <w:rFonts w:ascii="Arial" w:cs="Arial" w:eastAsia="Arial" w:hAnsi="Arial"/>
          <w:sz w:val="18"/>
          <w:szCs w:val="18"/>
          <w:color w:val="010000"/>
        </w:rPr>
      </w:pPr>
    </w:p>
    <w:p>
      <w:pPr>
        <w:jc w:val="both"/>
        <w:ind w:left="880" w:right="640" w:hanging="440"/>
        <w:spacing w:after="0" w:line="342" w:lineRule="auto"/>
        <w:tabs>
          <w:tab w:leader="none" w:pos="880" w:val="left"/>
        </w:tabs>
        <w:numPr>
          <w:ilvl w:val="1"/>
          <w:numId w:val="74"/>
        </w:numPr>
        <w:rPr>
          <w:rFonts w:ascii="Arial" w:cs="Arial" w:eastAsia="Arial" w:hAnsi="Arial"/>
          <w:sz w:val="16"/>
          <w:szCs w:val="16"/>
          <w:color w:val="010000"/>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010000"/>
        </w:rPr>
      </w:pPr>
    </w:p>
    <w:p>
      <w:pPr>
        <w:ind w:left="880" w:right="160" w:hanging="440"/>
        <w:spacing w:after="0" w:line="263" w:lineRule="auto"/>
        <w:tabs>
          <w:tab w:leader="none" w:pos="880" w:val="left"/>
        </w:tabs>
        <w:numPr>
          <w:ilvl w:val="1"/>
          <w:numId w:val="74"/>
        </w:numPr>
        <w:rPr>
          <w:rFonts w:ascii="Arial" w:cs="Arial" w:eastAsia="Arial" w:hAnsi="Arial"/>
          <w:sz w:val="18"/>
          <w:szCs w:val="18"/>
          <w:color w:val="010000"/>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010000"/>
        </w:rPr>
      </w:pPr>
    </w:p>
    <w:p>
      <w:pPr>
        <w:ind w:left="440" w:right="220" w:hanging="432"/>
        <w:spacing w:after="0" w:line="308" w:lineRule="auto"/>
        <w:tabs>
          <w:tab w:leader="none" w:pos="440"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010000"/>
        </w:rPr>
      </w:pPr>
    </w:p>
    <w:p>
      <w:pPr>
        <w:ind w:left="880" w:right="60" w:hanging="440"/>
        <w:spacing w:after="0" w:line="277" w:lineRule="auto"/>
        <w:tabs>
          <w:tab w:leader="none" w:pos="880" w:val="left"/>
        </w:tabs>
        <w:numPr>
          <w:ilvl w:val="1"/>
          <w:numId w:val="74"/>
        </w:numPr>
        <w:rPr>
          <w:rFonts w:ascii="Arial" w:cs="Arial" w:eastAsia="Arial" w:hAnsi="Arial"/>
          <w:sz w:val="18"/>
          <w:szCs w:val="18"/>
          <w:color w:val="010000"/>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010000"/>
        </w:rPr>
      </w:pPr>
    </w:p>
    <w:p>
      <w:pPr>
        <w:ind w:left="880" w:right="20" w:hanging="440"/>
        <w:spacing w:after="0" w:line="277" w:lineRule="auto"/>
        <w:tabs>
          <w:tab w:leader="none" w:pos="8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Date: March 19, 2020</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Terrie Curran</w:t>
            </w:r>
          </w:p>
        </w:tc>
      </w:tr>
      <w:tr>
        <w:trPr>
          <w:trHeight w:val="216"/>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56" w:name="page157"/>
    <w:bookmarkEnd w:id="156"/>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David Socks, certify that:</w:t>
      </w:r>
    </w:p>
    <w:p>
      <w:pPr>
        <w:spacing w:after="0" w:line="117" w:lineRule="exact"/>
        <w:rPr>
          <w:sz w:val="20"/>
          <w:szCs w:val="20"/>
          <w:color w:val="auto"/>
        </w:rPr>
      </w:pPr>
    </w:p>
    <w:p>
      <w:pPr>
        <w:ind w:left="440" w:hanging="432"/>
        <w:spacing w:after="0"/>
        <w:tabs>
          <w:tab w:leader="none" w:pos="440"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I have reviewed this Annual Report on Form 10-K of Phathom Pharmaceuticals, Inc.</w:t>
      </w:r>
    </w:p>
    <w:p>
      <w:pPr>
        <w:spacing w:after="0" w:line="117" w:lineRule="exact"/>
        <w:rPr>
          <w:rFonts w:ascii="Arial" w:cs="Arial" w:eastAsia="Arial" w:hAnsi="Arial"/>
          <w:sz w:val="18"/>
          <w:szCs w:val="18"/>
          <w:color w:val="010000"/>
        </w:rPr>
      </w:pPr>
    </w:p>
    <w:p>
      <w:pPr>
        <w:jc w:val="both"/>
        <w:ind w:left="440" w:right="340" w:hanging="432"/>
        <w:spacing w:after="0" w:line="263" w:lineRule="auto"/>
        <w:tabs>
          <w:tab w:leader="none" w:pos="440"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010000"/>
        </w:rPr>
      </w:pPr>
    </w:p>
    <w:p>
      <w:pPr>
        <w:ind w:left="440" w:right="300" w:hanging="432"/>
        <w:spacing w:after="0" w:line="308" w:lineRule="auto"/>
        <w:tabs>
          <w:tab w:leader="none" w:pos="440"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010000"/>
        </w:rPr>
      </w:pPr>
    </w:p>
    <w:p>
      <w:pPr>
        <w:ind w:left="440" w:right="520" w:hanging="432"/>
        <w:spacing w:after="0" w:line="277" w:lineRule="auto"/>
        <w:tabs>
          <w:tab w:leader="none" w:pos="440"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010000"/>
        </w:rPr>
      </w:pPr>
    </w:p>
    <w:p>
      <w:pPr>
        <w:ind w:left="880" w:right="160" w:hanging="440"/>
        <w:spacing w:after="0" w:line="263" w:lineRule="auto"/>
        <w:tabs>
          <w:tab w:leader="none" w:pos="880" w:val="left"/>
        </w:tabs>
        <w:numPr>
          <w:ilvl w:val="1"/>
          <w:numId w:val="75"/>
        </w:numPr>
        <w:rPr>
          <w:rFonts w:ascii="Arial" w:cs="Arial" w:eastAsia="Arial" w:hAnsi="Arial"/>
          <w:sz w:val="18"/>
          <w:szCs w:val="18"/>
          <w:color w:val="010000"/>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010000"/>
        </w:rPr>
      </w:pPr>
    </w:p>
    <w:p>
      <w:pPr>
        <w:ind w:left="880" w:hanging="440"/>
        <w:spacing w:after="0"/>
        <w:tabs>
          <w:tab w:leader="none" w:pos="880" w:val="left"/>
        </w:tabs>
        <w:numPr>
          <w:ilvl w:val="1"/>
          <w:numId w:val="75"/>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117" w:lineRule="exact"/>
        <w:rPr>
          <w:rFonts w:ascii="Arial" w:cs="Arial" w:eastAsia="Arial" w:hAnsi="Arial"/>
          <w:sz w:val="18"/>
          <w:szCs w:val="18"/>
          <w:color w:val="010000"/>
        </w:rPr>
      </w:pPr>
    </w:p>
    <w:p>
      <w:pPr>
        <w:jc w:val="both"/>
        <w:ind w:left="880" w:right="640" w:hanging="440"/>
        <w:spacing w:after="0" w:line="342" w:lineRule="auto"/>
        <w:tabs>
          <w:tab w:leader="none" w:pos="880" w:val="left"/>
        </w:tabs>
        <w:numPr>
          <w:ilvl w:val="1"/>
          <w:numId w:val="75"/>
        </w:numPr>
        <w:rPr>
          <w:rFonts w:ascii="Arial" w:cs="Arial" w:eastAsia="Arial" w:hAnsi="Arial"/>
          <w:sz w:val="16"/>
          <w:szCs w:val="16"/>
          <w:color w:val="010000"/>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010000"/>
        </w:rPr>
      </w:pPr>
    </w:p>
    <w:p>
      <w:pPr>
        <w:ind w:left="880" w:right="160" w:hanging="440"/>
        <w:spacing w:after="0" w:line="263" w:lineRule="auto"/>
        <w:tabs>
          <w:tab w:leader="none" w:pos="880" w:val="left"/>
        </w:tabs>
        <w:numPr>
          <w:ilvl w:val="1"/>
          <w:numId w:val="75"/>
        </w:numPr>
        <w:rPr>
          <w:rFonts w:ascii="Arial" w:cs="Arial" w:eastAsia="Arial" w:hAnsi="Arial"/>
          <w:sz w:val="18"/>
          <w:szCs w:val="18"/>
          <w:color w:val="010000"/>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010000"/>
        </w:rPr>
      </w:pPr>
    </w:p>
    <w:p>
      <w:pPr>
        <w:ind w:left="440" w:right="220" w:hanging="432"/>
        <w:spacing w:after="0" w:line="308" w:lineRule="auto"/>
        <w:tabs>
          <w:tab w:leader="none" w:pos="440"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010000"/>
        </w:rPr>
      </w:pPr>
    </w:p>
    <w:p>
      <w:pPr>
        <w:ind w:left="880" w:right="60" w:hanging="440"/>
        <w:spacing w:after="0" w:line="277" w:lineRule="auto"/>
        <w:tabs>
          <w:tab w:leader="none" w:pos="880" w:val="left"/>
        </w:tabs>
        <w:numPr>
          <w:ilvl w:val="1"/>
          <w:numId w:val="75"/>
        </w:numPr>
        <w:rPr>
          <w:rFonts w:ascii="Arial" w:cs="Arial" w:eastAsia="Arial" w:hAnsi="Arial"/>
          <w:sz w:val="18"/>
          <w:szCs w:val="18"/>
          <w:color w:val="010000"/>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010000"/>
        </w:rPr>
      </w:pPr>
    </w:p>
    <w:p>
      <w:pPr>
        <w:ind w:left="880" w:right="20" w:hanging="440"/>
        <w:spacing w:after="0" w:line="277" w:lineRule="auto"/>
        <w:tabs>
          <w:tab w:leader="none" w:pos="8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Date: March 19, 2020</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Socks</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David Socks</w:t>
            </w:r>
          </w:p>
        </w:tc>
      </w:tr>
      <w:tr>
        <w:trPr>
          <w:trHeight w:val="216"/>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57" w:name="page158"/>
    <w:bookmarkEnd w:id="157"/>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20" w:firstLine="432"/>
        <w:spacing w:after="0" w:line="311" w:lineRule="auto"/>
        <w:rPr>
          <w:sz w:val="20"/>
          <w:szCs w:val="20"/>
          <w:color w:val="auto"/>
        </w:rPr>
      </w:pPr>
      <w:r>
        <w:rPr>
          <w:rFonts w:ascii="Arial" w:cs="Arial" w:eastAsia="Arial" w:hAnsi="Arial"/>
          <w:sz w:val="16"/>
          <w:szCs w:val="16"/>
          <w:color w:val="auto"/>
        </w:rPr>
        <w:t>In connection with the Annual Report on Form 10-K of Phathom Pharmaceuticals, Inc. (the “Company”) for the year ended December 31, 2019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41" w:lineRule="exact"/>
        <w:rPr>
          <w:sz w:val="20"/>
          <w:szCs w:val="20"/>
          <w:color w:val="auto"/>
        </w:rPr>
      </w:pPr>
    </w:p>
    <w:p>
      <w:pPr>
        <w:ind w:left="440" w:hanging="432"/>
        <w:spacing w:after="0"/>
        <w:tabs>
          <w:tab w:leader="none" w:pos="4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40" w:lineRule="exact"/>
        <w:rPr>
          <w:rFonts w:ascii="Arial" w:cs="Arial" w:eastAsia="Arial" w:hAnsi="Arial"/>
          <w:sz w:val="16"/>
          <w:szCs w:val="16"/>
          <w:color w:val="auto"/>
        </w:rPr>
      </w:pPr>
    </w:p>
    <w:p>
      <w:pPr>
        <w:ind w:left="440" w:hanging="432"/>
        <w:spacing w:after="0"/>
        <w:tabs>
          <w:tab w:leader="none" w:pos="4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Date: March 19, 2020</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Terrie Curran</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337" w:right="339" w:bottom="1440" w:gutter="0" w:footer="0" w:header="0"/>
        </w:sectPr>
      </w:pPr>
    </w:p>
    <w:bookmarkStart w:id="158" w:name="page159"/>
    <w:bookmarkEnd w:id="158"/>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220" w:firstLine="432"/>
        <w:spacing w:after="0" w:line="311" w:lineRule="auto"/>
        <w:rPr>
          <w:sz w:val="20"/>
          <w:szCs w:val="20"/>
          <w:color w:val="auto"/>
        </w:rPr>
      </w:pPr>
      <w:r>
        <w:rPr>
          <w:rFonts w:ascii="Arial" w:cs="Arial" w:eastAsia="Arial" w:hAnsi="Arial"/>
          <w:sz w:val="16"/>
          <w:szCs w:val="16"/>
          <w:color w:val="auto"/>
        </w:rPr>
        <w:t>In connection with the Annual Report on Form 10-K of Phathom Pharmaceuticals, Inc. (the “Company”) for the year ended December 31, 2019 as filed with the Securities and Exchange Commission on the date hereof (the “Report”), I, David Socks, as Chief Financial Officer of the company, certify, pursuant to 18 U.S.C. Section 1350, as adopted pursuant to Section 906 of the Sarbanes-Oxley Act of 2002, to my knowledge, that:</w:t>
      </w:r>
    </w:p>
    <w:p>
      <w:pPr>
        <w:spacing w:after="0" w:line="41" w:lineRule="exact"/>
        <w:rPr>
          <w:sz w:val="20"/>
          <w:szCs w:val="20"/>
          <w:color w:val="auto"/>
        </w:rPr>
      </w:pPr>
    </w:p>
    <w:p>
      <w:pPr>
        <w:ind w:left="440" w:hanging="432"/>
        <w:spacing w:after="0"/>
        <w:tabs>
          <w:tab w:leader="none" w:pos="4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40" w:lineRule="exact"/>
        <w:rPr>
          <w:rFonts w:ascii="Arial" w:cs="Arial" w:eastAsia="Arial" w:hAnsi="Arial"/>
          <w:sz w:val="16"/>
          <w:szCs w:val="16"/>
          <w:color w:val="auto"/>
        </w:rPr>
      </w:pPr>
    </w:p>
    <w:p>
      <w:pPr>
        <w:ind w:left="440" w:hanging="432"/>
        <w:spacing w:after="0"/>
        <w:tabs>
          <w:tab w:leader="none" w:pos="4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Date: March 19, 2020</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Socks</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David Socks</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amp;"/>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6"/>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1."/>
      <w:numFmt w:val="decimal"/>
      <w:start w:val="2"/>
    </w:lvl>
  </w:abstractNum>
  <w:abstractNum w:abstractNumId="65">
    <w:nsid w:val="6B94764"/>
    <w:multiLevelType w:val="hybridMultilevel"/>
    <w:lvl w:ilvl="0">
      <w:lvlJc w:val="left"/>
      <w:lvlText w:val="%1."/>
      <w:numFmt w:val="decimal"/>
      <w:start w:val="3"/>
    </w:lvl>
  </w:abstractNum>
  <w:abstractNum w:abstractNumId="66">
    <w:nsid w:val="42C296BD"/>
    <w:multiLevelType w:val="hybridMultilevel"/>
    <w:lvl w:ilvl="0">
      <w:lvlJc w:val="left"/>
      <w:lvlText w:val="(%1)"/>
      <w:numFmt w:val="lowerRoman"/>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62" Type="http://schemas.openxmlformats.org/officeDocument/2006/relationships/image" Target="media/image334.png"/><Relationship Id="rId363" Type="http://schemas.openxmlformats.org/officeDocument/2006/relationships/image" Target="media/image335.png"/><Relationship Id="rId364" Type="http://schemas.openxmlformats.org/officeDocument/2006/relationships/image" Target="media/image336.png"/><Relationship Id="rId365" Type="http://schemas.openxmlformats.org/officeDocument/2006/relationships/image" Target="media/image337.png"/><Relationship Id="rId366" Type="http://schemas.openxmlformats.org/officeDocument/2006/relationships/image" Target="media/image338.png"/><Relationship Id="rId367" Type="http://schemas.openxmlformats.org/officeDocument/2006/relationships/image" Target="media/image339.png"/><Relationship Id="rId368" Type="http://schemas.openxmlformats.org/officeDocument/2006/relationships/image" Target="media/image340.png"/><Relationship Id="rId341" Type="http://schemas.openxmlformats.org/officeDocument/2006/relationships/hyperlink" Target="http://www.sec.gov/Archives/edgar/data/1783183/000119312519258922/d63338dex31.htm" TargetMode="External"/><Relationship Id="rId342" Type="http://schemas.openxmlformats.org/officeDocument/2006/relationships/hyperlink" Target="http://www.sec.gov/Archives/edgar/data/1783183/000119312519258922/d63338dex32.htm" TargetMode="External"/><Relationship Id="rId343" Type="http://schemas.openxmlformats.org/officeDocument/2006/relationships/hyperlink" Target="http://www.sec.gov/Archives/edgar/data/1783183/000119312519267053/d63338dex41.htm" TargetMode="External"/><Relationship Id="rId344" Type="http://schemas.openxmlformats.org/officeDocument/2006/relationships/hyperlink" Target="http://www.sec.gov/Archives/edgar/data/1783183/000119312519258922/d63338dex42.htm" TargetMode="External"/><Relationship Id="rId345" Type="http://schemas.openxmlformats.org/officeDocument/2006/relationships/hyperlink" Target="http://www.sec.gov/Archives/edgar/data/1783183/000119312519258922/d63338dex43.htm" TargetMode="External"/><Relationship Id="rId346" Type="http://schemas.openxmlformats.org/officeDocument/2006/relationships/hyperlink" Target="http://www.sec.gov/Archives/edgar/data/1783183/000119312519258922/d63338dex44.htm" TargetMode="External"/><Relationship Id="rId347" Type="http://schemas.openxmlformats.org/officeDocument/2006/relationships/hyperlink" Target="http://www.sec.gov/Archives/edgar/data/1783183/000119312519267053/d63338dex45.htm" TargetMode="External"/><Relationship Id="rId348" Type="http://schemas.openxmlformats.org/officeDocument/2006/relationships/hyperlink" Target="http://www.sec.gov/Archives/edgar/data/1783183/000119312519258922/d63338dex101.htm" TargetMode="External"/><Relationship Id="rId349" Type="http://schemas.openxmlformats.org/officeDocument/2006/relationships/hyperlink" Target="http://www.sec.gov/Archives/edgar/data/1783183/000119312519258922/d63338dex102.htm" TargetMode="External"/><Relationship Id="rId350" Type="http://schemas.openxmlformats.org/officeDocument/2006/relationships/hyperlink" Target="http://www.sec.gov/Archives/edgar/data/1783183/000119312519258922/d63338dex103.htm" TargetMode="External"/><Relationship Id="rId351" Type="http://schemas.openxmlformats.org/officeDocument/2006/relationships/hyperlink" Target="http://www.sec.gov/Archives/edgar/data/1783183/000119312519267053/d63338dex104.htm" TargetMode="External"/><Relationship Id="rId352" Type="http://schemas.openxmlformats.org/officeDocument/2006/relationships/hyperlink" Target="http://www.sec.gov/Archives/edgar/data/1783183/000119312519267053/d63338dex105.htm" TargetMode="External"/><Relationship Id="rId353" Type="http://schemas.openxmlformats.org/officeDocument/2006/relationships/hyperlink" Target="http://www.sec.gov/Archives/edgar/data/1783183/000119312519267053/d63338dex106.htm" TargetMode="External"/><Relationship Id="rId354" Type="http://schemas.openxmlformats.org/officeDocument/2006/relationships/hyperlink" Target="http://www.sec.gov/Archives/edgar/data/1783183/000119312519258922/d63338dex107.htm" TargetMode="External"/><Relationship Id="rId355" Type="http://schemas.openxmlformats.org/officeDocument/2006/relationships/hyperlink" Target="http://www.sec.gov/Archives/edgar/data/1783183/000119312519258922/d63338dex108.htm" TargetMode="External"/><Relationship Id="rId356" Type="http://schemas.openxmlformats.org/officeDocument/2006/relationships/hyperlink" Target="http://www.sec.gov/Archives/edgar/data/1783183/000119312519258922/d63338dex109.htm" TargetMode="External"/><Relationship Id="rId357" Type="http://schemas.openxmlformats.org/officeDocument/2006/relationships/hyperlink" Target="http://www.sec.gov/Archives/edgar/data/1783183/000119312519258922/d63338dex1010.htm" TargetMode="External"/><Relationship Id="rId358" Type="http://schemas.openxmlformats.org/officeDocument/2006/relationships/hyperlink" Target="http://www.sec.gov/Archives/edgar/data/1783183/000119312519258922/d63338dex1011.htm" TargetMode="External"/><Relationship Id="rId359" Type="http://schemas.openxmlformats.org/officeDocument/2006/relationships/hyperlink" Target="http://www.sec.gov/Archives/edgar/data/1783183/000119312519258922/d63338dex1012.htm" TargetMode="External"/><Relationship Id="rId360" Type="http://schemas.openxmlformats.org/officeDocument/2006/relationships/hyperlink" Target="http://www.sec.gov/Archives/edgar/data/1783183/000119312519258922/d63338dex1013.htm" TargetMode="External"/><Relationship Id="rId361" Type="http://schemas.openxmlformats.org/officeDocument/2006/relationships/hyperlink" Target="http://www.sec.gov/Archives/edgar/data/1783183/000119312519258922/d63338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2020-03-19T16:07:53Z</dcterms:created>
  <dcterms:modified xsi:type="dcterms:W3CDTF">2020-03-19T16:07:53Z</dcterms:modified>
</cp:coreProperties>
</file>