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96520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95" w:lineRule="exact"/>
        <w:rPr>
          <w:sz w:val="24"/>
          <w:szCs w:val="24"/>
          <w:color w:val="auto"/>
        </w:rPr>
      </w:pPr>
    </w:p>
    <w:p>
      <w:pPr>
        <w:ind w:left="520" w:right="260" w:hanging="512"/>
        <w:spacing w:after="0" w:line="262" w:lineRule="auto"/>
        <w:tabs>
          <w:tab w:leader="none" w:pos="44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280" w:hanging="512"/>
        <w:spacing w:after="0" w:line="262" w:lineRule="auto"/>
        <w:tabs>
          <w:tab w:leader="none" w:pos="44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480"/>
        <w:spacing w:after="0"/>
        <w:tabs>
          <w:tab w:leader="none" w:pos="6700" w:val="left"/>
          <w:tab w:leader="none" w:pos="7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3720465</wp:posOffset>
            </wp:positionH>
            <wp:positionV relativeFrom="paragraph">
              <wp:posOffset>-5080</wp:posOffset>
            </wp:positionV>
            <wp:extent cx="1180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001-39094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82-4151574</w:t>
            </w:r>
          </w:p>
        </w:tc>
      </w:tr>
      <w:tr>
        <w:trPr>
          <w:trHeight w:val="148"/>
        </w:trPr>
        <w:tc>
          <w:tcPr>
            <w:tcW w:w="436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100 Campus Drive, Suite 102</w:t>
            </w:r>
          </w:p>
        </w:tc>
        <w:tc>
          <w:tcPr>
            <w:tcW w:w="3120" w:type="dxa"/>
            <w:vAlign w:val="bottom"/>
          </w:tcPr>
          <w:p>
            <w:pPr>
              <w:spacing w:after="0"/>
              <w:rPr>
                <w:sz w:val="24"/>
                <w:szCs w:val="24"/>
                <w:color w:val="auto"/>
              </w:rPr>
            </w:pPr>
          </w:p>
        </w:tc>
      </w:tr>
      <w:tr>
        <w:trPr>
          <w:trHeight w:val="214"/>
        </w:trPr>
        <w:tc>
          <w:tcPr>
            <w:tcW w:w="436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color w:val="auto"/>
                <w:w w:val="99"/>
              </w:rPr>
              <w:t>Florham Park, New Jersey</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07932</w:t>
            </w:r>
          </w:p>
        </w:tc>
      </w:tr>
      <w:tr>
        <w:trPr>
          <w:trHeight w:val="190"/>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742-8466</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PHAT</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4, 2025, the registrant had 70,943,708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60" w:type="dxa"/>
            <w:vAlign w:val="bottom"/>
            <w:gridSpan w:val="6"/>
          </w:tcPr>
          <w:p>
            <w:pPr>
              <w:ind w:left="100"/>
              <w:spacing w:after="0"/>
              <w:rPr>
                <w:sz w:val="20"/>
                <w:szCs w:val="20"/>
                <w:color w:val="auto"/>
              </w:rPr>
            </w:pPr>
            <w:r>
              <w:rPr>
                <w:rFonts w:ascii="Arial" w:cs="Arial" w:eastAsia="Arial" w:hAnsi="Arial"/>
                <w:sz w:val="18"/>
                <w:szCs w:val="18"/>
                <w:b w:val="1"/>
                <w:bCs w:val="1"/>
                <w:color w:val="231F20"/>
              </w:rPr>
              <w:t>TABLE OF CONTENTS</w:t>
            </w:r>
          </w:p>
        </w:tc>
        <w:tc>
          <w:tcPr>
            <w:tcW w:w="2520" w:type="dxa"/>
            <w:vAlign w:val="bottom"/>
          </w:tcPr>
          <w:p>
            <w:pPr>
              <w:spacing w:after="0"/>
              <w:rPr>
                <w:sz w:val="21"/>
                <w:szCs w:val="21"/>
                <w:color w:val="auto"/>
              </w:rPr>
            </w:pPr>
          </w:p>
        </w:tc>
      </w:tr>
      <w:tr>
        <w:trPr>
          <w:trHeight w:val="380"/>
        </w:trPr>
        <w:tc>
          <w:tcPr>
            <w:tcW w:w="8720" w:type="dxa"/>
            <w:vAlign w:val="bottom"/>
            <w:gridSpan w:val="22"/>
          </w:tcPr>
          <w:p>
            <w:pPr>
              <w:ind w:left="40"/>
              <w:spacing w:after="0"/>
              <w:rPr>
                <w:sz w:val="20"/>
                <w:szCs w:val="20"/>
                <w:color w:val="auto"/>
              </w:rPr>
            </w:pPr>
            <w:r>
              <w:rPr>
                <w:rFonts w:ascii="Arial" w:cs="Arial" w:eastAsia="Arial" w:hAnsi="Arial"/>
                <w:sz w:val="18"/>
                <w:szCs w:val="18"/>
                <w:b w:val="1"/>
                <w:bCs w:val="1"/>
                <w:color w:val="0000FF"/>
              </w:rPr>
              <w:t>PART I. FINANCIAL INFORMATION</w:t>
            </w:r>
          </w:p>
        </w:tc>
        <w:tc>
          <w:tcPr>
            <w:tcW w:w="25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708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2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9"/>
              </w:rPr>
              <w:t>Condensed Balance Sheets</w:t>
            </w:r>
          </w:p>
        </w:tc>
        <w:tc>
          <w:tcPr>
            <w:tcW w:w="40" w:type="dxa"/>
            <w:vAlign w:val="bottom"/>
            <w:tcBorders>
              <w:top w:val="single" w:sz="8" w:color="0000FF"/>
              <w:bottom w:val="single" w:sz="8" w:color="0000EE"/>
            </w:tcBorders>
          </w:tcPr>
          <w:p>
            <w:pPr>
              <w:spacing w:after="0"/>
              <w:rPr>
                <w:sz w:val="20"/>
                <w:szCs w:val="20"/>
                <w:color w:val="auto"/>
              </w:rPr>
            </w:pPr>
          </w:p>
        </w:tc>
        <w:tc>
          <w:tcPr>
            <w:tcW w:w="360" w:type="dxa"/>
            <w:vAlign w:val="bottom"/>
            <w:tcBorders>
              <w:top w:val="single" w:sz="8" w:color="0000FF"/>
            </w:tcBorders>
            <w:gridSpan w:val="2"/>
          </w:tcPr>
          <w:p>
            <w:pPr>
              <w:spacing w:after="0"/>
              <w:rPr>
                <w:sz w:val="20"/>
                <w:szCs w:val="20"/>
                <w:color w:val="auto"/>
              </w:rPr>
            </w:pPr>
          </w:p>
        </w:tc>
        <w:tc>
          <w:tcPr>
            <w:tcW w:w="4440" w:type="dxa"/>
            <w:vAlign w:val="bottom"/>
            <w:gridSpan w:val="8"/>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rPr>
              <w:t>Condensed Statements of Operations and Comprehensive Loss</w:t>
            </w:r>
          </w:p>
        </w:tc>
        <w:tc>
          <w:tcPr>
            <w:tcW w:w="192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Condensed Statements of Stockholders’ Deficit</w:t>
            </w:r>
          </w:p>
        </w:tc>
        <w:tc>
          <w:tcPr>
            <w:tcW w:w="2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Statements of Cash Flows</w:t>
            </w:r>
          </w:p>
        </w:tc>
        <w:tc>
          <w:tcPr>
            <w:tcW w:w="40" w:type="dxa"/>
            <w:vAlign w:val="bottom"/>
            <w:tcBorders>
              <w:top w:val="single" w:sz="8" w:color="0000FF"/>
              <w:bottom w:val="single" w:sz="8" w:color="0000EE"/>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3320" w:type="dxa"/>
            <w:vAlign w:val="bottom"/>
            <w:gridSpan w:val="5"/>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Notes to Condensed Unaudited Financial Statements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12"/>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8720" w:type="dxa"/>
            <w:vAlign w:val="bottom"/>
            <w:gridSpan w:val="22"/>
          </w:tcPr>
          <w:p>
            <w:pPr>
              <w:ind w:left="40"/>
              <w:spacing w:after="0"/>
              <w:rPr>
                <w:sz w:val="20"/>
                <w:szCs w:val="20"/>
                <w:color w:val="auto"/>
              </w:rPr>
            </w:pPr>
            <w:r>
              <w:rPr>
                <w:rFonts w:ascii="Arial" w:cs="Arial" w:eastAsia="Arial" w:hAnsi="Arial"/>
                <w:sz w:val="18"/>
                <w:szCs w:val="18"/>
                <w:b w:val="1"/>
                <w:bCs w:val="1"/>
                <w:color w:val="0000FF"/>
              </w:rPr>
              <w:t>PART II. OTHER INFORMATION</w:t>
            </w:r>
          </w:p>
        </w:tc>
        <w:tc>
          <w:tcPr>
            <w:tcW w:w="25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5580" w:type="dxa"/>
            <w:vAlign w:val="bottom"/>
            <w:gridSpan w:val="1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1A</w:t>
            </w:r>
          </w:p>
        </w:tc>
        <w:tc>
          <w:tcPr>
            <w:tcW w:w="708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220" w:type="dxa"/>
            <w:vAlign w:val="bottom"/>
            <w:gridSpan w:val="2"/>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4520" w:type="dxa"/>
            <w:vAlign w:val="bottom"/>
            <w:gridSpan w:val="9"/>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5140" w:type="dxa"/>
            <w:vAlign w:val="bottom"/>
            <w:gridSpan w:val="13"/>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5</w:t>
            </w:r>
          </w:p>
        </w:tc>
        <w:tc>
          <w:tcPr>
            <w:tcW w:w="708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6"/>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20"/>
                <w:szCs w:val="20"/>
                <w:color w:val="auto"/>
              </w:rPr>
            </w:pPr>
          </w:p>
        </w:tc>
        <w:tc>
          <w:tcPr>
            <w:tcW w:w="740" w:type="dxa"/>
            <w:vAlign w:val="bottom"/>
            <w:tcBorders>
              <w:top w:val="single" w:sz="8" w:color="0000FF"/>
            </w:tcBorders>
            <w:gridSpan w:val="3"/>
          </w:tcPr>
          <w:p>
            <w:pPr>
              <w:spacing w:after="0"/>
              <w:rPr>
                <w:sz w:val="20"/>
                <w:szCs w:val="20"/>
                <w:color w:val="auto"/>
              </w:rPr>
            </w:pPr>
          </w:p>
        </w:tc>
        <w:tc>
          <w:tcPr>
            <w:tcW w:w="5680" w:type="dxa"/>
            <w:vAlign w:val="bottom"/>
            <w:gridSpan w:val="15"/>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432"/>
        </w:trPr>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PHATHOM PHARMACEUTICALS, INC.</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Balance Sheets</w:t>
      </w:r>
    </w:p>
    <w:p>
      <w:pPr>
        <w:jc w:val="center"/>
        <w:spacing w:after="0" w:line="235"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196"/>
        </w:trPr>
        <w:tc>
          <w:tcPr>
            <w:tcW w:w="7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6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149,569</w:t>
            </w:r>
          </w:p>
        </w:tc>
        <w:tc>
          <w:tcPr>
            <w:tcW w:w="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297,263</w:t>
            </w:r>
          </w:p>
        </w:tc>
      </w:tr>
      <w:tr>
        <w:trPr>
          <w:trHeight w:val="203"/>
        </w:trPr>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14,620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20,866</w:t>
            </w:r>
          </w:p>
        </w:tc>
      </w:tr>
      <w:tr>
        <w:trPr>
          <w:trHeight w:val="203"/>
        </w:trPr>
        <w:tc>
          <w:tcPr>
            <w:tcW w:w="76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51,255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38,797</w:t>
            </w:r>
          </w:p>
        </w:tc>
      </w:tr>
      <w:tr>
        <w:trPr>
          <w:trHeight w:val="203"/>
        </w:trPr>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3,431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3,208</w:t>
            </w:r>
          </w:p>
        </w:tc>
      </w:tr>
      <w:tr>
        <w:trPr>
          <w:trHeight w:val="196"/>
        </w:trPr>
        <w:tc>
          <w:tcPr>
            <w:tcW w:w="7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218,875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360,134</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1,476</w:t>
            </w:r>
          </w:p>
        </w:tc>
      </w:tr>
      <w:tr>
        <w:trPr>
          <w:trHeight w:val="203"/>
        </w:trPr>
        <w:tc>
          <w:tcPr>
            <w:tcW w:w="7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613</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2,862</w:t>
            </w:r>
          </w:p>
        </w:tc>
      </w:tr>
      <w:tr>
        <w:trPr>
          <w:trHeight w:val="203"/>
        </w:trPr>
        <w:tc>
          <w:tcPr>
            <w:tcW w:w="7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Inventory, non-current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24,675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11,540</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1,693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1,693</w:t>
            </w:r>
          </w:p>
        </w:tc>
      </w:tr>
      <w:tr>
        <w:trPr>
          <w:trHeight w:val="236"/>
        </w:trPr>
        <w:tc>
          <w:tcPr>
            <w:tcW w:w="7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250,220</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378,318</w:t>
            </w:r>
          </w:p>
        </w:tc>
      </w:tr>
      <w:tr>
        <w:trPr>
          <w:trHeight w:val="183"/>
        </w:trPr>
        <w:tc>
          <w:tcPr>
            <w:tcW w:w="764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203"/>
        </w:trPr>
        <w:tc>
          <w:tcPr>
            <w:tcW w:w="7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4,008</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10,507</w:t>
            </w:r>
          </w:p>
        </w:tc>
      </w:tr>
      <w:tr>
        <w:trPr>
          <w:trHeight w:val="203"/>
        </w:trPr>
        <w:tc>
          <w:tcPr>
            <w:tcW w:w="76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64,296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53,232</w:t>
            </w:r>
          </w:p>
        </w:tc>
      </w:tr>
      <w:tr>
        <w:trPr>
          <w:trHeight w:val="203"/>
        </w:trPr>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1,711</w:t>
            </w:r>
          </w:p>
        </w:tc>
      </w:tr>
      <w:tr>
        <w:trPr>
          <w:trHeight w:val="203"/>
        </w:trPr>
        <w:tc>
          <w:tcPr>
            <w:tcW w:w="76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Operating lease liabilities, current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501</w:t>
            </w:r>
          </w:p>
        </w:tc>
      </w:tr>
      <w:tr>
        <w:trPr>
          <w:trHeight w:val="203"/>
        </w:trPr>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Current portion of revenue interest financing liability</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21,526</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19,777</w:t>
            </w:r>
          </w:p>
        </w:tc>
      </w:tr>
      <w:tr>
        <w:trPr>
          <w:trHeight w:val="196"/>
        </w:trPr>
        <w:tc>
          <w:tcPr>
            <w:tcW w:w="7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91,823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85,728</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Long-term debt, net of discount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205,139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201,409</w:t>
            </w:r>
          </w:p>
        </w:tc>
      </w:tr>
      <w:tr>
        <w:trPr>
          <w:trHeight w:val="203"/>
        </w:trPr>
        <w:tc>
          <w:tcPr>
            <w:tcW w:w="7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 interest financing liability</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347,003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333,261</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11,500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11,500</w:t>
            </w:r>
          </w:p>
        </w:tc>
      </w:tr>
      <w:tr>
        <w:trPr>
          <w:trHeight w:val="196"/>
        </w:trPr>
        <w:tc>
          <w:tcPr>
            <w:tcW w:w="7640" w:type="dxa"/>
            <w:vAlign w:val="bottom"/>
          </w:tcPr>
          <w:p>
            <w:pPr>
              <w:spacing w:after="0" w:line="196" w:lineRule="exact"/>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656,054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631,898</w:t>
            </w:r>
          </w:p>
        </w:tc>
      </w:tr>
      <w:tr>
        <w:trPr>
          <w:trHeight w:val="196"/>
        </w:trPr>
        <w:tc>
          <w:tcPr>
            <w:tcW w:w="7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Commitments and contingencies (Note 3)</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Stockholders’ deficit: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84"/>
        </w:trPr>
        <w:tc>
          <w:tcPr>
            <w:tcW w:w="764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Preferred stock, $0.0001 par value; authorized shares — 40,000,000 at June 30, 2025 and</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203"/>
        </w:trPr>
        <w:tc>
          <w:tcPr>
            <w:tcW w:w="76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December 31, 2024; no shares issued and outstanding at June 30, 2025 and December 31,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21"/>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184"/>
        </w:trPr>
        <w:tc>
          <w:tcPr>
            <w:tcW w:w="7640" w:type="dxa"/>
            <w:vAlign w:val="bottom"/>
          </w:tcPr>
          <w:p>
            <w:pPr>
              <w:ind w:left="160"/>
              <w:spacing w:after="0" w:line="183" w:lineRule="exact"/>
              <w:rPr>
                <w:sz w:val="20"/>
                <w:szCs w:val="20"/>
                <w:color w:val="auto"/>
              </w:rPr>
            </w:pPr>
            <w:r>
              <w:rPr>
                <w:rFonts w:ascii="Arial" w:cs="Arial" w:eastAsia="Arial" w:hAnsi="Arial"/>
                <w:sz w:val="18"/>
                <w:szCs w:val="18"/>
                <w:color w:val="auto"/>
              </w:rPr>
              <w:t>Common stock, $0.0001 par value; authorized shares — 400,000,000 at June 30, 2025 and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December 31, 2024; issued and outstanding shares — 70,104,419 and 68,518,238 at June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1"/>
        </w:trPr>
        <w:tc>
          <w:tcPr>
            <w:tcW w:w="7640" w:type="dxa"/>
            <w:vAlign w:val="bottom"/>
          </w:tcPr>
          <w:p>
            <w:pPr>
              <w:ind w:left="160"/>
              <w:spacing w:after="0"/>
              <w:rPr>
                <w:sz w:val="20"/>
                <w:szCs w:val="20"/>
                <w:color w:val="auto"/>
              </w:rPr>
            </w:pPr>
            <w:r>
              <w:rPr>
                <w:rFonts w:ascii="Arial" w:cs="Arial" w:eastAsia="Arial" w:hAnsi="Arial"/>
                <w:sz w:val="18"/>
                <w:szCs w:val="18"/>
                <w:color w:val="auto"/>
              </w:rPr>
              <w:t>30, 2025 and December 31, 2024, respectively</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03"/>
        </w:trPr>
        <w:tc>
          <w:tcPr>
            <w:tcW w:w="76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Treasury stock — 19 shares at June 30, 2025 and December 31, 2024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1,027,297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1,009,425</w:t>
            </w:r>
          </w:p>
        </w:tc>
      </w:tr>
      <w:tr>
        <w:trPr>
          <w:trHeight w:val="203"/>
        </w:trPr>
        <w:tc>
          <w:tcPr>
            <w:tcW w:w="764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(1,433,137)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(1,263,011)</w:t>
            </w:r>
          </w:p>
        </w:tc>
      </w:tr>
      <w:tr>
        <w:trPr>
          <w:trHeight w:val="196"/>
        </w:trPr>
        <w:tc>
          <w:tcPr>
            <w:tcW w:w="7640" w:type="dxa"/>
            <w:vAlign w:val="bottom"/>
          </w:tcPr>
          <w:p>
            <w:pPr>
              <w:spacing w:after="0" w:line="196" w:lineRule="exact"/>
              <w:rPr>
                <w:sz w:val="20"/>
                <w:szCs w:val="20"/>
                <w:color w:val="auto"/>
              </w:rPr>
            </w:pPr>
            <w:r>
              <w:rPr>
                <w:rFonts w:ascii="Arial" w:cs="Arial" w:eastAsia="Arial" w:hAnsi="Arial"/>
                <w:sz w:val="18"/>
                <w:szCs w:val="18"/>
                <w:color w:val="auto"/>
              </w:rPr>
              <w:t>Total stockholders’ deficit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(405,834)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(253,580)</w:t>
            </w:r>
          </w:p>
        </w:tc>
      </w:tr>
      <w:tr>
        <w:trPr>
          <w:trHeight w:val="216"/>
        </w:trPr>
        <w:tc>
          <w:tcPr>
            <w:tcW w:w="7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 and stockholders’ deficit</w:t>
            </w:r>
          </w:p>
        </w:tc>
        <w:tc>
          <w:tcPr>
            <w:tcW w:w="4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250,220</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378,318</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-3436620</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-3419475</wp:posOffset>
            </wp:positionV>
            <wp:extent cx="102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-1859280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-299720</wp:posOffset>
            </wp:positionV>
            <wp:extent cx="102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39,503</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7,324</w:t>
            </w:r>
          </w:p>
        </w:tc>
        <w:tc>
          <w:tcPr>
            <w:tcW w:w="3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68,023</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5,038</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1,376</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8,762</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34,465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5,948</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59,261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9,076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7,376</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18,260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16,806</w:t>
            </w:r>
          </w:p>
        </w:tc>
        <w:tc>
          <w:tcPr>
            <w:tcW w:w="0" w:type="dxa"/>
            <w:vAlign w:val="bottom"/>
          </w:tcPr>
          <w:p>
            <w:pPr>
              <w:spacing w:after="0"/>
              <w:rPr>
                <w:sz w:val="1"/>
                <w:szCs w:val="1"/>
                <w:color w:val="auto"/>
              </w:rPr>
            </w:pPr>
          </w:p>
        </w:tc>
      </w:tr>
      <w:tr>
        <w:trPr>
          <w:trHeight w:val="203"/>
        </w:trPr>
        <w:tc>
          <w:tcPr>
            <w:tcW w:w="5820" w:type="dxa"/>
            <w:vAlign w:val="bottom"/>
          </w:tcPr>
          <w:p>
            <w:pPr>
              <w:ind w:left="6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85,313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75,872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179,787</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137,882</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94,389</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83,248</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198,047</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154,688</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(59,924)</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(77,300)</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(138,786)</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(147,254)</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6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1,787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4,427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(17,518)</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(17,764)</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(35,588)</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(34,932)</w:t>
            </w:r>
          </w:p>
        </w:tc>
        <w:tc>
          <w:tcPr>
            <w:tcW w:w="0" w:type="dxa"/>
            <w:vAlign w:val="bottom"/>
          </w:tcPr>
          <w:p>
            <w:pPr>
              <w:spacing w:after="0"/>
              <w:rPr>
                <w:sz w:val="1"/>
                <w:szCs w:val="1"/>
                <w:color w:val="auto"/>
              </w:rPr>
            </w:pPr>
          </w:p>
        </w:tc>
      </w:tr>
      <w:tr>
        <w:trPr>
          <w:trHeight w:val="203"/>
        </w:trPr>
        <w:tc>
          <w:tcPr>
            <w:tcW w:w="5820" w:type="dxa"/>
            <w:vAlign w:val="bottom"/>
          </w:tcPr>
          <w:p>
            <w:pPr>
              <w:ind w:left="60"/>
              <w:spacing w:after="0" w:line="202" w:lineRule="exact"/>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(15,886)</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(14,146)</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(31,340)</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(27,044)</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Net loss and comprehensive loss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(75,810)</w:t>
            </w:r>
          </w:p>
        </w:tc>
        <w:tc>
          <w:tcPr>
            <w:tcW w:w="3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(91,446)</w:t>
            </w:r>
          </w:p>
        </w:tc>
        <w:tc>
          <w:tcPr>
            <w:tcW w:w="3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(170,126)</w:t>
            </w:r>
          </w:p>
        </w:tc>
        <w:tc>
          <w:tcPr>
            <w:tcW w:w="3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(174,298)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(1.05)</w:t>
            </w:r>
          </w:p>
        </w:tc>
        <w:tc>
          <w:tcPr>
            <w:tcW w:w="3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(1.56)</w:t>
            </w:r>
          </w:p>
        </w:tc>
        <w:tc>
          <w:tcPr>
            <w:tcW w:w="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(2.36)</w:t>
            </w:r>
          </w:p>
        </w:tc>
        <w:tc>
          <w:tcPr>
            <w:tcW w:w="3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64"/>
        </w:trPr>
        <w:tc>
          <w:tcPr>
            <w:tcW w:w="582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Weighted-average shares of common stock outstanding, basic and</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72,466,203</w:t>
            </w:r>
          </w:p>
        </w:tc>
        <w:tc>
          <w:tcPr>
            <w:tcW w:w="1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7"/>
              </w:rPr>
              <w:t>58,558,145</w:t>
            </w: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72,219,179</w:t>
            </w:r>
          </w:p>
        </w:tc>
        <w:tc>
          <w:tcPr>
            <w:tcW w:w="1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7"/>
              </w:rPr>
              <w:t>58,464,813</w:t>
            </w:r>
          </w:p>
        </w:tc>
        <w:tc>
          <w:tcPr>
            <w:tcW w:w="0" w:type="dxa"/>
            <w:vAlign w:val="bottom"/>
          </w:tcPr>
          <w:p>
            <w:pPr>
              <w:spacing w:after="0"/>
              <w:rPr>
                <w:sz w:val="1"/>
                <w:szCs w:val="1"/>
                <w:color w:val="auto"/>
              </w:rPr>
            </w:pPr>
          </w:p>
        </w:tc>
      </w:tr>
      <w:tr>
        <w:trPr>
          <w:trHeight w:val="181"/>
        </w:trPr>
        <w:tc>
          <w:tcPr>
            <w:tcW w:w="5820" w:type="dxa"/>
            <w:vAlign w:val="bottom"/>
          </w:tcPr>
          <w:p>
            <w:pPr>
              <w:spacing w:after="0" w:line="161"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-1370965</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-1370965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-1370965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-573405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-573405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-573405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-281940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-264795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-281940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-264795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-281940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-264795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9"/>
              </w:rPr>
              <w:t>Treasury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9"/>
              </w:rPr>
              <w:t>Additional</w:t>
            </w:r>
          </w:p>
        </w:tc>
        <w:tc>
          <w:tcPr>
            <w:tcW w:w="120" w:type="dxa"/>
            <w:vAlign w:val="bottom"/>
          </w:tcPr>
          <w:p>
            <w:pPr>
              <w:spacing w:after="0"/>
              <w:rPr>
                <w:sz w:val="16"/>
                <w:szCs w:val="16"/>
                <w:color w:val="auto"/>
              </w:rPr>
            </w:pPr>
          </w:p>
        </w:tc>
        <w:tc>
          <w:tcPr>
            <w:tcW w:w="120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Accumulate</w:t>
            </w:r>
          </w:p>
        </w:tc>
        <w:tc>
          <w:tcPr>
            <w:tcW w:w="120" w:type="dxa"/>
            <w:vAlign w:val="bottom"/>
          </w:tcPr>
          <w:p>
            <w:pPr>
              <w:spacing w:after="0"/>
              <w:rPr>
                <w:sz w:val="16"/>
                <w:szCs w:val="16"/>
                <w:color w:val="auto"/>
              </w:rPr>
            </w:pPr>
          </w:p>
        </w:tc>
        <w:tc>
          <w:tcPr>
            <w:tcW w:w="11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82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Stock</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Paid-in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280" w:type="dxa"/>
            <w:vAlign w:val="bottom"/>
            <w:tcBorders>
              <w:bottom w:val="single" w:sz="8" w:color="auto"/>
            </w:tcBorders>
            <w:gridSpan w:val="2"/>
          </w:tcPr>
          <w:p>
            <w:pPr>
              <w:ind w:left="280"/>
              <w:spacing w:after="0" w:line="196" w:lineRule="exact"/>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7"/>
                <w:szCs w:val="17"/>
                <w:color w:val="auto"/>
              </w:rPr>
            </w:pP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center"/>
              <w:ind w:left="110"/>
              <w:spacing w:after="0" w:line="196" w:lineRule="exact"/>
              <w:rPr>
                <w:sz w:val="20"/>
                <w:szCs w:val="20"/>
                <w:color w:val="auto"/>
              </w:rPr>
            </w:pPr>
            <w:r>
              <w:rPr>
                <w:rFonts w:ascii="Arial" w:cs="Arial" w:eastAsia="Arial" w:hAnsi="Arial"/>
                <w:sz w:val="18"/>
                <w:szCs w:val="18"/>
                <w:b w:val="1"/>
                <w:bCs w:val="1"/>
                <w:color w:val="auto"/>
                <w:w w:val="99"/>
              </w:rPr>
              <w:t>Shares</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9"/>
              </w:rPr>
              <w:t>Capital</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80"/>
              <w:spacing w:after="0" w:line="196" w:lineRule="exact"/>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2024</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68,518,238</w:t>
            </w: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1,009,425</w:t>
            </w:r>
          </w:p>
        </w:tc>
        <w:tc>
          <w:tcPr>
            <w:tcW w:w="1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(1,263,011)</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(253,580)</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160" w:type="dxa"/>
            <w:vAlign w:val="bottom"/>
          </w:tcPr>
          <w:p>
            <w:pPr>
              <w:jc w:val="right"/>
              <w:spacing w:after="0"/>
              <w:rPr>
                <w:sz w:val="20"/>
                <w:szCs w:val="20"/>
                <w:color w:val="auto"/>
              </w:rPr>
            </w:pPr>
            <w:r>
              <w:rPr>
                <w:rFonts w:ascii="Arial" w:cs="Arial" w:eastAsia="Arial" w:hAnsi="Arial"/>
                <w:sz w:val="16"/>
                <w:szCs w:val="16"/>
                <w:color w:val="auto"/>
              </w:rPr>
              <w:t>290,165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508,568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321,099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(94,316)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(94,316)</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Balance at March 31, 2025</w:t>
            </w: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69,638,070</w:t>
            </w: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1,018,945</w:t>
            </w: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(1,357,327)</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(338,376)</w:t>
            </w:r>
          </w:p>
        </w:tc>
        <w:tc>
          <w:tcPr>
            <w:tcW w:w="0" w:type="dxa"/>
            <w:vAlign w:val="bottom"/>
          </w:tcPr>
          <w:p>
            <w:pPr>
              <w:spacing w:after="0"/>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Vesting of restricted stock units</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456,677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exercises of</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9,672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(75,810)</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(75,810)</w:t>
            </w:r>
          </w:p>
        </w:tc>
        <w:tc>
          <w:tcPr>
            <w:tcW w:w="0" w:type="dxa"/>
            <w:vAlign w:val="bottom"/>
          </w:tcPr>
          <w:p>
            <w:pPr>
              <w:spacing w:after="0"/>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Balance at June 30, 2025</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70,104,419</w:t>
            </w:r>
          </w:p>
        </w:tc>
        <w:tc>
          <w:tcPr>
            <w:tcW w:w="120" w:type="dxa"/>
            <w:vAlign w:val="bottom"/>
          </w:tcPr>
          <w:p>
            <w:pPr>
              <w:spacing w:after="0"/>
              <w:rPr>
                <w:sz w:val="15"/>
                <w:szCs w:val="15"/>
                <w:color w:val="auto"/>
              </w:rPr>
            </w:pPr>
          </w:p>
        </w:tc>
        <w:tc>
          <w:tcPr>
            <w:tcW w:w="54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19</w:t>
            </w:r>
          </w:p>
        </w:tc>
        <w:tc>
          <w:tcPr>
            <w:tcW w:w="120" w:type="dxa"/>
            <w:vAlign w:val="bottom"/>
          </w:tcPr>
          <w:p>
            <w:pPr>
              <w:spacing w:after="0"/>
              <w:rPr>
                <w:sz w:val="15"/>
                <w:szCs w:val="15"/>
                <w:color w:val="auto"/>
              </w:rPr>
            </w:pPr>
          </w:p>
        </w:tc>
        <w:tc>
          <w:tcPr>
            <w:tcW w:w="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1,027,297</w:t>
            </w:r>
          </w:p>
        </w:tc>
        <w:tc>
          <w:tcPr>
            <w:tcW w:w="100" w:type="dxa"/>
            <w:vAlign w:val="bottom"/>
          </w:tcPr>
          <w:p>
            <w:pPr>
              <w:spacing w:after="0"/>
              <w:rPr>
                <w:sz w:val="15"/>
                <w:szCs w:val="15"/>
                <w:color w:val="auto"/>
              </w:rPr>
            </w:pPr>
          </w:p>
        </w:tc>
        <w:tc>
          <w:tcPr>
            <w:tcW w:w="30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(1,433,137)</w:t>
            </w:r>
          </w:p>
        </w:tc>
        <w:tc>
          <w:tcPr>
            <w:tcW w:w="28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(405,834)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3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9"/>
              </w:rPr>
              <w:t>Treasury</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9"/>
              </w:rPr>
              <w:t>Additional</w:t>
            </w:r>
          </w:p>
        </w:tc>
        <w:tc>
          <w:tcPr>
            <w:tcW w:w="120" w:type="dxa"/>
            <w:vAlign w:val="bottom"/>
          </w:tcPr>
          <w:p>
            <w:pPr>
              <w:spacing w:after="0"/>
              <w:rPr>
                <w:sz w:val="16"/>
                <w:szCs w:val="16"/>
                <w:color w:val="auto"/>
              </w:rPr>
            </w:pPr>
          </w:p>
        </w:tc>
        <w:tc>
          <w:tcPr>
            <w:tcW w:w="120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Accumulate</w:t>
            </w:r>
          </w:p>
        </w:tc>
        <w:tc>
          <w:tcPr>
            <w:tcW w:w="120" w:type="dxa"/>
            <w:vAlign w:val="bottom"/>
          </w:tcPr>
          <w:p>
            <w:pPr>
              <w:spacing w:after="0"/>
              <w:rPr>
                <w:sz w:val="16"/>
                <w:szCs w:val="16"/>
                <w:color w:val="auto"/>
              </w:rPr>
            </w:pPr>
          </w:p>
        </w:tc>
        <w:tc>
          <w:tcPr>
            <w:tcW w:w="11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82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Stock</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Paid-in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16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center"/>
              <w:ind w:left="110"/>
              <w:spacing w:after="0" w:line="196" w:lineRule="exact"/>
              <w:rPr>
                <w:sz w:val="20"/>
                <w:szCs w:val="20"/>
                <w:color w:val="auto"/>
              </w:rPr>
            </w:pPr>
            <w:r>
              <w:rPr>
                <w:rFonts w:ascii="Arial" w:cs="Arial" w:eastAsia="Arial" w:hAnsi="Arial"/>
                <w:sz w:val="18"/>
                <w:szCs w:val="18"/>
                <w:b w:val="1"/>
                <w:bCs w:val="1"/>
                <w:color w:val="auto"/>
                <w:w w:val="99"/>
              </w:rPr>
              <w:t>Shares</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7"/>
              <w:spacing w:after="0" w:line="196" w:lineRule="exact"/>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8"/>
              <w:spacing w:after="0" w:line="196" w:lineRule="exact"/>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97"/>
              <w:spacing w:after="0" w:line="196" w:lineRule="exact"/>
              <w:rPr>
                <w:sz w:val="20"/>
                <w:szCs w:val="20"/>
                <w:color w:val="auto"/>
              </w:rPr>
            </w:pPr>
            <w:r>
              <w:rPr>
                <w:rFonts w:ascii="Arial" w:cs="Arial" w:eastAsia="Arial" w:hAnsi="Arial"/>
                <w:sz w:val="18"/>
                <w:szCs w:val="18"/>
                <w:b w:val="1"/>
                <w:bCs w:val="1"/>
                <w:color w:val="auto"/>
                <w:w w:val="98"/>
              </w:rPr>
              <w:t>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2023</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57,970,044</w:t>
            </w: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855,921</w:t>
            </w:r>
          </w:p>
        </w:tc>
        <w:tc>
          <w:tcPr>
            <w:tcW w:w="1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(928,685)</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(72,759)</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160" w:type="dxa"/>
            <w:vAlign w:val="bottom"/>
          </w:tcPr>
          <w:p>
            <w:pPr>
              <w:jc w:val="right"/>
              <w:spacing w:after="0"/>
              <w:rPr>
                <w:sz w:val="20"/>
                <w:szCs w:val="20"/>
                <w:color w:val="auto"/>
              </w:rPr>
            </w:pPr>
            <w:r>
              <w:rPr>
                <w:rFonts w:ascii="Arial" w:cs="Arial" w:eastAsia="Arial" w:hAnsi="Arial"/>
                <w:sz w:val="16"/>
                <w:szCs w:val="16"/>
                <w:color w:val="auto"/>
              </w:rPr>
              <w:t>93,736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340,542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119,779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(82,852)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(82,852)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March 31, 2024</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58,524,101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863,029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(1,011,537)</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(148,503)</w:t>
            </w:r>
          </w:p>
        </w:tc>
        <w:tc>
          <w:tcPr>
            <w:tcW w:w="0" w:type="dxa"/>
            <w:vAlign w:val="bottom"/>
          </w:tcPr>
          <w:p>
            <w:pPr>
              <w:spacing w:after="0"/>
              <w:rPr>
                <w:sz w:val="1"/>
                <w:szCs w:val="1"/>
                <w:color w:val="auto"/>
              </w:rPr>
            </w:pPr>
          </w:p>
        </w:tc>
      </w:tr>
      <w:tr>
        <w:trPr>
          <w:trHeight w:val="183"/>
        </w:trPr>
        <w:tc>
          <w:tcPr>
            <w:tcW w:w="368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Vesting of restricted stock units</w:t>
            </w:r>
          </w:p>
        </w:tc>
        <w:tc>
          <w:tcPr>
            <w:tcW w:w="1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74,492</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 of</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2,432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(91,446)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(91,446)</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Balance at June 30, 2024</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58,601,025</w:t>
            </w:r>
          </w:p>
        </w:tc>
        <w:tc>
          <w:tcPr>
            <w:tcW w:w="120" w:type="dxa"/>
            <w:vAlign w:val="bottom"/>
          </w:tcPr>
          <w:p>
            <w:pPr>
              <w:spacing w:after="0"/>
              <w:rPr>
                <w:sz w:val="15"/>
                <w:szCs w:val="15"/>
                <w:color w:val="auto"/>
              </w:rPr>
            </w:pPr>
          </w:p>
        </w:tc>
        <w:tc>
          <w:tcPr>
            <w:tcW w:w="54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19</w:t>
            </w:r>
          </w:p>
        </w:tc>
        <w:tc>
          <w:tcPr>
            <w:tcW w:w="120" w:type="dxa"/>
            <w:vAlign w:val="bottom"/>
          </w:tcPr>
          <w:p>
            <w:pPr>
              <w:spacing w:after="0"/>
              <w:rPr>
                <w:sz w:val="15"/>
                <w:szCs w:val="15"/>
                <w:color w:val="auto"/>
              </w:rPr>
            </w:pPr>
          </w:p>
        </w:tc>
        <w:tc>
          <w:tcPr>
            <w:tcW w:w="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869,149</w:t>
            </w:r>
          </w:p>
        </w:tc>
        <w:tc>
          <w:tcPr>
            <w:tcW w:w="100" w:type="dxa"/>
            <w:vAlign w:val="bottom"/>
          </w:tcPr>
          <w:p>
            <w:pPr>
              <w:spacing w:after="0"/>
              <w:rPr>
                <w:sz w:val="15"/>
                <w:szCs w:val="15"/>
                <w:color w:val="auto"/>
              </w:rPr>
            </w:pPr>
          </w:p>
        </w:tc>
        <w:tc>
          <w:tcPr>
            <w:tcW w:w="30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(1,102,983)</w:t>
            </w:r>
          </w:p>
        </w:tc>
        <w:tc>
          <w:tcPr>
            <w:tcW w:w="28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(233,829)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-3205480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-3205480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-3205480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-3205480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-3205480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-2596515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-2596515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-2596515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-2596515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-2596515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-762635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-762635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-762635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-762635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-762635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-153670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-153670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-153670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-153670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-153670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7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260" w:type="dxa"/>
            <w:vAlign w:val="bottom"/>
            <w:tcBorders>
              <w:bottom w:val="single" w:sz="8" w:color="auto"/>
            </w:tcBorders>
          </w:tcPr>
          <w:p>
            <w:pPr>
              <w:spacing w:after="0"/>
              <w:rPr>
                <w:sz w:val="19"/>
                <w:szCs w:val="19"/>
                <w:color w:val="auto"/>
              </w:rPr>
            </w:pPr>
          </w:p>
        </w:tc>
      </w:tr>
      <w:tr>
        <w:trPr>
          <w:trHeight w:val="196"/>
        </w:trPr>
        <w:tc>
          <w:tcPr>
            <w:tcW w:w="7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77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(170,126)</w:t>
            </w:r>
          </w:p>
        </w:tc>
        <w:tc>
          <w:tcPr>
            <w:tcW w:w="5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(174,298)</w:t>
            </w:r>
          </w:p>
        </w:tc>
      </w:tr>
      <w:tr>
        <w:trPr>
          <w:trHeight w:val="20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411</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13,812</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11,725</w:t>
            </w: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Issuance of PIK interest debt</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2,300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1,707</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Accrued interest on revenue interest financing liability</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15,491</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24,173</w:t>
            </w: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debt discount</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1,430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974</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Inventory reserve</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819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243</w:t>
            </w: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Other</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3,131</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2,971</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6,246</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(2,303)</w:t>
            </w: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(12,458)</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(9,240)</w:t>
            </w: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5,416</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3,675</w:t>
            </w: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Accrued interest</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279</w:t>
            </w: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Operating right-of-use assets and lease liabilities</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66</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90</w:t>
            </w: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Inventory</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(14,178)</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(148)</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(147,659)</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(139,741)</w:t>
            </w:r>
          </w:p>
        </w:tc>
      </w:tr>
      <w:tr>
        <w:trPr>
          <w:trHeight w:val="196"/>
        </w:trPr>
        <w:tc>
          <w:tcPr>
            <w:tcW w:w="77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Cash paid for property and equipment</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w:t>
            </w:r>
          </w:p>
        </w:tc>
      </w:tr>
      <w:tr>
        <w:trPr>
          <w:trHeight w:val="196"/>
        </w:trPr>
        <w:tc>
          <w:tcPr>
            <w:tcW w:w="7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Proceeds from issuance of common stock from exercise of stock options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21</w:t>
            </w:r>
          </w:p>
        </w:tc>
      </w:tr>
      <w:tr>
        <w:trPr>
          <w:trHeight w:val="203"/>
        </w:trPr>
        <w:tc>
          <w:tcPr>
            <w:tcW w:w="778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Net proceeds from issuance of debt</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34,650</w:t>
            </w:r>
          </w:p>
        </w:tc>
      </w:tr>
      <w:tr>
        <w:trPr>
          <w:trHeight w:val="196"/>
        </w:trPr>
        <w:tc>
          <w:tcPr>
            <w:tcW w:w="7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80</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34,671</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Net decrease in cash and cash equivalents and restricted cash</w:t>
            </w:r>
          </w:p>
        </w:tc>
        <w:tc>
          <w:tcPr>
            <w:tcW w:w="3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(147,694)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(105,156)</w:t>
            </w:r>
          </w:p>
        </w:tc>
      </w:tr>
      <w:tr>
        <w:trPr>
          <w:trHeight w:val="203"/>
        </w:trPr>
        <w:tc>
          <w:tcPr>
            <w:tcW w:w="7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 and restricted cash – beginning of period</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300,125</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384,256</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Cash and cash equivalents and restricted cash – end of period</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152,431</w:t>
            </w:r>
          </w:p>
        </w:tc>
        <w:tc>
          <w:tcPr>
            <w:tcW w:w="5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279,100</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7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202"/>
        </w:trPr>
        <w:tc>
          <w:tcPr>
            <w:tcW w:w="778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paid</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10,538</w:t>
            </w:r>
          </w:p>
        </w:tc>
        <w:tc>
          <w:tcPr>
            <w:tcW w:w="5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7,819</w:t>
            </w:r>
          </w:p>
        </w:tc>
      </w:tr>
      <w:tr>
        <w:trPr>
          <w:trHeight w:val="183"/>
        </w:trPr>
        <w:tc>
          <w:tcPr>
            <w:tcW w:w="77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2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purchases included in accounts payable and accrued expenses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w:t>
            </w:r>
          </w:p>
        </w:tc>
        <w:tc>
          <w:tcPr>
            <w:tcW w:w="5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w:t>
            </w: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8"/>
                <w:szCs w:val="18"/>
                <w:color w:val="auto"/>
              </w:rPr>
              <w:t>Final interest payment fee</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line="183"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line="183" w:lineRule="exact"/>
              <w:rPr>
                <w:sz w:val="20"/>
                <w:szCs w:val="20"/>
                <w:color w:val="auto"/>
              </w:rPr>
            </w:pPr>
            <w:r>
              <w:rPr>
                <w:rFonts w:ascii="Arial" w:cs="Arial" w:eastAsia="Arial" w:hAnsi="Arial"/>
                <w:sz w:val="18"/>
                <w:szCs w:val="18"/>
                <w:color w:val="auto"/>
              </w:rPr>
              <w:t>750</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Settlement of ESPP liability in common stock</w:t>
            </w:r>
          </w:p>
        </w:tc>
        <w:tc>
          <w:tcPr>
            <w:tcW w:w="320" w:type="dxa"/>
            <w:vAlign w:val="bottom"/>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1,853</w:t>
            </w:r>
          </w:p>
        </w:tc>
        <w:tc>
          <w:tcPr>
            <w:tcW w:w="56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770</w:t>
            </w: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8"/>
                <w:szCs w:val="18"/>
                <w:color w:val="auto"/>
              </w:rPr>
              <w:t>Settlement of 401(k) liability in common stock</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2,127</w:t>
            </w:r>
          </w:p>
        </w:tc>
        <w:tc>
          <w:tcPr>
            <w:tcW w:w="560" w:type="dxa"/>
            <w:vAlign w:val="bottom"/>
            <w:gridSpan w:val="2"/>
          </w:tcPr>
          <w:p>
            <w:pPr>
              <w:jc w:val="right"/>
              <w:ind w:right="280"/>
              <w:spacing w:after="0" w:line="183"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line="183" w:lineRule="exact"/>
              <w:rPr>
                <w:sz w:val="20"/>
                <w:szCs w:val="20"/>
                <w:color w:val="auto"/>
              </w:rPr>
            </w:pPr>
            <w:r>
              <w:rPr>
                <w:rFonts w:ascii="Arial" w:cs="Arial" w:eastAsia="Arial" w:hAnsi="Arial"/>
                <w:sz w:val="18"/>
                <w:szCs w:val="18"/>
                <w:color w:val="auto"/>
              </w:rPr>
              <w:t>712</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-2669540</wp:posOffset>
            </wp:positionV>
            <wp:extent cx="136525" cy="170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6525" cy="1708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-2116455</wp:posOffset>
            </wp:positionV>
            <wp:extent cx="111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-1734820</wp:posOffset>
            </wp:positionV>
            <wp:extent cx="13652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65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-1319530</wp:posOffset>
            </wp:positionV>
            <wp:extent cx="111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-770890</wp:posOffset>
            </wp:positionV>
            <wp:extent cx="111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-753745</wp:posOffset>
            </wp:positionV>
            <wp:extent cx="111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-487680</wp:posOffset>
            </wp:positionV>
            <wp:extent cx="11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-471170</wp:posOffset>
            </wp:positionV>
            <wp:extent cx="111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-179070</wp:posOffset>
            </wp:positionV>
            <wp:extent cx="111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-161925</wp:posOffset>
            </wp:positionV>
            <wp:extent cx="111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Unaudited Financial Statements</w:t>
      </w:r>
    </w:p>
    <w:p>
      <w:pPr>
        <w:spacing w:after="0" w:line="153" w:lineRule="exact"/>
        <w:rPr>
          <w:sz w:val="20"/>
          <w:szCs w:val="20"/>
          <w:color w:val="auto"/>
        </w:rPr>
      </w:pPr>
    </w:p>
    <w:p>
      <w:pPr>
        <w:ind w:right="3800"/>
        <w:spacing w:after="0" w:line="446" w:lineRule="auto"/>
        <w:rPr>
          <w:sz w:val="20"/>
          <w:szCs w:val="20"/>
          <w:color w:val="auto"/>
        </w:rPr>
      </w:pPr>
      <w:r>
        <w:rPr>
          <w:rFonts w:ascii="Arial" w:cs="Arial" w:eastAsia="Arial" w:hAnsi="Arial"/>
          <w:sz w:val="18"/>
          <w:szCs w:val="18"/>
          <w:b w:val="1"/>
          <w:bCs w:val="1"/>
          <w:color w:val="auto"/>
        </w:rPr>
        <w:t xml:space="preserve">1. Organization, Basis of Presentation and Summary of Significant Accounting Policies </w:t>
      </w:r>
      <w:r>
        <w:rPr>
          <w:rFonts w:ascii="Arial" w:cs="Arial" w:eastAsia="Arial" w:hAnsi="Arial"/>
          <w:sz w:val="18"/>
          <w:szCs w:val="18"/>
          <w:b w:val="1"/>
          <w:bCs w:val="1"/>
          <w:i w:val="1"/>
          <w:iCs w:val="1"/>
          <w:color w:val="auto"/>
        </w:rPr>
        <w:t>Organization</w:t>
      </w:r>
    </w:p>
    <w:p>
      <w:pPr>
        <w:ind w:right="600" w:firstLine="509"/>
        <w:spacing w:after="0" w:line="301" w:lineRule="auto"/>
        <w:rPr>
          <w:sz w:val="20"/>
          <w:szCs w:val="20"/>
          <w:color w:val="auto"/>
        </w:rPr>
      </w:pPr>
      <w:r>
        <w:rPr>
          <w:rFonts w:ascii="Arial" w:cs="Arial" w:eastAsia="Arial" w:hAnsi="Arial"/>
          <w:sz w:val="17"/>
          <w:szCs w:val="17"/>
          <w:color w:val="auto"/>
        </w:rPr>
        <w:t>Phathom Pharmaceuticals, Inc., or the Company or Phathom, was incorporated in the state of Delaware in January 2018. The Company is a biopharmaceutical company focused on developing and commercializing novel treatments for gastrointestinal diseases.</w:t>
      </w:r>
    </w:p>
    <w:p>
      <w:pPr>
        <w:spacing w:after="0" w:line="90"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 xml:space="preserve">On October 27, 2023, the U.S. Food and Drug Administration, or FDA, approved the prior approval supplements to the Company's new drug applications, or NDAs, for VOQUEZNA TRIPLE PAK and VOQUEZNA DUAL PAK. Additionally, on November 1, 2023, the FDA approved the Company's NDA for VOQUEZNA tablets. The Company initiated commercial launch for VOQUEZNA for both the Erosive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indications, and VOQUEZNA TRIPLE PAK and VOQUEZNA DUAL PAK for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the fourth quarter of 2023. Additionally, on July 17, 2024, the FDA approved VOQUEZNA 10 mg tablets for the relief of heartburn associated with Non-Erosive GERD.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From inception to June 30, 2025, the Company has devoted substantially all of its efforts to organizing and staffing the Company, business planning, raising capital, in-licensing its initial and approved product candidate, vonoprazan, meeting with regulatory authorities, managing the clinical trials of vonoprazan, preparing for commercialization of its initial products containing vonoprazan, commercially launching its approved products, and providing other selling, general and administrative support for these operations. The Company has a limited operating history as a commercial company, has generated limited product revenue to date, and the sales and income potential of its business remains uncertain. The Company has incurred net losses and negative cash flows from operating activities since its inception and expects to continue to incur additional net losses in the future. The Company has funded its operations primarily through commercial bank debt, the revenue interest financing debt and various equity offerings, including the Company's at-the-market, or ATM, offerings. From inception through June 30, 2025, the Company sold 34,737,032 shares of common stock and 2,608,922 pre-funded warrants, generating net proceeds of approximately $543.3 million, after deducting underwriting discounts, commissions and offering costs.</w:t>
      </w:r>
    </w:p>
    <w:p>
      <w:pPr>
        <w:spacing w:after="0" w:line="13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accompanying unaudited interim condensed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U.S. generally accepted accounting principles, or GAAP. 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58"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unaudited interim condensed financial statements were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unaudited interim condensed financial statements included herein have been prepared by the Company in accordance with GAAP, and pursuant to the rules and regulations of the Securities and Exchange Commission, or the SEC. In the opinion of management, the accompanying unaudited interim condensed financial statements include all adjustments, consisting of normal recurring adjustments, which are necessary to present fairly the Company’s financial position, results of operations, and cash flows. The interim results of operations are not necessarily indicative of the results that may occur for the full fiscal year. Certain information in the footnote disclosures of the financial statements has been condensed or omitted where it substantially duplicates information provided in the Company’s latest audited financial statements, in accordance with the rules and regulations of the SEC. These unaudited interim condensed financial statements should be read in conjunction with the Company’s audited financial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ind w:right="160"/>
        <w:spacing w:after="0" w:line="271" w:lineRule="auto"/>
        <w:rPr>
          <w:sz w:val="20"/>
          <w:szCs w:val="20"/>
          <w:color w:val="auto"/>
        </w:rPr>
      </w:pPr>
      <w:r>
        <w:rPr>
          <w:rFonts w:ascii="Arial" w:cs="Arial" w:eastAsia="Arial" w:hAnsi="Arial"/>
          <w:sz w:val="18"/>
          <w:szCs w:val="18"/>
          <w:color w:val="auto"/>
        </w:rPr>
        <w:t>statements and footnotes included in its Annual Report on Form 10-K for the fiscal year ended December 31, 2024, or the 2024 Form 10-K, filed with the SEC on March 7, 2025.</w:t>
      </w:r>
    </w:p>
    <w:p>
      <w:pPr>
        <w:spacing w:after="0" w:line="127"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During the six months ended June 30, 2025, there were no significant changes to the Company’s summary of significant accounting policies contained in the Company’s 2024 Form 10-K. The Company’s complete listing of significant accounting policies is set forth in Note 1 of the notes to the audited financial statements in the Company's 2024 Form 10-K. Selected significant accounting policies are discussed in detail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preparation of the Company’s unaudited condensed interim financial statements requires management to make estimates and assumptions that impact the reported amounts of assets, liabilities, revenues and expenses, and the disclosure of contingent assets and liabilities in the Company’s unaudited condensed interim financial statements and accompanying notes. The most significant estimates in the Company’s unaudited condensed interim financial statements relate to accruals for net product revenues and the valuation for the revenue interest financing liability. In addition, management’s assessment of the Company’s ability to continue as a going concern involves the estimation of the amount and timing of future cash inflows and outflows. Although these estimates are based on the Company’s knowledge of current events and actions it may undertake in the future, actual results could differ materially from those estimates and assumptions.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71" w:lineRule="exact"/>
        <w:rPr>
          <w:sz w:val="20"/>
          <w:szCs w:val="20"/>
          <w:color w:val="auto"/>
        </w:rPr>
      </w:pPr>
    </w:p>
    <w:p>
      <w:pPr>
        <w:ind w:right="1040" w:firstLine="509"/>
        <w:spacing w:after="0" w:line="271" w:lineRule="auto"/>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13"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accounts receivable, prepaid and other current assets, accounts payable, and accrued liabilities, approximate fair value due to their short maturities.</w:t>
      </w:r>
    </w:p>
    <w:p>
      <w:pPr>
        <w:spacing w:after="0" w:line="142" w:lineRule="exact"/>
        <w:rPr>
          <w:sz w:val="20"/>
          <w:szCs w:val="20"/>
          <w:color w:val="auto"/>
        </w:rPr>
      </w:pPr>
    </w:p>
    <w:p>
      <w:pPr>
        <w:ind w:right="440" w:firstLine="509"/>
        <w:spacing w:after="0" w:line="301"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90"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As of June 30, 2025 and December 31, 2024, the estimated fair value of the Company’s long-term debt approximated the carrying amount given its floating interest rate basis. The fair value of the Company’s long-term debt was estimated for disclosure purposes only and was determined based on quoted market data for valuation, and thus categorized as Level 2 in the fair value hierarchy.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33"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Company is also subject to credit risk from our accounts receivable related to our product sales. The Company monitors exposure within accounts receivable and records an allowance for credit losses as necessary. The Company extends credit primarily to wholesale distributors. Customer creditworthiness is monitored and collateral is not required. The allowance for credit losses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8" w:name="page9"/>
    <w:bookmarkEnd w:id="8"/>
    <w:p>
      <w:pPr>
        <w:ind w:right="100"/>
        <w:spacing w:after="0" w:line="256" w:lineRule="auto"/>
        <w:rPr>
          <w:sz w:val="20"/>
          <w:szCs w:val="20"/>
          <w:color w:val="auto"/>
        </w:rPr>
      </w:pPr>
      <w:r>
        <w:rPr>
          <w:rFonts w:ascii="Arial" w:cs="Arial" w:eastAsia="Arial" w:hAnsi="Arial"/>
          <w:sz w:val="17"/>
          <w:szCs w:val="17"/>
          <w:color w:val="auto"/>
        </w:rPr>
        <w:t>reflects the best estimate of expected credit losses of the accounts receivable portfolio determined on the basis of historical experience, current information, and forecasts of future economic conditions. The Company determines its allowance methodology by pooling receivable balances at the customer level. The Company considers various factors, including its previous loss history, individual credit risk associated with each customer, and the current and future conditions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customer. The Company makes concerted efforts to collect all outstanding balances due from customers; however, account balances are charged off against the allowance when management believes it is probable the receivable will not be recovered. The Company does not have any off-balance-sheet credit exposure related to customers.</w:t>
      </w:r>
    </w:p>
    <w:p>
      <w:pPr>
        <w:spacing w:after="0" w:line="141"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auto"/>
        </w:rPr>
        <w:t>As of June 30, 2025, three customers accounted for 82% of the accounts receivable balance, with each of these individual customers ranging from 27% to 28% of the accounts receivable balance. As of December 31, 2024, three customers accounted for 81% of the accounts receivable balance, with each of these individual customers ranging from 25% to 31% of the accounts receivable balance. For the three and six months ended June 30, 2025, three customers accounted for 69% and 72% of the product sales in each period, with each of these individual customers ranging from 22% to 24% of the product sales in both periods. For the three and six months ended June 30, 2024, three customers accounted for 67% and 68% of the product sales, respectively, with each of these individual customers ranging from 21% to 24% of the product sales in both periods.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and pre-funded warrants for the period, without consideration for other potentially dilutive securities. For the three and six months ended June 30, 2025, basic shares outstanding includes the weighted average effect of the Company’s outstanding pre-funded warrants, the exercise of which requires little or no consideration for the delivery of shares of common stock. For the three and six months ended June 30, 2025 and 2024, the Company had no weighted-average unvested shares to exclude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restricted stock units)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1"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In December 2023, the FASB issued ASU 2023-09 – Income Taxes (Topic 740) – Improvements to Income Tax Disclosures, which improves income tax disclosures primarily relating to the rate reconciliation and income taxes paid information. This includes a tabular reconciliation using both percentages and reporting currency amounts, covering various tax and reconciling items, and disaggregated summaries of income taxes paid during the period. For public business entities, the guidance is effective for annual periods beginning after December 15, 2024, with early adoption permitted. T</w:t>
      </w:r>
      <w:r>
        <w:rPr>
          <w:rFonts w:ascii="Arial" w:cs="Arial" w:eastAsia="Arial" w:hAnsi="Arial"/>
          <w:sz w:val="16"/>
          <w:szCs w:val="16"/>
          <w:color w:val="auto"/>
        </w:rPr>
        <w:t>he update will be effective for the Company beginning with its 2025 annual financial statements.</w:t>
      </w:r>
      <w:r>
        <w:rPr>
          <w:rFonts w:ascii="Arial" w:cs="Arial" w:eastAsia="Arial" w:hAnsi="Arial"/>
          <w:sz w:val="18"/>
          <w:szCs w:val="18"/>
          <w:color w:val="auto"/>
        </w:rPr>
        <w:t xml:space="preserve"> </w:t>
      </w:r>
      <w:r>
        <w:rPr>
          <w:rFonts w:ascii="Arial" w:cs="Arial" w:eastAsia="Arial" w:hAnsi="Arial"/>
          <w:sz w:val="16"/>
          <w:szCs w:val="16"/>
          <w:color w:val="auto"/>
        </w:rPr>
        <w:t>The Company currently expects that this standard will not have a material impact on the footnote disclosures to its annual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2024 Form 10-K. There were no new material accounting standards issued in the second quarter of 2025 that impacted the Company.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7"/>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2. Balance Sheet Details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5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Accrued expenses consist of the following (in thousands):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compensation expenses</w:t>
            </w:r>
          </w:p>
        </w:tc>
        <w:tc>
          <w:tcPr>
            <w:tcW w:w="3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18,707</w:t>
            </w:r>
          </w:p>
        </w:tc>
        <w:tc>
          <w:tcPr>
            <w:tcW w:w="360" w:type="dxa"/>
            <w:vAlign w:val="bottom"/>
            <w:gridSpan w:val="3"/>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16,659</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professional &amp; consulting expenses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83</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revenue allowances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40,503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29,987</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Accrued other</w:t>
            </w:r>
          </w:p>
        </w:tc>
        <w:tc>
          <w:tcPr>
            <w:tcW w:w="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4,871</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tcPr>
          <w:p>
            <w:pPr>
              <w:spacing w:after="0" w:line="196" w:lineRule="exact"/>
              <w:rPr>
                <w:sz w:val="20"/>
                <w:szCs w:val="20"/>
                <w:color w:val="auto"/>
              </w:rPr>
            </w:pPr>
            <w:r>
              <w:rPr>
                <w:rFonts w:ascii="Arial" w:cs="Arial" w:eastAsia="Arial" w:hAnsi="Arial"/>
                <w:sz w:val="18"/>
                <w:szCs w:val="18"/>
                <w:color w:val="auto"/>
              </w:rPr>
              <w:t>Total accrued expenses</w:t>
            </w:r>
          </w:p>
        </w:tc>
        <w:tc>
          <w:tcPr>
            <w:tcW w:w="34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64,296</w:t>
            </w:r>
          </w:p>
        </w:tc>
        <w:tc>
          <w:tcPr>
            <w:tcW w:w="360" w:type="dxa"/>
            <w:vAlign w:val="bottom"/>
            <w:gridSpan w:val="3"/>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53,232</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Inventory</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Inventory consist of the following (in thousands):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Finished goods</w:t>
            </w:r>
          </w:p>
        </w:tc>
        <w:tc>
          <w:tcPr>
            <w:tcW w:w="3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2,440</w:t>
            </w:r>
          </w:p>
        </w:tc>
        <w:tc>
          <w:tcPr>
            <w:tcW w:w="360" w:type="dxa"/>
            <w:vAlign w:val="bottom"/>
            <w:gridSpan w:val="3"/>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991</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inventory, current</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3,431</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 non-current</w:t>
            </w: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24,675</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p>
        </w:tc>
        <w:tc>
          <w:tcPr>
            <w:tcW w:w="4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28,106</w:t>
            </w: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-1713865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Raw materials consist of materials, including active pharmaceutical ingredients, to be consumed in the production of inventory related to FDA-approved products. Inventory that is used for clinical development purposes is expensed to research and development expense when consumed. Inventory, noncurrent includes inventory expected to remain on-hand beyond one year from the balance sheet dates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4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consideration of the Takeda License, the Company (i) paid Takeda $25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initial public offering, or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 million in sales milestones upon the achievement of specified levels of product sales, and a low double-digit royalty rate on aggregate net sales of licensed products, subject to certain adjustments. The Takeda Warrant had an</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7" w:right="439" w:bottom="1440" w:gutter="0" w:footer="0" w:header="0"/>
        </w:sectPr>
      </w:pPr>
    </w:p>
    <w:bookmarkStart w:id="10" w:name="page11"/>
    <w:bookmarkEnd w:id="10"/>
    <w:p>
      <w:pPr>
        <w:ind w:right="20"/>
        <w:spacing w:after="0" w:line="271" w:lineRule="auto"/>
        <w:rPr>
          <w:sz w:val="20"/>
          <w:szCs w:val="20"/>
          <w:color w:val="auto"/>
        </w:rPr>
      </w:pPr>
      <w:r>
        <w:rPr>
          <w:rFonts w:ascii="Arial" w:cs="Arial" w:eastAsia="Arial" w:hAnsi="Arial"/>
          <w:sz w:val="18"/>
          <w:szCs w:val="18"/>
          <w:color w:val="auto"/>
        </w:rPr>
        <w:t>exercise price of $0.00004613 per share, and was to expire on May 7, 2029 and became exercisable upon the consummation of the IPO. All Takeda Warrants were exercised by March 2022.</w:t>
      </w:r>
    </w:p>
    <w:p>
      <w:pPr>
        <w:spacing w:after="0" w:line="127"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During the three months ended June 30, 2025 and 2024, the Company recorded $4.0 million and $0.7 million, respectively, of royalty expense under the Takeda License, of which $4.0 million is included within accrued expenses as of June 30, 2025. During the six months ended June 30, 2025 and 2024, the Company recorded $6.8 million and $0.9 million, respectively, of royalty expense under the Takeda License.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December 2020, the Company entered into a supply agreement with Sandoz pursuant to which Sandoz has agreed to supply commercial quantities of amoxicillin capsules and clarithromycin tablets, package these antibiotics with vonoprazan, and provide in finished convenience packs. The supply agreement commits the Company to a minimum purchase obligation of €2.9 million, or approximately $3.4 million, in the first 24-month period following the launch of the final product. The Company incurred $0.1 million and $0.2 million under the agreement during the three and six months ended June 30, 2025, respectively. The Company incurred no expenses under the agreement during the three and six months ended June 30, 2024. As of June 30, 2025, €1.6 million, or approximately $1.9 million, remains of the minimum purchase obligation and the Company has not recorded any liability related to the minimum purchase obligation.</w:t>
      </w:r>
    </w:p>
    <w:p>
      <w:pPr>
        <w:spacing w:after="0" w:line="158"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Company has been informed by Sandoz that there could be a disruption in the supply of clarithromycin tablets, a component of the VOQUEZNA TRIPLE PAK. The VOQUEZNA TRIPLE PAK represents approximately 1% of our total revenue. The Company is in discussions with Sandoz and continues to actively monitor the situation. While the Company has not experienced any commercial disruption to date, any disruption for such supply would result in our inability to continue to commercialize the VOQUEZNA TRIPLE PAK. The VOQUEZNA bottles and the VOQUEZNA DUAL PAKs are not impacted, as they do not include clarithromycin.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6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 Commitments</w:t>
      </w:r>
    </w:p>
    <w:p>
      <w:pPr>
        <w:spacing w:after="0" w:line="17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As of June 30, 2025, the Company had operating leases for office space in both Buffalo Grove, Illinois and Florham Park, New Jersey, with weighted average remaining lease terms of 4.9 years and 0.2 years, respectively. Some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3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total rent expense for each of the three months ended June 30, 2025 and 2024 was $0.3 million. Total rent expense for the six months ended June 30, 2025 and 2024 was $0.5 million and $0.6 million, respectively. Total short-term lease costs relating to leased vehicles were approximately $1.8 million and $2.8 million for the three months ended June 30, 2025 and 2024, respectively. Total short-term lease costs relating to leased vehicles were approximately $3.6 million and $5.1 million for the six months ended June 30, 2025 and 2024, respectively.</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7" w:right="39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As of June 30, 2025, the future minimum annual lease payments under the operating leases were as follows (in thousands):</w:t>
      </w:r>
    </w:p>
    <w:p>
      <w:pPr>
        <w:spacing w:after="0" w:line="185" w:lineRule="exact"/>
        <w:rPr>
          <w:sz w:val="20"/>
          <w:szCs w:val="20"/>
          <w:color w:val="auto"/>
        </w:rPr>
      </w:pPr>
    </w:p>
    <w:tbl>
      <w:tblPr>
        <w:tblLayout w:type="fixed"/>
        <w:tblInd w:w="1420" w:type="dxa"/>
        <w:tblCellMar>
          <w:top w:w="0" w:type="dxa"/>
          <w:left w:w="0" w:type="dxa"/>
          <w:bottom w:w="0" w:type="dxa"/>
          <w:right w:w="0" w:type="dxa"/>
        </w:tblCellMar>
      </w:tblPr>
      <w:tr>
        <w:trPr>
          <w:trHeight w:val="235"/>
        </w:trPr>
        <w:tc>
          <w:tcPr>
            <w:tcW w:w="57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2025</w:t>
            </w:r>
          </w:p>
        </w:tc>
        <w:tc>
          <w:tcPr>
            <w:tcW w:w="1060" w:type="dxa"/>
            <w:vAlign w:val="bottom"/>
            <w:shd w:val="clear" w:color="auto" w:fill="CFF0FC"/>
          </w:tcPr>
          <w:p>
            <w:pPr>
              <w:jc w:val="right"/>
              <w:ind w:right="85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146</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2026</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207</w:t>
            </w: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2027</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213</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2028</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219</w:t>
            </w: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2029</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226</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2030</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95</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minimum lease payments</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1,106</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0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(279)</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827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Less: operating lease liabilities, current</w:t>
            </w:r>
          </w:p>
        </w:tc>
        <w:tc>
          <w:tcPr>
            <w:tcW w:w="10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(238)</w:t>
            </w:r>
          </w:p>
        </w:tc>
      </w:tr>
      <w:tr>
        <w:trPr>
          <w:trHeight w:val="236"/>
        </w:trPr>
        <w:tc>
          <w:tcPr>
            <w:tcW w:w="5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lease liabilities, non-current</w:t>
            </w:r>
          </w:p>
        </w:tc>
        <w:tc>
          <w:tcPr>
            <w:tcW w:w="1060" w:type="dxa"/>
            <w:vAlign w:val="bottom"/>
            <w:tcBorders>
              <w:bottom w:val="single" w:sz="8" w:color="auto"/>
            </w:tcBorders>
            <w:shd w:val="clear" w:color="auto" w:fill="CFF0FC"/>
          </w:tcPr>
          <w:p>
            <w:pPr>
              <w:jc w:val="right"/>
              <w:ind w:right="85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589</w:t>
            </w:r>
          </w:p>
        </w:tc>
      </w:tr>
      <w:tr>
        <w:trPr>
          <w:trHeight w:val="183"/>
        </w:trPr>
        <w:tc>
          <w:tcPr>
            <w:tcW w:w="5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remaining lease term (in years)</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4.29</w:t>
            </w:r>
          </w:p>
        </w:tc>
      </w:tr>
      <w:tr>
        <w:trPr>
          <w:trHeight w:val="239"/>
        </w:trPr>
        <w:tc>
          <w:tcPr>
            <w:tcW w:w="576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10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13.26%</w:t>
            </w:r>
          </w:p>
        </w:tc>
      </w:tr>
    </w:tbl>
    <w:p>
      <w:pPr>
        <w:spacing w:after="0" w:line="120"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Operating cash flows for the six months ended June 30, 2025 and 2024 included cash payments for operating leases of approximately $0.4 million and $0.5 million,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020" w:type="dxa"/>
            <w:vAlign w:val="bottom"/>
            <w:gridSpan w:val="2"/>
          </w:tcPr>
          <w:p>
            <w:pPr>
              <w:spacing w:after="0"/>
              <w:rPr>
                <w:sz w:val="20"/>
                <w:szCs w:val="20"/>
                <w:color w:val="auto"/>
              </w:rPr>
            </w:pPr>
            <w:r>
              <w:rPr>
                <w:rFonts w:ascii="Arial" w:cs="Arial" w:eastAsia="Arial" w:hAnsi="Arial"/>
                <w:sz w:val="20"/>
                <w:szCs w:val="20"/>
                <w:b w:val="1"/>
                <w:bCs w:val="1"/>
                <w:color w:val="auto"/>
              </w:rPr>
              <w:t>5</w:t>
            </w:r>
            <w:r>
              <w:rPr>
                <w:rFonts w:ascii="Arial" w:cs="Arial" w:eastAsia="Arial" w:hAnsi="Arial"/>
                <w:sz w:val="17"/>
                <w:szCs w:val="17"/>
                <w:b w:val="1"/>
                <w:bCs w:val="1"/>
                <w:color w:val="auto"/>
              </w:rPr>
              <w:t>. Debt</w:t>
            </w: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376"/>
        </w:trPr>
        <w:tc>
          <w:tcPr>
            <w:tcW w:w="6020" w:type="dxa"/>
            <w:vAlign w:val="bottom"/>
            <w:gridSpan w:val="2"/>
          </w:tcPr>
          <w:p>
            <w:pPr>
              <w:ind w:left="520"/>
              <w:spacing w:after="0"/>
              <w:rPr>
                <w:sz w:val="20"/>
                <w:szCs w:val="20"/>
                <w:color w:val="auto"/>
              </w:rPr>
            </w:pPr>
            <w:r>
              <w:rPr>
                <w:rFonts w:ascii="Arial" w:cs="Arial" w:eastAsia="Arial" w:hAnsi="Arial"/>
                <w:sz w:val="18"/>
                <w:szCs w:val="18"/>
                <w:color w:val="auto"/>
              </w:rPr>
              <w:t>Total debt consists of the following (in thousands):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42"/>
        </w:trPr>
        <w:tc>
          <w:tcPr>
            <w:tcW w:w="1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4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2024</w:t>
            </w:r>
          </w:p>
        </w:tc>
      </w:tr>
      <w:tr>
        <w:trPr>
          <w:trHeight w:val="196"/>
        </w:trPr>
        <w:tc>
          <w:tcPr>
            <w:tcW w:w="1420" w:type="dxa"/>
            <w:vAlign w:val="bottom"/>
          </w:tcPr>
          <w:p>
            <w:pPr>
              <w:spacing w:after="0"/>
              <w:rPr>
                <w:sz w:val="17"/>
                <w:szCs w:val="17"/>
                <w:color w:val="auto"/>
              </w:rPr>
            </w:pPr>
          </w:p>
        </w:tc>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 current portion</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142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Long-term debt, non-current portion</w:t>
            </w: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214,131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211,831</w:t>
            </w:r>
          </w:p>
        </w:tc>
      </w:tr>
      <w:tr>
        <w:trPr>
          <w:trHeight w:val="203"/>
        </w:trPr>
        <w:tc>
          <w:tcPr>
            <w:tcW w:w="1420" w:type="dxa"/>
            <w:vAlign w:val="bottom"/>
          </w:tcPr>
          <w:p>
            <w:pPr>
              <w:spacing w:after="0"/>
              <w:rPr>
                <w:sz w:val="17"/>
                <w:szCs w:val="17"/>
                <w:color w:val="auto"/>
              </w:rPr>
            </w:pPr>
          </w:p>
        </w:tc>
        <w:tc>
          <w:tcPr>
            <w:tcW w:w="46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Unamortized debt discount</w:t>
            </w:r>
          </w:p>
        </w:tc>
        <w:tc>
          <w:tcPr>
            <w:tcW w:w="3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(8,992)</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(10,422)</w:t>
            </w:r>
          </w:p>
        </w:tc>
      </w:tr>
      <w:tr>
        <w:trPr>
          <w:trHeight w:val="210"/>
        </w:trPr>
        <w:tc>
          <w:tcPr>
            <w:tcW w:w="1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debt, net of debt discount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205,139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201,409</w:t>
            </w:r>
          </w:p>
        </w:tc>
      </w:tr>
      <w:tr>
        <w:trPr>
          <w:trHeight w:val="20"/>
        </w:trPr>
        <w:tc>
          <w:tcPr>
            <w:tcW w:w="14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-170815</wp:posOffset>
            </wp:positionV>
            <wp:extent cx="93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 September 17, 2021, or the Closing Date, the Company entered into a Loan and Security Agreement, or, the Loan Agreement, with Hercules Capital, Inc., in its capacity as administrative agent and collateral agent and as a lender, or, in such capacity, the Agent or Hercules, and the other financial institutions that from time to time become parties to the Loan Agreement as lenders, or, collectively, the Lenders.</w:t>
      </w:r>
    </w:p>
    <w:p>
      <w:pPr>
        <w:spacing w:after="0" w:line="14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Loan Agreement provides for term loans in an aggregate principal amount of up to $200 million, or the Term Loan, under multiple tranches. The tranches consist of (i) a first tranche consisting of term loans in an aggregate principal amount of $100 million, all of which was funded on the Closing Date, or the First Advance, (ii) a second tranche consisting of up to an additional $50 million, (iii) a third and fourth tranches consisting of an additional total $50 million, which became available in May 2022.</w:t>
      </w:r>
    </w:p>
    <w:p>
      <w:pPr>
        <w:spacing w:after="0" w:line="17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On September 27, 2022, the Company entered into an amendment to the Loan Agreement, or the Second Loan Amendment, pursuant to which the date the second tranche of funding of $50 million was available to the Company and was moved to May 15, 2023, rather than December 15, 2022.</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May 9, 2023, the Company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 and a covenant extension amendment fee of $100,000 was paid to the Agent. These fees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2" w:name="page13"/>
    <w:bookmarkEnd w:id="12"/>
    <w:p>
      <w:pPr>
        <w:ind w:right="380"/>
        <w:spacing w:after="0" w:line="271" w:lineRule="auto"/>
        <w:rPr>
          <w:sz w:val="20"/>
          <w:szCs w:val="20"/>
          <w:color w:val="auto"/>
        </w:rPr>
      </w:pPr>
      <w:r>
        <w:rPr>
          <w:rFonts w:ascii="Arial" w:cs="Arial" w:eastAsia="Arial" w:hAnsi="Arial"/>
          <w:sz w:val="18"/>
          <w:szCs w:val="18"/>
          <w:color w:val="auto"/>
        </w:rPr>
        <w:t>have been recorded as debt discount and are being amortized to interest expense using the effective interest method over the remaining term of the Term Loan.</w:t>
      </w:r>
    </w:p>
    <w:p>
      <w:pPr>
        <w:spacing w:after="0" w:line="154"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On December 14, 2023, the Company entered into a Fourth Amendment to Loan and Security Agreement, or the Fourth Loan Amendment, with the lenders, which, among other things, (i) increased the aggregate principal amount of the term loans from $200 million to $300 million; (ii) provided for the possibility of accessing the remaining $200 million commitment through five tranches referred to as the second through sixth tranches, which are available subject to certain milestones and conditions: (a) Second Tranche: $50 million, $40 million of which was funded on December 14, 2023, and the remaining $10 million of which was funded on March 15, 2024, (b) Third Tranche: $25 million which was funded on June 14, 2024, (c) Fourth Tranche: $25 million which was funded on December 15, 2024, (d) Fifth Tranche: $50 million which was, subject to the achievement of a specified revenue milestone, or the Fifth Tranche milestone, through June 30, 2025 and which the Company did not draw down, and (e) Sixth Tranche: $50 million available, subject to the achievement of a specific revenue milestone, or the Sixth Tranche milestone, through December 31, 2025; (iii) extended the interest only period and the maturity date from October 2026 to December 2027, (iv) reduced the cash interest rate from 10.75% (floating annual rate equal to the greater of (a) 5.50% and</w:t>
      </w:r>
    </w:p>
    <w:p>
      <w:pPr>
        <w:spacing w:after="0" w:line="8" w:lineRule="exact"/>
        <w:rPr>
          <w:sz w:val="20"/>
          <w:szCs w:val="20"/>
          <w:color w:val="auto"/>
        </w:rPr>
      </w:pPr>
    </w:p>
    <w:p>
      <w:pPr>
        <w:ind w:firstLine="8"/>
        <w:spacing w:after="0" w:line="238"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Prime Rate (as reported in the Wall Street Journal) plus 2.25% to 9.85% (floating rate based on the greater of (a) 9.85% or (b) US WSJ Prime + 1.35%), provided that the cash interest rate shall be capped at 10.35% and upon the Company achieving the Sixth Tranche milestone, the cash interest floating rate shall be decreased by 0.35% to 9.50%, and (v) decreased the payment-in-kind interest rate from 3.35% per annum to 2.15% per annum. In connection with the Fourth Loan Amendment, an amendment fee of $250,000 was paid to the Agent and was recorded as a debt discount and is being amortized to interest expense using the effective interest method over the remaining term of the Term Loan.</w:t>
      </w:r>
    </w:p>
    <w:p>
      <w:pPr>
        <w:spacing w:after="0" w:line="73" w:lineRule="exact"/>
        <w:rPr>
          <w:sz w:val="20"/>
          <w:szCs w:val="20"/>
          <w:color w:val="auto"/>
        </w:rPr>
      </w:pPr>
    </w:p>
    <w:p>
      <w:pPr>
        <w:ind w:right="20" w:firstLine="509"/>
        <w:spacing w:after="0" w:line="266" w:lineRule="auto"/>
        <w:rPr>
          <w:sz w:val="20"/>
          <w:szCs w:val="20"/>
          <w:color w:val="auto"/>
        </w:rPr>
      </w:pPr>
      <w:r>
        <w:rPr>
          <w:rFonts w:ascii="Arial" w:cs="Arial" w:eastAsia="Arial" w:hAnsi="Arial"/>
          <w:sz w:val="17"/>
          <w:szCs w:val="17"/>
          <w:color w:val="auto"/>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The Company may make payments of interest only through the Maturity Date. After the interest-only period, the principal balance and related interest will be required to be repaid in full on the Maturity Date.</w:t>
      </w:r>
    </w:p>
    <w:p>
      <w:pPr>
        <w:spacing w:after="0" w:line="11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addition, the Company is obligated to pay a final payment fee of 7.50% of the original principal amount of amounts actually advanced under the Term Loan, or each a Term Loan Advance and together, the Term Loan Advances. In connection with the Fourth Loan Amendment, the final payment fee was amended to be $1 million plus 3.00% of any future tranche drawdowns under the agreement, due upon final maturity. Additionally, the initial final payment fee for the first Term Loan Advance was amended to become payable on October 1, 2026. As of June 30, 2025, the aggregate $ 11.5 million of final payment fees includes the first Term Loan Advance of $7.5 million, $2.5 million for the second Term Loan Advance, $0.8 million for the third Term Loan Advance, and $0.7 million for the fourth Term Loan Advance and have been recorded within other long-term liabilities.</w:t>
      </w:r>
    </w:p>
    <w:p>
      <w:pPr>
        <w:spacing w:after="0" w:line="158"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Under the Fourth Loan Amendment the Company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spacing w:after="0" w:line="133"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As collateral for the obligations, the Company has granted to Hercules a senior security interest in all of Company’s right, title, and interest in, to and under substantially all of Company’s property, inclusive of intellectual property.</w:t>
      </w:r>
    </w:p>
    <w:p>
      <w:pPr>
        <w:spacing w:after="0" w:line="113"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spacing w:after="0" w:line="61" w:lineRule="exact"/>
        <w:rPr>
          <w:sz w:val="20"/>
          <w:szCs w:val="20"/>
          <w:color w:val="auto"/>
        </w:rPr>
      </w:pPr>
    </w:p>
    <w:p>
      <w:pPr>
        <w:ind w:left="1020" w:right="80" w:hanging="503"/>
        <w:spacing w:after="0" w:line="245" w:lineRule="auto"/>
        <w:tabs>
          <w:tab w:leader="none" w:pos="102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Minimum cash covenant - The Company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w:t>
      </w:r>
    </w:p>
    <w:p>
      <w:pPr>
        <w:spacing w:after="0" w:line="68" w:lineRule="exact"/>
        <w:rPr>
          <w:rFonts w:ascii="Calibri" w:cs="Calibri" w:eastAsia="Calibri" w:hAnsi="Calibri"/>
          <w:sz w:val="18"/>
          <w:szCs w:val="18"/>
          <w:color w:val="auto"/>
        </w:rPr>
      </w:pPr>
    </w:p>
    <w:p>
      <w:pPr>
        <w:ind w:left="1020" w:right="580" w:hanging="503"/>
        <w:spacing w:after="0" w:line="256" w:lineRule="auto"/>
        <w:tabs>
          <w:tab w:leader="none" w:pos="102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Performance covenant - Beginning September 30, 2024 and all times thereafter the Company must satisfy any one of the following:</w:t>
      </w:r>
    </w:p>
    <w:p>
      <w:pPr>
        <w:spacing w:after="0" w:line="57" w:lineRule="exact"/>
        <w:rPr>
          <w:rFonts w:ascii="Calibri" w:cs="Calibri" w:eastAsia="Calibri" w:hAnsi="Calibri"/>
          <w:sz w:val="18"/>
          <w:szCs w:val="18"/>
          <w:color w:val="auto"/>
        </w:rPr>
      </w:pPr>
    </w:p>
    <w:p>
      <w:pPr>
        <w:ind w:left="1540" w:hanging="514"/>
        <w:spacing w:after="0"/>
        <w:tabs>
          <w:tab w:leader="none" w:pos="1540" w:val="left"/>
        </w:tabs>
        <w:numPr>
          <w:ilvl w:val="1"/>
          <w:numId w:val="4"/>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1540" w:right="580" w:hanging="514"/>
        <w:spacing w:after="0" w:line="256" w:lineRule="auto"/>
        <w:tabs>
          <w:tab w:leader="none" w:pos="1540" w:val="left"/>
        </w:tabs>
        <w:numPr>
          <w:ilvl w:val="1"/>
          <w:numId w:val="4"/>
        </w:numPr>
        <w:rPr>
          <w:rFonts w:ascii="Calibri" w:cs="Calibri" w:eastAsia="Calibri" w:hAnsi="Calibri"/>
          <w:sz w:val="18"/>
          <w:szCs w:val="18"/>
          <w:color w:val="auto"/>
        </w:rPr>
      </w:pPr>
      <w:r>
        <w:rPr>
          <w:rFonts w:ascii="Arial" w:cs="Arial" w:eastAsia="Arial" w:hAnsi="Arial"/>
          <w:sz w:val="18"/>
          <w:szCs w:val="18"/>
          <w:color w:val="auto"/>
        </w:rPr>
        <w:t>Minimum cash balance exceeding (x) outstanding principal amount of term loans, multiplied by (y) (A) 50%, prior to achieving trailing three months net product revenue of greater than $35 million, and (B) 35% thereafter; or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p>
      <w:pPr>
        <w:ind w:left="1540" w:right="340" w:hanging="514"/>
        <w:spacing w:after="0" w:line="256" w:lineRule="auto"/>
        <w:tabs>
          <w:tab w:leader="none" w:pos="1540" w:val="left"/>
        </w:tabs>
        <w:numPr>
          <w:ilvl w:val="0"/>
          <w:numId w:val="5"/>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of at least (x) 30% of agreed upon projected net revenues for periods in the calendar year 2024 and 25% for all periods thereafter or (y) $120 million.</w:t>
      </w:r>
    </w:p>
    <w:p>
      <w:pPr>
        <w:spacing w:after="0" w:line="125"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the Company may be declared immediately due and payable by Hercules, as collateral agent.</w:t>
      </w:r>
    </w:p>
    <w:p>
      <w:pPr>
        <w:spacing w:after="0" w:line="127" w:lineRule="exact"/>
        <w:rPr>
          <w:sz w:val="20"/>
          <w:szCs w:val="20"/>
          <w:color w:val="auto"/>
        </w:rPr>
      </w:pPr>
    </w:p>
    <w:p>
      <w:pPr>
        <w:jc w:val="both"/>
        <w:ind w:right="660" w:firstLine="509"/>
        <w:spacing w:after="0" w:line="253" w:lineRule="auto"/>
        <w:rPr>
          <w:sz w:val="20"/>
          <w:szCs w:val="20"/>
          <w:color w:val="auto"/>
        </w:rPr>
      </w:pPr>
      <w:r>
        <w:rPr>
          <w:rFonts w:ascii="Arial" w:cs="Arial" w:eastAsia="Arial" w:hAnsi="Arial"/>
          <w:sz w:val="18"/>
          <w:szCs w:val="18"/>
          <w:color w:val="auto"/>
        </w:rPr>
        <w:t>As of June 30, 2025, the Company was in compliance with all applicable covenants under the Loan Agreement. Based on the Company’s current revenue projections, the Company does not expect to meet the revenue threshold to draw the Sixth Tranche. The Company’s current operating plan does not anticipate a need to draw any additional amounts under the Loan Agreement.</w:t>
      </w:r>
    </w:p>
    <w:p>
      <w:pPr>
        <w:spacing w:after="0" w:line="12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connection with the entry into the Loan Agreement, the Company issued to Hercules a warrant, or the Warrant, to purchase a number of shares of the Company’s common stock equal to 2.5% of the aggregate amount of the Term Loan advances funded, and will issue to Hercules additional warrants if any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In connection with the entry into the Third Loan Amendment, the Company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the Company drawdown future tranches. In connection with the entry into the Fourth Loan Amendment, the Company eliminated the warrant agreement for all future tranches. The Warrant issued with the initial tranche was not modified as part of this amendment. The exercise price and terms of the outstanding Warrant remain unchanged.</w:t>
      </w:r>
    </w:p>
    <w:p>
      <w:pPr>
        <w:spacing w:after="0" w:line="145"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The initial $1.3 million fair value of the Warrant, the $11.5 million final interest payment fees and $4.6 million of debt issuance costs have been recorded as debt discount and are being amortized to interest expense using the effective interest method over the term of the Loan Agreement.</w:t>
      </w:r>
    </w:p>
    <w:p>
      <w:pPr>
        <w:spacing w:after="0" w:line="142"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Future minimum principal payments under the Term Loan, including the final payment fee, as of June 30, 2025 are as follows (in thousands):</w:t>
      </w:r>
    </w:p>
    <w:p>
      <w:pPr>
        <w:spacing w:after="0" w:line="12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03"/>
        </w:trPr>
        <w:tc>
          <w:tcPr>
            <w:tcW w:w="496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21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9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2026</w:t>
            </w:r>
          </w:p>
        </w:tc>
        <w:tc>
          <w:tcPr>
            <w:tcW w:w="1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4960" w:type="dxa"/>
            <w:vAlign w:val="bottom"/>
            <w:tcBorders>
              <w:bottom w:val="single" w:sz="8" w:color="CFF0FC"/>
            </w:tcBorders>
          </w:tcPr>
          <w:p>
            <w:pPr>
              <w:ind w:left="100"/>
              <w:spacing w:after="0" w:line="202" w:lineRule="exact"/>
              <w:rPr>
                <w:sz w:val="20"/>
                <w:szCs w:val="20"/>
                <w:color w:val="auto"/>
              </w:rPr>
            </w:pPr>
            <w:r>
              <w:rPr>
                <w:rFonts w:ascii="Arial" w:cs="Arial" w:eastAsia="Arial" w:hAnsi="Arial"/>
                <w:sz w:val="18"/>
                <w:szCs w:val="18"/>
                <w:color w:val="auto"/>
              </w:rPr>
              <w:t>2027</w:t>
            </w:r>
          </w:p>
        </w:tc>
        <w:tc>
          <w:tcPr>
            <w:tcW w:w="142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229,706</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principal and interest payments</w:t>
            </w:r>
          </w:p>
        </w:tc>
        <w:tc>
          <w:tcPr>
            <w:tcW w:w="1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237,206</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Less: payment-in-kind and final payment fee</w:t>
            </w:r>
          </w:p>
        </w:tc>
        <w:tc>
          <w:tcPr>
            <w:tcW w:w="14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(37,206)</w:t>
            </w:r>
          </w:p>
        </w:tc>
      </w:tr>
      <w:tr>
        <w:trPr>
          <w:trHeight w:val="21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term loan borrowings</w:t>
            </w:r>
          </w:p>
        </w:tc>
        <w:tc>
          <w:tcPr>
            <w:tcW w:w="2120" w:type="dxa"/>
            <w:vAlign w:val="bottom"/>
            <w:gridSpan w:val="2"/>
            <w:shd w:val="clear" w:color="auto" w:fill="CFF0FC"/>
          </w:tcPr>
          <w:p>
            <w:pPr>
              <w:jc w:val="right"/>
              <w:ind w:right="60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200,000</w:t>
            </w: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During the three months ended June 30, 2025 and 2024, the Company recognized $7.2 million and $5.5 million, respectively, of interest expense, including amortization of the debt discount, in connection with the Loan Agreement. During the six months ended June 30, 2025 and 2024, the Company recognized $14.3 million and $10.5 million, respectively, of interest expense, including amortization of the debt discount, in connection with the Hercules Loan Agreement. As of June 30, 2025, the Company had an outstanding loan balance of $214.1 million and accrued interest of $1.8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Interest Financing Liability</w:t>
      </w:r>
    </w:p>
    <w:p>
      <w:pPr>
        <w:spacing w:after="0" w:line="17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May 3, 2022, the Company entered into a Revenue Interest Financing Agreement with Initial Investors NQ, Sagard, and Hercules pursuant to which the Company had the right to receive up to $260 million in funding from the Initial Investors. Under the terms of the Revenue Interest Financing Agreement, the Company received $100 million at the initial closing and received an additional $160 million upon FDA approval of VOQUEZNA for treatment of Erosive GERD during the fourth quarter of 2023.</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ind w:right="260" w:firstLine="509"/>
        <w:spacing w:after="0" w:line="239" w:lineRule="auto"/>
        <w:rPr>
          <w:sz w:val="20"/>
          <w:szCs w:val="20"/>
          <w:color w:val="auto"/>
        </w:rPr>
      </w:pPr>
      <w:r>
        <w:rPr>
          <w:rFonts w:ascii="Arial" w:cs="Arial" w:eastAsia="Arial" w:hAnsi="Arial"/>
          <w:sz w:val="18"/>
          <w:szCs w:val="18"/>
          <w:color w:val="auto"/>
        </w:rPr>
        <w:t>Additionally, on October 31, 2022, the Company entered into a Joinder Agreement with the Initial Investors and CO Finance LVS XXXVII LLC, or the Additional Investor, and Hercules, together as the investors. Under the terms of the Joinder Agreement, the Company received $15 million in additional funding upon FDA approval of vonoprazan for Erosive GERD, or Approval Additional Funding, during the fourth quarter of 2023, and provided for $25 million in additional funding for achievement of a sales milestone, or Milestone Additional Funding, and, together with the Approval Additional Funding, or the Additional Investor Funding. The Initial Investors waived their rights of first offer regarding the Additional Investor Funding and the Additional Investor and joined the Revenue Interest Financing Agreement to extend commitments for the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As of June 30, 2025, no additional funding is available under the Revenue Interest Financing Agreement.</w:t>
      </w:r>
    </w:p>
    <w:p>
      <w:pPr>
        <w:spacing w:after="0" w:line="153"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Under the Revenue Interest Financing Agreement, the investors are entitled to receive a 10% royalty on net sales of products containing vonoprazan. The royalty rate is subject to a step-down on net sales exceeding certain annual thresholds and when the Company received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April 30, 2024, the Company has the right to make a cap payment equal to 200% of the Investment Amount less any royalties already paid, at which time the agreement will terminate.</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w:t>
      </w:r>
    </w:p>
    <w:p>
      <w:pPr>
        <w:spacing w:after="0" w:line="14"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200% of the Investment Amount by December 31, 2037, each a Minimum Amount, then the Company will be obligated to make a cash payment to the investors in an amount sufficient to gross the investors up to the applicable Minimum Amount.</w:t>
      </w:r>
    </w:p>
    <w:p>
      <w:pPr>
        <w:spacing w:after="0" w:line="13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Upon the occurrence of an event of default taking place between April 1, 2025 and April 1, 2028, or after April 1, 2028, the Company is obligated to pay 1.30 times Investment Amount, 1.65 times Investment Amount, and 2.0 times investment amount, respectively, less any amounts the Company previously paid pursuant to the agreement.</w:t>
      </w:r>
    </w:p>
    <w:p>
      <w:pPr>
        <w:spacing w:after="0" w:line="142"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As of June 30, 2025, the effective interest rate of the revenue interest financing liability was approximately</w:t>
      </w:r>
    </w:p>
    <w:p>
      <w:pPr>
        <w:spacing w:after="0" w:line="4"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9.26%. Changes in future payments from previous estimates are included in the current and future interest expense. The carrying value of the revenue interest financing liability was $368.5 million and $353.0 million as of June 30, 2025 and December 31, 2024, respectively.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60" w:type="dxa"/>
            <w:vAlign w:val="bottom"/>
            <w:gridSpan w:val="2"/>
          </w:tcPr>
          <w:p>
            <w:pPr>
              <w:ind w:left="520"/>
              <w:spacing w:after="0"/>
              <w:rPr>
                <w:sz w:val="20"/>
                <w:szCs w:val="20"/>
                <w:color w:val="auto"/>
              </w:rPr>
            </w:pPr>
            <w:r>
              <w:rPr>
                <w:rFonts w:ascii="Arial" w:cs="Arial" w:eastAsia="Arial" w:hAnsi="Arial"/>
                <w:sz w:val="18"/>
                <w:szCs w:val="18"/>
                <w:color w:val="auto"/>
              </w:rPr>
              <w:t>Total revenue interest financing liability consists of the following (in thousands):</w:t>
            </w:r>
          </w:p>
        </w:tc>
        <w:tc>
          <w:tcPr>
            <w:tcW w:w="1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4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2024</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306,927</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(2,627)</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48,738</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Ending liability balance as of December 31, 2024</w:t>
            </w:r>
          </w:p>
        </w:tc>
        <w:tc>
          <w:tcPr>
            <w:tcW w:w="10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353,038</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(19,777)</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Long-term liability balance as of December 31, 2024</w:t>
            </w:r>
          </w:p>
        </w:tc>
        <w:tc>
          <w:tcPr>
            <w:tcW w:w="10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333,261</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2025</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353,038</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(5,818)</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21,309</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Ending liability balance as of June 30, 2025</w:t>
            </w:r>
          </w:p>
        </w:tc>
        <w:tc>
          <w:tcPr>
            <w:tcW w:w="10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368,529</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(21,526)</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Long-term liability balance as of June 30, 2025</w:t>
            </w:r>
          </w:p>
        </w:tc>
        <w:tc>
          <w:tcPr>
            <w:tcW w:w="10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347,003</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64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F-13</w:t>
            </w: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2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5" w:name="page16"/>
    <w:bookmarkEnd w:id="15"/>
    <w:p>
      <w:pPr>
        <w:ind w:right="380" w:firstLine="509"/>
        <w:spacing w:after="0" w:line="247" w:lineRule="auto"/>
        <w:rPr>
          <w:sz w:val="20"/>
          <w:szCs w:val="20"/>
          <w:color w:val="auto"/>
        </w:rPr>
      </w:pPr>
      <w:r>
        <w:rPr>
          <w:rFonts w:ascii="Arial" w:cs="Arial" w:eastAsia="Arial" w:hAnsi="Arial"/>
          <w:sz w:val="18"/>
          <w:szCs w:val="18"/>
          <w:color w:val="auto"/>
        </w:rPr>
        <w:t>During the three months ended June 30, 2025 and 2024, the Company recognized $10.3 million and $12.3 million, respectively, of interest expense in connection with the revenue interest financing liability. During the six months ended June 30, 2025 and 2024, the Company recognized $21.3 million and $24.4 million, respectively, of interest expense in connection with the revenue interest financing liability.</w:t>
      </w:r>
    </w:p>
    <w:p>
      <w:pPr>
        <w:spacing w:after="0" w:line="14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 will record liabilities associated with achievement of the sales milestone when such contingent event occurs.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 projections could impact the interest expense associated with the revenue interest financing liability. Also, the Company’s total obligation can vary depending on default events and achievement of the sales milestone.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Underwritten Public Offerings</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August 2024, the Company sold 8,695,652 shares of common stock at a price of $11.50 per share and pre-funded warrants to purchase 2,608,922 shares of common stock at a price of $11.499 per pre-funded warrant for total gross proceeds of $130.0 million. The net purchase price after deducting the underwriting discounts and commissions and other offering expenses, was $10.77 per share, which generated net proceeds of $121.8 million. Certain affiliates of Frazier Life Sciences IX, L.P. (collectively, "Frazier"), a significant stockholder and Dr. James Topper, who currently serves on the Company's Board of Directors, share voting and investment power of the securities held by Frazier. Frazier participated in the offering by purchasing pre-funded warrants on the same terms as all other investors at a purchase price of $11.499, which represents the per share public offering price for the common stock less the $0.001 per share exercise price for each pre-funded warrant. Each pre-funded warrant became exercisable upon issuance and will not expire until exercised in full. The pre-funded warrants may not be exercised if the aggregate number of ordinary shares beneficially owned by the holders thereof immediately following such exercise would exceed a specified beneficial ownership limitation.</w:t>
      </w:r>
    </w:p>
    <w:p>
      <w:pPr>
        <w:spacing w:after="0" w:line="13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pre-funded warrants were classified as a component of equity in the Company's balance sheets as they are freestanding financial instruments that are immediately exercisable, do not embody an obligation for the Company to repurchase its own shares and permit the holders to receive a fixed number of shares of common stock upon exercise. The Company valued the pre-funded warrants at issuance, concluding that their sales price approximated their fair value, and allocated net proceeds from the sale proportionately to the common stock and pre-funded warrants, of which $28.2 million was allocated to the pre-funded warrants and recorded as a component of additional paid-in capital. As of June 30, 2025, none of the pre-funded warrants have been exercised.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Offerings</w:t>
      </w:r>
    </w:p>
    <w:p>
      <w:pPr>
        <w:spacing w:after="0" w:line="175" w:lineRule="exact"/>
        <w:rPr>
          <w:sz w:val="20"/>
          <w:szCs w:val="20"/>
          <w:color w:val="auto"/>
        </w:rPr>
      </w:pPr>
    </w:p>
    <w:p>
      <w:pPr>
        <w:jc w:val="both"/>
        <w:ind w:right="140" w:firstLine="509"/>
        <w:spacing w:after="0" w:line="226" w:lineRule="auto"/>
        <w:rPr>
          <w:sz w:val="20"/>
          <w:szCs w:val="20"/>
          <w:color w:val="auto"/>
        </w:rPr>
      </w:pPr>
      <w:r>
        <w:rPr>
          <w:rFonts w:ascii="Arial" w:cs="Arial" w:eastAsia="Arial" w:hAnsi="Arial"/>
          <w:sz w:val="18"/>
          <w:szCs w:val="18"/>
          <w:color w:val="auto"/>
        </w:rPr>
        <w:t>In November 2020, the Company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the Company may, from time to time, sell shares of common stock having an aggregate offering price of up to an amount registered under an effective registration statement through the Sales Agent.</w:t>
      </w:r>
    </w:p>
    <w:p>
      <w:pPr>
        <w:spacing w:after="0" w:line="14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November 2023, the Company filed a shelf registration statement on Form S-3 which was declared effective by the SEC on November 17, 2023, which included an at-the-market prospectus pursuant to which the Company may, from time to time, sell up to an aggregate of $150 million of the Company's common stock through the Sales Agent, or the 2023 ATM Offering. The Company is not obligated to, and cannot provide any assurances that the Company will, make any sales of the shares under the Sales Agreement. The Sales Agreement may be terminated by the Sales Agent or the Company at any time. No shares were sold during the three and six months ended June 30, 2025 and 2024. As of June 30, 2025, all of the available $150 million under the 2023 ATM Offering remains available.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7"/>
        </w:trPr>
        <w:tc>
          <w:tcPr>
            <w:tcW w:w="7600" w:type="dxa"/>
            <w:vAlign w:val="bottom"/>
            <w:gridSpan w:val="2"/>
          </w:tcPr>
          <w:p>
            <w:pPr>
              <w:spacing w:after="0"/>
              <w:rPr>
                <w:sz w:val="20"/>
                <w:szCs w:val="20"/>
                <w:color w:val="auto"/>
              </w:rPr>
            </w:pPr>
            <w:r>
              <w:rPr>
                <w:rFonts w:ascii="Arial" w:cs="Arial" w:eastAsia="Arial" w:hAnsi="Arial"/>
                <w:sz w:val="18"/>
                <w:szCs w:val="18"/>
                <w:i w:val="1"/>
                <w:iCs w:val="1"/>
                <w:color w:val="auto"/>
              </w:rPr>
              <w:t>Common Stock Reserves</w:t>
            </w:r>
          </w:p>
        </w:tc>
        <w:tc>
          <w:tcPr>
            <w:tcW w:w="2240" w:type="dxa"/>
            <w:vAlign w:val="bottom"/>
          </w:tcPr>
          <w:p>
            <w:pPr>
              <w:spacing w:after="0"/>
              <w:rPr>
                <w:sz w:val="20"/>
                <w:szCs w:val="20"/>
                <w:color w:val="auto"/>
              </w:rPr>
            </w:pPr>
          </w:p>
        </w:tc>
      </w:tr>
      <w:tr>
        <w:trPr>
          <w:trHeight w:val="391"/>
        </w:trPr>
        <w:tc>
          <w:tcPr>
            <w:tcW w:w="7600" w:type="dxa"/>
            <w:vAlign w:val="bottom"/>
            <w:gridSpan w:val="2"/>
          </w:tcPr>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tc>
        <w:tc>
          <w:tcPr>
            <w:tcW w:w="2240" w:type="dxa"/>
            <w:vAlign w:val="bottom"/>
          </w:tcPr>
          <w:p>
            <w:pPr>
              <w:spacing w:after="0"/>
              <w:rPr>
                <w:sz w:val="24"/>
                <w:szCs w:val="24"/>
                <w:color w:val="auto"/>
              </w:rPr>
            </w:pPr>
          </w:p>
        </w:tc>
      </w:tr>
      <w:tr>
        <w:trPr>
          <w:trHeight w:val="361"/>
        </w:trPr>
        <w:tc>
          <w:tcPr>
            <w:tcW w:w="14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2025</w:t>
            </w:r>
          </w:p>
        </w:tc>
      </w:tr>
      <w:tr>
        <w:trPr>
          <w:trHeight w:val="196"/>
        </w:trPr>
        <w:tc>
          <w:tcPr>
            <w:tcW w:w="1420" w:type="dxa"/>
            <w:vAlign w:val="bottom"/>
          </w:tcPr>
          <w:p>
            <w:pPr>
              <w:spacing w:after="0"/>
              <w:rPr>
                <w:sz w:val="17"/>
                <w:szCs w:val="17"/>
                <w:color w:val="auto"/>
              </w:rPr>
            </w:pPr>
          </w:p>
        </w:tc>
        <w:tc>
          <w:tcPr>
            <w:tcW w:w="6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 warrants including pre-funded warrants</w:t>
            </w:r>
          </w:p>
        </w:tc>
        <w:tc>
          <w:tcPr>
            <w:tcW w:w="22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2,700,150</w:t>
            </w:r>
          </w:p>
        </w:tc>
      </w:tr>
      <w:tr>
        <w:trPr>
          <w:trHeight w:val="184"/>
        </w:trPr>
        <w:tc>
          <w:tcPr>
            <w:tcW w:w="1420" w:type="dxa"/>
            <w:vAlign w:val="bottom"/>
          </w:tcPr>
          <w:p>
            <w:pPr>
              <w:spacing w:after="0"/>
              <w:rPr>
                <w:sz w:val="15"/>
                <w:szCs w:val="15"/>
                <w:color w:val="auto"/>
              </w:rPr>
            </w:pPr>
          </w:p>
        </w:tc>
        <w:tc>
          <w:tcPr>
            <w:tcW w:w="6180" w:type="dxa"/>
            <w:vAlign w:val="bottom"/>
          </w:tcPr>
          <w:p>
            <w:pPr>
              <w:spacing w:after="0" w:line="183" w:lineRule="exact"/>
              <w:rPr>
                <w:sz w:val="20"/>
                <w:szCs w:val="20"/>
                <w:color w:val="auto"/>
              </w:rPr>
            </w:pPr>
            <w:r>
              <w:rPr>
                <w:rFonts w:ascii="Arial" w:cs="Arial" w:eastAsia="Arial" w:hAnsi="Arial"/>
                <w:sz w:val="18"/>
                <w:szCs w:val="18"/>
                <w:color w:val="auto"/>
              </w:rPr>
              <w:t>Stock options, performance stock units and restricted stock units</w:t>
            </w:r>
          </w:p>
        </w:tc>
        <w:tc>
          <w:tcPr>
            <w:tcW w:w="2240" w:type="dxa"/>
            <w:vAlign w:val="bottom"/>
          </w:tcPr>
          <w:p>
            <w:pPr>
              <w:spacing w:after="0"/>
              <w:rPr>
                <w:sz w:val="15"/>
                <w:szCs w:val="15"/>
                <w:color w:val="auto"/>
              </w:rPr>
            </w:pPr>
          </w:p>
        </w:tc>
      </w:tr>
      <w:tr>
        <w:trPr>
          <w:trHeight w:val="221"/>
        </w:trPr>
        <w:tc>
          <w:tcPr>
            <w:tcW w:w="14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outstanding</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13,078,721</w:t>
            </w:r>
          </w:p>
        </w:tc>
      </w:tr>
      <w:tr>
        <w:trPr>
          <w:trHeight w:val="203"/>
        </w:trPr>
        <w:tc>
          <w:tcPr>
            <w:tcW w:w="1420" w:type="dxa"/>
            <w:vAlign w:val="bottom"/>
          </w:tcPr>
          <w:p>
            <w:pPr>
              <w:spacing w:after="0"/>
              <w:rPr>
                <w:sz w:val="17"/>
                <w:szCs w:val="17"/>
                <w:color w:val="auto"/>
              </w:rPr>
            </w:pPr>
          </w:p>
        </w:tc>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2019 Incentive Plan</w:t>
            </w:r>
          </w:p>
        </w:tc>
        <w:tc>
          <w:tcPr>
            <w:tcW w:w="22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1,563,263</w:t>
            </w:r>
          </w:p>
        </w:tc>
      </w:tr>
      <w:tr>
        <w:trPr>
          <w:trHeight w:val="203"/>
        </w:trPr>
        <w:tc>
          <w:tcPr>
            <w:tcW w:w="14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Shares available for issuance under the ESPP Plan</w:t>
            </w:r>
          </w:p>
        </w:tc>
        <w:tc>
          <w:tcPr>
            <w:tcW w:w="2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1,541,702</w:t>
            </w:r>
          </w:p>
        </w:tc>
      </w:tr>
      <w:tr>
        <w:trPr>
          <w:trHeight w:val="203"/>
        </w:trPr>
        <w:tc>
          <w:tcPr>
            <w:tcW w:w="1420" w:type="dxa"/>
            <w:vAlign w:val="bottom"/>
          </w:tcPr>
          <w:p>
            <w:pPr>
              <w:spacing w:after="0"/>
              <w:rPr>
                <w:sz w:val="17"/>
                <w:szCs w:val="17"/>
                <w:color w:val="auto"/>
              </w:rPr>
            </w:pPr>
          </w:p>
        </w:tc>
        <w:tc>
          <w:tcPr>
            <w:tcW w:w="6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Inducement Plan</w:t>
            </w:r>
          </w:p>
        </w:tc>
        <w:tc>
          <w:tcPr>
            <w:tcW w:w="22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428,092</w:t>
            </w:r>
          </w:p>
        </w:tc>
      </w:tr>
      <w:tr>
        <w:trPr>
          <w:trHeight w:val="196"/>
        </w:trPr>
        <w:tc>
          <w:tcPr>
            <w:tcW w:w="1420" w:type="dxa"/>
            <w:vAlign w:val="bottom"/>
          </w:tcPr>
          <w:p>
            <w:pPr>
              <w:spacing w:after="0"/>
              <w:rPr>
                <w:sz w:val="17"/>
                <w:szCs w:val="17"/>
                <w:color w:val="auto"/>
              </w:rPr>
            </w:pPr>
          </w:p>
        </w:tc>
        <w:tc>
          <w:tcPr>
            <w:tcW w:w="6180" w:type="dxa"/>
            <w:vAlign w:val="bottom"/>
          </w:tcPr>
          <w:p>
            <w:pPr>
              <w:spacing w:after="0" w:line="196" w:lineRule="exact"/>
              <w:rPr>
                <w:sz w:val="20"/>
                <w:szCs w:val="20"/>
                <w:color w:val="auto"/>
              </w:rPr>
            </w:pPr>
            <w:r>
              <w:rPr>
                <w:rFonts w:ascii="Arial" w:cs="Arial" w:eastAsia="Arial" w:hAnsi="Arial"/>
                <w:sz w:val="18"/>
                <w:szCs w:val="18"/>
                <w:color w:val="auto"/>
              </w:rPr>
              <w:t>Balance at June 30, 2025</w:t>
            </w:r>
          </w:p>
        </w:tc>
        <w:tc>
          <w:tcPr>
            <w:tcW w:w="2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19,311,928</w:t>
            </w:r>
          </w:p>
        </w:tc>
      </w:tr>
      <w:tr>
        <w:trPr>
          <w:trHeight w:val="20"/>
        </w:trPr>
        <w:tc>
          <w:tcPr>
            <w:tcW w:w="14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3"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Company is authorized to issue up to 40 million shares of preferred stock. As of June 30, 2025 and December 31, 2024, there were no shares of preferred stock issued or outstanding.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6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Company’s 2019 Equity Incentive Plan, or the Prior Incentive Plan, provided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Prior Incentive Plan, of which, 1,400,528 stock options and 16,260 restricted stock awards were granted in 2019. As a result of the adoption of the 2019 Incentive Award Plan, or the 2019 Plan, in October 2019, no further awards may be available for issuance under the Prior Incentive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(RSUs), performance stock units (PSUs)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Prior Incentive Plan that expire or otherwise terminate without having been exercised in full after the effective date of the 2019 Plan and unvested shares issued pursuant to awards granted under the Prior Incentive Plan that are forfeited to or repurchased by the Company after the effective date of the 2019 Plan, with the maximum number of shares to be added to the 2019 Plan pursuant to clause (i) above or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p>
    <w:p>
      <w:pPr>
        <w:spacing w:after="0" w:line="139" w:lineRule="exact"/>
        <w:rPr>
          <w:sz w:val="20"/>
          <w:szCs w:val="20"/>
          <w:color w:val="auto"/>
        </w:rPr>
      </w:pPr>
    </w:p>
    <w:p>
      <w:pPr>
        <w:jc w:val="both"/>
        <w:ind w:right="660" w:firstLine="509"/>
        <w:spacing w:after="0" w:line="253" w:lineRule="auto"/>
        <w:rPr>
          <w:sz w:val="20"/>
          <w:szCs w:val="20"/>
          <w:color w:val="auto"/>
        </w:rPr>
      </w:pPr>
      <w:r>
        <w:rPr>
          <w:rFonts w:ascii="Arial" w:cs="Arial" w:eastAsia="Arial" w:hAnsi="Arial"/>
          <w:sz w:val="18"/>
          <w:szCs w:val="18"/>
          <w:color w:val="auto"/>
        </w:rPr>
        <w:t>As of June 30, 2025, 1,563,263 shares remain available for issuance, which reflects 5,326,681 stock options, RSUs and PSUs granted, and 1,885,143 of awards cancelled or forfeited, during the six months ended June 30, 2025 as well as an annual increase of 3,425,913 shares authorized on January 1,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Employment Inducement Incentive Award Plan</w:t>
      </w:r>
    </w:p>
    <w:p>
      <w:pPr>
        <w:spacing w:after="0" w:line="16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March 30, 2025, the Board of Directors adopted the 2025 Employment Inducement Incentive Award Plan, or the Inducement Plan, and reserved 2,500,000 shares of the Company’s common stock for issuance pursuant to equity awards granted under the Inducement Plan to individuals not previously employees or non-employee directors of the Company (or following such individuals’ bona fide period of non-employment with the Company) as an inducement to join the Company. The Inducement Plan provides for the grant of equity-based awards, including nonstatutory stock options, restricted stock units, restricted stock, stock appreciation rights, performance shares and performance stock units, and its terms are substantially similar to the Company’s 2019 Plan, but with such other terms and conditions intended to comply with the Nasdaq inducement award exception or to comply with the Nasdaq acquisition and merger exception. During the six months ended June 30, 2025, the Company granted 2,071,908 stock options, RSUs and PSUs under the Inducement Plan. As of June 30, 2025, 428,092 shares remain available for issuance.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2025, the Board of Directors approved a performance-based unit, or PSU, grants whereby vesting depends on certain revenue performance milestones each year and over the next three years.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 As of June 30, 2025, the Company did not deem the achievement of any performance milestones to be probable.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PSU activity during the six months ended June 30, 2025:</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Grant</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Date Fair</w:t>
            </w:r>
          </w:p>
        </w:tc>
      </w:tr>
      <w:tr>
        <w:trPr>
          <w:trHeight w:val="203"/>
        </w:trPr>
        <w:tc>
          <w:tcPr>
            <w:tcW w:w="568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568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Per Share</w:t>
            </w:r>
          </w:p>
        </w:tc>
        <w:tc>
          <w:tcPr>
            <w:tcW w:w="80" w:type="dxa"/>
            <w:vAlign w:val="bottom"/>
          </w:tcPr>
          <w:p>
            <w:pPr>
              <w:spacing w:after="0"/>
              <w:rPr>
                <w:sz w:val="19"/>
                <w:szCs w:val="19"/>
                <w:color w:val="auto"/>
              </w:rPr>
            </w:pP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January 1, 2025</w:t>
            </w:r>
          </w:p>
        </w:tc>
        <w:tc>
          <w:tcPr>
            <w:tcW w:w="1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1,178,200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80" w:type="dxa"/>
            <w:vAlign w:val="bottom"/>
          </w:tcPr>
          <w:p>
            <w:pPr>
              <w:spacing w:after="0"/>
              <w:rPr>
                <w:sz w:val="17"/>
                <w:szCs w:val="17"/>
                <w:color w:val="auto"/>
              </w:rPr>
            </w:pP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(407,225)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c>
          <w:tcPr>
            <w:tcW w:w="80" w:type="dxa"/>
            <w:vAlign w:val="bottom"/>
          </w:tcPr>
          <w:p>
            <w:pPr>
              <w:spacing w:after="0"/>
              <w:rPr>
                <w:sz w:val="17"/>
                <w:szCs w:val="17"/>
                <w:color w:val="auto"/>
              </w:rPr>
            </w:pPr>
          </w:p>
        </w:tc>
      </w:tr>
      <w:tr>
        <w:trPr>
          <w:trHeight w:val="236"/>
        </w:trPr>
        <w:tc>
          <w:tcPr>
            <w:tcW w:w="56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June 30, 2025</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770,975</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Stock-based compensation expense is recorded based on the market price of the Company's common stock on the grant date and is recognized if and when the achievement of such performance milestones are determined to be probable by the Company. As of June 30, 2025, no expense has been recognized and there was approximately $4.2 million of related unrecognized stock-based compensation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during the six months ended June 30, 2025:</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Grant</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rPr>
              <w:t>Date Fair</w:t>
            </w:r>
          </w:p>
        </w:tc>
      </w:tr>
      <w:tr>
        <w:trPr>
          <w:trHeight w:val="203"/>
        </w:trPr>
        <w:tc>
          <w:tcPr>
            <w:tcW w:w="56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5680" w:type="dxa"/>
            <w:vAlign w:val="bottom"/>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 Share</w:t>
            </w: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January 1, 2025</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2,382,660</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10.32</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1,719,866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5.55</w:t>
            </w: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Vested</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(965,245)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9.97</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(503,831)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8.95</w:t>
            </w:r>
          </w:p>
        </w:tc>
      </w:tr>
      <w:tr>
        <w:trPr>
          <w:trHeight w:val="21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June 30, 2025</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2,633,450</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7.59</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-25400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As of June 30, 2025, the Company had $13.5 million of unrecognized stock-based compensation expense related to RSUs, which is expected to be recognized over a weighted-average period of 1.8 years. The total fair value of RSUs vested during the six months ended June 30, 2025, was approximately $9.6 million.</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9"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were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June 30, 2025, 1,541,702 shares of common stock remain available for issuance under the ESPP, which includes the 321,099 shares sold to employees during the six months ended June 30, 2025 as well as an annual increase of 685,183 shares authorized on January 1, 2025.</w:t>
      </w:r>
    </w:p>
    <w:p>
      <w:pPr>
        <w:spacing w:after="0" w:line="13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ESPP is considered a compensatory plan, and for the three and six months ended June 30, 2025, the Company recorded related stock-based compensation of $0.5 million and $0.8 million, respectively, compared to $0.6 million and $1.1 million, respectively, for the same periods in 2024. The weighted-average assumptions used to estimate the fair value of ESPP awards using the Black-Scholes option valuation model were as follows:</w:t>
      </w:r>
    </w:p>
    <w:p>
      <w:pPr>
        <w:spacing w:after="0" w:line="133"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Six Months Ended</w:t>
      </w:r>
    </w:p>
    <w:p>
      <w:pPr>
        <w:spacing w:after="0" w:line="10"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June 30,</w:t>
      </w:r>
    </w:p>
    <w:tbl>
      <w:tblPr>
        <w:tblLayout w:type="fixed"/>
        <w:tblInd w:w="142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6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7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5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0.49</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r>
      <w:tr>
        <w:trPr>
          <w:trHeight w:val="203"/>
        </w:trPr>
        <w:tc>
          <w:tcPr>
            <w:tcW w:w="570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86.93%</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119.08%</w:t>
            </w:r>
          </w:p>
        </w:tc>
      </w:tr>
      <w:tr>
        <w:trPr>
          <w:trHeight w:val="203"/>
        </w:trPr>
        <w:tc>
          <w:tcPr>
            <w:tcW w:w="5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4.26%</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5.16%</w:t>
            </w:r>
          </w:p>
        </w:tc>
      </w:tr>
      <w:tr>
        <w:trPr>
          <w:trHeight w:val="203"/>
        </w:trPr>
        <w:tc>
          <w:tcPr>
            <w:tcW w:w="570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70" w:lineRule="exact"/>
        <w:rPr>
          <w:sz w:val="20"/>
          <w:szCs w:val="20"/>
          <w:color w:val="auto"/>
        </w:rPr>
      </w:pPr>
    </w:p>
    <w:p>
      <w:pPr>
        <w:jc w:val="both"/>
        <w:ind w:right="120" w:firstLine="509"/>
        <w:spacing w:after="0" w:line="261" w:lineRule="auto"/>
        <w:rPr>
          <w:sz w:val="20"/>
          <w:szCs w:val="20"/>
          <w:color w:val="auto"/>
        </w:rPr>
      </w:pPr>
      <w:r>
        <w:rPr>
          <w:rFonts w:ascii="Arial" w:cs="Arial" w:eastAsia="Arial" w:hAnsi="Arial"/>
          <w:sz w:val="18"/>
          <w:szCs w:val="18"/>
          <w:color w:val="auto"/>
        </w:rPr>
        <w:t>The estimated weighted-average fair value of ESPP awards for the six months ended June 30, 2025 and 2024, was $2.81 and $3.59, respectively. As of June 30, 2025, the total unrecognized compensation expense related to the ESPP was $0.1 million, which is expected to be recognized over a weighted-average period of approximately 0.5 months.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6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During 2020, the Company established a 401(k) savings plan. The Company’s contributions to the plan are discretionary. During the three and six months ended June 30, 2025, the Company incurred $1.3 million and $3.1 million, respectively, of expense related to estimated employer contribution liabilities, which was based on a 75% match of employees’ contributions during the periods, compared to $1.3 million and $3.0 million, respectively, for the same periods in 2024. During the six months ended June 30, 2025 and 2024, the Board of Directors approved employer matching contributions settled by contributing 290,165 and 93,736, respectively, shares of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the Company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11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rPr>
              <w:t>Aggregate</w:t>
            </w:r>
          </w:p>
        </w:tc>
      </w:t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03"/>
        </w:trPr>
        <w:tc>
          <w:tcPr>
            <w:tcW w:w="4780" w:type="dxa"/>
            <w:vAlign w:val="bottom"/>
          </w:tcPr>
          <w:p>
            <w:pPr>
              <w:spacing w:after="0"/>
              <w:rPr>
                <w:sz w:val="17"/>
                <w:szCs w:val="17"/>
                <w:color w:val="auto"/>
              </w:rPr>
            </w:pP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Exercise</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(in</w:t>
            </w:r>
          </w:p>
        </w:tc>
      </w:tr>
      <w:tr>
        <w:trPr>
          <w:trHeight w:val="221"/>
        </w:trPr>
        <w:tc>
          <w:tcPr>
            <w:tcW w:w="478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Price</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Term</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rPr>
              <w:t>thousands)</w:t>
            </w: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January 1, 2025</w:t>
            </w:r>
          </w:p>
        </w:tc>
        <w:tc>
          <w:tcPr>
            <w:tcW w:w="1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6,157,532</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10.29</w:t>
            </w:r>
          </w:p>
        </w:tc>
        <w:tc>
          <w:tcPr>
            <w:tcW w:w="146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7.59</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2,133</w:t>
            </w: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Options granted</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4,500,523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5.11</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Options exercised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(9,672)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Options cancelled</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(974,087)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7.35</w:t>
            </w: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June 30, 2025</w:t>
            </w:r>
          </w:p>
        </w:tc>
        <w:tc>
          <w:tcPr>
            <w:tcW w:w="1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9,674,296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8.18</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6.97</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25,279</w:t>
            </w:r>
          </w:p>
        </w:tc>
      </w:tr>
      <w:tr>
        <w:trPr>
          <w:trHeight w:val="20"/>
        </w:trPr>
        <w:tc>
          <w:tcPr>
            <w:tcW w:w="47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96"/>
        </w:trPr>
        <w:tc>
          <w:tcPr>
            <w:tcW w:w="4780" w:type="dxa"/>
            <w:vAlign w:val="bottom"/>
          </w:tcPr>
          <w:p>
            <w:pPr>
              <w:spacing w:after="0" w:line="196" w:lineRule="exact"/>
              <w:rPr>
                <w:sz w:val="20"/>
                <w:szCs w:val="20"/>
                <w:color w:val="auto"/>
              </w:rPr>
            </w:pPr>
            <w:r>
              <w:rPr>
                <w:rFonts w:ascii="Arial" w:cs="Arial" w:eastAsia="Arial" w:hAnsi="Arial"/>
                <w:sz w:val="18"/>
                <w:szCs w:val="18"/>
                <w:color w:val="auto"/>
              </w:rPr>
              <w:t>Options exercisable as of June 30, 2025</w:t>
            </w:r>
          </w:p>
        </w:tc>
        <w:tc>
          <w:tcPr>
            <w:tcW w:w="12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4,375,667</w:t>
            </w:r>
          </w:p>
        </w:tc>
        <w:tc>
          <w:tcPr>
            <w:tcW w:w="1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10.80</w:t>
            </w:r>
          </w:p>
        </w:tc>
        <w:tc>
          <w:tcPr>
            <w:tcW w:w="120" w:type="dxa"/>
            <w:vAlign w:val="bottom"/>
          </w:tcPr>
          <w:p>
            <w:pPr>
              <w:spacing w:after="0"/>
              <w:rPr>
                <w:sz w:val="17"/>
                <w:szCs w:val="17"/>
                <w:color w:val="auto"/>
              </w:rPr>
            </w:pP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4.02</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5,410</w:t>
            </w: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 and expected to vest as of June 30, 2025</w:t>
            </w:r>
          </w:p>
        </w:tc>
        <w:tc>
          <w:tcPr>
            <w:tcW w:w="1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9,674,296</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8.18</w:t>
            </w:r>
          </w:p>
        </w:tc>
        <w:tc>
          <w:tcPr>
            <w:tcW w:w="14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6.97</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25,279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-265430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-265430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-265430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right="380" w:firstLine="509"/>
        <w:spacing w:after="0" w:line="253"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for the six months ended June 30, 2025 and 2024 was $3.77 and $5.52, respectively. As of June 30, 2025, the Company had $21.2 million of unrecognized stock-based compensation expense related to stock options, which is expected to be recognized over a weighted-average period of 3.1 years.</w:t>
      </w:r>
    </w:p>
    <w:p>
      <w:pPr>
        <w:spacing w:after="0" w:line="128"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at June 30, 2025. The total intrinsic value of stock options exercised for the six months ended June 30, 2025 was approximately $0.1 million.</w:t>
      </w:r>
    </w:p>
    <w:p>
      <w:pPr>
        <w:spacing w:after="0" w:line="147"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weighted-average assumptions used to estimate the fair value of stock options using the Black-Scholes option valuation model were as follows:</w:t>
      </w:r>
    </w:p>
    <w:p>
      <w:pPr>
        <w:spacing w:after="0" w:line="113"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Six Months Ended</w:t>
      </w:r>
    </w:p>
    <w:p>
      <w:pPr>
        <w:spacing w:after="0" w:line="10"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June 30,</w:t>
      </w:r>
    </w:p>
    <w:tbl>
      <w:tblPr>
        <w:tblLayout w:type="fixed"/>
        <w:tblInd w:w="142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6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56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6.04</w:t>
            </w:r>
          </w:p>
        </w:tc>
      </w:tr>
      <w:tr>
        <w:trPr>
          <w:trHeight w:val="203"/>
        </w:trPr>
        <w:tc>
          <w:tcPr>
            <w:tcW w:w="568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84.58%</w:t>
            </w:r>
          </w:p>
        </w:tc>
        <w:tc>
          <w:tcPr>
            <w:tcW w:w="2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74.67%</w:t>
            </w:r>
          </w:p>
        </w:tc>
      </w:tr>
      <w:tr>
        <w:trPr>
          <w:trHeight w:val="203"/>
        </w:trPr>
        <w:tc>
          <w:tcPr>
            <w:tcW w:w="56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4.07%</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4.14%</w:t>
            </w:r>
          </w:p>
        </w:tc>
      </w:tr>
      <w:tr>
        <w:trPr>
          <w:trHeight w:val="203"/>
        </w:trPr>
        <w:tc>
          <w:tcPr>
            <w:tcW w:w="568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3"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Stock-based compensation expense recognized for all equity awards has been reported in the condensed statements of operations and comprehensive loss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420" w:type="dxa"/>
            <w:vAlign w:val="bottom"/>
          </w:tcPr>
          <w:p>
            <w:pPr>
              <w:spacing w:after="0"/>
              <w:rPr>
                <w:sz w:val="15"/>
                <w:szCs w:val="15"/>
                <w:color w:val="auto"/>
              </w:rPr>
            </w:pPr>
          </w:p>
        </w:tc>
        <w:tc>
          <w:tcPr>
            <w:tcW w:w="288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1,331</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2,980</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2,580</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5"/>
                <w:szCs w:val="15"/>
                <w:color w:val="auto"/>
              </w:rPr>
            </w:pPr>
          </w:p>
        </w:tc>
        <w:tc>
          <w:tcPr>
            <w:tcW w:w="2880" w:type="dxa"/>
            <w:vAlign w:val="bottom"/>
          </w:tcPr>
          <w:p>
            <w:pPr>
              <w:spacing w:after="0" w:line="183" w:lineRule="exact"/>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6,622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4,768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10,832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9,145</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4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expense</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p>
        </w:tc>
        <w:tc>
          <w:tcPr>
            <w:tcW w:w="28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8,272</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6,099</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13,812</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11,725</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1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9"/>
              </w:rPr>
              <w:t>F-18</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-933450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-916940</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-933450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-916940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-933450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-916940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8. Revenue Recognition</w:t>
      </w:r>
    </w:p>
    <w:p>
      <w:pPr>
        <w:spacing w:after="0" w:line="185"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To date, our only source of revenue has been from the U.S. sales of VOQUEZNA products, which the Company began selling during the fourth quarter of 2023. The Company records its best estimate of chargebacks, sales discounts and other reserves to which customers are likely expected to be entitled to as contra accounts receivable charges, and within accrued expenses if payable to a third-party or related to product returns on the condensed balance sheets. During the six months ended June 30, 2025 and 2024, the Company recognized $68.0 million and $9.2 million, respectively, of net product revenues related to sales of VOQUEZNA, VOQUEZNA DUAL PAK and VOQUEZNA TRIPLE PAK.</w:t>
      </w:r>
    </w:p>
    <w:p>
      <w:pPr>
        <w:spacing w:after="0" w:line="138"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following table provides a summary of the Company's revenue allowances and related accruals for the six months ended June 30, 2025, which have been deducting in arriving at product revenues, net (in thousands):</w:t>
      </w:r>
    </w:p>
    <w:p>
      <w:pPr>
        <w:spacing w:after="0" w:line="136"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Customer Credits,</w:t>
            </w:r>
          </w:p>
        </w:tc>
        <w:tc>
          <w:tcPr>
            <w:tcW w:w="17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Rebates, Returns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Discounts and</w:t>
            </w:r>
          </w:p>
        </w:tc>
        <w:tc>
          <w:tcPr>
            <w:tcW w:w="120" w:type="dxa"/>
            <w:vAlign w:val="bottom"/>
          </w:tcPr>
          <w:p>
            <w:pPr>
              <w:spacing w:after="0"/>
              <w:rPr>
                <w:sz w:val="17"/>
                <w:szCs w:val="17"/>
                <w:color w:val="auto"/>
              </w:rPr>
            </w:pPr>
          </w:p>
        </w:tc>
        <w:tc>
          <w:tcPr>
            <w:tcW w:w="16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and Co-Pay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8"/>
              </w:rPr>
              <w:t>Allowance</w:t>
            </w: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Assistance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(contra accounts</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receivable)</w:t>
            </w:r>
          </w:p>
        </w:tc>
        <w:tc>
          <w:tcPr>
            <w:tcW w:w="2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(accrued expenses)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January 1, 2025</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5,659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29,987</w:t>
            </w:r>
          </w:p>
        </w:tc>
        <w:tc>
          <w:tcPr>
            <w:tcW w:w="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35,646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25,390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61,538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86,928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Utilizations</w:t>
            </w: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(23,333)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(51,022)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(74,355)</w:t>
            </w:r>
          </w:p>
        </w:tc>
        <w:tc>
          <w:tcPr>
            <w:tcW w:w="0" w:type="dxa"/>
            <w:vAlign w:val="bottom"/>
          </w:tcPr>
          <w:p>
            <w:pPr>
              <w:spacing w:after="0"/>
              <w:rPr>
                <w:sz w:val="1"/>
                <w:szCs w:val="1"/>
                <w:color w:val="auto"/>
              </w:rPr>
            </w:pPr>
          </w:p>
        </w:tc>
      </w:tr>
      <w:tr>
        <w:trPr>
          <w:trHeight w:val="196"/>
        </w:trPr>
        <w:tc>
          <w:tcPr>
            <w:tcW w:w="34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June 30, 2025</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7,716</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40,503</w:t>
            </w:r>
          </w:p>
        </w:tc>
        <w:tc>
          <w:tcPr>
            <w:tcW w:w="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48,219</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-162560</wp:posOffset>
            </wp:positionV>
            <wp:extent cx="51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-162560</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-162560</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8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Company's chief operating decision maker, or CODM, the Chief Executive Officer, manages the Company’s business activities as a single reportable segment. The segment derives its current revenues from the sale of VOQUEZNA products. Accordingly, the CODM uses net loss to measure segment profit or loss, allocate resources and assess performance. Further, the CODM reviews and utilizes functional expenses (research and development, general and administrative, sales and marketing and stock-based compensation) to manage the Company’s operations. Other segment items included in net loss are interest income, interest expense and other expense, which are reflected in the condensed statements of operations and comprehensive loss. The measure of segment assets is reported on the condensed balance sheets as total assets.</w:t>
      </w:r>
    </w:p>
    <w:p>
      <w:pPr>
        <w:spacing w:after="0" w:line="14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following table presents selected financial information with respect to the Company’s single operating segment for the six months ended June 30, 2025 and 2024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1"/>
        </w:trPr>
        <w:tc>
          <w:tcPr>
            <w:tcW w:w="1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96"/>
        </w:trPr>
        <w:tc>
          <w:tcPr>
            <w:tcW w:w="14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260" w:type="dxa"/>
            <w:vAlign w:val="bottom"/>
            <w:gridSpan w:val="2"/>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68,023</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9,236</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8,762</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1,802</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15,280</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14,226</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19,521</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13,854</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149,434</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114,883</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13,812</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11,725</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(4,427)</w:t>
            </w:r>
          </w:p>
        </w:tc>
        <w:tc>
          <w:tcPr>
            <w:tcW w:w="68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(7,937)</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35,588</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34,932</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1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w:t>
            </w:r>
          </w:p>
        </w:tc>
        <w:tc>
          <w:tcPr>
            <w:tcW w:w="2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1420" w:type="dxa"/>
            <w:vAlign w:val="bottom"/>
          </w:tcPr>
          <w:p>
            <w:pPr>
              <w:spacing w:after="0"/>
              <w:rPr>
                <w:sz w:val="18"/>
                <w:szCs w:val="18"/>
                <w:color w:val="auto"/>
              </w:rPr>
            </w:pPr>
          </w:p>
        </w:tc>
        <w:tc>
          <w:tcPr>
            <w:tcW w:w="3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net loss</w:t>
            </w:r>
          </w:p>
        </w:tc>
        <w:tc>
          <w:tcPr>
            <w:tcW w:w="2260" w:type="dxa"/>
            <w:vAlign w:val="bottom"/>
            <w:gridSpan w:val="2"/>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(170,126)</w:t>
            </w:r>
          </w:p>
        </w:tc>
        <w:tc>
          <w:tcPr>
            <w:tcW w:w="680" w:type="dxa"/>
            <w:vAlign w:val="bottom"/>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(174,298)</w:t>
            </w:r>
          </w:p>
        </w:tc>
        <w:tc>
          <w:tcPr>
            <w:tcW w:w="140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29"/>
        </w:trPr>
        <w:tc>
          <w:tcPr>
            <w:tcW w:w="1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6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F-19</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-933450</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-916305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-916305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10. Restructuring</w:t>
      </w:r>
    </w:p>
    <w:p>
      <w:pPr>
        <w:spacing w:after="0" w:line="18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May 2025, the Company implemented a cost reduction and organizational restructuring plan to reduce cash burn and focus resources on commercial execution. In connection with the restructuring, the Company's workforce was reduced by 28 employees, or approximately 6%, including certain leadership changes all designed to right-size the organization. During the six months ended June 30, 2025, total restructuring charges incurred were $8.0 million consisting of one-time termination benefits to affected employees for severance, non-cash stock-based compensation costs, healthcare benefits and outplacement assistance. The costs are included in research and development and selling, general, and administrative expenses on the Company’s condensed consolidated statement of operations and comprehensive loss.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activity related to the restructuring accrual during the six months ended June 30, 2025 (in thousands):</w:t>
      </w:r>
    </w:p>
    <w:p>
      <w:pPr>
        <w:spacing w:after="0" w:line="183" w:lineRule="exact"/>
        <w:rPr>
          <w:sz w:val="20"/>
          <w:szCs w:val="20"/>
          <w:color w:val="auto"/>
        </w:rPr>
      </w:pPr>
    </w:p>
    <w:tbl>
      <w:tblPr>
        <w:tblLayout w:type="fixed"/>
        <w:tblInd w:w="1420" w:type="dxa"/>
        <w:tblCellMar>
          <w:top w:w="0" w:type="dxa"/>
          <w:left w:w="0" w:type="dxa"/>
          <w:bottom w:w="0" w:type="dxa"/>
          <w:right w:w="0" w:type="dxa"/>
        </w:tblCellMar>
      </w:tblPr>
      <w:tr>
        <w:trPr>
          <w:trHeight w:val="221"/>
        </w:trPr>
        <w:tc>
          <w:tcPr>
            <w:tcW w:w="5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Total</w:t>
            </w:r>
          </w:p>
        </w:tc>
      </w:tr>
      <w:tr>
        <w:trPr>
          <w:trHeight w:val="196"/>
        </w:trPr>
        <w:tc>
          <w:tcPr>
            <w:tcW w:w="5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Restructuring expenses incurred</w:t>
            </w:r>
          </w:p>
        </w:tc>
        <w:tc>
          <w:tcPr>
            <w:tcW w:w="520" w:type="dxa"/>
            <w:vAlign w:val="bottom"/>
            <w:tcBorders>
              <w:top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7,970</w:t>
            </w:r>
          </w:p>
        </w:tc>
        <w:tc>
          <w:tcPr>
            <w:tcW w:w="8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Cash paid</w:t>
            </w:r>
          </w:p>
        </w:tc>
        <w:tc>
          <w:tcPr>
            <w:tcW w:w="520" w:type="dxa"/>
            <w:vAlign w:val="bottom"/>
          </w:tcPr>
          <w:p>
            <w:pPr>
              <w:spacing w:after="0"/>
              <w:rPr>
                <w:sz w:val="17"/>
                <w:szCs w:val="17"/>
                <w:color w:val="auto"/>
              </w:rPr>
            </w:pPr>
          </w:p>
        </w:tc>
        <w:tc>
          <w:tcPr>
            <w:tcW w:w="1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(2,105)</w:t>
            </w:r>
          </w:p>
        </w:tc>
      </w:tr>
      <w:tr>
        <w:trPr>
          <w:trHeight w:val="203"/>
        </w:trPr>
        <w:tc>
          <w:tcPr>
            <w:tcW w:w="5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Non-cash expenses</w:t>
            </w:r>
          </w:p>
        </w:tc>
        <w:tc>
          <w:tcPr>
            <w:tcW w:w="52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(3,221)</w:t>
            </w:r>
          </w:p>
        </w:tc>
      </w:tr>
      <w:tr>
        <w:trPr>
          <w:trHeight w:val="196"/>
        </w:trPr>
        <w:tc>
          <w:tcPr>
            <w:tcW w:w="59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June 30, 2025</w:t>
            </w:r>
          </w:p>
        </w:tc>
        <w:tc>
          <w:tcPr>
            <w:tcW w:w="52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2,644</w:t>
            </w:r>
          </w:p>
        </w:tc>
        <w:tc>
          <w:tcPr>
            <w:tcW w:w="80" w:type="dxa"/>
            <w:vAlign w:val="bottom"/>
            <w:tcBorders>
              <w:top w:val="single" w:sz="8" w:color="CFF0FC"/>
            </w:tcBorders>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-162560</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7"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unaudited interim condensed financial statements and notes thereto included in this Quarterly Report on Form 10-Q and with our audited financial statements and notes thereto for the year ended December 31, 2024 and the related Management’s Discussion and Analysis of Financial Condition and Results of Operations, both of which are contained in our Annual Report on Form 10-K for the year ended December 31, 2024, or the 2024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commercialization plans and costs, research and development plans and costs, pricing and reimbursement, the potential to develop future product candidates, the timing and likelihood of success of the plans and objectives of management for current and future operations, and future results of anticipated commercialization, product development and other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of our Annual Report on Form 10-K and our Quarterly Reports on Form 10-Q.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 xml:space="preserve">We are a biopharmaceutical company focused on developing and commercializing novel treatments for gastrointestinal, or GI, diseases. Our approved products, VOQUEZNA®, VOQUEZNA® TRIPLE PAK® and VOQUEZNA® DUAL PAK®, contain vonoprazan, an oral small molecule potassium-competitive acid blocker, or PCAB. PCABs are a novel class of medicines that block acid secretion in the stomach. Vonoprazan is the first gastric anti-secretory agent from a novel class approved in the United States, Europe, or Canada in over 30 years, and has shown rapid, potent, and durable anti-secretory effects. Vonoprazan has also demonstrated clinical benefits over the current standard of care as a single agent in the treatment of erosive gastroesophageal reflux disease, or Erosive GERD, and in combination with antibiotics for the treatment of </w:t>
      </w:r>
      <w:r>
        <w:rPr>
          <w:rFonts w:ascii="Arial" w:cs="Arial" w:eastAsia="Arial" w:hAnsi="Arial"/>
          <w:sz w:val="18"/>
          <w:szCs w:val="18"/>
          <w:i w:val="1"/>
          <w:iCs w:val="1"/>
          <w:color w:val="auto"/>
        </w:rPr>
        <w:t>Helicobacter pylori</w:t>
      </w:r>
      <w:r>
        <w:rPr>
          <w:rFonts w:ascii="Arial" w:cs="Arial" w:eastAsia="Arial" w:hAnsi="Arial"/>
          <w:sz w:val="18"/>
          <w:szCs w:val="18"/>
          <w:color w:val="auto"/>
        </w:rPr>
        <w:t xml:space="preserve">, or </w:t>
      </w:r>
      <w:r>
        <w:rPr>
          <w:rFonts w:ascii="Arial" w:cs="Arial" w:eastAsia="Arial" w:hAnsi="Arial"/>
          <w:sz w:val="18"/>
          <w:szCs w:val="18"/>
          <w:i w:val="1"/>
          <w:iCs w:val="1"/>
          <w:color w:val="auto"/>
        </w:rPr>
        <w:t>H. pylori</w:t>
      </w:r>
      <w:r>
        <w:rPr>
          <w:rFonts w:ascii="Arial" w:cs="Arial" w:eastAsia="Arial" w:hAnsi="Arial"/>
          <w:sz w:val="18"/>
          <w:szCs w:val="18"/>
          <w:color w:val="auto"/>
        </w:rPr>
        <w:t>, infection. Takeda Pharmaceutical Company Limited, or Takeda, developed vonoprazan and has received marketing approval in numerous countries in Asia and Latin America as well as Russia. Vonoprazan generated peak net sales for Takeda of approximately $850 million and continues to achieve volume growth during its tenth full year on the market since its approval in Japan in 2014. In May 2019, we in-licensed the U.S., European, and Canadian rights to vonoprazan from Takeda.</w:t>
      </w:r>
    </w:p>
    <w:p>
      <w:pPr>
        <w:spacing w:after="0" w:line="13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In May 2022, the U.S. Food and Drug Administration, or FDA, approved the NDAs for vonoprazan triple therapy, under the brand name VOQUEZNA TRIPLE PAK, and vonoprazan dual therapy, under the brand name VOQUEZNA DUAL PAK. Subsequently, on November 1, 2023, the FDA approved vonoprazan, under the brand name VOQUEZNA, as a treatment for adults for the healing of all grades of Erosive GERD, maintenance of healing of all grades of Erosive GERD, and relief of heartburn associated with Erosive GERD, as well as in combination with amoxicillin, with or without clarithromycin,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adults. We initiated commercial launch for VOQUEZNA for both the Erosive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indications, and VOQUEZNA TRIPLE PAK and VOQUEZNA DUAL PAK for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the fourth quarter of 2023. In September 2023, we submitted an NDA seeking approval of vonoprazan as a once-daily treatment for heartburn symptoms associated with Non-Erosive GERD in adults. On July 17, 2024, the FDA approved VOQUEZNA 10 mg tablets for the relief of heartburn associated with Non-Erosive GERD, the largest category of GERD.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3" w:name="page24"/>
    <w:bookmarkEnd w:id="23"/>
    <w:p>
      <w:pPr>
        <w:ind w:right="20" w:firstLine="509"/>
        <w:spacing w:after="0" w:line="244" w:lineRule="auto"/>
        <w:rPr>
          <w:sz w:val="20"/>
          <w:szCs w:val="20"/>
          <w:color w:val="auto"/>
        </w:rPr>
      </w:pPr>
      <w:r>
        <w:rPr>
          <w:rFonts w:ascii="Arial" w:cs="Arial" w:eastAsia="Arial" w:hAnsi="Arial"/>
          <w:sz w:val="18"/>
          <w:szCs w:val="18"/>
          <w:color w:val="auto"/>
        </w:rPr>
        <w:t>We are independently commercializing VOQUEZNA, VOQUEZNA TRIPLE PAK, and VOQUEZNA DUAL PAK in the United States. Our commercial launch for VOQUEZNA continues to build momentum and launch data shows strong physician and patient demand. As of July 25, 2025, over 580,000 prescriptions for VOQUEZNA tablets, VOQUEZNA Triple Pak, and VOQUEZNA Dual Pak have been filled since launch written by more than 29,300 prescribers. We continue to maintain broad commercial coverage for VOQUEZNA with over 120 million, or over 80%, of total U.S. commercial lives with access to VOQUEZNA tablets.</w:t>
      </w:r>
    </w:p>
    <w:p>
      <w:pPr>
        <w:spacing w:after="0" w:line="14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We continue to evaluate potential commercial partnerships for vonoprazan in Europe and Canada as well as potential development of vonoprazan into other indications, dosing regimens and alternative formulations and packaging. We also plan to evaluate the in-license or acquisition of additional clinical or commercial stage product candidates for the treatment of GI diseases in a capital efficient manner. We plan to initiate our Phase 2 clinical trial of vonoprazan in eosinophilic esophagitis (EoE) trial during the fourth quarter of 2025.</w:t>
      </w:r>
    </w:p>
    <w:p>
      <w:pPr>
        <w:spacing w:after="0" w:line="133"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In May 2021, the FDA granted qualified infectious disease product, or QIDP, designations for VOQUEZNA TRIPLE PAK and VOQUEZNA DUAL PAK and we thereby received an extension of five years of new chemical entity, or NCE, exclusivity based on the vonoprazan component in the applicable NDAs. In December 2024, we submitted a citizen petition requesting that FDA update the Orange Book listings to reflect the same ten-year period of NCE exclusivity for VOQUEZNA as reflected on the VOQUEZNA TRIPLE PAK and VOQUEZNA DUAL PAK Orange Book listings. On June 16, 2025, we announced that the FDA has updated the Orange Book listing for VOQUEZNA tablets to reflect the full ten-year period of NCE exclusivity now extended through May 3, 2032.</w:t>
      </w:r>
    </w:p>
    <w:p>
      <w:pPr>
        <w:spacing w:after="0" w:line="138"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We have been informed by Sandoz that there could be a disruption in the supply of clarithromycin tablets, a component of the VOQUEZNA TRIPLE PAK. The VOQUEZNA TRIPLE PAK represents approximately 1% of our total revenue. We are in discussions with Sandoz and continue to actively monitor the situation. While we have not experienced any commercial disruption to date, any disruption for such supply would result in our inability to continue to commercialize the VOQUEZNA TRIPLE PAK. The VOQUEZNA bottles and the VOQUEZNA DUAL PAKs are not impacted, as they do not include clarithromycin</w:t>
      </w:r>
    </w:p>
    <w:p>
      <w:pPr>
        <w:spacing w:after="0" w:line="14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commenced our operations in 2018 and have devoted substantially all of our resources to date to organizing and staffing our company, business planning, raising capital, in-licensing vonoprazan, meeting with regulatory authorities, managing our clinical trials of vonoprazan, preparing for commercialization of our initial products containing vonoprazan, commercially launching our approved products, and providing other selling, general and administrative support for our operations. Our operations to date have been funded primarily through commercial bank debt, our revenue interest financing debt and various equity offerings, including our at-the-market offerings. From inception through June 30, 2025, we sold 34,737,032 shares of our common stock and 2,608,922 pre-funded warrants, generating net proceeds of approximately $543.3 million, after deducting underwriting discounts, commissions and offering costs. As of June 30, 2025, we had cash and cash equivalents of $149.6 million. Based on our current operating plan, we believe that our existing cash and cash equivalents together with anticipated product revenues, are sufficient to fund operations for at least the next twelve months.</w:t>
      </w:r>
    </w:p>
    <w:p>
      <w:pPr>
        <w:spacing w:after="0" w:line="14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Since inception, we have incurred significant operating losses. Our net losses were $170.1 million and $174.3 million for the six months ended June 30, 2025 and 2024, respectively. As of June 30, 2025, we had an accumulated deficit of $1.4 billion. We expect to continue to incur operating losses for the foreseeable future. It could be several years, if ever, before our current products or potential future product candidates, if successfully developed and approved, generate significant revenues to offset these operating losses. As a result, we are uncertain when or if we will achieve profitability and, if so, whether we will be able to sustain it. The net losses we incur may fluctuate significantly from quarter to quarter and year to year.</w:t>
      </w:r>
    </w:p>
    <w:p>
      <w:pPr>
        <w:spacing w:after="0" w:line="13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While we have generated revenue to date, until such time as we can generate significant revenue from sales of our approved products containing vonoprazan, we expect to finance our cash needs through equity offerings, potentially the Loan Agreement, our Revenue Interest Financing Agreement, additional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ongoing conflicts throughout the world and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8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May 2025, we implemented a cost reduction and organizational restructuring plan to reduce cash burn and focus resources on commercial execution. In connection with the restructuring, our workforce was reduced by 28 employees, or approximately 6%, including certain leadership changes all designed to right-size the organization. During the six months ended June 30, 2025, total restructuring charges incurred were $8.0 million consisting of one-time termination benefits to affected employees for severance, non-cash stock-based compensation costs, healthcare benefits and outplacement assistance. As of June 30, 2025, approximately $2.6 million of restructuring related accruals remain on the condensed balance sheet.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69"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5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2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paid Takeda upfront consideration consisting of a cash fee of $25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$ 250 million. We also agreed to make tiered royalty payments at percentages averaging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 We currently pay royalties to Takeda on sales of VOQUEZNA tablets, VOQUEZNA DUAL PAK and VOQUEZNA TRIPLE PAK in the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right="20" w:firstLine="509"/>
        <w:spacing w:after="0" w:line="301" w:lineRule="auto"/>
        <w:rPr>
          <w:sz w:val="20"/>
          <w:szCs w:val="20"/>
          <w:color w:val="auto"/>
        </w:rPr>
      </w:pPr>
      <w:r>
        <w:rPr>
          <w:rFonts w:ascii="Arial" w:cs="Arial" w:eastAsia="Arial" w:hAnsi="Arial"/>
          <w:sz w:val="17"/>
          <w:szCs w:val="17"/>
          <w:color w:val="auto"/>
        </w:rPr>
        <w:t>We began to recognize revenue from product sales, net of rebates, chargebacks, discounts, and other adjustments, in November 2023 in conjunction with the commercial launch of VOQUEZNA, VOQUEZNA TRIPLE PAK, and VOQUEZNA DUAL PAK in the United States.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Cost of revenue includes the cost of producing and distributing inventories that are related to product sales. This also includes royalties payable to Takeda, pursuant to the Takeda License Agreement (Refer to Note 3 for further details). In addition, shipping and handling costs for product sales are recorded as incurred. Cost of revenue also includes costs related to excess or obsolete inventory adjustment charges.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3"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To date, our research and development expenses have related to the development and regulatory approvals of vonoprazan. Research and development expenses are recognized as incurred and payments made prior to the receipt of goods or services to be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5" w:name="page26"/>
    <w:bookmarkEnd w:id="25"/>
    <w:p>
      <w:pPr>
        <w:ind w:right="140"/>
        <w:spacing w:after="0" w:line="271" w:lineRule="auto"/>
        <w:rPr>
          <w:sz w:val="20"/>
          <w:szCs w:val="20"/>
          <w:color w:val="auto"/>
        </w:rPr>
      </w:pPr>
      <w:r>
        <w:rPr>
          <w:rFonts w:ascii="Arial" w:cs="Arial" w:eastAsia="Arial" w:hAnsi="Arial"/>
          <w:sz w:val="18"/>
          <w:szCs w:val="18"/>
          <w:color w:val="auto"/>
        </w:rPr>
        <w:t>used in research and development are capitalized until the goods or services are received. We do not track total research and development expenses by indication.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71" w:lineRule="exact"/>
        <w:rPr>
          <w:sz w:val="20"/>
          <w:szCs w:val="20"/>
          <w:color w:val="auto"/>
        </w:rPr>
      </w:pPr>
    </w:p>
    <w:p>
      <w:pPr>
        <w:ind w:left="900" w:right="100" w:hanging="383"/>
        <w:spacing w:after="0" w:line="270"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Clinical development expenses: </w:t>
      </w:r>
      <w:r>
        <w:rPr>
          <w:rFonts w:ascii="Arial" w:cs="Arial" w:eastAsia="Arial" w:hAnsi="Arial"/>
          <w:sz w:val="18"/>
          <w:szCs w:val="18"/>
          <w:color w:val="auto"/>
        </w:rPr>
        <w:t>external research and development expenses incurred under agreements with CROs,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consultants to conduct and support our clinical trials of vonoprazan;</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Personnel related expenses</w:t>
      </w:r>
      <w:r>
        <w:rPr>
          <w:rFonts w:ascii="Arial" w:cs="Arial" w:eastAsia="Arial" w:hAnsi="Arial"/>
          <w:sz w:val="18"/>
          <w:szCs w:val="18"/>
          <w:color w:val="auto"/>
        </w:rPr>
        <w:t>: salaries, payroll taxes, and employee benefits;</w:t>
      </w:r>
    </w:p>
    <w:p>
      <w:pPr>
        <w:spacing w:after="0" w:line="19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Chemistry manufacturing and controls, or CMC, expenses: </w:t>
      </w:r>
      <w:r>
        <w:rPr>
          <w:rFonts w:ascii="Arial" w:cs="Arial" w:eastAsia="Arial" w:hAnsi="Arial"/>
          <w:sz w:val="18"/>
          <w:szCs w:val="18"/>
          <w:color w:val="auto"/>
        </w:rPr>
        <w:t>costs related to the manufacturing of vonoprazan for our clinical trials;</w:t>
      </w:r>
    </w:p>
    <w:p>
      <w:pPr>
        <w:spacing w:after="0" w:line="18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Consulting, professional and other costs: </w:t>
      </w:r>
      <w:r>
        <w:rPr>
          <w:rFonts w:ascii="Arial" w:cs="Arial" w:eastAsia="Arial" w:hAnsi="Arial"/>
          <w:sz w:val="18"/>
          <w:szCs w:val="18"/>
          <w:color w:val="auto"/>
        </w:rPr>
        <w:t>external costs related to consulting and professional services and other research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and</w:t>
      </w:r>
    </w:p>
    <w:p>
      <w:pPr>
        <w:spacing w:after="0" w:line="11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stock-based compensation expense recognized for those individuals involved in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efforts.</w:t>
      </w:r>
    </w:p>
    <w:p>
      <w:pPr>
        <w:spacing w:after="0" w:line="127"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following table summarizes our research and development expenses for the three and six months ended June 30, 2025 and 2024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42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4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Clinical development and regulatory</w:t>
            </w:r>
          </w:p>
        </w:tc>
        <w:tc>
          <w:tcPr>
            <w:tcW w:w="880" w:type="dxa"/>
            <w:vAlign w:val="bottom"/>
            <w:gridSpan w:val="2"/>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2,451</w:t>
            </w:r>
          </w:p>
        </w:tc>
        <w:tc>
          <w:tcPr>
            <w:tcW w:w="1140" w:type="dxa"/>
            <w:vAlign w:val="bottom"/>
            <w:gridSpan w:val="2"/>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2,596</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5,995</w:t>
            </w:r>
          </w:p>
        </w:tc>
        <w:tc>
          <w:tcPr>
            <w:tcW w:w="6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6,117</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Personnel related</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3,885</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2,440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6,847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5,509</w:t>
            </w: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Chemistry manufacturing and controls</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1,506</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1,276</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Consulting, professional and other costs</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737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932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1,324</w:t>
            </w:r>
          </w:p>
        </w:tc>
        <w:tc>
          <w:tcPr>
            <w:tcW w:w="100" w:type="dxa"/>
            <w:vAlign w:val="bottom"/>
          </w:tcPr>
          <w:p>
            <w:pPr>
              <w:spacing w:after="0"/>
              <w:rPr>
                <w:sz w:val="17"/>
                <w:szCs w:val="17"/>
                <w:color w:val="auto"/>
              </w:rPr>
            </w:pPr>
          </w:p>
        </w:tc>
      </w:tr>
      <w:tr>
        <w:trPr>
          <w:trHeight w:val="202"/>
        </w:trPr>
        <w:tc>
          <w:tcPr>
            <w:tcW w:w="4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1,650</w:t>
            </w: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1,331</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2,980</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ind w:left="100"/>
              <w:spacing w:after="0" w:line="196" w:lineRule="exact"/>
              <w:rPr>
                <w:sz w:val="20"/>
                <w:szCs w:val="20"/>
                <w:color w:val="auto"/>
              </w:rPr>
            </w:pPr>
            <w:r>
              <w:rPr>
                <w:rFonts w:ascii="Arial" w:cs="Arial" w:eastAsia="Arial" w:hAnsi="Arial"/>
                <w:sz w:val="18"/>
                <w:szCs w:val="18"/>
                <w:color w:val="auto"/>
              </w:rPr>
              <w:t>Total research and development expenses</w:t>
            </w:r>
          </w:p>
        </w:tc>
        <w:tc>
          <w:tcPr>
            <w:tcW w:w="880" w:type="dxa"/>
            <w:vAlign w:val="bottom"/>
            <w:gridSpan w:val="2"/>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9,076</w:t>
            </w:r>
          </w:p>
        </w:tc>
        <w:tc>
          <w:tcPr>
            <w:tcW w:w="1140" w:type="dxa"/>
            <w:vAlign w:val="bottom"/>
            <w:gridSpan w:val="2"/>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w w:val="97"/>
              </w:rPr>
              <w:t>7,376</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18,260</w:t>
            </w:r>
          </w:p>
        </w:tc>
        <w:tc>
          <w:tcPr>
            <w:tcW w:w="6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16,806</w:t>
            </w:r>
          </w:p>
        </w:tc>
        <w:tc>
          <w:tcPr>
            <w:tcW w:w="10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-162560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-162560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-162560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plan to invest in our research and development expenses for the foreseeable future as we continue the development of vonoprazan and potentially also develop in the future additional product candidates.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if any, may be subject to future collaborations, when such arrangements will be secured, if at all, and to what degree such arrangements would affect our development plans and capital requirements.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69"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Selling, general and administrative expenses consist of salaries and employee-related costs, including stock-based compensation, for personnel in commercial, executive, finance, accounting, legal, human resources and other administrative functions, legal fees relating to intellectual property and corporate matters, and professional fees for accounting and consulting services. We anticipate that our selling, general and administrative expenses will decrease in the future in conjunction with our organizational restructuring implemented in the second quarter of 2025.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Interest Financing Agreement</w:t>
      </w:r>
    </w:p>
    <w:p>
      <w:pPr>
        <w:spacing w:after="0" w:line="102" w:lineRule="exact"/>
        <w:rPr>
          <w:sz w:val="20"/>
          <w:szCs w:val="20"/>
          <w:color w:val="auto"/>
        </w:rPr>
      </w:pPr>
    </w:p>
    <w:p>
      <w:pPr>
        <w:ind w:right="680" w:firstLine="509"/>
        <w:spacing w:after="0" w:line="271" w:lineRule="auto"/>
        <w:rPr>
          <w:sz w:val="20"/>
          <w:szCs w:val="20"/>
          <w:color w:val="auto"/>
        </w:rPr>
      </w:pPr>
      <w:r>
        <w:rPr>
          <w:rFonts w:ascii="Arial" w:cs="Arial" w:eastAsia="Arial" w:hAnsi="Arial"/>
          <w:sz w:val="18"/>
          <w:szCs w:val="18"/>
          <w:color w:val="auto"/>
        </w:rPr>
        <w:t>Interest expense under the Revenue Interest Financing Agreement is based on the imputed effective interest rate derived from expected future payments and the carrying value of the obligation. We recalculate the effective interest rate each period based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6" w:name="page27"/>
    <w:bookmarkEnd w:id="26"/>
    <w:p>
      <w:pPr>
        <w:ind w:right="160"/>
        <w:spacing w:after="0" w:line="271" w:lineRule="auto"/>
        <w:rPr>
          <w:sz w:val="20"/>
          <w:szCs w:val="20"/>
          <w:color w:val="auto"/>
        </w:rPr>
      </w:pPr>
      <w:r>
        <w:rPr>
          <w:rFonts w:ascii="Arial" w:cs="Arial" w:eastAsia="Arial" w:hAnsi="Arial"/>
          <w:sz w:val="18"/>
          <w:szCs w:val="18"/>
          <w:color w:val="auto"/>
        </w:rPr>
        <w:t>on the current carrying value and the revised estimated future payments. Changes in future payments from previous estimates are included in current and future 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with Hercules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under the Loan Agreement consists of (i) cash interest at a variable annual rate equal to the greater of (a) 9.85% and</w:t>
      </w:r>
    </w:p>
    <w:p>
      <w:pPr>
        <w:spacing w:after="0" w:line="14" w:lineRule="exact"/>
        <w:rPr>
          <w:sz w:val="20"/>
          <w:szCs w:val="20"/>
          <w:color w:val="auto"/>
        </w:rPr>
      </w:pPr>
    </w:p>
    <w:p>
      <w:pPr>
        <w:jc w:val="both"/>
        <w:ind w:right="320" w:firstLine="8"/>
        <w:spacing w:after="0"/>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Prime Rate (as reported in the Wall Street Journal) plus 1.35% and provided that the cash interest rate shall be capped at 10.35% and upon us achieving the certain milestones, the cash interest shall be decreased by 0.35%, (ii) payment-in-kind interest at a per annum rate of interest equal to 2.15%, and (iii) amortization of the Loan Agreement debt discount recorded in connection with the fair value of warrants issued to the lenders, the debt issuance costs incurred, and the obligation to make a final payment.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2025 and 2024</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2025 and 2024 (in thousands):</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39,503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7,324</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32,179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5,038</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34,465</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5,948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28,517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9,076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7,376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85,313</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75,872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94,389</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83,248</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11,141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(59,924)</w:t>
            </w:r>
          </w:p>
        </w:tc>
        <w:tc>
          <w:tcPr>
            <w:tcW w:w="320" w:type="dxa"/>
            <w:vAlign w:val="bottom"/>
          </w:tcPr>
          <w:p>
            <w:pPr>
              <w:spacing w:after="0"/>
              <w:rPr>
                <w:sz w:val="17"/>
                <w:szCs w:val="17"/>
                <w:color w:val="auto"/>
              </w:rPr>
            </w:pPr>
          </w:p>
        </w:tc>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(77,300)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17,376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1,787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(17,518)</w:t>
            </w:r>
          </w:p>
        </w:tc>
        <w:tc>
          <w:tcPr>
            <w:tcW w:w="3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(17,764)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(155)</w:t>
            </w:r>
          </w:p>
        </w:tc>
        <w:tc>
          <w:tcPr>
            <w:tcW w:w="3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(15,886)</w:t>
            </w:r>
          </w:p>
        </w:tc>
        <w:tc>
          <w:tcPr>
            <w:tcW w:w="3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(14,146)</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(75,810)</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(91,446)</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15,636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-959485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-959485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-161925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-161925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revenues were $39.5 million and $ 7.3 million for the three months ended June 30, 2025 and 2024,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sales of VOQUEZNA, VOQUEZNA TRIPLE PAK, and VOQUEZNA DUAL PAK which were launched in the fourth quarter of 2023.</w:t>
      </w:r>
    </w:p>
    <w:p>
      <w:pPr>
        <w:spacing w:after="0" w:line="11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were $5.0 million and $1.4 million for the three months ended June 30, 2025 and 2024,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In periods prior to receiving FDA approval for VOQUEZNA, we recognized inventory and related costs associated with the manufacture of VOQUEZNA as research and development expense and as such, the cost of revenue and related gross profits are not necessarily indicative of future costs of revenue and gross profit. Therefore, the manufacturing costs related to the inventory purchased before FDA approval were already expensed in a prior period and are therefore excluded from the cost of revenue for the three months ended June 30, 2025. These previously expensed costs were not material.</w:t>
      </w:r>
    </w:p>
    <w:p>
      <w:pPr>
        <w:spacing w:after="0" w:line="152"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$9.1 million and $7.4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2025 and 2024, respectively. The increase of $1.7 million consists of $2.0 million related to higher personnel-related expenses due to restructuring charges, partially offset by a decrease of $0.3 million of consulting expenses.</w:t>
      </w:r>
    </w:p>
    <w:p>
      <w:pPr>
        <w:spacing w:after="0" w:line="128"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$85.3 million and $75.9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2025 and 2024, respectively. The increase of $9.4 million was due to increases of $8.9 million in personnel-related expenses due to restructuring charges and an increase of $0.5 million of commercial related expenses.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ind w:right="160" w:firstLine="509"/>
        <w:spacing w:after="0" w:line="244"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$15.9 million for the three months ended June 30, 2025 consisted of $17.5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under the Hercules Loan Agreement and Revenue Interest Financing Agreement, partially offset by $1.8 million of interest income related to cash held in money market funds. Other expense of $14.1 million for the three months ended June 30, 2024 consisted of $17.8 million of interest expense under the Hercules Loan Agreement and Revenue Interest Financing Agreement, partially offset by $3.6 million of interest income related to cash held in money market funds.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2025 and 2024</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2025 and 2024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68,023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9,236</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58,787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8,762</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59,261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7,434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51,827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18,260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16,806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179,787</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137,882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41,905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198,047</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154,688</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43,359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(138,786)</w:t>
            </w:r>
          </w:p>
        </w:tc>
        <w:tc>
          <w:tcPr>
            <w:tcW w:w="320" w:type="dxa"/>
            <w:vAlign w:val="bottom"/>
          </w:tcPr>
          <w:p>
            <w:pPr>
              <w:spacing w:after="0"/>
              <w:rPr>
                <w:sz w:val="17"/>
                <w:szCs w:val="17"/>
                <w:color w:val="auto"/>
              </w:rPr>
            </w:pPr>
          </w:p>
        </w:tc>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(147,254)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8,468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4,427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7,937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(35,588)</w:t>
            </w:r>
          </w:p>
        </w:tc>
        <w:tc>
          <w:tcPr>
            <w:tcW w:w="3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(34,932)</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(179)</w:t>
            </w:r>
          </w:p>
        </w:tc>
        <w:tc>
          <w:tcPr>
            <w:tcW w:w="3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(31,340)</w:t>
            </w:r>
          </w:p>
        </w:tc>
        <w:tc>
          <w:tcPr>
            <w:tcW w:w="3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(27,044)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(170,126)</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(174,298)</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-959485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-959485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-161925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-161925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revenues were $68.0 million and $ 9.2 million for the six months ended June 30, 2025 and 2024,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sales of VOQUEZNA, VOQUEZNA TRIPLE PAK, and VOQUEZNA DUAL PAK which were launched during the fourth quarter of 2023.</w:t>
      </w:r>
    </w:p>
    <w:p>
      <w:pPr>
        <w:spacing w:after="0" w:line="128"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revenues were $8.8 million and $1.8 million for the six months ended June 30, 2025 and 2024,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In periods prior to receiving FDA approval for VOQUEZNA, we recognized inventory and related costs associated with the manufacture of VOQUEZNA as research and development expense and as such, the cost of revenue and related gross profits are not necessarily indicative of future costs of revenue and gross profit. Therefore, the manufacturing costs related to the inventory purchased before FDA approval were already expensed in a prior period and are therefore excluded from the cost of revenue for the six months ended June 30, 2025. These previously expensed costs were not material.</w:t>
      </w:r>
    </w:p>
    <w:p>
      <w:pPr>
        <w:spacing w:after="0" w:line="138"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$18.3 million and $16.8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2025 and 2024, respectively. The increase of $1.5 million consists of $1.7 million related to higher personnel-related expenses due to restructuring charges, partially offset by $0.2 million of lower project and consulting costs.</w:t>
      </w:r>
    </w:p>
    <w:p>
      <w:pPr>
        <w:spacing w:after="0" w:line="14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$179.8 million and $137.9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2025 and 2024, respectively. The increase of $41.9 million was due to increases of $32.5 million of advertising and promotional expenses in support of our ongoing commercial launch of VOQUEZNA, and an increase of $8.9 million in personnel-related expenses due to restructuring charges, and an increase of $0.5 million in legal and professional fees.</w:t>
      </w:r>
    </w:p>
    <w:p>
      <w:pPr>
        <w:spacing w:after="0" w:line="133"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$31.3 million for the six months ended June 30, 2025 consisted of $35.6 million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under the Loan Agreement and Revenue Interest Financing Agreement, partially offset by $4.4 million of interest income related to cash held in money market funds. Other expense of $27.0 million for the six months ended June 30, 2024 consisted of $34.9 million of interest expense under the Loan Agreement and Revenue Interest Financing Agreement, partially offset by $7.9 million of interest income related to cash held in money market funds. Interest expense increased due to a higher debt balance under the Loan Agreement as well as a higher liability related to our Revenue Interest Financing Agreement versus the prior period, partially offset by interest income on our cash position.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We have incurred net losses and negative cash flows from operations since our inception and anticipate we will continue to incur net losses for the foreseeable future. As of June 30, 2025, we had cash and cash equivalents of $149.6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Hercules</w:t>
      </w:r>
    </w:p>
    <w:p>
      <w:pPr>
        <w:spacing w:after="0" w:line="169"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On September 17, 2021, or the Closing Date, we entered into the Loan Agreement with Hercules (in such capacity, the Agent or Hercules), as administrative agent and collateral agent and as a lender and the other financial institutions that from time to time become parties to the Loan Agreement as lenders (collectively, the Lenders).</w:t>
      </w:r>
    </w:p>
    <w:p>
      <w:pPr>
        <w:spacing w:after="0" w:line="14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Loan Agreement provides for term loans in an aggregate principal amount of up to $200 million, or the Term Loan, under multiple tranches. The tranches consist of (i) a first tranche consisting of term loans in an aggregate principal amount of $100 million, all of which was funded on the Closing Date, or the First Advance, (ii) a second tranche consisting of up to an additional $50 million, (iii) a third and fourth tranches consisting of an additional total $50 million, which became available to us in May 2022.</w:t>
      </w:r>
    </w:p>
    <w:p>
      <w:pPr>
        <w:spacing w:after="0" w:line="174"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On September 27, 2022, we entered into an amendment to the Loan Agreement, or the Second Loan Amendment, pursuant to which the date the second tranche of funding of $50 million will remain available to us and was moved to May 15, 2023, rather than December 15, 2022.</w:t>
      </w:r>
    </w:p>
    <w:p>
      <w:pPr>
        <w:spacing w:after="0" w:line="16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May 9, 2023, we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 and a covenant extension amendment fee of $100,000 was paid to the Agent. These fees have been recorded as debt discount and are being amortized to interest expense using the effective interest method over the remaining term of the Term Loan.</w:t>
      </w:r>
    </w:p>
    <w:p>
      <w:pPr>
        <w:spacing w:after="0" w:line="13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December 14, 2023, we entered into a Fourth Amendment to Loan and Security Agreement, or the Fourth Loan Amendment, with the lenders, which, among other things, (i) increased the aggregate principal amount of the term loans from $200 million to $300 million; (ii) provided for the possibility of accessing the $200 million commitment through five additional tranches referred to as tranches 2 through 6, which are available subject to certain milestones and conditions: (a) Tranche 2: $ 50 million, $40 million of which was funded on December 14, 2023, and the remaining $10 million of which was funded on March 15, 2024, (b) Tranche 3: $25 million, which was funded on June 14, 2024, (c) Tranche 4: $25 million, which was funded on December 14, 2024, (d) Tranche 5: $ 50 million which was available, subject to the achievement of a specified revenue milestone, through June 30, 2025 and which we did not draw down, and (e) Tranche 6: $50 million available, subject to the achievement of a specified revenue milestone, through December 31, 2025; (iii) extended the interest only period and the maturity date from October 2026 to December 2027, (iv) reduced the cash interest rate from 10.75% (floating annual rate equal to the greater of (a) 5.50% and (b) the Prime Rate (as reported in the Wall Street Journal) plus 2.25% to 9.85% (floating rate based on the greater of (a) 9.85% or (b) US WSJ Prime + 1.35%), provided that the cash interest rate shall be capped at 10.35% and upon us achieving the certain milestones, the cash interest shall be decreased by 0.35%, and (v) decreased the payment-in-kind interest rate from 3.35% per annum to 2.15% per annum. In connection with the Fourth Loan Amendment, an amendment fee of $250,000 was paid to the Agent and was recorded as a debt discount and being amortized to interest expense using the effective interest method over the remaining term of the Term Loan.</w:t>
      </w:r>
    </w:p>
    <w:p>
      <w:pPr>
        <w:spacing w:after="0" w:line="14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We may make payments of interest only through the Maturity Date. After the interest-only period, the principal balance and related interest will be required to be repaid in full on the Maturity Date.</w:t>
      </w:r>
    </w:p>
    <w:p>
      <w:pPr>
        <w:spacing w:after="0" w:line="147"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In addition, we are obligated to pay a final payment fee of 7.50% of the original principal amount of amounts actually advanced under the Term Loan, or each a Term Loan Advance and together, the Term Loan Advances. In connection with the Fourth</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29" w:name="page30"/>
    <w:bookmarkEnd w:id="29"/>
    <w:p>
      <w:pPr>
        <w:ind w:right="20"/>
        <w:spacing w:after="0" w:line="244" w:lineRule="auto"/>
        <w:rPr>
          <w:sz w:val="20"/>
          <w:szCs w:val="20"/>
          <w:color w:val="auto"/>
        </w:rPr>
      </w:pPr>
      <w:r>
        <w:rPr>
          <w:rFonts w:ascii="Arial" w:cs="Arial" w:eastAsia="Arial" w:hAnsi="Arial"/>
          <w:sz w:val="18"/>
          <w:szCs w:val="18"/>
          <w:color w:val="auto"/>
        </w:rPr>
        <w:t>Loan Amendment, the final payment fee was amended to be $1 million plus 3.00% of any future tranche drawdowns under the agreement, due upon final maturity. Additionally, the initial final payment fee for the first term Loan advance was amended to become payable on October 1, 2026. As of June 30, 2025, the aggregate $11.5 million of final payment fees includes the first Term Loan Advance of $ 7.5 million, $2.5 million for the second Term Loan Advance, $0.8 million for the third Term Loan Advance, and $0.7 million for the fourth Term Loan Advance and have been recorded within other long-term liabilities.</w:t>
      </w:r>
    </w:p>
    <w:p>
      <w:pPr>
        <w:spacing w:after="0" w:line="149"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Under the Fourth Loan Amendment, we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spacing w:after="0" w:line="133"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spacing w:after="0" w:line="61" w:lineRule="exact"/>
        <w:rPr>
          <w:sz w:val="20"/>
          <w:szCs w:val="20"/>
          <w:color w:val="auto"/>
        </w:rPr>
      </w:pPr>
    </w:p>
    <w:p>
      <w:pPr>
        <w:ind w:left="1020" w:right="180" w:hanging="503"/>
        <w:spacing w:after="0" w:line="245" w:lineRule="auto"/>
        <w:tabs>
          <w:tab w:leader="none" w:pos="1020" w:val="left"/>
        </w:tabs>
        <w:numPr>
          <w:ilvl w:val="0"/>
          <w:numId w:val="8"/>
        </w:numPr>
        <w:rPr>
          <w:rFonts w:ascii="Calibri" w:cs="Calibri" w:eastAsia="Calibri" w:hAnsi="Calibri"/>
          <w:sz w:val="18"/>
          <w:szCs w:val="18"/>
          <w:color w:val="auto"/>
        </w:rPr>
      </w:pPr>
      <w:r>
        <w:rPr>
          <w:rFonts w:ascii="Arial" w:cs="Arial" w:eastAsia="Arial" w:hAnsi="Arial"/>
          <w:sz w:val="18"/>
          <w:szCs w:val="18"/>
          <w:color w:val="auto"/>
        </w:rPr>
        <w:t>Minimum cash covenant - We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w:t>
      </w:r>
    </w:p>
    <w:p>
      <w:pPr>
        <w:spacing w:after="0" w:line="68" w:lineRule="exact"/>
        <w:rPr>
          <w:rFonts w:ascii="Calibri" w:cs="Calibri" w:eastAsia="Calibri" w:hAnsi="Calibri"/>
          <w:sz w:val="18"/>
          <w:szCs w:val="18"/>
          <w:color w:val="auto"/>
        </w:rPr>
      </w:pPr>
    </w:p>
    <w:p>
      <w:pPr>
        <w:ind w:left="1020" w:hanging="503"/>
        <w:spacing w:after="0"/>
        <w:tabs>
          <w:tab w:leader="none" w:pos="1020" w:val="left"/>
        </w:tabs>
        <w:numPr>
          <w:ilvl w:val="0"/>
          <w:numId w:val="8"/>
        </w:numPr>
        <w:rPr>
          <w:rFonts w:ascii="Calibri" w:cs="Calibri" w:eastAsia="Calibri" w:hAnsi="Calibri"/>
          <w:sz w:val="18"/>
          <w:szCs w:val="18"/>
          <w:color w:val="auto"/>
        </w:rPr>
      </w:pPr>
      <w:r>
        <w:rPr>
          <w:rFonts w:ascii="Arial" w:cs="Arial" w:eastAsia="Arial" w:hAnsi="Arial"/>
          <w:sz w:val="18"/>
          <w:szCs w:val="18"/>
          <w:color w:val="auto"/>
        </w:rPr>
        <w:t>Performance covenant - Beginning September 30, 2024 and all times thereafter we must satisfy any one of the following:</w:t>
      </w:r>
    </w:p>
    <w:p>
      <w:pPr>
        <w:spacing w:after="0" w:line="117" w:lineRule="exact"/>
        <w:rPr>
          <w:rFonts w:ascii="Calibri" w:cs="Calibri" w:eastAsia="Calibri" w:hAnsi="Calibri"/>
          <w:sz w:val="18"/>
          <w:szCs w:val="18"/>
          <w:color w:val="auto"/>
        </w:rPr>
      </w:pPr>
    </w:p>
    <w:p>
      <w:pPr>
        <w:ind w:left="1540" w:hanging="514"/>
        <w:spacing w:after="0"/>
        <w:tabs>
          <w:tab w:leader="none" w:pos="1540" w:val="left"/>
        </w:tabs>
        <w:numPr>
          <w:ilvl w:val="1"/>
          <w:numId w:val="8"/>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1540" w:right="580" w:hanging="514"/>
        <w:spacing w:after="0" w:line="256" w:lineRule="auto"/>
        <w:tabs>
          <w:tab w:leader="none" w:pos="1540" w:val="left"/>
        </w:tabs>
        <w:numPr>
          <w:ilvl w:val="1"/>
          <w:numId w:val="8"/>
        </w:numPr>
        <w:rPr>
          <w:rFonts w:ascii="Calibri" w:cs="Calibri" w:eastAsia="Calibri" w:hAnsi="Calibri"/>
          <w:sz w:val="18"/>
          <w:szCs w:val="18"/>
          <w:color w:val="auto"/>
        </w:rPr>
      </w:pPr>
      <w:r>
        <w:rPr>
          <w:rFonts w:ascii="Arial" w:cs="Arial" w:eastAsia="Arial" w:hAnsi="Arial"/>
          <w:sz w:val="18"/>
          <w:szCs w:val="18"/>
          <w:color w:val="auto"/>
        </w:rPr>
        <w:t>Minimum cash balance exceeding (x) outstanding principal amount of term loans, multiplied by (y) (A) 50%, prior to achieving trailing three months net product revenue of greater than $35 million, and (B) 35% thereafter; or</w:t>
      </w:r>
    </w:p>
    <w:p>
      <w:pPr>
        <w:spacing w:after="0" w:line="57" w:lineRule="exact"/>
        <w:rPr>
          <w:rFonts w:ascii="Calibri" w:cs="Calibri" w:eastAsia="Calibri" w:hAnsi="Calibri"/>
          <w:sz w:val="18"/>
          <w:szCs w:val="18"/>
          <w:color w:val="auto"/>
        </w:rPr>
      </w:pPr>
    </w:p>
    <w:p>
      <w:pPr>
        <w:ind w:left="1540" w:right="340" w:hanging="514"/>
        <w:spacing w:after="0" w:line="256" w:lineRule="auto"/>
        <w:tabs>
          <w:tab w:leader="none" w:pos="1540" w:val="left"/>
        </w:tabs>
        <w:numPr>
          <w:ilvl w:val="1"/>
          <w:numId w:val="8"/>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of at least (x) 30% of agreed upon projected net revenues for periods in the calendar year 2024 and 25% for all periods thereafter or (y) $120 million.</w:t>
      </w:r>
    </w:p>
    <w:p>
      <w:pPr>
        <w:spacing w:after="0" w:line="125" w:lineRule="exact"/>
        <w:rPr>
          <w:sz w:val="20"/>
          <w:szCs w:val="20"/>
          <w:color w:val="auto"/>
        </w:rPr>
      </w:pPr>
    </w:p>
    <w:p>
      <w:pPr>
        <w:ind w:right="900" w:firstLine="55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us may be declared immediately due and payable by Hercules, as collateral agent.</w:t>
      </w:r>
    </w:p>
    <w:p>
      <w:pPr>
        <w:spacing w:after="0" w:line="127"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As of June 30, 2025, we were in compliance with all applicable covenants under the Loan Agreement. Based on the current revenue projections, we do not expect to meet the revenue threshold to draw the Sixth Tranche. The current operating plan does not anticipate a need to draw any additional amounts under the Loan Agreement.</w:t>
      </w:r>
    </w:p>
    <w:p>
      <w:pPr>
        <w:spacing w:after="0" w:line="128"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As collateral for the obligations, we granted Hercules a senior security interest in all of our right, title, and interest in, to and under substantially all of our property, inclusive of intellectual property.</w:t>
      </w:r>
    </w:p>
    <w:p>
      <w:pPr>
        <w:spacing w:after="0" w:line="11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connection with the entry into the Loan Agreement, we issued to Hercules a warrant, or the Warrant, to purchase a number of shares of our common stock equal to 2.5% of the aggregate amount of the Term Loan advances funded, and will issue to Hercules additional warrants if any future Term Loan advances are funded. On the Closing Date, we issued a Warrant for 74,782 shares of common stock. The Warrant is exercisable for a period of seven years from the date of issuance at a per-share exercise price equal to $33.43, which was the closing price of our common stock on September 16, 2021. In connection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In connection with the entry into the Fourth Amendment, we eliminated the warrant agreement for all future tranches. The Warrant issued with the initial tranche was not modified as part of this amendment. The exercise price and terms of the outstanding Warrant remain unchanged.</w:t>
      </w:r>
    </w:p>
    <w:p>
      <w:pPr>
        <w:spacing w:after="0" w:line="153"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The initial $1.3 million fair value of the Warrant, the $11.5 million final interest payment fees and $4.6 million of debt issuance costs have been recorded as debt discount and are being amortized to interest expense using the effective interest method over the term of the Term Loan.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Agreement</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On May 3, 2022, we entered into a Revenue Interest Financing Agreement, or the Revenue Interest Financing Agreement, with entities managed or advised by NovaQuest Capital Management, or NQ, Sagard Holdings Manager LP, or Sagard, and Hercules,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0" w:name="page31"/>
    <w:bookmarkEnd w:id="30"/>
    <w:p>
      <w:pPr>
        <w:spacing w:after="0" w:line="238" w:lineRule="auto"/>
        <w:rPr>
          <w:sz w:val="20"/>
          <w:szCs w:val="20"/>
          <w:color w:val="auto"/>
        </w:rPr>
      </w:pPr>
      <w:r>
        <w:rPr>
          <w:rFonts w:ascii="Arial" w:cs="Arial" w:eastAsia="Arial" w:hAnsi="Arial"/>
          <w:sz w:val="18"/>
          <w:szCs w:val="18"/>
          <w:color w:val="auto"/>
        </w:rPr>
        <w:t>together with NQ and Sagard, or the Initial Investors, pursuant to which we had the right to receive up to $260 million in funding from the Initial Investors. Under the terms of the Revenue Interest Financing Agreement, we received $100 million at the initial closing and received an additional $160 million upon FDA approval of vonoprazan for treatment of Erosive GERD in the fourth quarter of 2023. Additionally, on October 31, 2022, we entered into a Joinder and Waiver Agreement with the Initial Investors and CO Finance LVS XXXVII LLC, or the Additional Investor, and Hercules in its capacity as administrative agent and collateral agent for itself and the lenders under that certain Loan Agreement, or the Joinder Agreement, in respect of the Revenue Interest Financing Agreement. Under the terms of the Joinder Agreement, we received $ 15 million in additional funding upon FDA approval of vonoprazan for Erosive GERD, or Approval Additional Funding, in the fourth quarter of 2023 and provided for $25 million in additional funding for achievement of a sales milestone, or Milestone Additional Funding, and, together with the Approval Additional Funding, or the Additional Investor Funding. The Initial Investors waived their right of first offer for any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As of June 30, 2025, no additional funding is available under the Revenue Interest Financing Agreement.</w:t>
      </w:r>
    </w:p>
    <w:p>
      <w:pPr>
        <w:spacing w:after="0" w:line="153"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Under the Revenue Interest Financing Agreement, the Initial Investors and the Additional Investors, are entitled to receive a 10% royalty on net sales of products containing vonoprazan. The royalty rate is subject to a step-down on net sales exceeding certain annual thresholds and upon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April 30, 2024, we have the right to make a cap payment equal to 200% of the Investment Amount less any royalties already paid, at which time the agreement will terminate.</w:t>
      </w:r>
    </w:p>
    <w:p>
      <w:pPr>
        <w:spacing w:after="0" w:line="138"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sufficient to gross the investors up to the applicable Minimum Amount.</w:t>
      </w:r>
    </w:p>
    <w:p>
      <w:pPr>
        <w:spacing w:after="0" w:line="128"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Upon the occurrence of an event of default taking place between April 1, 2025 and April 1, 2028, or after April 1, 2028, we are obligated to pay 1.30 times Investment Amount, 1.65 times Investment Amount, and 2.0 times investment amount, respectively, less any amounts we previously paid pursuant to the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At-the-Market-Offerings</w:t>
      </w:r>
    </w:p>
    <w:p>
      <w:pPr>
        <w:spacing w:after="0" w:line="107" w:lineRule="exact"/>
        <w:rPr>
          <w:sz w:val="20"/>
          <w:szCs w:val="20"/>
          <w:color w:val="auto"/>
        </w:rPr>
      </w:pPr>
    </w:p>
    <w:p>
      <w:pPr>
        <w:ind w:right="480" w:firstLine="509"/>
        <w:spacing w:after="0" w:line="226" w:lineRule="auto"/>
        <w:rPr>
          <w:sz w:val="20"/>
          <w:szCs w:val="20"/>
          <w:color w:val="auto"/>
        </w:rPr>
      </w:pPr>
      <w:r>
        <w:rPr>
          <w:rFonts w:ascii="Arial" w:cs="Arial" w:eastAsia="Arial" w:hAnsi="Arial"/>
          <w:sz w:val="18"/>
          <w:szCs w:val="18"/>
          <w:color w:val="auto"/>
        </w:rPr>
        <w:t>In November 2020, we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we may, from time to time, sell shares of our common stock having an aggregate offering price of up to an amount registered under an effective registration statement through the Sales Agent.</w:t>
      </w:r>
    </w:p>
    <w:p>
      <w:pPr>
        <w:spacing w:after="0" w:line="14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November 2023, we filed a shelf registration statement on Form S-3 which was declared effective by the SEC on November 17, 2023, which included an at-the-market prospectus pursuant to which we may, from time to time, sell up to an aggregate of $150 million of our common stock through the Sales Agent, or the 2023 ATM Offering. We are not obligated to, and we cannot provide any assurances that we will, make any sales of the shares under the Sales Agreement. The Sales Agreement may be terminated by the Sales Agent or us at any time. No shares were sold during the three and six months ended June 30, 2025 and 2024. As of June 30, 2025, all of the available $150 million under the 2023 ATM Offering remains available.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Offerings</w:t>
      </w:r>
    </w:p>
    <w:p>
      <w:pPr>
        <w:spacing w:after="0" w:line="183"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On August 20, 2024, we completed an underwritten public offering, in which we sold 8,695,652 shares of our common stock at a price of $11.50 per share and pre-funded warrants to purchase 2,608,922 shares of our common stock at a price of $11.499 per pre-funded warrant for total gross proceeds of $130.0 million. The net purchase price after deducting the underwriting discounts and commissions and other offering expenses, was $10.77 per share or net proceeds of $121.8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Based on our current operating plan, we believe that our existing cash and cash equivalents together with anticipated product revenues, are sufficient to fund operations for at least the next twelve months. However, our forecast of the period of time through which our financial resources may be adequate to support our operations is a forward-looking statement that involves risks and uncertainties and actual results could vary materially. We have based this estimate on assumptions that may prove to be inaccurate,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1" w:name="page32"/>
    <w:bookmarkEnd w:id="31"/>
    <w:p>
      <w:pPr>
        <w:ind w:right="260"/>
        <w:spacing w:after="0" w:line="253" w:lineRule="auto"/>
        <w:rPr>
          <w:sz w:val="20"/>
          <w:szCs w:val="20"/>
          <w:color w:val="auto"/>
        </w:rPr>
      </w:pPr>
      <w:r>
        <w:rPr>
          <w:rFonts w:ascii="Arial" w:cs="Arial" w:eastAsia="Arial" w:hAnsi="Arial"/>
          <w:sz w:val="18"/>
          <w:szCs w:val="18"/>
          <w:color w:val="auto"/>
        </w:rPr>
        <w:t>and we could deplete our capital resources sooner than we expect based on the amount and timing of product sales and operating expenses, among other factors. Additionally, the process of testing product candidates in clinical trials is costly, and the timing of progress and expenses in these trials is uncertain.</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benefits of our organizational changes and restructuring;</w:t>
      </w:r>
    </w:p>
    <w:p>
      <w:pPr>
        <w:spacing w:after="0" w:line="116" w:lineRule="exact"/>
        <w:rPr>
          <w:rFonts w:ascii="Times New Roman" w:cs="Times New Roman" w:eastAsia="Times New Roman" w:hAnsi="Times New Roman"/>
          <w:sz w:val="18"/>
          <w:szCs w:val="18"/>
          <w:color w:val="auto"/>
        </w:rPr>
      </w:pPr>
    </w:p>
    <w:p>
      <w:pPr>
        <w:ind w:left="1020" w:right="78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sufficient market acceptance, coverage and adequate reimbursement from third-party payers and adequate market share and revenue for any approved products;</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sales and marketing activities in support of the commercial launch of our approved products, or any future product candidates we may choose to pursue, if successfully developed and approved;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payers;</w:t>
      </w:r>
    </w:p>
    <w:p>
      <w:pPr>
        <w:spacing w:after="0" w:line="46"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manufacturing for vonoprazan and supply of antibiotics for use in VOQUEZNA TRIPLE PAK and VOQUEZNA DUAL PAK or any future product candidates;</w:t>
      </w:r>
    </w:p>
    <w:p>
      <w:pPr>
        <w:spacing w:after="0" w:line="46" w:lineRule="exact"/>
        <w:rPr>
          <w:rFonts w:ascii="Times New Roman" w:cs="Times New Roman" w:eastAsia="Times New Roman" w:hAnsi="Times New Roman"/>
          <w:sz w:val="18"/>
          <w:szCs w:val="18"/>
          <w:color w:val="auto"/>
        </w:rPr>
      </w:pPr>
    </w:p>
    <w:p>
      <w:pPr>
        <w:ind w:left="1020" w:right="8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62"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future vonoprazan applications or such applications for any future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1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hiring additional personnel and consultants as our business grows and enhancing our operational systems;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8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finance our cash needs through equity offerings, the Revenue Interest Financing Agreement, debt financings, potentially the Loan Agreement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42"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unaudited interim condensed financial statements were issued. There can be no assurance that we will be successful in acquiring additional funding, that our projections of future working capital needs will prove accurate, or that any additional funding would be sufficient to continue operations in future years. Based on our current operating plan, we believe that our existing cash and cash equivalents together with anticipated product revenues, are sufficient to fund operations for at least the next twelve months.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60"/>
              <w:spacing w:after="0" w:line="202" w:lineRule="exact"/>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(147,659)</w:t>
            </w:r>
          </w:p>
        </w:tc>
        <w:tc>
          <w:tcPr>
            <w:tcW w:w="54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(139,741)</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3500" w:type="dxa"/>
            <w:vAlign w:val="bottom"/>
          </w:tcPr>
          <w:p>
            <w:pPr>
              <w:ind w:left="60"/>
              <w:spacing w:after="0" w:line="202" w:lineRule="exact"/>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34,671</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(34,591)</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decrease in cash</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(147,694)</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(105,156)</w:t>
            </w: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-24765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Net cash used in operating activities was approximately $147.7 million and $139.7 million for the six months ended June 30, 2025 and 2024, respectively. The net cash used in operating activities for the six months ended June 30, 2025 was due to approximately $132.8 million spent on ongoing research and development and selling, general and administrative activities and a $14.9 million net change in operating assets and liabilities. The net change in operating assets and liabilities is related to a $5.5 million decrease in accounts payable and accrued expenses (including interest, operating lease assets and liabilities), a $6.2 million decrease in prepaid assets and other current assets, and a $26.6 million increase in accounts receivable and inventory. The net cash used in operating activities for the six months ended June 30, 2024 was due to approximately $132.1 million spent on ongoing research and development and selling, general and administrative activities and a $7.6 million net change in operating assets and liabilities. The net change in operating assets and liabilities primarily related to a $4.0 million decrease in accounts payable and accrued expenses (including interest, operating lease assets and liabilities), and a $11.6 million net increase in accounts receivable, inventory, and prepaid assets and other current assets in support of our growth and launch of our commercial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9"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Net cash used in investing activities for the six months ended June 30, 2025 and 2024, was related to payments for acquiring property and equipment.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9"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Net cash provided by financing activities for the six months ended June 30, 2025 related to proceeds from issuance of common stock from exercise of stock options. Net cash provided by financing activities for the six months ended June 30, 2024 was $34.7 million related to net proceeds from the issuance of debt under our Hercules Loan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5"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There were no material changes outside the ordinary course of our business during the six months ended June 30, 2025 to the information regarding our contractual obligations that was disclosed in Management’s Discussion and Analysis of Financial Condition and Results of Operations contained in our 2024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revenues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33" w:name="page34"/>
    <w:bookmarkEnd w:id="33"/>
    <w:p>
      <w:pPr>
        <w:ind w:firstLine="509"/>
        <w:spacing w:after="0" w:line="247" w:lineRule="auto"/>
        <w:rPr>
          <w:sz w:val="20"/>
          <w:szCs w:val="20"/>
          <w:color w:val="auto"/>
        </w:rPr>
      </w:pPr>
      <w:r>
        <w:rPr>
          <w:rFonts w:ascii="Arial" w:cs="Arial" w:eastAsia="Arial" w:hAnsi="Arial"/>
          <w:sz w:val="18"/>
          <w:szCs w:val="18"/>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2024 Form 10-K. There have not been any material changes to the critical accounting policies discussed therein during the six months ended June 30, 2025.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Smaller Reporting Company Status</w:t>
      </w:r>
    </w:p>
    <w:p>
      <w:pPr>
        <w:spacing w:after="0" w:line="169"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We are a smaller reporting company as defined in Rule 12b-2 of the Exchange Act. We may take advantage of certain of the scaled disclosures available to smaller reporting companies and will be able to take advantage of these scaled disclosures for so long as (i) our voting and non-voting common stock held by non-affiliates is less than $250 million measured on the last business day of our second fiscal quarter or (ii)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Part 1, Item 1 of this quarterly report.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As of June 30, 2025,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2024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7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6"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during our second fiscal quarter ended June 30, 2025 that have materially affected, or are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8" w:lineRule="exact"/>
        <w:rPr>
          <w:sz w:val="20"/>
          <w:szCs w:val="20"/>
          <w:color w:val="auto"/>
        </w:rPr>
      </w:pPr>
    </w:p>
    <w:p>
      <w:pPr>
        <w:ind w:firstLine="509"/>
        <w:spacing w:after="0" w:line="279"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here have been no material changes to the risk factors disclosed in Part I, Item 1A, “Risk Factors” of our 2024 Form 10-K, as updated</w:t>
      </w:r>
      <w:r>
        <w:rPr>
          <w:rFonts w:ascii="Arial" w:cs="Arial" w:eastAsia="Arial" w:hAnsi="Arial"/>
          <w:sz w:val="20"/>
          <w:szCs w:val="20"/>
          <w:color w:val="auto"/>
        </w:rPr>
        <w:t xml:space="preserve"> </w:t>
      </w:r>
      <w:r>
        <w:rPr>
          <w:rFonts w:ascii="Arial" w:cs="Arial" w:eastAsia="Arial" w:hAnsi="Arial"/>
          <w:sz w:val="17"/>
          <w:szCs w:val="17"/>
          <w:color w:val="auto"/>
        </w:rPr>
        <w:t>in our Quarterly Report on Form 10-Q for the three months ended March 31, 2025.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Trading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6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June 30, 2025, none of our officers or directors adopted, modified or terminated any such trading arrangements.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21"/>
          </w:tcPr>
          <w:p>
            <w:pPr>
              <w:ind w:left="32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55"/>
        </w:trPr>
        <w:tc>
          <w:tcPr>
            <w:tcW w:w="1060" w:type="dxa"/>
            <w:vAlign w:val="bottom"/>
          </w:tcPr>
          <w:p>
            <w:pPr>
              <w:jc w:val="center"/>
              <w:spacing w:after="0" w:line="155" w:lineRule="exact"/>
              <w:rPr>
                <w:sz w:val="20"/>
                <w:szCs w:val="20"/>
                <w:color w:val="auto"/>
              </w:rPr>
            </w:pPr>
            <w:r>
              <w:rPr>
                <w:rFonts w:ascii="Arial" w:cs="Arial" w:eastAsia="Arial" w:hAnsi="Arial"/>
                <w:sz w:val="16"/>
                <w:szCs w:val="16"/>
                <w:color w:val="auto"/>
                <w:w w:val="98"/>
              </w:rPr>
              <w:t>3.1</w:t>
            </w:r>
          </w:p>
        </w:tc>
        <w:tc>
          <w:tcPr>
            <w:tcW w:w="160" w:type="dxa"/>
            <w:vAlign w:val="bottom"/>
          </w:tcPr>
          <w:p>
            <w:pPr>
              <w:spacing w:after="0"/>
              <w:rPr>
                <w:sz w:val="13"/>
                <w:szCs w:val="13"/>
                <w:color w:val="auto"/>
              </w:rPr>
            </w:pPr>
          </w:p>
        </w:tc>
        <w:tc>
          <w:tcPr>
            <w:tcW w:w="5780" w:type="dxa"/>
            <w:vAlign w:val="bottom"/>
            <w:gridSpan w:val="30"/>
          </w:tcPr>
          <w:p>
            <w:pPr>
              <w:spacing w:after="0" w:line="155" w:lineRule="exact"/>
              <w:rPr>
                <w:rFonts w:ascii="Arial" w:cs="Arial" w:eastAsia="Arial" w:hAnsi="Arial"/>
                <w:sz w:val="16"/>
                <w:szCs w:val="16"/>
                <w:color w:val="0000FF"/>
              </w:rPr>
            </w:pPr>
            <w:hyperlink r:id="rId151">
              <w:r>
                <w:rPr>
                  <w:rFonts w:ascii="Arial" w:cs="Arial" w:eastAsia="Arial" w:hAnsi="Arial"/>
                  <w:sz w:val="16"/>
                  <w:szCs w:val="16"/>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60" w:type="dxa"/>
            <w:vAlign w:val="bottom"/>
          </w:tcPr>
          <w:p>
            <w:pPr>
              <w:spacing w:after="0"/>
              <w:rPr>
                <w:sz w:val="24"/>
                <w:szCs w:val="24"/>
                <w:color w:val="auto"/>
              </w:rPr>
            </w:pPr>
          </w:p>
        </w:tc>
        <w:tc>
          <w:tcPr>
            <w:tcW w:w="5780" w:type="dxa"/>
            <w:vAlign w:val="bottom"/>
            <w:gridSpan w:val="30"/>
          </w:tcPr>
          <w:p>
            <w:pPr>
              <w:spacing w:after="0"/>
              <w:rPr>
                <w:rFonts w:ascii="Arial" w:cs="Arial" w:eastAsia="Arial" w:hAnsi="Arial"/>
                <w:sz w:val="16"/>
                <w:szCs w:val="16"/>
                <w:color w:val="0000FF"/>
              </w:rPr>
            </w:pPr>
            <w:hyperlink r:id="rId152">
              <w:r>
                <w:rPr>
                  <w:rFonts w:ascii="Arial" w:cs="Arial" w:eastAsia="Arial" w:hAnsi="Arial"/>
                  <w:sz w:val="16"/>
                  <w:szCs w:val="16"/>
                  <w:color w:val="0000FF"/>
                </w:rPr>
                <w:t>Certificate of Amendment to Amended and Restated Certificate of Incorporation,</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60" w:type="dxa"/>
            <w:vAlign w:val="bottom"/>
            <w:tcBorders>
              <w:top w:val="single" w:sz="8" w:color="0000FF"/>
              <w:bottom w:val="single" w:sz="8" w:color="0000FF"/>
            </w:tcBorders>
            <w:gridSpan w:val="17"/>
          </w:tcPr>
          <w:p>
            <w:pPr>
              <w:spacing w:after="0" w:line="169" w:lineRule="exact"/>
              <w:rPr>
                <w:rFonts w:ascii="Arial" w:cs="Arial" w:eastAsia="Arial" w:hAnsi="Arial"/>
                <w:sz w:val="16"/>
                <w:szCs w:val="16"/>
                <w:color w:val="0000FF"/>
              </w:rPr>
            </w:pPr>
            <w:hyperlink r:id="rId152">
              <w:r>
                <w:rPr>
                  <w:rFonts w:ascii="Arial" w:cs="Arial" w:eastAsia="Arial" w:hAnsi="Arial"/>
                  <w:sz w:val="16"/>
                  <w:szCs w:val="16"/>
                  <w:color w:val="0000FF"/>
                </w:rPr>
                <w:t>as filed with the Secretary of the State of Delaware on May 26, 2023</w:t>
              </w:r>
            </w:hyperlink>
          </w:p>
        </w:tc>
        <w:tc>
          <w:tcPr>
            <w:tcW w:w="9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3.3</w:t>
            </w:r>
          </w:p>
        </w:tc>
        <w:tc>
          <w:tcPr>
            <w:tcW w:w="160" w:type="dxa"/>
            <w:vAlign w:val="bottom"/>
          </w:tcPr>
          <w:p>
            <w:pPr>
              <w:spacing w:after="0"/>
              <w:rPr>
                <w:sz w:val="24"/>
                <w:szCs w:val="24"/>
                <w:color w:val="auto"/>
              </w:rPr>
            </w:pPr>
          </w:p>
        </w:tc>
        <w:tc>
          <w:tcPr>
            <w:tcW w:w="5780" w:type="dxa"/>
            <w:vAlign w:val="bottom"/>
            <w:gridSpan w:val="30"/>
          </w:tcPr>
          <w:p>
            <w:pPr>
              <w:spacing w:after="0"/>
              <w:rPr>
                <w:rFonts w:ascii="Arial" w:cs="Arial" w:eastAsia="Arial" w:hAnsi="Arial"/>
                <w:sz w:val="16"/>
                <w:szCs w:val="16"/>
                <w:color w:val="0000FF"/>
              </w:rPr>
            </w:pPr>
            <w:hyperlink r:id="rId153">
              <w:r>
                <w:rPr>
                  <w:rFonts w:ascii="Arial" w:cs="Arial" w:eastAsia="Arial" w:hAnsi="Arial"/>
                  <w:sz w:val="16"/>
                  <w:szCs w:val="16"/>
                  <w:color w:val="0000FF"/>
                </w:rPr>
                <w:t>Amended and Restated Bylaws, effective as of December 13, 2023</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60" w:type="dxa"/>
            <w:vAlign w:val="bottom"/>
          </w:tcPr>
          <w:p>
            <w:pPr>
              <w:spacing w:after="0"/>
              <w:rPr>
                <w:sz w:val="24"/>
                <w:szCs w:val="24"/>
                <w:color w:val="auto"/>
              </w:rPr>
            </w:pPr>
          </w:p>
        </w:tc>
        <w:tc>
          <w:tcPr>
            <w:tcW w:w="5780" w:type="dxa"/>
            <w:vAlign w:val="bottom"/>
            <w:gridSpan w:val="30"/>
          </w:tcPr>
          <w:p>
            <w:pPr>
              <w:spacing w:after="0"/>
              <w:rPr>
                <w:rFonts w:ascii="Arial" w:cs="Arial" w:eastAsia="Arial" w:hAnsi="Arial"/>
                <w:sz w:val="16"/>
                <w:szCs w:val="16"/>
                <w:color w:val="0000FF"/>
              </w:rPr>
            </w:pPr>
            <w:hyperlink r:id="rId154">
              <w:r>
                <w:rPr>
                  <w:rFonts w:ascii="Arial" w:cs="Arial" w:eastAsia="Arial" w:hAnsi="Arial"/>
                  <w:sz w:val="16"/>
                  <w:szCs w:val="16"/>
                  <w:color w:val="0000FF"/>
                </w:rPr>
                <w:t>Form of Common Stock Certificate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60" w:type="dxa"/>
            <w:vAlign w:val="bottom"/>
          </w:tcPr>
          <w:p>
            <w:pPr>
              <w:spacing w:after="0"/>
              <w:rPr>
                <w:sz w:val="24"/>
                <w:szCs w:val="24"/>
                <w:color w:val="auto"/>
              </w:rPr>
            </w:pPr>
          </w:p>
        </w:tc>
        <w:tc>
          <w:tcPr>
            <w:tcW w:w="5780" w:type="dxa"/>
            <w:vAlign w:val="bottom"/>
            <w:gridSpan w:val="30"/>
          </w:tcPr>
          <w:p>
            <w:pPr>
              <w:spacing w:after="0"/>
              <w:rPr>
                <w:rFonts w:ascii="Arial" w:cs="Arial" w:eastAsia="Arial" w:hAnsi="Arial"/>
                <w:sz w:val="16"/>
                <w:szCs w:val="16"/>
                <w:color w:val="0000FF"/>
              </w:rPr>
            </w:pPr>
            <w:hyperlink r:id="rId155">
              <w:r>
                <w:rPr>
                  <w:rFonts w:ascii="Arial" w:cs="Arial" w:eastAsia="Arial" w:hAnsi="Arial"/>
                  <w:sz w:val="16"/>
                  <w:szCs w:val="16"/>
                  <w:color w:val="0000FF"/>
                </w:rPr>
                <w:t>Warrant to purchase stock issued to Silicon Valley Bank, dated May 14, 2019</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60" w:type="dxa"/>
            <w:vAlign w:val="bottom"/>
          </w:tcPr>
          <w:p>
            <w:pPr>
              <w:spacing w:after="0"/>
              <w:rPr>
                <w:sz w:val="24"/>
                <w:szCs w:val="24"/>
                <w:color w:val="auto"/>
              </w:rPr>
            </w:pPr>
          </w:p>
        </w:tc>
        <w:tc>
          <w:tcPr>
            <w:tcW w:w="5780" w:type="dxa"/>
            <w:vAlign w:val="bottom"/>
            <w:gridSpan w:val="30"/>
          </w:tcPr>
          <w:p>
            <w:pPr>
              <w:spacing w:after="0"/>
              <w:rPr>
                <w:rFonts w:ascii="Arial" w:cs="Arial" w:eastAsia="Arial" w:hAnsi="Arial"/>
                <w:sz w:val="16"/>
                <w:szCs w:val="16"/>
                <w:color w:val="0000FF"/>
              </w:rPr>
            </w:pPr>
            <w:hyperlink r:id="rId156">
              <w:r>
                <w:rPr>
                  <w:rFonts w:ascii="Arial" w:cs="Arial" w:eastAsia="Arial" w:hAnsi="Arial"/>
                  <w:sz w:val="16"/>
                  <w:szCs w:val="16"/>
                  <w:color w:val="0000FF"/>
                </w:rPr>
                <w:t>Warrant to purchase stock issued to WestRiver Innovation Lending Fund VIII,</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w w:val="98"/>
              </w:rPr>
            </w:pPr>
            <w:hyperlink r:id="rId156">
              <w:r>
                <w:rPr>
                  <w:rFonts w:ascii="Arial" w:cs="Arial" w:eastAsia="Arial" w:hAnsi="Arial"/>
                  <w:sz w:val="16"/>
                  <w:szCs w:val="16"/>
                  <w:color w:val="0000FF"/>
                  <w:w w:val="98"/>
                </w:rPr>
                <w:t>L.P., dated May 14,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3740" w:type="dxa"/>
            <w:vAlign w:val="bottom"/>
            <w:tcBorders>
              <w:top w:val="single" w:sz="8" w:color="0000FF"/>
            </w:tcBorders>
            <w:gridSpan w:val="14"/>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60" w:type="dxa"/>
            <w:vAlign w:val="bottom"/>
          </w:tcPr>
          <w:p>
            <w:pPr>
              <w:spacing w:after="0"/>
              <w:rPr>
                <w:sz w:val="24"/>
                <w:szCs w:val="24"/>
                <w:color w:val="auto"/>
              </w:rPr>
            </w:pPr>
          </w:p>
        </w:tc>
        <w:tc>
          <w:tcPr>
            <w:tcW w:w="5780" w:type="dxa"/>
            <w:vAlign w:val="bottom"/>
            <w:gridSpan w:val="30"/>
          </w:tcPr>
          <w:p>
            <w:pPr>
              <w:spacing w:after="0"/>
              <w:rPr>
                <w:rFonts w:ascii="Arial" w:cs="Arial" w:eastAsia="Arial" w:hAnsi="Arial"/>
                <w:sz w:val="16"/>
                <w:szCs w:val="16"/>
                <w:color w:val="0000FF"/>
              </w:rPr>
            </w:pPr>
            <w:hyperlink r:id="rId157">
              <w:r>
                <w:rPr>
                  <w:rFonts w:ascii="Arial" w:cs="Arial" w:eastAsia="Arial" w:hAnsi="Arial"/>
                  <w:sz w:val="16"/>
                  <w:szCs w:val="16"/>
                  <w:color w:val="0000FF"/>
                </w:rPr>
                <w:t>Warrant to purchase stock issued to Hercules Capital, dated September 17,</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84"/>
              </w:rPr>
            </w:pPr>
            <w:hyperlink r:id="rId157">
              <w:r>
                <w:rPr>
                  <w:rFonts w:ascii="Arial" w:cs="Arial" w:eastAsia="Arial" w:hAnsi="Arial"/>
                  <w:sz w:val="16"/>
                  <w:szCs w:val="16"/>
                  <w:color w:val="0000FF"/>
                  <w:w w:val="84"/>
                </w:rPr>
                <w:t>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60" w:type="dxa"/>
            <w:vAlign w:val="bottom"/>
          </w:tcPr>
          <w:p>
            <w:pPr>
              <w:spacing w:after="0"/>
              <w:rPr>
                <w:sz w:val="24"/>
                <w:szCs w:val="24"/>
                <w:color w:val="auto"/>
              </w:rPr>
            </w:pPr>
          </w:p>
        </w:tc>
        <w:tc>
          <w:tcPr>
            <w:tcW w:w="5780" w:type="dxa"/>
            <w:vAlign w:val="bottom"/>
            <w:gridSpan w:val="30"/>
          </w:tcPr>
          <w:p>
            <w:pPr>
              <w:spacing w:after="0"/>
              <w:rPr>
                <w:rFonts w:ascii="Arial" w:cs="Arial" w:eastAsia="Arial" w:hAnsi="Arial"/>
                <w:sz w:val="16"/>
                <w:szCs w:val="16"/>
                <w:color w:val="0000FF"/>
              </w:rPr>
            </w:pPr>
            <w:hyperlink r:id="rId158">
              <w:r>
                <w:rPr>
                  <w:rFonts w:ascii="Arial" w:cs="Arial" w:eastAsia="Arial" w:hAnsi="Arial"/>
                  <w:sz w:val="16"/>
                  <w:szCs w:val="16"/>
                  <w:color w:val="0000FF"/>
                </w:rPr>
                <w:t>First Amendment to Warrant to purchase stock issued to Hercules Capital, dated</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5"/>
              </w:rPr>
            </w:pPr>
            <w:hyperlink r:id="rId158">
              <w:r>
                <w:rPr>
                  <w:rFonts w:ascii="Arial" w:cs="Arial" w:eastAsia="Arial" w:hAnsi="Arial"/>
                  <w:sz w:val="16"/>
                  <w:szCs w:val="16"/>
                  <w:color w:val="0000FF"/>
                  <w:w w:val="95"/>
                </w:rPr>
                <w:t>May 9, 2023</w:t>
              </w:r>
            </w:hyperlink>
          </w:p>
        </w:tc>
        <w:tc>
          <w:tcPr>
            <w:tcW w:w="20" w:type="dxa"/>
            <w:vAlign w:val="bottom"/>
            <w:tcBorders>
              <w:top w:val="single" w:sz="8" w:color="0000FF"/>
              <w:bottom w:val="single" w:sz="8" w:color="0000EE"/>
            </w:tcBorders>
          </w:tcPr>
          <w:p>
            <w:pPr>
              <w:spacing w:after="0"/>
              <w:rPr>
                <w:sz w:val="14"/>
                <w:szCs w:val="14"/>
                <w:color w:val="auto"/>
              </w:rPr>
            </w:pPr>
          </w:p>
        </w:tc>
        <w:tc>
          <w:tcPr>
            <w:tcW w:w="4900" w:type="dxa"/>
            <w:vAlign w:val="bottom"/>
            <w:tcBorders>
              <w:top w:val="single" w:sz="8" w:color="0000FF"/>
            </w:tcBorders>
            <w:gridSpan w:val="25"/>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160" w:type="dxa"/>
            <w:vAlign w:val="bottom"/>
          </w:tcPr>
          <w:p>
            <w:pPr>
              <w:spacing w:after="0"/>
              <w:rPr>
                <w:sz w:val="24"/>
                <w:szCs w:val="24"/>
                <w:color w:val="auto"/>
              </w:rPr>
            </w:pPr>
          </w:p>
        </w:tc>
        <w:tc>
          <w:tcPr>
            <w:tcW w:w="5780" w:type="dxa"/>
            <w:vAlign w:val="bottom"/>
            <w:gridSpan w:val="30"/>
          </w:tcPr>
          <w:p>
            <w:pPr>
              <w:spacing w:after="0"/>
              <w:rPr>
                <w:rFonts w:ascii="Arial" w:cs="Arial" w:eastAsia="Arial" w:hAnsi="Arial"/>
                <w:sz w:val="16"/>
                <w:szCs w:val="16"/>
                <w:color w:val="0000FF"/>
              </w:rPr>
            </w:pPr>
            <w:hyperlink r:id="rId159">
              <w:r>
                <w:rPr>
                  <w:rFonts w:ascii="Arial" w:cs="Arial" w:eastAsia="Arial" w:hAnsi="Arial"/>
                  <w:sz w:val="16"/>
                  <w:szCs w:val="16"/>
                  <w:color w:val="0000FF"/>
                </w:rPr>
                <w:t>Form of Warrant to purchase stock issuable pursuant to the Loan and Security</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20" w:type="dxa"/>
            <w:vAlign w:val="bottom"/>
            <w:tcBorders>
              <w:top w:val="single" w:sz="8" w:color="0000FF"/>
              <w:bottom w:val="single" w:sz="8" w:color="0000FF"/>
            </w:tcBorders>
            <w:gridSpan w:val="25"/>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Agreement, as amended, by and between the Registrant and Hercules Capital,</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60" w:type="dxa"/>
            <w:vAlign w:val="bottom"/>
            <w:gridSpan w:val="27"/>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Inc.</w:t>
              </w:r>
            </w:hyperlink>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4.7</w:t>
            </w:r>
          </w:p>
        </w:tc>
        <w:tc>
          <w:tcPr>
            <w:tcW w:w="160" w:type="dxa"/>
            <w:vAlign w:val="bottom"/>
          </w:tcPr>
          <w:p>
            <w:pPr>
              <w:spacing w:after="0"/>
              <w:rPr>
                <w:sz w:val="24"/>
                <w:szCs w:val="24"/>
                <w:color w:val="auto"/>
              </w:rPr>
            </w:pPr>
          </w:p>
        </w:tc>
        <w:tc>
          <w:tcPr>
            <w:tcW w:w="5780" w:type="dxa"/>
            <w:vAlign w:val="bottom"/>
            <w:gridSpan w:val="30"/>
          </w:tcPr>
          <w:p>
            <w:pPr>
              <w:spacing w:after="0"/>
              <w:rPr>
                <w:rFonts w:ascii="Arial" w:cs="Arial" w:eastAsia="Arial" w:hAnsi="Arial"/>
                <w:sz w:val="16"/>
                <w:szCs w:val="16"/>
                <w:color w:val="0000FF"/>
              </w:rPr>
            </w:pPr>
            <w:hyperlink r:id="rId160">
              <w:r>
                <w:rPr>
                  <w:rFonts w:ascii="Arial" w:cs="Arial" w:eastAsia="Arial" w:hAnsi="Arial"/>
                  <w:sz w:val="16"/>
                  <w:szCs w:val="16"/>
                  <w:color w:val="0000FF"/>
                </w:rPr>
                <w:t>Note Purchase Agreement, dated May 7, 2019, by and among the Registrant</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2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and the other parties party thereto, as amended</w:t>
              </w:r>
            </w:hyperlink>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4.8</w:t>
            </w:r>
          </w:p>
        </w:tc>
        <w:tc>
          <w:tcPr>
            <w:tcW w:w="160" w:type="dxa"/>
            <w:vAlign w:val="bottom"/>
          </w:tcPr>
          <w:p>
            <w:pPr>
              <w:spacing w:after="0"/>
              <w:rPr>
                <w:sz w:val="24"/>
                <w:szCs w:val="24"/>
                <w:color w:val="auto"/>
              </w:rPr>
            </w:pPr>
          </w:p>
        </w:tc>
        <w:tc>
          <w:tcPr>
            <w:tcW w:w="5780" w:type="dxa"/>
            <w:vAlign w:val="bottom"/>
            <w:gridSpan w:val="30"/>
          </w:tcPr>
          <w:p>
            <w:pPr>
              <w:spacing w:after="0"/>
              <w:rPr>
                <w:rFonts w:ascii="Arial" w:cs="Arial" w:eastAsia="Arial" w:hAnsi="Arial"/>
                <w:sz w:val="16"/>
                <w:szCs w:val="16"/>
                <w:color w:val="0000FF"/>
              </w:rPr>
            </w:pPr>
            <w:hyperlink r:id="rId161">
              <w:r>
                <w:rPr>
                  <w:rFonts w:ascii="Arial" w:cs="Arial" w:eastAsia="Arial" w:hAnsi="Arial"/>
                  <w:sz w:val="16"/>
                  <w:szCs w:val="16"/>
                  <w:color w:val="0000FF"/>
                </w:rPr>
                <w:t>Form of Pre-Funded Warrant to purchase common stock</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9"/>
              </w:rPr>
              <w:t>10.1#</w:t>
            </w:r>
          </w:p>
        </w:tc>
        <w:tc>
          <w:tcPr>
            <w:tcW w:w="160" w:type="dxa"/>
            <w:vAlign w:val="bottom"/>
          </w:tcPr>
          <w:p>
            <w:pPr>
              <w:spacing w:after="0"/>
              <w:rPr>
                <w:sz w:val="24"/>
                <w:szCs w:val="24"/>
                <w:color w:val="auto"/>
              </w:rPr>
            </w:pPr>
          </w:p>
        </w:tc>
        <w:tc>
          <w:tcPr>
            <w:tcW w:w="5780" w:type="dxa"/>
            <w:vAlign w:val="bottom"/>
            <w:gridSpan w:val="30"/>
          </w:tcPr>
          <w:p>
            <w:pPr>
              <w:spacing w:after="0"/>
              <w:rPr>
                <w:sz w:val="20"/>
                <w:szCs w:val="20"/>
                <w:color w:val="auto"/>
              </w:rPr>
            </w:pPr>
            <w:r>
              <w:rPr>
                <w:rFonts w:ascii="Arial" w:cs="Arial" w:eastAsia="Arial" w:hAnsi="Arial"/>
                <w:sz w:val="16"/>
                <w:szCs w:val="16"/>
                <w:color w:val="0000FF"/>
              </w:rPr>
              <w:t>Separation Agreement and Release of Claims, dated May 18, 2025, by and</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15"/>
          </w:tcPr>
          <w:p>
            <w:pPr>
              <w:spacing w:after="0" w:line="169" w:lineRule="exact"/>
              <w:rPr>
                <w:sz w:val="20"/>
                <w:szCs w:val="20"/>
                <w:color w:val="auto"/>
              </w:rPr>
            </w:pPr>
            <w:r>
              <w:rPr>
                <w:rFonts w:ascii="Arial" w:cs="Arial" w:eastAsia="Arial" w:hAnsi="Arial"/>
                <w:sz w:val="16"/>
                <w:szCs w:val="16"/>
                <w:color w:val="0000FF"/>
              </w:rPr>
              <w:t>between Azmi Nabulsi, M.D., M.P.H. and the Registrant</w:t>
            </w:r>
          </w:p>
        </w:tc>
        <w:tc>
          <w:tcPr>
            <w:tcW w:w="138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9"/>
              </w:rPr>
              <w:t>10.2#</w:t>
            </w:r>
          </w:p>
        </w:tc>
        <w:tc>
          <w:tcPr>
            <w:tcW w:w="160" w:type="dxa"/>
            <w:vAlign w:val="bottom"/>
          </w:tcPr>
          <w:p>
            <w:pPr>
              <w:spacing w:after="0"/>
              <w:rPr>
                <w:sz w:val="24"/>
                <w:szCs w:val="24"/>
                <w:color w:val="auto"/>
              </w:rPr>
            </w:pPr>
          </w:p>
        </w:tc>
        <w:tc>
          <w:tcPr>
            <w:tcW w:w="5780" w:type="dxa"/>
            <w:vAlign w:val="bottom"/>
            <w:gridSpan w:val="30"/>
          </w:tcPr>
          <w:p>
            <w:pPr>
              <w:spacing w:after="0"/>
              <w:rPr>
                <w:sz w:val="20"/>
                <w:szCs w:val="20"/>
                <w:color w:val="auto"/>
              </w:rPr>
            </w:pPr>
            <w:r>
              <w:rPr>
                <w:rFonts w:ascii="Arial" w:cs="Arial" w:eastAsia="Arial" w:hAnsi="Arial"/>
                <w:sz w:val="16"/>
                <w:szCs w:val="16"/>
                <w:color w:val="0000FF"/>
              </w:rPr>
              <w:t>Separation Agreement and Release of Claims, dated May 20, 2025, by and</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tcBorders>
              <w:top w:val="single" w:sz="8" w:color="0000FF"/>
              <w:bottom w:val="single" w:sz="8" w:color="0000EE"/>
            </w:tcBorders>
            <w:gridSpan w:val="12"/>
          </w:tcPr>
          <w:p>
            <w:pPr>
              <w:spacing w:after="0" w:line="169" w:lineRule="exact"/>
              <w:rPr>
                <w:sz w:val="20"/>
                <w:szCs w:val="20"/>
                <w:color w:val="auto"/>
              </w:rPr>
            </w:pPr>
            <w:r>
              <w:rPr>
                <w:rFonts w:ascii="Arial" w:cs="Arial" w:eastAsia="Arial" w:hAnsi="Arial"/>
                <w:sz w:val="16"/>
                <w:szCs w:val="16"/>
                <w:color w:val="0000FF"/>
              </w:rPr>
              <w:t>between Molly Henderson and the Registrant</w:t>
            </w:r>
          </w:p>
        </w:tc>
        <w:tc>
          <w:tcPr>
            <w:tcW w:w="216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9"/>
              </w:rPr>
              <w:t>10.3#</w:t>
            </w:r>
          </w:p>
        </w:tc>
        <w:tc>
          <w:tcPr>
            <w:tcW w:w="160" w:type="dxa"/>
            <w:vAlign w:val="bottom"/>
          </w:tcPr>
          <w:p>
            <w:pPr>
              <w:spacing w:after="0"/>
              <w:rPr>
                <w:sz w:val="24"/>
                <w:szCs w:val="24"/>
                <w:color w:val="auto"/>
              </w:rPr>
            </w:pPr>
          </w:p>
        </w:tc>
        <w:tc>
          <w:tcPr>
            <w:tcW w:w="5780" w:type="dxa"/>
            <w:vAlign w:val="bottom"/>
            <w:gridSpan w:val="30"/>
          </w:tcPr>
          <w:p>
            <w:pPr>
              <w:spacing w:after="0"/>
              <w:rPr>
                <w:sz w:val="20"/>
                <w:szCs w:val="20"/>
                <w:color w:val="auto"/>
              </w:rPr>
            </w:pPr>
            <w:r>
              <w:rPr>
                <w:rFonts w:ascii="Arial" w:cs="Arial" w:eastAsia="Arial" w:hAnsi="Arial"/>
                <w:sz w:val="16"/>
                <w:szCs w:val="16"/>
                <w:color w:val="0000FF"/>
              </w:rPr>
              <w:t>Employment Letter Agreement, dated June 4, 2025, by and between Anne Marie</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780" w:type="dxa"/>
            <w:vAlign w:val="bottom"/>
            <w:tcBorders>
              <w:top w:val="single" w:sz="8" w:color="0000FF"/>
            </w:tcBorders>
            <w:gridSpan w:val="30"/>
          </w:tcPr>
          <w:p>
            <w:pPr>
              <w:spacing w:after="0" w:line="169" w:lineRule="exact"/>
              <w:rPr>
                <w:sz w:val="20"/>
                <w:szCs w:val="20"/>
                <w:color w:val="auto"/>
              </w:rPr>
            </w:pPr>
            <w:r>
              <w:rPr>
                <w:rFonts w:ascii="Arial" w:cs="Arial" w:eastAsia="Arial" w:hAnsi="Arial"/>
                <w:sz w:val="16"/>
                <w:szCs w:val="16"/>
                <w:color w:val="0000FF"/>
              </w:rPr>
              <w:t>Cook and the Registrant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24"/>
                <w:szCs w:val="24"/>
                <w:color w:val="auto"/>
              </w:rPr>
            </w:pPr>
          </w:p>
        </w:tc>
        <w:tc>
          <w:tcPr>
            <w:tcW w:w="5780" w:type="dxa"/>
            <w:vAlign w:val="bottom"/>
            <w:gridSpan w:val="30"/>
          </w:tcPr>
          <w:p>
            <w:pPr>
              <w:spacing w:after="0"/>
              <w:rPr>
                <w:sz w:val="20"/>
                <w:szCs w:val="20"/>
                <w:color w:val="auto"/>
              </w:rPr>
            </w:pPr>
            <w:r>
              <w:rPr>
                <w:rFonts w:ascii="Arial" w:cs="Arial" w:eastAsia="Arial" w:hAnsi="Arial"/>
                <w:sz w:val="16"/>
                <w:szCs w:val="16"/>
                <w:color w:val="0000FF"/>
              </w:rPr>
              <w:t>Certification of Chief Executive Officer of Phathom Pharmaceuticals, Inc., as</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00" w:type="dxa"/>
            <w:vAlign w:val="bottom"/>
            <w:tcBorders>
              <w:top w:val="single" w:sz="8" w:color="0000FF"/>
              <w:bottom w:val="single" w:sz="8" w:color="0000FF"/>
            </w:tcBorders>
            <w:gridSpan w:val="21"/>
          </w:tcPr>
          <w:p>
            <w:pPr>
              <w:spacing w:after="0" w:line="169" w:lineRule="exact"/>
              <w:rPr>
                <w:sz w:val="20"/>
                <w:szCs w:val="20"/>
                <w:color w:val="auto"/>
              </w:rPr>
            </w:pPr>
            <w:r>
              <w:rPr>
                <w:rFonts w:ascii="Arial" w:cs="Arial" w:eastAsia="Arial" w:hAnsi="Arial"/>
                <w:sz w:val="16"/>
                <w:szCs w:val="16"/>
                <w:color w:val="0000FF"/>
                <w:w w:val="99"/>
              </w:rPr>
              <w:t>required by Rule 13a-14(a) or Rule 15d-14(a), as adopted pursuant to Section</w:t>
            </w:r>
          </w:p>
        </w:tc>
        <w:tc>
          <w:tcPr>
            <w:tcW w:w="100" w:type="dxa"/>
            <w:vAlign w:val="bottom"/>
            <w:tcBorders>
              <w:bottom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Borders>
              <w:bottom w:val="single" w:sz="8" w:color="0000FF"/>
            </w:tcBorders>
            <w:gridSpan w:val="11"/>
          </w:tcPr>
          <w:p>
            <w:pPr>
              <w:spacing w:after="0" w:line="169" w:lineRule="exact"/>
              <w:rPr>
                <w:sz w:val="20"/>
                <w:szCs w:val="20"/>
                <w:color w:val="auto"/>
              </w:rPr>
            </w:pPr>
            <w:r>
              <w:rPr>
                <w:rFonts w:ascii="Arial" w:cs="Arial" w:eastAsia="Arial" w:hAnsi="Arial"/>
                <w:sz w:val="16"/>
                <w:szCs w:val="16"/>
                <w:color w:val="0000FF"/>
                <w:w w:val="99"/>
              </w:rPr>
              <w:t>302 of the Sarbanes-Oxley Act of 2002</w:t>
            </w:r>
          </w:p>
        </w:tc>
        <w:tc>
          <w:tcPr>
            <w:tcW w:w="2840" w:type="dxa"/>
            <w:vAlign w:val="bottom"/>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4"/>
                <w:szCs w:val="24"/>
                <w:color w:val="auto"/>
              </w:rPr>
            </w:pPr>
          </w:p>
        </w:tc>
        <w:tc>
          <w:tcPr>
            <w:tcW w:w="5780" w:type="dxa"/>
            <w:vAlign w:val="bottom"/>
            <w:gridSpan w:val="30"/>
          </w:tcPr>
          <w:p>
            <w:pPr>
              <w:spacing w:after="0"/>
              <w:rPr>
                <w:sz w:val="20"/>
                <w:szCs w:val="20"/>
                <w:color w:val="auto"/>
              </w:rPr>
            </w:pPr>
            <w:r>
              <w:rPr>
                <w:rFonts w:ascii="Arial" w:cs="Arial" w:eastAsia="Arial" w:hAnsi="Arial"/>
                <w:sz w:val="16"/>
                <w:szCs w:val="16"/>
                <w:color w:val="0000FF"/>
              </w:rPr>
              <w:t>Certification of Chief Financial Officer of Phathom Pharmaceuticals, Inc., as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60" w:type="dxa"/>
            <w:vAlign w:val="bottom"/>
            <w:tcBorders>
              <w:right w:val="single" w:sz="8" w:color="0000FF"/>
            </w:tcBorders>
            <w:gridSpan w:val="6"/>
            <w:shd w:val="clear" w:color="auto" w:fill="0000FF"/>
          </w:tcPr>
          <w:p>
            <w:pPr>
              <w:spacing w:after="0" w:line="20" w:lineRule="exact"/>
              <w:rPr>
                <w:sz w:val="1"/>
                <w:szCs w:val="1"/>
                <w:color w:val="auto"/>
              </w:rPr>
            </w:pPr>
          </w:p>
        </w:tc>
        <w:tc>
          <w:tcPr>
            <w:tcW w:w="4160" w:type="dxa"/>
            <w:vAlign w:val="bottom"/>
            <w:gridSpan w:val="13"/>
            <w:shd w:val="clear" w:color="auto" w:fill="0000FF"/>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780" w:type="dxa"/>
            <w:vAlign w:val="bottom"/>
            <w:gridSpan w:val="30"/>
          </w:tcPr>
          <w:p>
            <w:pPr>
              <w:spacing w:after="0" w:line="169" w:lineRule="exact"/>
              <w:rPr>
                <w:sz w:val="20"/>
                <w:szCs w:val="20"/>
                <w:color w:val="auto"/>
              </w:rPr>
            </w:pPr>
            <w:r>
              <w:rPr>
                <w:rFonts w:ascii="Arial" w:cs="Arial" w:eastAsia="Arial" w:hAnsi="Arial"/>
                <w:sz w:val="16"/>
                <w:szCs w:val="16"/>
                <w:color w:val="0000FF"/>
              </w:rPr>
              <w:t>required by Rule 13a-14(a) or Rule 15d-14(a), as adopted pursuant to Section</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6"/>
                <w:szCs w:val="16"/>
                <w:color w:val="0000FF"/>
                <w:w w:val="99"/>
              </w:rPr>
              <w:t>302 of the Sarbanes-Oxley Act of 2002</w:t>
            </w:r>
          </w:p>
        </w:tc>
        <w:tc>
          <w:tcPr>
            <w:tcW w:w="284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24"/>
                <w:szCs w:val="24"/>
                <w:color w:val="auto"/>
              </w:rPr>
            </w:pPr>
          </w:p>
        </w:tc>
        <w:tc>
          <w:tcPr>
            <w:tcW w:w="5780" w:type="dxa"/>
            <w:vAlign w:val="bottom"/>
            <w:gridSpan w:val="30"/>
          </w:tcPr>
          <w:p>
            <w:pPr>
              <w:spacing w:after="0"/>
              <w:rPr>
                <w:sz w:val="20"/>
                <w:szCs w:val="20"/>
                <w:color w:val="auto"/>
              </w:rPr>
            </w:pPr>
            <w:r>
              <w:rPr>
                <w:rFonts w:ascii="Arial" w:cs="Arial" w:eastAsia="Arial" w:hAnsi="Arial"/>
                <w:sz w:val="16"/>
                <w:szCs w:val="16"/>
                <w:color w:val="0000FF"/>
              </w:rPr>
              <w:t>Certification of Chief Executive Officer pursuant to Section 906 of the Sarbanes-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6"/>
            <w:shd w:val="clear" w:color="auto" w:fill="0000FF"/>
          </w:tcPr>
          <w:p>
            <w:pPr>
              <w:spacing w:after="0" w:line="20" w:lineRule="exact"/>
              <w:rPr>
                <w:sz w:val="1"/>
                <w:szCs w:val="1"/>
                <w:color w:val="auto"/>
              </w:rPr>
            </w:pPr>
          </w:p>
        </w:tc>
        <w:tc>
          <w:tcPr>
            <w:tcW w:w="4380" w:type="dxa"/>
            <w:vAlign w:val="bottom"/>
            <w:gridSpan w:val="20"/>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80" w:type="dxa"/>
            <w:vAlign w:val="bottom"/>
            <w:gridSpan w:val="28"/>
          </w:tcPr>
          <w:p>
            <w:pPr>
              <w:spacing w:after="0" w:line="169" w:lineRule="exact"/>
              <w:rPr>
                <w:sz w:val="20"/>
                <w:szCs w:val="20"/>
                <w:color w:val="auto"/>
              </w:rPr>
            </w:pPr>
            <w:r>
              <w:rPr>
                <w:rFonts w:ascii="Arial" w:cs="Arial" w:eastAsia="Arial" w:hAnsi="Arial"/>
                <w:sz w:val="16"/>
                <w:szCs w:val="16"/>
                <w:color w:val="0000FF"/>
              </w:rPr>
              <w:t>Oxley Act of 2002</w:t>
            </w: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6"/>
            <w:shd w:val="clear" w:color="auto" w:fill="0000FF"/>
          </w:tcPr>
          <w:p>
            <w:pPr>
              <w:spacing w:after="0" w:line="20" w:lineRule="exact"/>
              <w:rPr>
                <w:sz w:val="1"/>
                <w:szCs w:val="1"/>
                <w:color w:val="auto"/>
              </w:rPr>
            </w:pPr>
          </w:p>
        </w:tc>
        <w:tc>
          <w:tcPr>
            <w:tcW w:w="4380" w:type="dxa"/>
            <w:vAlign w:val="bottom"/>
            <w:gridSpan w:val="2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32.2*</w:t>
            </w:r>
          </w:p>
        </w:tc>
        <w:tc>
          <w:tcPr>
            <w:tcW w:w="160" w:type="dxa"/>
            <w:vAlign w:val="bottom"/>
          </w:tcPr>
          <w:p>
            <w:pPr>
              <w:spacing w:after="0"/>
              <w:rPr>
                <w:sz w:val="24"/>
                <w:szCs w:val="24"/>
                <w:color w:val="auto"/>
              </w:rPr>
            </w:pPr>
          </w:p>
        </w:tc>
        <w:tc>
          <w:tcPr>
            <w:tcW w:w="5780" w:type="dxa"/>
            <w:vAlign w:val="bottom"/>
            <w:gridSpan w:val="30"/>
          </w:tcPr>
          <w:p>
            <w:pPr>
              <w:spacing w:after="0"/>
              <w:rPr>
                <w:sz w:val="20"/>
                <w:szCs w:val="20"/>
                <w:color w:val="auto"/>
              </w:rPr>
            </w:pPr>
            <w:r>
              <w:rPr>
                <w:rFonts w:ascii="Arial" w:cs="Arial" w:eastAsia="Arial" w:hAnsi="Arial"/>
                <w:sz w:val="16"/>
                <w:szCs w:val="16"/>
                <w:color w:val="0000FF"/>
              </w:rPr>
              <w:t>Certification of Chief Financial Officer pursuant to Section 906 of the Sarbanes-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40" w:type="dxa"/>
            <w:vAlign w:val="bottom"/>
            <w:gridSpan w:val="26"/>
            <w:shd w:val="clear" w:color="auto" w:fill="0000FF"/>
          </w:tcPr>
          <w:p>
            <w:pPr>
              <w:spacing w:after="0" w:line="20" w:lineRule="exact"/>
              <w:rPr>
                <w:sz w:val="1"/>
                <w:szCs w:val="1"/>
                <w:color w:val="auto"/>
              </w:rPr>
            </w:pPr>
          </w:p>
        </w:tc>
        <w:tc>
          <w:tcPr>
            <w:tcW w:w="14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40" w:type="dxa"/>
            <w:vAlign w:val="bottom"/>
            <w:gridSpan w:val="26"/>
          </w:tcPr>
          <w:p>
            <w:pPr>
              <w:spacing w:after="0" w:line="169" w:lineRule="exact"/>
              <w:rPr>
                <w:sz w:val="20"/>
                <w:szCs w:val="20"/>
                <w:color w:val="auto"/>
              </w:rPr>
            </w:pPr>
            <w:r>
              <w:rPr>
                <w:rFonts w:ascii="Arial" w:cs="Arial" w:eastAsia="Arial" w:hAnsi="Arial"/>
                <w:sz w:val="16"/>
                <w:szCs w:val="16"/>
                <w:color w:val="0000FF"/>
              </w:rPr>
              <w:t>Oxley Act of 2002</w:t>
            </w:r>
          </w:p>
        </w:tc>
        <w:tc>
          <w:tcPr>
            <w:tcW w:w="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6"/>
            <w:shd w:val="clear" w:color="auto" w:fill="0000FF"/>
          </w:tcPr>
          <w:p>
            <w:pPr>
              <w:spacing w:after="0" w:line="20" w:lineRule="exact"/>
              <w:rPr>
                <w:sz w:val="1"/>
                <w:szCs w:val="1"/>
                <w:color w:val="auto"/>
              </w:rPr>
            </w:pPr>
          </w:p>
        </w:tc>
        <w:tc>
          <w:tcPr>
            <w:tcW w:w="452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jc w:val="center"/>
              <w:spacing w:after="0"/>
              <w:rPr>
                <w:sz w:val="20"/>
                <w:szCs w:val="20"/>
                <w:color w:val="auto"/>
              </w:rPr>
            </w:pPr>
            <w:r>
              <w:rPr>
                <w:rFonts w:ascii="Arial" w:cs="Arial" w:eastAsia="Arial" w:hAnsi="Arial"/>
                <w:sz w:val="16"/>
                <w:szCs w:val="16"/>
                <w:color w:val="auto"/>
              </w:rPr>
              <w:t>101.INS</w:t>
            </w:r>
          </w:p>
        </w:tc>
        <w:tc>
          <w:tcPr>
            <w:tcW w:w="160" w:type="dxa"/>
            <w:vAlign w:val="bottom"/>
          </w:tcPr>
          <w:p>
            <w:pPr>
              <w:spacing w:after="0"/>
              <w:rPr>
                <w:sz w:val="24"/>
                <w:szCs w:val="24"/>
                <w:color w:val="auto"/>
              </w:rPr>
            </w:pPr>
          </w:p>
        </w:tc>
        <w:tc>
          <w:tcPr>
            <w:tcW w:w="5780" w:type="dxa"/>
            <w:vAlign w:val="bottom"/>
            <w:gridSpan w:val="30"/>
          </w:tcPr>
          <w:p>
            <w:pPr>
              <w:spacing w:after="0"/>
              <w:rPr>
                <w:sz w:val="20"/>
                <w:szCs w:val="20"/>
                <w:color w:val="auto"/>
              </w:rPr>
            </w:pPr>
            <w:r>
              <w:rPr>
                <w:rFonts w:ascii="Arial" w:cs="Arial" w:eastAsia="Arial" w:hAnsi="Arial"/>
                <w:sz w:val="16"/>
                <w:szCs w:val="16"/>
                <w:color w:val="auto"/>
              </w:rPr>
              <w:t>Inline XBRL Instance Document – the instance document does not appear in the</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80" w:type="dxa"/>
            <w:vAlign w:val="bottom"/>
            <w:gridSpan w:val="30"/>
          </w:tcPr>
          <w:p>
            <w:pPr>
              <w:spacing w:after="0"/>
              <w:rPr>
                <w:sz w:val="20"/>
                <w:szCs w:val="20"/>
                <w:color w:val="auto"/>
              </w:rPr>
            </w:pPr>
            <w:r>
              <w:rPr>
                <w:rFonts w:ascii="Arial" w:cs="Arial" w:eastAsia="Arial" w:hAnsi="Arial"/>
                <w:sz w:val="16"/>
                <w:szCs w:val="16"/>
                <w:color w:val="auto"/>
              </w:rPr>
              <w:t>Interactive Data File because XBRL tags are embedded within the Inline XBRL</w:t>
            </w: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30"/>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420"/>
        </w:trPr>
        <w:tc>
          <w:tcPr>
            <w:tcW w:w="1060" w:type="dxa"/>
            <w:vAlign w:val="bottom"/>
          </w:tcPr>
          <w:p>
            <w:pPr>
              <w:spacing w:after="0"/>
              <w:rPr>
                <w:sz w:val="24"/>
                <w:szCs w:val="24"/>
                <w:color w:val="auto"/>
              </w:rPr>
            </w:pPr>
          </w:p>
        </w:tc>
        <w:tc>
          <w:tcPr>
            <w:tcW w:w="4940" w:type="dxa"/>
            <w:vAlign w:val="bottom"/>
            <w:gridSpan w:val="17"/>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Date</w:t>
            </w:r>
          </w:p>
        </w:tc>
        <w:tc>
          <w:tcPr>
            <w:tcW w:w="120" w:type="dxa"/>
            <w:vAlign w:val="bottom"/>
          </w:tcPr>
          <w:p>
            <w:pPr>
              <w:spacing w:after="0"/>
              <w:rPr>
                <w:sz w:val="17"/>
                <w:szCs w:val="17"/>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08"/>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10/29/19</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5/30/23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12/15/23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10/15/19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rPr>
              <w:t>S-1</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9/30/19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rPr>
              <w:t>S-1</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9/30/19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11/8/21</w:t>
            </w:r>
          </w:p>
        </w:tc>
        <w:tc>
          <w:tcPr>
            <w:tcW w:w="1160" w:type="dxa"/>
            <w:vAlign w:val="bottom"/>
            <w:gridSpan w:val="2"/>
          </w:tcPr>
          <w:p>
            <w:pPr>
              <w:jc w:val="center"/>
              <w:ind w:lef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5/10/23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5/10/23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70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10/15/19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8/19/24</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38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38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38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38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38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6980" w:space="120"/>
            <w:col w:w="4140"/>
          </w:cols>
          <w:pgMar w:left="320" w:top="1012" w:right="339" w:bottom="1440" w:gutter="0" w:footer="0" w:header="0"/>
        </w:sectPr>
      </w:pPr>
    </w:p>
    <w:bookmarkStart w:id="36" w:name="page37"/>
    <w:bookmarkEnd w:id="36"/>
    <w:p>
      <w:pPr>
        <w:ind w:left="192"/>
        <w:spacing w:after="0"/>
        <w:tabs>
          <w:tab w:leader="none" w:pos="1152" w:val="left"/>
          <w:tab w:leader="none" w:pos="10632"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Inline XBRL Taxonomy Extension Schema Document</w:t>
      </w:r>
      <w:r>
        <w:rPr>
          <w:sz w:val="20"/>
          <w:szCs w:val="20"/>
          <w:color w:val="auto"/>
        </w:rPr>
        <w:tab/>
      </w:r>
      <w:r>
        <w:rPr>
          <w:rFonts w:ascii="Arial" w:cs="Arial" w:eastAsia="Arial" w:hAnsi="Arial"/>
          <w:sz w:val="16"/>
          <w:szCs w:val="16"/>
          <w:color w:val="auto"/>
        </w:rPr>
        <w:t>X</w:t>
      </w:r>
    </w:p>
    <w:p>
      <w:pPr>
        <w:spacing w:after="0" w:line="194" w:lineRule="exact"/>
        <w:rPr>
          <w:sz w:val="20"/>
          <w:szCs w:val="20"/>
          <w:color w:val="auto"/>
        </w:rPr>
      </w:pPr>
    </w:p>
    <w:p>
      <w:pPr>
        <w:ind w:left="1172" w:hanging="781"/>
        <w:spacing w:after="0"/>
        <w:tabs>
          <w:tab w:leader="none" w:pos="1172" w:val="left"/>
        </w:tabs>
        <w:numPr>
          <w:ilvl w:val="1"/>
          <w:numId w:val="10"/>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50" w:lineRule="exact"/>
        <w:rPr>
          <w:rFonts w:ascii="Arial" w:cs="Arial" w:eastAsia="Arial" w:hAnsi="Arial"/>
          <w:sz w:val="16"/>
          <w:szCs w:val="16"/>
          <w:color w:val="auto"/>
        </w:rPr>
      </w:pPr>
    </w:p>
    <w:p>
      <w:pPr>
        <w:ind w:left="112" w:hanging="112"/>
        <w:spacing w:after="0"/>
        <w:tabs>
          <w:tab w:leader="none" w:pos="112"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17" w:lineRule="exact"/>
        <w:rPr>
          <w:sz w:val="20"/>
          <w:szCs w:val="20"/>
          <w:color w:val="auto"/>
        </w:rPr>
      </w:pPr>
    </w:p>
    <w:p>
      <w:pPr>
        <w:ind w:left="-8" w:firstLine="8"/>
        <w:spacing w:after="0" w:line="285" w:lineRule="auto"/>
        <w:tabs>
          <w:tab w:leader="none" w:pos="88"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327"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2"/>
          </w:cols>
          <w:pgMar w:left="328" w:top="1205" w:right="579" w:bottom="1440" w:gutter="0" w:footer="0" w:header="0"/>
        </w:sectPr>
      </w:pPr>
    </w:p>
    <w:bookmarkStart w:id="37" w:name="page38"/>
    <w:bookmarkEnd w:id="37"/>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PHATHOM PHARMACEUTICALS, INC.</w:t>
      </w:r>
    </w:p>
    <w:p>
      <w:pPr>
        <w:spacing w:after="0" w:line="198" w:lineRule="exact"/>
        <w:rPr>
          <w:sz w:val="20"/>
          <w:szCs w:val="20"/>
          <w:color w:val="auto"/>
        </w:rPr>
      </w:pPr>
    </w:p>
    <w:p>
      <w:pPr>
        <w:spacing w:after="0"/>
        <w:tabs>
          <w:tab w:leader="none" w:pos="680" w:val="left"/>
          <w:tab w:leader="none" w:pos="6020" w:val="left"/>
          <w:tab w:leader="none" w:pos="6460" w:val="left"/>
        </w:tabs>
        <w:rPr>
          <w:sz w:val="20"/>
          <w:szCs w:val="20"/>
          <w:color w:val="auto"/>
        </w:rPr>
      </w:pPr>
      <w:r>
        <w:rPr>
          <w:rFonts w:ascii="Arial" w:cs="Arial" w:eastAsia="Arial" w:hAnsi="Arial"/>
          <w:sz w:val="18"/>
          <w:szCs w:val="18"/>
          <w:color w:val="auto"/>
        </w:rPr>
        <w:t>Date:</w:t>
        <w:tab/>
        <w:t>August 7, 2025</w:t>
      </w:r>
      <w:r>
        <w:rPr>
          <w:sz w:val="20"/>
          <w:szCs w:val="20"/>
          <w:color w:val="auto"/>
        </w:rPr>
        <w:tab/>
      </w:r>
      <w:r>
        <w:rPr>
          <w:rFonts w:ascii="Arial" w:cs="Arial" w:eastAsia="Arial" w:hAnsi="Arial"/>
          <w:sz w:val="18"/>
          <w:szCs w:val="18"/>
          <w:color w:val="auto"/>
        </w:rPr>
        <w:t>By:</w:t>
        <w:tab/>
        <w:t>/s/ Steven Basta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8890</wp:posOffset>
            </wp:positionV>
            <wp:extent cx="30175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Steven Basta</w:t>
      </w:r>
    </w:p>
    <w:p>
      <w:pPr>
        <w:ind w:left="6480"/>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680" w:val="left"/>
          <w:tab w:leader="none" w:pos="6020" w:val="left"/>
          <w:tab w:leader="none" w:pos="6460" w:val="left"/>
        </w:tabs>
        <w:rPr>
          <w:sz w:val="20"/>
          <w:szCs w:val="20"/>
          <w:color w:val="auto"/>
        </w:rPr>
      </w:pPr>
      <w:r>
        <w:rPr>
          <w:rFonts w:ascii="Arial" w:cs="Arial" w:eastAsia="Arial" w:hAnsi="Arial"/>
          <w:sz w:val="18"/>
          <w:szCs w:val="18"/>
          <w:color w:val="auto"/>
        </w:rPr>
        <w:t>Date:</w:t>
        <w:tab/>
        <w:t>August 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Breedlove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8890</wp:posOffset>
            </wp:positionV>
            <wp:extent cx="30175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Robert Breedlove</w:t>
      </w:r>
    </w:p>
    <w:p>
      <w:pPr>
        <w:ind w:left="6480"/>
        <w:spacing w:after="0" w:line="234" w:lineRule="auto"/>
        <w:rPr>
          <w:sz w:val="20"/>
          <w:szCs w:val="20"/>
          <w:color w:val="auto"/>
        </w:rPr>
      </w:pPr>
      <w:r>
        <w:rPr>
          <w:rFonts w:ascii="Arial" w:cs="Arial" w:eastAsia="Arial" w:hAnsi="Arial"/>
          <w:sz w:val="18"/>
          <w:szCs w:val="18"/>
          <w:color w:val="auto"/>
        </w:rPr>
        <w:t>Vice President of Finance</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12" w:right="6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SEPARATION AGREEMENT AND RELEASE OF CLAIMS</w:t>
      </w:r>
    </w:p>
    <w:p>
      <w:pPr>
        <w:spacing w:after="0" w:line="229" w:lineRule="exact"/>
        <w:rPr>
          <w:sz w:val="20"/>
          <w:szCs w:val="20"/>
          <w:color w:val="auto"/>
        </w:rPr>
      </w:pPr>
    </w:p>
    <w:p>
      <w:pPr>
        <w:jc w:val="both"/>
        <w:ind w:right="380" w:firstLine="749"/>
        <w:spacing w:after="0" w:line="300" w:lineRule="auto"/>
        <w:rPr>
          <w:sz w:val="20"/>
          <w:szCs w:val="20"/>
          <w:color w:val="auto"/>
        </w:rPr>
      </w:pPr>
      <w:r>
        <w:rPr>
          <w:rFonts w:ascii="Times New Roman" w:cs="Times New Roman" w:eastAsia="Times New Roman" w:hAnsi="Times New Roman"/>
          <w:sz w:val="19"/>
          <w:szCs w:val="19"/>
          <w:color w:val="auto"/>
        </w:rPr>
        <w:t>This Separation Agreement and Release of Claims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entered into by and between Azmi Nabulsi, M.D., M.P.H.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and Phathom Pharmaceuticals,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effective as of the Effective Date (as defined below).</w:t>
      </w:r>
    </w:p>
    <w:p>
      <w:pPr>
        <w:spacing w:after="0" w:line="1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Executive is a party to that certain offer letter, dated September 23, 2019, with the Company (the “</w:t>
      </w:r>
      <w:r>
        <w:rPr>
          <w:rFonts w:ascii="Times New Roman" w:cs="Times New Roman" w:eastAsia="Times New Roman" w:hAnsi="Times New Roman"/>
          <w:sz w:val="20"/>
          <w:szCs w:val="20"/>
          <w:b w:val="1"/>
          <w:bCs w:val="1"/>
          <w:i w:val="1"/>
          <w:iCs w:val="1"/>
          <w:color w:val="auto"/>
        </w:rPr>
        <w:t>Offer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Letter</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both"/>
        <w:ind w:right="380" w:firstLine="747"/>
        <w:spacing w:after="0" w:line="269" w:lineRule="auto"/>
        <w:rPr>
          <w:sz w:val="20"/>
          <w:szCs w:val="20"/>
          <w:color w:val="auto"/>
        </w:rPr>
      </w:pPr>
      <w:r>
        <w:rPr>
          <w:rFonts w:ascii="Times New Roman" w:cs="Times New Roman" w:eastAsia="Times New Roman" w:hAnsi="Times New Roman"/>
          <w:sz w:val="20"/>
          <w:szCs w:val="20"/>
          <w:color w:val="auto"/>
        </w:rPr>
        <w:t>WHEREAS, Executive ceased serving as the Company’s Chief Operating Officer effective as of April 30, 2025 and Executive’s employment with the Company terminated on May 16, 2025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and</w:t>
      </w:r>
    </w:p>
    <w:p>
      <w:pPr>
        <w:spacing w:after="0" w:line="173" w:lineRule="exact"/>
        <w:rPr>
          <w:sz w:val="20"/>
          <w:szCs w:val="20"/>
          <w:color w:val="auto"/>
        </w:rPr>
      </w:pPr>
    </w:p>
    <w:p>
      <w:pPr>
        <w:jc w:val="both"/>
        <w:ind w:right="380" w:firstLine="749"/>
        <w:spacing w:after="0" w:line="269" w:lineRule="auto"/>
        <w:rPr>
          <w:sz w:val="20"/>
          <w:szCs w:val="20"/>
          <w:color w:val="auto"/>
        </w:rPr>
      </w:pPr>
      <w:r>
        <w:rPr>
          <w:rFonts w:ascii="Times New Roman" w:cs="Times New Roman" w:eastAsia="Times New Roman" w:hAnsi="Times New Roman"/>
          <w:sz w:val="20"/>
          <w:szCs w:val="20"/>
          <w:color w:val="auto"/>
        </w:rPr>
        <w:t>WHEREAS, Executive acknowledges that, unless he executes and does not revoke this Agreement as required under this Agreement, he will not be eligible for the Termination Benefits (as defined below).</w:t>
      </w:r>
    </w:p>
    <w:p>
      <w:pPr>
        <w:spacing w:after="0" w:line="173" w:lineRule="exact"/>
        <w:rPr>
          <w:sz w:val="20"/>
          <w:szCs w:val="20"/>
          <w:color w:val="auto"/>
        </w:rPr>
      </w:pPr>
    </w:p>
    <w:p>
      <w:pPr>
        <w:jc w:val="both"/>
        <w:ind w:right="380"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and subject to, the Termination Benefits payable to Executive described in Section 3 below, the adequacy of which is hereby acknowledged by Executive, and which Termination Benefits Executive acknowledges that he would not otherwise be entitled to receive, Executive and the Company hereby agree as follows:</w:t>
      </w:r>
    </w:p>
    <w:p>
      <w:pPr>
        <w:spacing w:after="0" w:line="18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p>
    <w:p>
      <w:pPr>
        <w:spacing w:after="0" w:line="233" w:lineRule="exact"/>
        <w:rPr>
          <w:sz w:val="20"/>
          <w:szCs w:val="20"/>
          <w:color w:val="auto"/>
        </w:rPr>
      </w:pPr>
    </w:p>
    <w:p>
      <w:pPr>
        <w:jc w:val="both"/>
        <w:ind w:right="380" w:firstLine="725"/>
        <w:spacing w:after="0" w:line="244" w:lineRule="auto"/>
        <w:tabs>
          <w:tab w:leader="none" w:pos="111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This Agreement shall not become effective unless both of the following events have occurred: (a) execution of this Agreement by Executive </w:t>
      </w:r>
      <w:r>
        <w:rPr>
          <w:rFonts w:ascii="Times New Roman" w:cs="Times New Roman" w:eastAsia="Times New Roman" w:hAnsi="Times New Roman"/>
          <w:sz w:val="20"/>
          <w:szCs w:val="20"/>
          <w:b w:val="1"/>
          <w:bCs w:val="1"/>
          <w:u w:val="single" w:color="auto"/>
          <w:color w:val="auto"/>
        </w:rPr>
        <w:t>on or after the Termination Date</w:t>
      </w:r>
      <w:r>
        <w:rPr>
          <w:rFonts w:ascii="Times New Roman" w:cs="Times New Roman" w:eastAsia="Times New Roman" w:hAnsi="Times New Roman"/>
          <w:sz w:val="20"/>
          <w:szCs w:val="20"/>
          <w:color w:val="auto"/>
        </w:rPr>
        <w:t xml:space="preserve"> but prior to the last day of the Review Period (as defined below), and (b) expiration of the revocation period applicable under Section 4(c) below without Executive having given notice of revocation. The date on which this Agreement becomes effective shall be referred to in this Agreement as the “</w:t>
      </w:r>
      <w:r>
        <w:rPr>
          <w:rFonts w:ascii="Times New Roman" w:cs="Times New Roman" w:eastAsia="Times New Roman" w:hAnsi="Times New Roman"/>
          <w:sz w:val="20"/>
          <w:szCs w:val="20"/>
          <w:b w:val="1"/>
          <w:bCs w:val="1"/>
          <w:i w:val="1"/>
          <w:iCs w:val="1"/>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Unless Executive executes this Agreement on or prior to the last day of the Review Period, and thereafter allows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to become effective in accordance with Section 4(c) below, this Agreement shall be null and void. The parties agree that any material or immaterial changes to this Agreement shall not extend the Review Period.</w:t>
      </w:r>
    </w:p>
    <w:p>
      <w:pPr>
        <w:spacing w:after="0" w:line="185" w:lineRule="exact"/>
        <w:rPr>
          <w:rFonts w:ascii="Times New Roman" w:cs="Times New Roman" w:eastAsia="Times New Roman" w:hAnsi="Times New Roman"/>
          <w:sz w:val="20"/>
          <w:szCs w:val="20"/>
          <w:color w:val="auto"/>
        </w:rPr>
      </w:pPr>
    </w:p>
    <w:p>
      <w:pPr>
        <w:ind w:left="1500" w:hanging="749"/>
        <w:spacing w:after="0"/>
        <w:tabs>
          <w:tab w:leader="none" w:pos="15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380" w:firstLine="1446"/>
        <w:spacing w:after="0" w:line="243" w:lineRule="auto"/>
        <w:rPr>
          <w:sz w:val="20"/>
          <w:szCs w:val="20"/>
          <w:color w:val="auto"/>
        </w:rPr>
      </w:pPr>
      <w:r>
        <w:rPr>
          <w:rFonts w:ascii="Times New Roman" w:cs="Times New Roman" w:eastAsia="Times New Roman" w:hAnsi="Times New Roman"/>
          <w:sz w:val="20"/>
          <w:szCs w:val="20"/>
          <w:color w:val="auto"/>
        </w:rPr>
        <w:t>(a)The Termination Date was the termination date of Executive’s employment with the Company and any of its affiliates for all purposes, including active participation in and coverage under all benefit plans and programs sponsored by or through the Company and its affiliates, except as provided in this Agreement. Executive hereby confirms that he ceased serving as the Company’s Chief Operating Officer on April 30, 2025, and further confirms that, effective as of the Termination Date, he ceased to serve in any and all positions he held with the Company and any of its affiliates. For the avoidance of doubt, Executive hereby confirms his resignation from all other offices and any directorships held with the Company and any of its affiliates effective as of the Termination Date, except as specifically provided in the Consulting Agreement (as defined below). In accordance with applicable law, on or following the Termination Date, the Company will issue to Executive his final paycheck, reflecting his earned but unpaid base salary through the Termination Date.</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(b)The Company will reimburse Executive for any and all reasonable and necessary</w:t>
      </w:r>
    </w:p>
    <w:p>
      <w:pPr>
        <w:spacing w:after="0" w:line="22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63"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20"/>
          <w:szCs w:val="20"/>
          <w:color w:val="auto"/>
        </w:rPr>
        <w:t>business expenses incurred by Executive in connection with the performance of his job duties prior to the Termination Date in accordance with the Company’s policies, which expenses shall be submitted to the Company with supporting receipts and/or documentation no later than thirty (30) calendar days after the Termination Date.</w:t>
      </w:r>
    </w:p>
    <w:p>
      <w:pPr>
        <w:spacing w:after="0" w:line="174" w:lineRule="exact"/>
        <w:rPr>
          <w:sz w:val="20"/>
          <w:szCs w:val="20"/>
          <w:color w:val="auto"/>
        </w:rPr>
      </w:pPr>
    </w:p>
    <w:p>
      <w:pPr>
        <w:jc w:val="both"/>
        <w:ind w:firstLine="1446"/>
        <w:spacing w:after="0" w:line="245" w:lineRule="auto"/>
        <w:rPr>
          <w:sz w:val="20"/>
          <w:szCs w:val="20"/>
          <w:color w:val="auto"/>
        </w:rPr>
      </w:pPr>
      <w:r>
        <w:rPr>
          <w:rFonts w:ascii="Times New Roman" w:cs="Times New Roman" w:eastAsia="Times New Roman" w:hAnsi="Times New Roman"/>
          <w:sz w:val="20"/>
          <w:szCs w:val="20"/>
          <w:color w:val="auto"/>
        </w:rPr>
        <w:t>(c)Subject to Section 3(d) below, Executive’s entitlement to health benefits from the Company, and eligibility to participate in the Company’s health benefit plans, shall cease on the last day of the month in which the Termination Date occurred (the “</w:t>
      </w:r>
      <w:r>
        <w:rPr>
          <w:rFonts w:ascii="Times New Roman" w:cs="Times New Roman" w:eastAsia="Times New Roman" w:hAnsi="Times New Roman"/>
          <w:sz w:val="20"/>
          <w:szCs w:val="20"/>
          <w:b w:val="1"/>
          <w:bCs w:val="1"/>
          <w:i w:val="1"/>
          <w:iCs w:val="1"/>
          <w:color w:val="auto"/>
        </w:rPr>
        <w:t>Benefits Termination Date</w:t>
      </w:r>
      <w:r>
        <w:rPr>
          <w:rFonts w:ascii="Times New Roman" w:cs="Times New Roman" w:eastAsia="Times New Roman" w:hAnsi="Times New Roman"/>
          <w:sz w:val="20"/>
          <w:szCs w:val="20"/>
          <w:color w:val="auto"/>
        </w:rPr>
        <w:t>”), except to the extent Executive elects to and is eligible to receive continued healthcare coverage pursuant to the provisions of the Consolidated Omnibus Budget Reconciliation Act of 1985, as amended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for himself and any covered dependents. Executive’s entitlement to other benefits from the Company, and eligibility to participate in the Company’s other benefit plans and programs, shall cease on the Termination Date.</w:t>
      </w:r>
    </w:p>
    <w:p>
      <w:pPr>
        <w:spacing w:after="0" w:line="184" w:lineRule="exact"/>
        <w:rPr>
          <w:sz w:val="20"/>
          <w:szCs w:val="20"/>
          <w:color w:val="auto"/>
        </w:rPr>
      </w:pPr>
    </w:p>
    <w:p>
      <w:pPr>
        <w:jc w:val="both"/>
        <w:ind w:firstLine="1446"/>
        <w:spacing w:after="0" w:line="249" w:lineRule="auto"/>
        <w:rPr>
          <w:sz w:val="20"/>
          <w:szCs w:val="20"/>
          <w:color w:val="auto"/>
        </w:rPr>
      </w:pPr>
      <w:r>
        <w:rPr>
          <w:rFonts w:ascii="Times New Roman" w:cs="Times New Roman" w:eastAsia="Times New Roman" w:hAnsi="Times New Roman"/>
          <w:sz w:val="20"/>
          <w:szCs w:val="20"/>
          <w:color w:val="auto"/>
        </w:rPr>
        <w:t>(d)Executive acknowledges that, other than the compensation set forth in this Section 2 to be paid to him as provided herein and the Termination Benefits set forth in Section 3 below, he has or will have received all wages, accrued but unused vacation or paid time off, and other benefits due him as a result of his employment or service with and termination from the Company.</w:t>
      </w:r>
    </w:p>
    <w:p>
      <w:pPr>
        <w:spacing w:after="0" w:line="180" w:lineRule="exact"/>
        <w:rPr>
          <w:sz w:val="20"/>
          <w:szCs w:val="20"/>
          <w:color w:val="auto"/>
        </w:rPr>
      </w:pPr>
    </w:p>
    <w:p>
      <w:pPr>
        <w:jc w:val="both"/>
        <w:ind w:firstLine="1446"/>
        <w:spacing w:after="0" w:line="245" w:lineRule="auto"/>
        <w:rPr>
          <w:sz w:val="20"/>
          <w:szCs w:val="20"/>
          <w:color w:val="auto"/>
        </w:rPr>
      </w:pPr>
      <w:r>
        <w:rPr>
          <w:rFonts w:ascii="Times New Roman" w:cs="Times New Roman" w:eastAsia="Times New Roman" w:hAnsi="Times New Roman"/>
          <w:sz w:val="20"/>
          <w:szCs w:val="20"/>
          <w:color w:val="auto"/>
        </w:rPr>
        <w:t xml:space="preserve">(e)As a further condition to the Company’s agreement to provide the Termination Benefits, Executive agrees to execute and comply with that certain Consulting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Consulting Agreement</w:t>
      </w:r>
      <w:r>
        <w:rPr>
          <w:rFonts w:ascii="Times New Roman" w:cs="Times New Roman" w:eastAsia="Times New Roman" w:hAnsi="Times New Roman"/>
          <w:sz w:val="20"/>
          <w:szCs w:val="20"/>
          <w:color w:val="auto"/>
        </w:rPr>
        <w:t>”), which Consulting Agreement must be executed by Executive no later than the last day of the Review Period. In addition, in the event Executive does not execute this Agreement on or prior to the last day of the Review Period, or if he revokes this Agreement after executing it as specified in Section 4(c) below, the Consulting Agreement shall be null and void and Executive shall not be eligible for any of the compensation or benefits thereunder (the “</w:t>
      </w:r>
      <w:r>
        <w:rPr>
          <w:rFonts w:ascii="Times New Roman" w:cs="Times New Roman" w:eastAsia="Times New Roman" w:hAnsi="Times New Roman"/>
          <w:sz w:val="20"/>
          <w:szCs w:val="20"/>
          <w:b w:val="1"/>
          <w:bCs w:val="1"/>
          <w:i w:val="1"/>
          <w:iCs w:val="1"/>
          <w:color w:val="auto"/>
        </w:rPr>
        <w:t>Consulting Agreement Benefits</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jc w:val="both"/>
        <w:ind w:firstLine="725"/>
        <w:spacing w:after="0" w:line="249" w:lineRule="auto"/>
        <w:tabs>
          <w:tab w:leader="none" w:pos="111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Benefits</w:t>
      </w:r>
      <w:r>
        <w:rPr>
          <w:rFonts w:ascii="Times New Roman" w:cs="Times New Roman" w:eastAsia="Times New Roman" w:hAnsi="Times New Roman"/>
          <w:sz w:val="20"/>
          <w:szCs w:val="20"/>
          <w:color w:val="auto"/>
        </w:rPr>
        <w:t>. In consideration for Executive’s agreement to be bound by the terms of this Agreement, including but not limited to the release of claims in Section 4, but subject to Executive’s continued compliance with this Agreement, including Section 5, the Company agrees to provide Executive with the Consulting Agreement Benefits and the following termination benefits (the “</w:t>
      </w:r>
      <w:r>
        <w:rPr>
          <w:rFonts w:ascii="Times New Roman" w:cs="Times New Roman" w:eastAsia="Times New Roman" w:hAnsi="Times New Roman"/>
          <w:sz w:val="20"/>
          <w:szCs w:val="20"/>
          <w:b w:val="1"/>
          <w:bCs w:val="1"/>
          <w:i w:val="1"/>
          <w:iCs w:val="1"/>
          <w:color w:val="auto"/>
        </w:rPr>
        <w:t>Termination Benefits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1446"/>
        <w:spacing w:after="0" w:line="246" w:lineRule="auto"/>
        <w:rPr>
          <w:sz w:val="20"/>
          <w:szCs w:val="20"/>
          <w:color w:val="auto"/>
        </w:rPr>
      </w:pPr>
      <w:r>
        <w:rPr>
          <w:rFonts w:ascii="Times New Roman" w:cs="Times New Roman" w:eastAsia="Times New Roman" w:hAnsi="Times New Roman"/>
          <w:sz w:val="20"/>
          <w:szCs w:val="20"/>
          <w:color w:val="auto"/>
        </w:rPr>
        <w:t>(a)Executive shall be entitled to continued payment of Executive’s base salary at the rate in effect on the Termination Date ($586,000 per year) through the nine (9)-month anniversary of the Termination Date, in accordance with the Company’s then-current payroll policies and practices. The payments under this Section 3(a) shall commence with the first payroll period following the Effective Date (the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and the first payment shall include all accrued amounts from the Termination Date;</w:t>
      </w:r>
    </w:p>
    <w:p>
      <w:pPr>
        <w:spacing w:after="0" w:line="198" w:lineRule="exact"/>
        <w:rPr>
          <w:sz w:val="20"/>
          <w:szCs w:val="20"/>
          <w:color w:val="auto"/>
        </w:rPr>
      </w:pPr>
    </w:p>
    <w:p>
      <w:pPr>
        <w:jc w:val="both"/>
        <w:ind w:firstLine="1446"/>
        <w:spacing w:after="0" w:line="269" w:lineRule="auto"/>
        <w:rPr>
          <w:sz w:val="20"/>
          <w:szCs w:val="20"/>
          <w:color w:val="auto"/>
        </w:rPr>
      </w:pPr>
      <w:r>
        <w:rPr>
          <w:rFonts w:ascii="Times New Roman" w:cs="Times New Roman" w:eastAsia="Times New Roman" w:hAnsi="Times New Roman"/>
          <w:sz w:val="20"/>
          <w:szCs w:val="20"/>
          <w:color w:val="auto"/>
        </w:rPr>
        <w:t>(b)Executive shall be entitled to a payment equal to $114,989, representing Executive’s target bonus for 2025, pro-rated based on the number of days employed during 2025, payable in a lump sum on the Payment Date;</w:t>
      </w:r>
    </w:p>
    <w:p>
      <w:pPr>
        <w:spacing w:after="0" w:line="155" w:lineRule="exact"/>
        <w:rPr>
          <w:sz w:val="20"/>
          <w:szCs w:val="20"/>
          <w:color w:val="auto"/>
        </w:rPr>
      </w:pPr>
    </w:p>
    <w:p>
      <w:pPr>
        <w:jc w:val="both"/>
        <w:ind w:firstLine="1446"/>
        <w:spacing w:after="0" w:line="247" w:lineRule="auto"/>
        <w:rPr>
          <w:sz w:val="20"/>
          <w:szCs w:val="20"/>
          <w:color w:val="auto"/>
        </w:rPr>
      </w:pPr>
      <w:r>
        <w:rPr>
          <w:rFonts w:ascii="Times New Roman" w:cs="Times New Roman" w:eastAsia="Times New Roman" w:hAnsi="Times New Roman"/>
          <w:sz w:val="20"/>
          <w:szCs w:val="20"/>
          <w:color w:val="auto"/>
        </w:rPr>
        <w:t>(c)(i) Executive holds stock options (the “</w:t>
      </w:r>
      <w:r>
        <w:rPr>
          <w:rFonts w:ascii="Times New Roman" w:cs="Times New Roman" w:eastAsia="Times New Roman" w:hAnsi="Times New Roman"/>
          <w:sz w:val="20"/>
          <w:szCs w:val="20"/>
          <w:b w:val="1"/>
          <w:bCs w:val="1"/>
          <w:i w:val="1"/>
          <w:iCs w:val="1"/>
          <w:color w:val="auto"/>
        </w:rPr>
        <w:t>Stock Options</w:t>
      </w:r>
      <w:r>
        <w:rPr>
          <w:rFonts w:ascii="Times New Roman" w:cs="Times New Roman" w:eastAsia="Times New Roman" w:hAnsi="Times New Roman"/>
          <w:sz w:val="20"/>
          <w:szCs w:val="20"/>
          <w:color w:val="auto"/>
        </w:rPr>
        <w:t>”) to purchase shares of the Company’s common stock issued to Executive by the Company pursuant to certain stock option agreements (the “</w:t>
      </w:r>
      <w:r>
        <w:rPr>
          <w:rFonts w:ascii="Times New Roman" w:cs="Times New Roman" w:eastAsia="Times New Roman" w:hAnsi="Times New Roman"/>
          <w:sz w:val="20"/>
          <w:szCs w:val="20"/>
          <w:b w:val="1"/>
          <w:bCs w:val="1"/>
          <w:i w:val="1"/>
          <w:iCs w:val="1"/>
          <w:color w:val="auto"/>
        </w:rPr>
        <w:t>Stock Option Agreements</w:t>
      </w:r>
      <w:r>
        <w:rPr>
          <w:rFonts w:ascii="Times New Roman" w:cs="Times New Roman" w:eastAsia="Times New Roman" w:hAnsi="Times New Roman"/>
          <w:sz w:val="20"/>
          <w:szCs w:val="20"/>
          <w:color w:val="auto"/>
        </w:rPr>
        <w:t>”). Executive’s outstanding Stock Options shall be eligible to continue to vest and remain exercisable as provided in the Consulting Agreement. Executive acknowledges that his Stock Options that were previously incentive stock options may be reclassified as non-qualified stock options for tax purposes as a result of any extension of the post-termination exercise period of his</w:t>
      </w:r>
    </w:p>
    <w:p>
      <w:pPr>
        <w:spacing w:after="0" w:line="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Stock Options pursuant to the Consulting Agreement. If Executive does not execute this Agreement and the Consulting Agreement on or prior to the last day of the Review Period, or if he revokes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399" w:right="719" w:bottom="1440" w:gutter="0" w:footer="0" w:header="0"/>
        </w:sectPr>
      </w:pPr>
    </w:p>
    <w:bookmarkStart w:id="40" w:name="page41"/>
    <w:bookmarkEnd w:id="40"/>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after executing it as specified in Section 4(c) below, all of Executive’s outstanding unvested Stock Options as of the Termination Date shall be cancelled and forfeited with retroactive effect as of the Termination Date (provided, that, Executive’s vested Stock Options shall be governed by the terms of the applicable Stock Option Agreements).</w:t>
      </w:r>
    </w:p>
    <w:p>
      <w:pPr>
        <w:spacing w:after="0" w:line="184" w:lineRule="exact"/>
        <w:rPr>
          <w:sz w:val="20"/>
          <w:szCs w:val="20"/>
          <w:color w:val="auto"/>
        </w:rPr>
      </w:pPr>
    </w:p>
    <w:p>
      <w:pPr>
        <w:jc w:val="both"/>
        <w:ind w:right="20" w:firstLine="2171"/>
        <w:spacing w:after="0" w:line="244" w:lineRule="auto"/>
        <w:tabs>
          <w:tab w:leader="none" w:pos="258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holds restricted stock units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and together with the Stock Options, the “</w:t>
      </w:r>
      <w:r>
        <w:rPr>
          <w:rFonts w:ascii="Times New Roman" w:cs="Times New Roman" w:eastAsia="Times New Roman" w:hAnsi="Times New Roman"/>
          <w:sz w:val="20"/>
          <w:szCs w:val="20"/>
          <w:b w:val="1"/>
          <w:bCs w:val="1"/>
          <w:i w:val="1"/>
          <w:iCs w:val="1"/>
          <w:color w:val="auto"/>
        </w:rPr>
        <w:t>Equity Awards</w:t>
      </w:r>
      <w:r>
        <w:rPr>
          <w:rFonts w:ascii="Times New Roman" w:cs="Times New Roman" w:eastAsia="Times New Roman" w:hAnsi="Times New Roman"/>
          <w:sz w:val="20"/>
          <w:szCs w:val="20"/>
          <w:color w:val="auto"/>
        </w:rPr>
        <w:t>”) to purchase shares of the Company’s common stock issued to Executive by the Company pursuant to certain RSU agreements (the “</w:t>
      </w:r>
      <w:r>
        <w:rPr>
          <w:rFonts w:ascii="Times New Roman" w:cs="Times New Roman" w:eastAsia="Times New Roman" w:hAnsi="Times New Roman"/>
          <w:sz w:val="20"/>
          <w:szCs w:val="20"/>
          <w:b w:val="1"/>
          <w:bCs w:val="1"/>
          <w:i w:val="1"/>
          <w:iCs w:val="1"/>
          <w:color w:val="auto"/>
        </w:rPr>
        <w:t>RSU Agreements</w:t>
      </w:r>
      <w:r>
        <w:rPr>
          <w:rFonts w:ascii="Times New Roman" w:cs="Times New Roman" w:eastAsia="Times New Roman" w:hAnsi="Times New Roman"/>
          <w:sz w:val="20"/>
          <w:szCs w:val="20"/>
          <w:color w:val="auto"/>
        </w:rPr>
        <w:t>” and together with the Stock Option Agreements, the “</w:t>
      </w:r>
      <w:r>
        <w:rPr>
          <w:rFonts w:ascii="Times New Roman" w:cs="Times New Roman" w:eastAsia="Times New Roman" w:hAnsi="Times New Roman"/>
          <w:sz w:val="20"/>
          <w:szCs w:val="20"/>
          <w:b w:val="1"/>
          <w:bCs w:val="1"/>
          <w:i w:val="1"/>
          <w:iCs w:val="1"/>
          <w:color w:val="auto"/>
        </w:rPr>
        <w:t>Equity Award Agreements</w:t>
      </w:r>
      <w:r>
        <w:rPr>
          <w:rFonts w:ascii="Times New Roman" w:cs="Times New Roman" w:eastAsia="Times New Roman" w:hAnsi="Times New Roman"/>
          <w:sz w:val="20"/>
          <w:szCs w:val="20"/>
          <w:color w:val="auto"/>
        </w:rPr>
        <w:t>”). Executive’s RSUs shall continue to vest during the term of the Consulting Agreement as provided therein in accordance with the vesting schedules set forth in the RSU Agreements. If Executive does not execute this Agreement and the Consulting Agreement on or prior to the last day of the Review Period, or if he revokes this Agreement after executing it as specified in Section 4(c) below, all of Executive’s outstanding RSUs as of the Termination Date shall be cancelled and forfeited with retroactive effect as of the Termination Date.</w:t>
      </w:r>
    </w:p>
    <w:p>
      <w:pPr>
        <w:spacing w:after="0" w:line="195" w:lineRule="exact"/>
        <w:rPr>
          <w:rFonts w:ascii="Times New Roman" w:cs="Times New Roman" w:eastAsia="Times New Roman" w:hAnsi="Times New Roman"/>
          <w:sz w:val="20"/>
          <w:szCs w:val="20"/>
          <w:color w:val="auto"/>
        </w:rPr>
      </w:pPr>
    </w:p>
    <w:p>
      <w:pPr>
        <w:ind w:right="20" w:firstLine="2171"/>
        <w:spacing w:after="0" w:line="273" w:lineRule="auto"/>
        <w:tabs>
          <w:tab w:leader="none" w:pos="258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holds performance stock units granted on February 27, 2025 (the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Effective as of the Termination Date, such PSUs shall be forfeited in accordance with the terms of the applicable PSU award agreement.</w:t>
      </w:r>
    </w:p>
    <w:p>
      <w:pPr>
        <w:spacing w:after="0" w:line="169" w:lineRule="exact"/>
        <w:rPr>
          <w:sz w:val="20"/>
          <w:szCs w:val="20"/>
          <w:color w:val="auto"/>
        </w:rPr>
      </w:pPr>
    </w:p>
    <w:p>
      <w:pPr>
        <w:jc w:val="both"/>
        <w:ind w:firstLine="2245"/>
        <w:spacing w:after="0" w:line="244" w:lineRule="auto"/>
        <w:rPr>
          <w:sz w:val="20"/>
          <w:szCs w:val="20"/>
          <w:color w:val="auto"/>
        </w:rPr>
      </w:pPr>
      <w:r>
        <w:rPr>
          <w:rFonts w:ascii="Times New Roman" w:cs="Times New Roman" w:eastAsia="Times New Roman" w:hAnsi="Times New Roman"/>
          <w:sz w:val="20"/>
          <w:szCs w:val="20"/>
          <w:color w:val="auto"/>
        </w:rPr>
        <w:t>Subject to any additional equity acceleration pursuant to Section 3(e) below in the event a “Change in Control” (as defined in the Offer Letter) occurs on or prior to August 16, 2025, Executive hereby agrees and acknowledges that, notwithstanding any provisions in any other agreement between Executive and the Company to the contrary, including the Equity Award Agreements and the equity plans pursuant to which they were granted, on the Termination Date, any portion of the Equity Awards not eligible to vest pursuant to Section 3(e) of the Consulting Agreement held by Executive and outstanding as of the Termination Date were cancelled, surrendered and forfeited by Executive for no consideration immediately upon the Termination Date;</w:t>
      </w:r>
    </w:p>
    <w:p>
      <w:pPr>
        <w:spacing w:after="0" w:line="199" w:lineRule="exact"/>
        <w:rPr>
          <w:sz w:val="20"/>
          <w:szCs w:val="20"/>
          <w:color w:val="auto"/>
        </w:rPr>
      </w:pPr>
    </w:p>
    <w:p>
      <w:pPr>
        <w:jc w:val="both"/>
        <w:ind w:right="20" w:firstLine="1446"/>
        <w:spacing w:after="0" w:line="241" w:lineRule="auto"/>
        <w:rPr>
          <w:sz w:val="20"/>
          <w:szCs w:val="20"/>
          <w:color w:val="auto"/>
        </w:rPr>
      </w:pPr>
      <w:r>
        <w:rPr>
          <w:rFonts w:ascii="Times New Roman" w:cs="Times New Roman" w:eastAsia="Times New Roman" w:hAnsi="Times New Roman"/>
          <w:sz w:val="20"/>
          <w:szCs w:val="20"/>
          <w:color w:val="auto"/>
        </w:rPr>
        <w:t>(d)For the period beginning on the Benefits Termination Date and ending on the nine (9)-month anniversary of the Termination Date (or, if earlier, (i) the date on which the applicable continuation period under COBRA expires, or (ii) the date on which Executive becomes eligible to receive the equivalent or increased healthcare coverage by means of subsequent employment or self-employment) (such period, the “</w:t>
      </w:r>
      <w:r>
        <w:rPr>
          <w:rFonts w:ascii="Times New Roman" w:cs="Times New Roman" w:eastAsia="Times New Roman" w:hAnsi="Times New Roman"/>
          <w:sz w:val="20"/>
          <w:szCs w:val="20"/>
          <w:b w:val="1"/>
          <w:bCs w:val="1"/>
          <w:i w:val="1"/>
          <w:iCs w:val="1"/>
          <w:color w:val="auto"/>
        </w:rPr>
        <w:t>COBRA Coverage Period</w:t>
      </w:r>
      <w:r>
        <w:rPr>
          <w:rFonts w:ascii="Times New Roman" w:cs="Times New Roman" w:eastAsia="Times New Roman" w:hAnsi="Times New Roman"/>
          <w:sz w:val="20"/>
          <w:szCs w:val="20"/>
          <w:color w:val="auto"/>
        </w:rPr>
        <w:t>”), the Company shall pay for or reimburse Executive on a monthly basis for an amount equal to the monthly premium Executive and/or Executive’s covered dependents, as applicable, are required to pay for continuation coverage pursuant to COBRA for Executive and/or Executive’s eligible dependents, as applicable, who were covered under the Company’s health plans as of the Termination Date (calculated by reference to the premium as of the Termination Date). If the Company cannot provide the foregoing benefits in a manner that is exempt from Section 409A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or that is otherwise compliant with applicable law (including, without limitation, Section 2716 of the Public Health Service Act), instead of providing the payments or reimbursements as set forth above, the Company shall instead pay to Executive the foregoing monthly amount as a taxable monthly payment for the COBRA Coverage Period (or any remaining portion thereof). Executive shall be solely responsible for all matters relating to continuation of coverage pursuant to COBRA, including, without limitation, the election of such coverage and the timely payment of premiums. Executive shall notify the Company immediately if he becomes eligible to receive the equivalent or increased healthcare coverage by means of subsequent employment or self-employment;</w:t>
      </w:r>
    </w:p>
    <w:p>
      <w:pPr>
        <w:spacing w:after="0" w:line="46" w:lineRule="exact"/>
        <w:rPr>
          <w:sz w:val="20"/>
          <w:szCs w:val="20"/>
          <w:color w:val="auto"/>
        </w:rPr>
      </w:pPr>
    </w:p>
    <w:p>
      <w:pPr>
        <w:jc w:val="both"/>
        <w:ind w:right="20" w:firstLine="1446"/>
        <w:spacing w:after="0" w:line="249" w:lineRule="auto"/>
        <w:rPr>
          <w:sz w:val="20"/>
          <w:szCs w:val="20"/>
          <w:color w:val="auto"/>
        </w:rPr>
      </w:pPr>
      <w:r>
        <w:rPr>
          <w:rFonts w:ascii="Times New Roman" w:cs="Times New Roman" w:eastAsia="Times New Roman" w:hAnsi="Times New Roman"/>
          <w:sz w:val="20"/>
          <w:szCs w:val="20"/>
          <w:color w:val="auto"/>
        </w:rPr>
        <w:t>(e)In the event a “Change in Control” (as defined in the Offer Letter) occurs on or prior to August 16, 2025, Executive shall be eligible to receive the “CIC Severance Benefits” (as defined in the Offer Letter) in accordance with the terms of the Offer Letter to the extent such CIC Severance Benefits exceed the Termination Benefits provided or to be provided pursuant to this Agreement (and subject to</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399" w:right="6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reduction for any Termination Benefits previously provided or to be provided pursuant to this Agreement); and</w:t>
      </w:r>
    </w:p>
    <w:p>
      <w:pPr>
        <w:spacing w:after="0" w:line="229" w:lineRule="exact"/>
        <w:rPr>
          <w:sz w:val="20"/>
          <w:szCs w:val="20"/>
          <w:color w:val="auto"/>
        </w:rPr>
      </w:pPr>
    </w:p>
    <w:p>
      <w:pPr>
        <w:jc w:val="both"/>
        <w:ind w:right="20" w:firstLine="1446"/>
        <w:spacing w:after="0" w:line="254" w:lineRule="auto"/>
        <w:rPr>
          <w:sz w:val="20"/>
          <w:szCs w:val="20"/>
          <w:color w:val="auto"/>
        </w:rPr>
      </w:pPr>
      <w:r>
        <w:rPr>
          <w:rFonts w:ascii="Times New Roman" w:cs="Times New Roman" w:eastAsia="Times New Roman" w:hAnsi="Times New Roman"/>
          <w:sz w:val="20"/>
          <w:szCs w:val="20"/>
          <w:color w:val="auto"/>
        </w:rPr>
        <w:t>(f)The Company shall provide Executive with outplacement services for a period of up to one year following the Termination Date through a third party provider mutually agreed upon by Executive and the Company (and the Company’s consent shall not be unreasonably withheld) valued at up to $30,000.</w:t>
      </w:r>
    </w:p>
    <w:p>
      <w:pPr>
        <w:spacing w:after="0" w:line="18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Termination Benefits and the Consulting Agreement Benefits shall be the exclusive severance benefits to which Executive is entitled, unless Executive has breached the provisions of this Agreement, in which case Section 5(e) shall apply. Executive understands that Executive will not be entitled to the Termination Benefits under this Agreement or the Consulting Agreement Benefits under the Consulting Agreement if he does not execute this Agreement and the Consulting Agreement on or prior to the last day of the Review Period, if he revokes this Agreement after executing it as specified in Section 4(c) below, or in the event Executive breaches the terms of this Agreement or the Consulting Agreement.</w:t>
      </w:r>
    </w:p>
    <w:p>
      <w:pPr>
        <w:spacing w:after="0" w:line="184" w:lineRule="exact"/>
        <w:rPr>
          <w:sz w:val="20"/>
          <w:szCs w:val="20"/>
          <w:color w:val="auto"/>
        </w:rPr>
      </w:pPr>
    </w:p>
    <w:p>
      <w:pPr>
        <w:ind w:left="1500" w:hanging="749"/>
        <w:spacing w:after="0"/>
        <w:tabs>
          <w:tab w:leader="none" w:pos="15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446"/>
        <w:spacing w:after="0" w:line="249" w:lineRule="auto"/>
        <w:rPr>
          <w:sz w:val="20"/>
          <w:szCs w:val="20"/>
          <w:color w:val="auto"/>
        </w:rPr>
      </w:pPr>
      <w:r>
        <w:rPr>
          <w:rFonts w:ascii="Times New Roman" w:cs="Times New Roman" w:eastAsia="Times New Roman" w:hAnsi="Times New Roman"/>
          <w:sz w:val="20"/>
          <w:szCs w:val="20"/>
          <w:color w:val="auto"/>
        </w:rPr>
        <w:t>(a)Executive agrees not to sue, or otherwise file any claim against, the Company or its parent companies, subsidiaries or affiliates, and any of their respective successors, assigns, directors, officers, managers, employees, attorneys, insurers, or agents, each in their respective capacities as such (collectively, the “</w:t>
      </w:r>
      <w:r>
        <w:rPr>
          <w:rFonts w:ascii="Times New Roman" w:cs="Times New Roman" w:eastAsia="Times New Roman" w:hAnsi="Times New Roman"/>
          <w:sz w:val="20"/>
          <w:szCs w:val="20"/>
          <w:b w:val="1"/>
          <w:bCs w:val="1"/>
          <w:i w:val="1"/>
          <w:iCs w:val="1"/>
          <w:color w:val="auto"/>
        </w:rPr>
        <w:t>Company Parties</w:t>
      </w:r>
      <w:r>
        <w:rPr>
          <w:rFonts w:ascii="Times New Roman" w:cs="Times New Roman" w:eastAsia="Times New Roman" w:hAnsi="Times New Roman"/>
          <w:sz w:val="20"/>
          <w:szCs w:val="20"/>
          <w:color w:val="auto"/>
        </w:rPr>
        <w:t>”), for any reason whatsoever based on anything that has occurred at any time up to and including the execution date of this Agreement as follows:</w:t>
      </w:r>
    </w:p>
    <w:p>
      <w:pPr>
        <w:spacing w:after="0" w:line="180" w:lineRule="exact"/>
        <w:rPr>
          <w:sz w:val="20"/>
          <w:szCs w:val="20"/>
          <w:color w:val="auto"/>
        </w:rPr>
      </w:pPr>
    </w:p>
    <w:p>
      <w:pPr>
        <w:jc w:val="both"/>
        <w:ind w:right="20" w:firstLine="2171"/>
        <w:spacing w:after="0"/>
        <w:tabs>
          <w:tab w:leader="none" w:pos="258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behalf of Executive and his executors, administrators, heirs and assigns, Executive hereby releases and forever discharge the Company Parties,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which Executive now has or may hereafter have against any of the Company Parties by reason of any matter, cause, or thing whatsoever from the beginning of time through and including the execution date of this Agreement, including, without limiting the generality of the foregoing: any Claims arising directly or indirectly out of, relating to, or in any other way involving in any manner whatsoever Executive’s employment by the Company or its affiliates or the separation thereof, including without limitation any and all Claims arising under federal, state, or local laws relating to employment; any Claims of any kind that may be brought in any court or administrative agency; any Claims arising under the Age Discrimination in Employment Act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the Older Workers Benefits Protection Act, the Title VII of the Civil Rights Act of 1964, the Civil Rights Act of 1991, the Equal Pay Act, the Civil Rights Act of 1866, Section 1981, 42 U.S.C. § 1981, the Family and Medical Leave Act of 1993, the Americans with Disabilities Act of 1990, the False Claims Act, the Employee Retirement Income Security Act, the Worker Adjustment and Retraining Notification Act, the Fair Labor Standards Act, the Sarbanes-Oxley Act of 2002, the National Labor Relations Act of 1935, the Uniformed Services Employment and Reemployment Rights Act of 1994, Fair Credit Reporting Act, any Illinois state or local laws, administrative rules or regulations respecting employment, including but not limited to the Illinois Human Rights Act; the Illinois Right to Privacy in the Workplace Act; the Illinois Occupational Safety and Health Act; the Illinois Worker Adjustment and Retraining Notification Act; the Illinois One Day Rest in Seven Act; the Illinois Union Employee Health and Benefits Protection Act; the Illinois Employment Contract Act; the Illinois Labor Dispute Act; the Illinois Victims' Economic Security and Safety Act; the Illinois Whistleblower Act; and the Illinois Equal Pay Act; or any similar state law, each of the foregoing as may have been amended, and any other federal, state, or local statute, regulation, ordinance, constitution, or</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399" w:right="699" w:bottom="1440" w:gutter="0" w:footer="0" w:header="0"/>
        </w:sectPr>
      </w:pPr>
    </w:p>
    <w:bookmarkStart w:id="42" w:name="page43"/>
    <w:bookmarkEnd w:id="42"/>
    <w:p>
      <w:pPr>
        <w:spacing w:after="0" w:line="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order concerning labor or employment, termination of labor or employment, wages and benefits, retaliation, leaves of absence, or any other term or condition of employment; Claims for breach of contract; Claims for unfair business practices;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184" w:lineRule="exact"/>
        <w:rPr>
          <w:sz w:val="20"/>
          <w:szCs w:val="20"/>
          <w:color w:val="auto"/>
        </w:rPr>
      </w:pPr>
    </w:p>
    <w:p>
      <w:pPr>
        <w:jc w:val="both"/>
        <w:ind w:firstLine="2171"/>
        <w:spacing w:after="0" w:line="241" w:lineRule="auto"/>
        <w:tabs>
          <w:tab w:leader="none" w:pos="258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generality of the foregoing, Executive does not release any Claims that cannot be released as a matter of law including, without limitation, (A) Executive’s right to file for unemployment insurance benefits or any state disability insurance benefits pursuant to the terms of applicable state law; (B) Executive’s right to file Claims for workers’ compensation insurance benefits under the terms of any worker’s compensation insurance policy or fund of the Company; (C) Executive’s right to file a charge of discrimination, harassment, interference with leave rights, failure to accommodate, or retaliation with the Equal Employment Opportunity Commission or any other federal, state or local government agency, or to cooperate with or participate in any investigation conducted by such agency; provided, however, that Executive hereby releases Executive’s right to receive damages in any such proceeding brought by Executive or on Executive’s behalf; or (D) Executive’s rights under Section 5(f) below. Furthermore, Executive does not release hereby any rights that Executive may have relating to (x) indemnification by the Company or its affiliates under any indemnification agreement with the Company, the Company’s Bylaws or any applicable law or under any applicable insurance policy with respect to Executive’s liability as an employee of the Company; (y) Executive’s vested accrued benefits under the Company’s respective benefits and compensation plans; and (z) any Claims for breach of this Agreement.</w:t>
      </w:r>
    </w:p>
    <w:p>
      <w:pPr>
        <w:spacing w:after="0" w:line="197"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THE EXECUTIVE ACKNOWLEDGES THAT HE HAS BEEN ADVISED OF AND IS FAMILIAR WITH THE PROVISIONS OF CALIFORNIA CIVIL CODE SECTION 1542, WHICH PROVIDES AS FOLLOWS:</w:t>
      </w:r>
    </w:p>
    <w:p>
      <w:pPr>
        <w:spacing w:after="0" w:line="155"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BEING AWARE OF SAID CODE SECTION, THE EXECUTIVE HEREBY EXPRESSLY WAIVES ANY RIGHTS HE MAY HAVE THEREUNDER, AS WELL AS UNDER ANY OTHER STATUTES OR COMMON LAW PRINCIPLES OF SIMILAR EFFECT.</w:t>
      </w:r>
    </w:p>
    <w:p>
      <w:pPr>
        <w:spacing w:after="0" w:line="174" w:lineRule="exact"/>
        <w:rPr>
          <w:sz w:val="20"/>
          <w:szCs w:val="20"/>
          <w:color w:val="auto"/>
        </w:rPr>
      </w:pPr>
    </w:p>
    <w:p>
      <w:pPr>
        <w:jc w:val="both"/>
        <w:ind w:firstLine="1446"/>
        <w:spacing w:after="0" w:line="243" w:lineRule="auto"/>
        <w:rPr>
          <w:sz w:val="20"/>
          <w:szCs w:val="20"/>
          <w:color w:val="auto"/>
        </w:rPr>
      </w:pPr>
      <w:r>
        <w:rPr>
          <w:rFonts w:ascii="Times New Roman" w:cs="Times New Roman" w:eastAsia="Times New Roman" w:hAnsi="Times New Roman"/>
          <w:sz w:val="20"/>
          <w:szCs w:val="20"/>
          <w:color w:val="auto"/>
        </w:rPr>
        <w:t>(b)Executive acknowledges that he was presented with this Agreement on April 30, 2025. Executive agrees that he will have a period of forty-five (45) calendar days from the date the Company delivered to Executive a copy of this Agreement in which to consider whether to execute the Agreement (the “</w:t>
      </w:r>
      <w:r>
        <w:rPr>
          <w:rFonts w:ascii="Times New Roman" w:cs="Times New Roman" w:eastAsia="Times New Roman" w:hAnsi="Times New Roman"/>
          <w:sz w:val="20"/>
          <w:szCs w:val="20"/>
          <w:b w:val="1"/>
          <w:bCs w:val="1"/>
          <w:i w:val="1"/>
          <w:iCs w:val="1"/>
          <w:color w:val="auto"/>
        </w:rPr>
        <w:t>Review Period</w:t>
      </w:r>
      <w:r>
        <w:rPr>
          <w:rFonts w:ascii="Times New Roman" w:cs="Times New Roman" w:eastAsia="Times New Roman" w:hAnsi="Times New Roman"/>
          <w:sz w:val="20"/>
          <w:szCs w:val="20"/>
          <w:color w:val="auto"/>
        </w:rPr>
        <w:t>”). Executive further acknowledges that the Company has advised Executive that he is waiving his rights under the ADEA, and that Executive has the right to and should consult with an attorney of his choice before signing this Agreement, and Executive has had sufficient time to consider the terms of this Agreement. Executive represents and acknowledges that if Executive executes this Agreement prior to the expiration of the Review Period, Executive does so knowingly, voluntarily, and upon the advice and with the approval of Executive’s legal counsel (if any), and that Executive voluntarily waives any remaining consideration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43" w:name="page44"/>
    <w:bookmarkEnd w:id="43"/>
    <w:p>
      <w:pPr>
        <w:jc w:val="both"/>
        <w:ind w:firstLine="1446"/>
        <w:spacing w:after="0" w:line="246" w:lineRule="auto"/>
        <w:rPr>
          <w:sz w:val="20"/>
          <w:szCs w:val="20"/>
          <w:color w:val="auto"/>
        </w:rPr>
      </w:pPr>
      <w:r>
        <w:rPr>
          <w:rFonts w:ascii="Times New Roman" w:cs="Times New Roman" w:eastAsia="Times New Roman" w:hAnsi="Times New Roman"/>
          <w:sz w:val="20"/>
          <w:szCs w:val="20"/>
          <w:color w:val="auto"/>
        </w:rPr>
        <w:t>(c)Executive understands that the Company’s obligations under the Agreement will not become effective or enforceable until the eighth (8th) calendar day after the date Executive signs the Agreement provided that Executive has timely delivered it to the Company, and that in the seven (7) day period following the date Executive delivers a signed copy of the Agreement to the Company, Executive understands that Executive may revoke his acceptance of the Agreement by delivering written notice of revocation to William Aprea, Senior VP, Legal of the Company, within such seven (7) day period.</w:t>
      </w:r>
    </w:p>
    <w:p>
      <w:pPr>
        <w:spacing w:after="0" w:line="198" w:lineRule="exact"/>
        <w:rPr>
          <w:sz w:val="20"/>
          <w:szCs w:val="20"/>
          <w:color w:val="auto"/>
        </w:rPr>
      </w:pPr>
    </w:p>
    <w:p>
      <w:pPr>
        <w:jc w:val="both"/>
        <w:ind w:firstLine="1446"/>
        <w:spacing w:after="0" w:line="254" w:lineRule="auto"/>
        <w:rPr>
          <w:sz w:val="20"/>
          <w:szCs w:val="20"/>
          <w:color w:val="auto"/>
        </w:rPr>
      </w:pPr>
      <w:r>
        <w:rPr>
          <w:rFonts w:ascii="Times New Roman" w:cs="Times New Roman" w:eastAsia="Times New Roman" w:hAnsi="Times New Roman"/>
          <w:sz w:val="20"/>
          <w:szCs w:val="20"/>
          <w:color w:val="auto"/>
        </w:rPr>
        <w:t>(d)Executive further understands that the offer of the Termination Benefits and this Agreement will expire in the event Executive does not execute this Agreement on or prior to the last day of the Review Period, or if he revokes this Agreement after executing it as specified in Section 4(c) above.</w:t>
      </w:r>
    </w:p>
    <w:p>
      <w:pPr>
        <w:spacing w:after="0" w:line="188" w:lineRule="exact"/>
        <w:rPr>
          <w:sz w:val="20"/>
          <w:szCs w:val="20"/>
          <w:color w:val="auto"/>
        </w:rPr>
      </w:pPr>
    </w:p>
    <w:p>
      <w:pPr>
        <w:jc w:val="both"/>
        <w:ind w:firstLine="1446"/>
        <w:spacing w:after="0" w:line="249" w:lineRule="auto"/>
        <w:rPr>
          <w:sz w:val="20"/>
          <w:szCs w:val="20"/>
          <w:color w:val="auto"/>
        </w:rPr>
      </w:pPr>
      <w:r>
        <w:rPr>
          <w:rFonts w:ascii="Times New Roman" w:cs="Times New Roman" w:eastAsia="Times New Roman" w:hAnsi="Times New Roman"/>
          <w:sz w:val="20"/>
          <w:szCs w:val="20"/>
          <w:color w:val="auto"/>
        </w:rPr>
        <w:t>(e)Executive represents and warrants that he is the sole owner of all Claims relating to his employment or service with the Company and/or with any predecessor of the Company and that he has not assigned or transferred any Claims relating to his employment or service to any other person or entity. Executive understands and agrees that the Agreement will not be construed at any time as an admission of liability or wrongdoing by either the Company or Executive.</w:t>
      </w:r>
    </w:p>
    <w:p>
      <w:pPr>
        <w:spacing w:after="0" w:line="193" w:lineRule="exact"/>
        <w:rPr>
          <w:sz w:val="20"/>
          <w:szCs w:val="20"/>
          <w:color w:val="auto"/>
        </w:rPr>
      </w:pPr>
    </w:p>
    <w:p>
      <w:pPr>
        <w:jc w:val="both"/>
        <w:ind w:firstLine="1446"/>
        <w:spacing w:after="0" w:line="249" w:lineRule="auto"/>
        <w:rPr>
          <w:sz w:val="20"/>
          <w:szCs w:val="20"/>
          <w:color w:val="auto"/>
        </w:rPr>
      </w:pPr>
      <w:r>
        <w:rPr>
          <w:rFonts w:ascii="Times New Roman" w:cs="Times New Roman" w:eastAsia="Times New Roman" w:hAnsi="Times New Roman"/>
          <w:sz w:val="20"/>
          <w:szCs w:val="20"/>
          <w:color w:val="auto"/>
        </w:rPr>
        <w:t xml:space="preserve">(f)Executive understands that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Agreement is a list of the job titles and ages for all individuals in Executive’s decisional unit who have been selected for the Severance Program (as defined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as well as the job titles and ages of all individuals in Executive’s decisional unit who have not been selected for the Severance Program, as of the date the Company provided this Agreement to Executive.</w:t>
      </w:r>
    </w:p>
    <w:p>
      <w:pPr>
        <w:spacing w:after="0" w:line="153" w:lineRule="exact"/>
        <w:rPr>
          <w:sz w:val="20"/>
          <w:szCs w:val="20"/>
          <w:color w:val="auto"/>
        </w:rPr>
      </w:pPr>
    </w:p>
    <w:p>
      <w:pPr>
        <w:ind w:left="1500" w:hanging="749"/>
        <w:spacing w:after="0"/>
        <w:tabs>
          <w:tab w:leader="none" w:pos="15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446"/>
        <w:spacing w:after="0" w:line="254" w:lineRule="auto"/>
        <w:rPr>
          <w:sz w:val="20"/>
          <w:szCs w:val="20"/>
          <w:color w:val="auto"/>
        </w:rPr>
      </w:pPr>
      <w:r>
        <w:rPr>
          <w:rFonts w:ascii="Times New Roman" w:cs="Times New Roman" w:eastAsia="Times New Roman" w:hAnsi="Times New Roman"/>
          <w:sz w:val="20"/>
          <w:szCs w:val="20"/>
          <w:color w:val="auto"/>
        </w:rPr>
        <w:t xml:space="preserve">(a)Executive hereby expressly reaffirms his obligations under the Company’s Proprietary Information and Inventions Assignment Agreement between Executive and the Company, which is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and incorporated herein by reference (“</w:t>
      </w:r>
      <w:r>
        <w:rPr>
          <w:rFonts w:ascii="Times New Roman" w:cs="Times New Roman" w:eastAsia="Times New Roman" w:hAnsi="Times New Roman"/>
          <w:sz w:val="20"/>
          <w:szCs w:val="20"/>
          <w:b w:val="1"/>
          <w:bCs w:val="1"/>
          <w:i w:val="1"/>
          <w:iCs w:val="1"/>
          <w:color w:val="auto"/>
        </w:rPr>
        <w:t>PIIA</w:t>
      </w:r>
      <w:r>
        <w:rPr>
          <w:rFonts w:ascii="Times New Roman" w:cs="Times New Roman" w:eastAsia="Times New Roman" w:hAnsi="Times New Roman"/>
          <w:sz w:val="20"/>
          <w:szCs w:val="20"/>
          <w:color w:val="auto"/>
        </w:rPr>
        <w:t>”), and agrees that such obligations shall survive the Termination Date.</w:t>
      </w:r>
    </w:p>
    <w:p>
      <w:pPr>
        <w:spacing w:after="0" w:line="188" w:lineRule="exact"/>
        <w:rPr>
          <w:sz w:val="20"/>
          <w:szCs w:val="20"/>
          <w:color w:val="auto"/>
        </w:rPr>
      </w:pPr>
    </w:p>
    <w:p>
      <w:pPr>
        <w:jc w:val="both"/>
        <w:ind w:firstLine="1446"/>
        <w:spacing w:after="0" w:line="258" w:lineRule="auto"/>
        <w:rPr>
          <w:sz w:val="20"/>
          <w:szCs w:val="20"/>
          <w:color w:val="auto"/>
        </w:rPr>
      </w:pPr>
      <w:r>
        <w:rPr>
          <w:rFonts w:ascii="Times New Roman" w:cs="Times New Roman" w:eastAsia="Times New Roman" w:hAnsi="Times New Roman"/>
          <w:sz w:val="19"/>
          <w:szCs w:val="19"/>
          <w:color w:val="auto"/>
        </w:rPr>
        <w:t>(b)Executive agrees that for one (1) year immediately following the Termination Date (or, if later, one (1) year following the expiration of the term of the Consulting Agreement), Executive shall not interfere with the business of the Company by (i) soliciting or attempting to solicit any employee or consultant of the Company to terminate such employee’s or consultant’s employment or service in order to become an employee, consultant or independent contractor to or for any other person or entity or</w:t>
      </w:r>
    </w:p>
    <w:p>
      <w:pPr>
        <w:spacing w:after="0" w:line="1" w:lineRule="exact"/>
        <w:rPr>
          <w:sz w:val="20"/>
          <w:szCs w:val="20"/>
          <w:color w:val="auto"/>
        </w:rPr>
      </w:pPr>
    </w:p>
    <w:p>
      <w:pPr>
        <w:jc w:val="both"/>
        <w:ind w:firstLine="2"/>
        <w:spacing w:after="0" w:line="242" w:lineRule="auto"/>
        <w:tabs>
          <w:tab w:leader="none" w:pos="30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w:t>
      </w:r>
    </w:p>
    <w:p>
      <w:pPr>
        <w:spacing w:after="0" w:line="200" w:lineRule="exact"/>
        <w:rPr>
          <w:sz w:val="20"/>
          <w:szCs w:val="20"/>
          <w:color w:val="auto"/>
        </w:rPr>
      </w:pPr>
    </w:p>
    <w:p>
      <w:pPr>
        <w:jc w:val="both"/>
        <w:ind w:firstLine="1446"/>
        <w:spacing w:after="0" w:line="254" w:lineRule="auto"/>
        <w:rPr>
          <w:sz w:val="20"/>
          <w:szCs w:val="20"/>
          <w:color w:val="auto"/>
        </w:rPr>
      </w:pPr>
      <w:r>
        <w:rPr>
          <w:rFonts w:ascii="Times New Roman" w:cs="Times New Roman" w:eastAsia="Times New Roman" w:hAnsi="Times New Roman"/>
          <w:sz w:val="20"/>
          <w:szCs w:val="20"/>
          <w:color w:val="auto"/>
        </w:rPr>
        <w:t>(c)Executive agrees that Executive will not make any negative or disparaging statements or comments about Company, its employees, officers, directors, shareholders, vendors, products or services, business, technologies, market position or performance. The Company agrees that it shall</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instruct its current directors and executive officers not to, make any negative or disparaging statements or comments about Executive. Nothing in this Section 5(c) shall interfere with any protected right by Executive under applicable law to communicate directly with, cooperate with, or provide information to, any federal, state or local government agency. Nothing in this Section 5(c) will prohibit any person from providing truthful information in response to a subpoena or other legal process.</w:t>
      </w:r>
    </w:p>
    <w:p>
      <w:pPr>
        <w:spacing w:after="0" w:line="193" w:lineRule="exact"/>
        <w:rPr>
          <w:sz w:val="20"/>
          <w:szCs w:val="20"/>
          <w:color w:val="auto"/>
        </w:rPr>
      </w:pPr>
    </w:p>
    <w:p>
      <w:pPr>
        <w:jc w:val="both"/>
        <w:ind w:firstLine="1446"/>
        <w:spacing w:after="0" w:line="269" w:lineRule="auto"/>
        <w:rPr>
          <w:sz w:val="20"/>
          <w:szCs w:val="20"/>
          <w:color w:val="auto"/>
        </w:rPr>
      </w:pPr>
      <w:r>
        <w:rPr>
          <w:rFonts w:ascii="Times New Roman" w:cs="Times New Roman" w:eastAsia="Times New Roman" w:hAnsi="Times New Roman"/>
          <w:sz w:val="20"/>
          <w:szCs w:val="20"/>
          <w:color w:val="auto"/>
        </w:rPr>
        <w:t>(d)By signing below, Executive represents and warrants that he has returned to the Company all Company documents (and all copies thereof) and other Company property that Executive had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318" w:right="719" w:bottom="1440" w:gutter="0" w:footer="0" w:header="0"/>
        </w:sectPr>
      </w:pPr>
    </w:p>
    <w:bookmarkStart w:id="44" w:name="page45"/>
    <w:bookmarkEnd w:id="44"/>
    <w:p>
      <w:pPr>
        <w:jc w:val="both"/>
        <w:spacing w:after="0" w:line="243" w:lineRule="auto"/>
        <w:rPr>
          <w:sz w:val="20"/>
          <w:szCs w:val="20"/>
          <w:color w:val="auto"/>
        </w:rPr>
      </w:pPr>
      <w:r>
        <w:rPr>
          <w:rFonts w:ascii="Times New Roman" w:cs="Times New Roman" w:eastAsia="Times New Roman" w:hAnsi="Times New Roman"/>
          <w:sz w:val="20"/>
          <w:szCs w:val="20"/>
          <w:color w:val="auto"/>
        </w:rPr>
        <w:t>in his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unless otherwise agreed by the Chief Executive Officer of the Company with respect to property necessary to be retained by Executive in connection with his services under the Consulting Agreement. Executive understands that, even if Executive does not sign this Agreement, he is still bound by any and all confidential/proprietary/trade secret information, non- disclosure and inventions assignment agreement(s) signed by Executive in connection with his employment with Company, including the PIIA, pursuant to the terms of such agreement(s). Executive's compliance with this Section 5(d) shall be a condition to his receipt of the Termination Benefits.</w:t>
      </w:r>
    </w:p>
    <w:p>
      <w:pPr>
        <w:spacing w:after="0" w:line="199" w:lineRule="exact"/>
        <w:rPr>
          <w:sz w:val="20"/>
          <w:szCs w:val="20"/>
          <w:color w:val="auto"/>
        </w:rPr>
      </w:pPr>
    </w:p>
    <w:p>
      <w:pPr>
        <w:jc w:val="both"/>
        <w:ind w:firstLine="1446"/>
        <w:spacing w:after="0" w:line="254" w:lineRule="auto"/>
        <w:rPr>
          <w:sz w:val="20"/>
          <w:szCs w:val="20"/>
          <w:color w:val="auto"/>
        </w:rPr>
      </w:pPr>
      <w:r>
        <w:rPr>
          <w:rFonts w:ascii="Times New Roman" w:cs="Times New Roman" w:eastAsia="Times New Roman" w:hAnsi="Times New Roman"/>
          <w:sz w:val="20"/>
          <w:szCs w:val="20"/>
          <w:color w:val="auto"/>
        </w:rPr>
        <w:t>(e)In addition to all other rights and remedies available to the Company under law or in equity, the Company shall be entitled to withhold all Termination Benefits and Consulting Agreement Benefits from Executive in the event of his breach of this Agreement, including this Section 5.</w:t>
      </w:r>
    </w:p>
    <w:p>
      <w:pPr>
        <w:spacing w:after="0" w:line="188" w:lineRule="exact"/>
        <w:rPr>
          <w:sz w:val="20"/>
          <w:szCs w:val="20"/>
          <w:color w:val="auto"/>
        </w:rPr>
      </w:pPr>
    </w:p>
    <w:p>
      <w:pPr>
        <w:jc w:val="both"/>
        <w:ind w:firstLine="1446"/>
        <w:spacing w:after="0"/>
        <w:rPr>
          <w:sz w:val="20"/>
          <w:szCs w:val="20"/>
          <w:color w:val="auto"/>
        </w:rPr>
      </w:pPr>
      <w:r>
        <w:rPr>
          <w:rFonts w:ascii="Times New Roman" w:cs="Times New Roman" w:eastAsia="Times New Roman" w:hAnsi="Times New Roman"/>
          <w:sz w:val="20"/>
          <w:szCs w:val="20"/>
          <w:color w:val="auto"/>
        </w:rPr>
        <w:t>(f)Notwithstanding anything in this Agreement or the PIIA to the contrary, nothing contained in this Agreement or the PIIA shall prohibit Executive from (i) communicating directly with,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the Occupational Safety and Health Administration, the U.S. Commodity Futures Trading Commission, the U.S. Department of Justice or any other securities regulatory agency, self- regulatory authority or federal, state or local regulatory authority (collectively,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his attorney(s) or in a sealed complaint or other document filed in a lawsuit or other governmental proceeding, and/or (iii) receiving an award for information provided to any Government Agency. Further, nothing herein will prevent Executive from participating in activity permitted by Section 7 of the National Labor Relations Act or from filing an unfair labor practice charge with the NLRB. For the avoidance of doubt, Executive does not need to notify or obtain the prior authorization of the Company to exercise any of the foregoing rights. Pursuant to 18 USC Section 1833(b), Executive will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 request of the anticipated testimony. Further, nothing in this Agreement prevents Executive from discussing or disclosing information about unlawful acts in the workplace, such as harassment or discrimination or any other conduct that Executive has reason to believe is unlawful.</w:t>
      </w:r>
    </w:p>
    <w:p>
      <w:pPr>
        <w:spacing w:after="0" w:line="214" w:lineRule="exact"/>
        <w:rPr>
          <w:sz w:val="20"/>
          <w:szCs w:val="20"/>
          <w:color w:val="auto"/>
        </w:rPr>
      </w:pPr>
    </w:p>
    <w:p>
      <w:pPr>
        <w:jc w:val="both"/>
        <w:ind w:firstLine="1446"/>
        <w:spacing w:after="0" w:line="273" w:lineRule="auto"/>
        <w:rPr>
          <w:sz w:val="20"/>
          <w:szCs w:val="20"/>
          <w:color w:val="auto"/>
        </w:rPr>
      </w:pPr>
      <w:r>
        <w:rPr>
          <w:rFonts w:ascii="Times New Roman" w:cs="Times New Roman" w:eastAsia="Times New Roman" w:hAnsi="Times New Roman"/>
          <w:sz w:val="20"/>
          <w:szCs w:val="20"/>
          <w:color w:val="auto"/>
        </w:rPr>
        <w:t>(g)For purposes of this Section 5, the term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not only the Company, but also as any company, partnership or entity which, directly or indirectly, controls, is controlled by or is under common control with such entities.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318" w:right="719" w:bottom="1440" w:gutter="0" w:footer="0" w:header="0"/>
        </w:sectPr>
      </w:pPr>
    </w:p>
    <w:bookmarkStart w:id="45" w:name="page46"/>
    <w:bookmarkEnd w:id="45"/>
    <w:p>
      <w:pPr>
        <w:jc w:val="both"/>
        <w:ind w:right="20" w:firstLine="783"/>
        <w:spacing w:after="0" w:line="241" w:lineRule="auto"/>
        <w:tabs>
          <w:tab w:leader="none" w:pos="111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As a condition of his receipt of the Termination Benefits, Executive agrees that, upon reasonable notice and without the necessity of Company obtaining a subpoena or court order, he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his employment as to which he may have relevant information and any other matter for which he was responsible or had knowledge of through the Termination Date or during the term of the Consulting Agreement. Such cooperation may include, but will not be limited to, providing background information within Executive’s knowledge; aiding in the drafting of declarations; executing declarations or similar documents; testifying or otherwise appearing at investigation interviews, depositions, arbitrations or court hearings; and preparing for the above-described or similar activities. Upon the reasonable request of the Company, Executive agrees to cooperate with the transition of his job responsibilities following the Termination Date (including during and following the term of the Consulting Agreement) and cooperate in providing information on matters on which he was involved while an employee or consultant.</w:t>
      </w:r>
    </w:p>
    <w:p>
      <w:pPr>
        <w:spacing w:after="0" w:line="195" w:lineRule="exact"/>
        <w:rPr>
          <w:rFonts w:ascii="Times New Roman" w:cs="Times New Roman" w:eastAsia="Times New Roman" w:hAnsi="Times New Roman"/>
          <w:sz w:val="20"/>
          <w:szCs w:val="20"/>
          <w:color w:val="auto"/>
        </w:rPr>
      </w:pPr>
    </w:p>
    <w:p>
      <w:pPr>
        <w:ind w:left="1500" w:hanging="749"/>
        <w:spacing w:after="0"/>
        <w:tabs>
          <w:tab w:leader="none" w:pos="15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1446"/>
        <w:spacing w:after="0" w:line="243" w:lineRule="auto"/>
        <w:rPr>
          <w:sz w:val="20"/>
          <w:szCs w:val="20"/>
          <w:color w:val="auto"/>
        </w:rPr>
      </w:pPr>
      <w:r>
        <w:rPr>
          <w:rFonts w:ascii="Times New Roman" w:cs="Times New Roman" w:eastAsia="Times New Roman" w:hAnsi="Times New Roman"/>
          <w:sz w:val="20"/>
          <w:szCs w:val="20"/>
          <w:color w:val="auto"/>
        </w:rPr>
        <w:t>(a)To the extent applicable, this Agreement shall be interpreted in accordance with Section 409A of the Code and Department of Treasury regulations and other interpretive guidance issued thereunder. 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For purposes of Section 409A of the Code, any right to a series of installment payments under this Agreement shall be treated as a right to a series of separate payments.</w:t>
      </w:r>
    </w:p>
    <w:p>
      <w:pPr>
        <w:spacing w:after="0" w:line="203" w:lineRule="exact"/>
        <w:rPr>
          <w:sz w:val="20"/>
          <w:szCs w:val="20"/>
          <w:color w:val="auto"/>
        </w:rPr>
      </w:pPr>
    </w:p>
    <w:p>
      <w:pPr>
        <w:jc w:val="both"/>
        <w:ind w:right="20" w:firstLine="1446"/>
        <w:spacing w:after="0" w:line="269" w:lineRule="auto"/>
        <w:rPr>
          <w:sz w:val="20"/>
          <w:szCs w:val="20"/>
          <w:color w:val="auto"/>
        </w:rPr>
      </w:pPr>
      <w:r>
        <w:rPr>
          <w:rFonts w:ascii="Times New Roman" w:cs="Times New Roman" w:eastAsia="Times New Roman" w:hAnsi="Times New Roman"/>
          <w:sz w:val="20"/>
          <w:szCs w:val="20"/>
          <w:color w:val="auto"/>
        </w:rPr>
        <w:t>(b)The parties acknowledge that the Termination Date will constitute the date of Executive’s “separation from service” (as defined in Treasury Regulation Section 1.409A-1(h))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right="20" w:firstLine="1446"/>
        <w:spacing w:after="0" w:line="246" w:lineRule="auto"/>
        <w:rPr>
          <w:sz w:val="20"/>
          <w:szCs w:val="20"/>
          <w:color w:val="auto"/>
        </w:rPr>
      </w:pPr>
      <w:r>
        <w:rPr>
          <w:rFonts w:ascii="Times New Roman" w:cs="Times New Roman" w:eastAsia="Times New Roman" w:hAnsi="Times New Roman"/>
          <w:sz w:val="20"/>
          <w:szCs w:val="20"/>
          <w:color w:val="auto"/>
        </w:rPr>
        <w:t>(c)If Executive is a “specified employee” (as defined in Section 409A of the Code), as determined by the Company in accordance with Section 409A of the Code, on the Termination Date, to the extent that the payments or benefits under this Agreement are “non-qualified deferred compensation” subject to Section 409A of the Code and the delayed payment or distribution of all or any portion of such amounts to which Executive is entitled under this Agreement is required in order to avoid a prohibited</w:t>
      </w:r>
    </w:p>
    <w:p>
      <w:pPr>
        <w:spacing w:after="0" w:line="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distribution under Section 409A(a)(2)(B)(i) of the Code, then such portion deferred pursuant to this Section 7(c) shall be paid or distributed to Executive in a lump sum on the earlier of (i) the date that is six (6) months and one day following Executive’s Separation from Service, (ii) the date of Executive’s death, or (iii) the earliest date as is permitted under Section 409A of the Code. Any remaining payments due under this Agreement shall be paid as otherwise provided herein.</w:t>
      </w:r>
    </w:p>
    <w:p>
      <w:pPr>
        <w:spacing w:after="0" w:line="193" w:lineRule="exact"/>
        <w:rPr>
          <w:sz w:val="20"/>
          <w:szCs w:val="20"/>
          <w:color w:val="auto"/>
        </w:rPr>
      </w:pPr>
    </w:p>
    <w:p>
      <w:pPr>
        <w:jc w:val="both"/>
        <w:ind w:right="20" w:firstLine="1446"/>
        <w:spacing w:after="0" w:line="249" w:lineRule="auto"/>
        <w:rPr>
          <w:sz w:val="20"/>
          <w:szCs w:val="20"/>
          <w:color w:val="auto"/>
        </w:rPr>
      </w:pPr>
      <w:r>
        <w:rPr>
          <w:rFonts w:ascii="Times New Roman" w:cs="Times New Roman" w:eastAsia="Times New Roman" w:hAnsi="Times New Roman"/>
          <w:sz w:val="20"/>
          <w:szCs w:val="20"/>
          <w:color w:val="auto"/>
        </w:rPr>
        <w:t>(d)Any reimbursement of expenses or in-kind benefits payable under this Agreement shall be made in accordance with Treasury Regulation Section 1.409A-3(i)(1)(iv) and shall be paid on or before the last day of Executive’s taxable year following the taxable year in which Executive incurred the expenses. The amount of expenses reimbursed or in-kind benefits payable in one year shall not affect the</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318" w:right="699" w:bottom="1440" w:gutter="0" w:footer="0" w:header="0"/>
        </w:sectPr>
      </w:pPr>
    </w:p>
    <w:bookmarkStart w:id="46" w:name="page47"/>
    <w:bookmarkEnd w:id="46"/>
    <w:p>
      <w:pPr>
        <w:spacing w:after="0" w:line="269" w:lineRule="auto"/>
        <w:rPr>
          <w:sz w:val="20"/>
          <w:szCs w:val="20"/>
          <w:color w:val="auto"/>
        </w:rPr>
      </w:pPr>
      <w:r>
        <w:rPr>
          <w:rFonts w:ascii="Times New Roman" w:cs="Times New Roman" w:eastAsia="Times New Roman" w:hAnsi="Times New Roman"/>
          <w:sz w:val="20"/>
          <w:szCs w:val="20"/>
          <w:color w:val="auto"/>
        </w:rPr>
        <w:t>amount eligible for reimbursement or in-kind benefits payable in any other taxable year of Executive’s, and Executive’s right to reimbursement for such amounts shall not be subject to liquidation or exchange for any other benefit.</w:t>
      </w:r>
    </w:p>
    <w:p>
      <w:pPr>
        <w:spacing w:after="0" w:line="173" w:lineRule="exact"/>
        <w:rPr>
          <w:sz w:val="20"/>
          <w:szCs w:val="20"/>
          <w:color w:val="auto"/>
        </w:rPr>
      </w:pPr>
    </w:p>
    <w:p>
      <w:pPr>
        <w:ind w:left="1500" w:hanging="749"/>
        <w:spacing w:after="0"/>
        <w:tabs>
          <w:tab w:leader="none" w:pos="15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Intentionally Omitted.</w:t>
      </w:r>
    </w:p>
    <w:p>
      <w:pPr>
        <w:spacing w:after="0" w:line="229" w:lineRule="exact"/>
        <w:rPr>
          <w:rFonts w:ascii="Times New Roman" w:cs="Times New Roman" w:eastAsia="Times New Roman" w:hAnsi="Times New Roman"/>
          <w:sz w:val="20"/>
          <w:szCs w:val="20"/>
          <w:color w:val="auto"/>
        </w:rPr>
      </w:pPr>
    </w:p>
    <w:p>
      <w:pPr>
        <w:jc w:val="both"/>
        <w:ind w:firstLine="725"/>
        <w:spacing w:after="0" w:line="241" w:lineRule="auto"/>
        <w:tabs>
          <w:tab w:leader="none" w:pos="111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 and Venue</w:t>
      </w:r>
      <w:r>
        <w:rPr>
          <w:rFonts w:ascii="Times New Roman" w:cs="Times New Roman" w:eastAsia="Times New Roman" w:hAnsi="Times New Roman"/>
          <w:sz w:val="20"/>
          <w:szCs w:val="20"/>
          <w:color w:val="auto"/>
        </w:rPr>
        <w:t>. Executive and the Company agree that any and all disputes, claims, and causes of action, in law or equity, in any way arising out of or relating to the terms of this Agreement, Executive’s employment relationship with the Company, or the termination of Executive’s employment with the Company, shall be resolved, to the fullest extent permitted by law, by final, binding and confidential arbitration in the State of Illinois, conducted before a single neutral arbitrator selected and administered in accordance with the employment arbitration rules &amp; procedures or then applicable equivalent rules of JAMS (the “</w:t>
      </w:r>
      <w:r>
        <w:rPr>
          <w:rFonts w:ascii="Times New Roman" w:cs="Times New Roman" w:eastAsia="Times New Roman" w:hAnsi="Times New Roman"/>
          <w:sz w:val="20"/>
          <w:szCs w:val="20"/>
          <w:b w:val="1"/>
          <w:bCs w:val="1"/>
          <w:i w:val="1"/>
          <w:iCs w:val="1"/>
          <w:color w:val="auto"/>
        </w:rPr>
        <w:t>JAMS Rules</w:t>
      </w:r>
      <w:r>
        <w:rPr>
          <w:rFonts w:ascii="Times New Roman" w:cs="Times New Roman" w:eastAsia="Times New Roman" w:hAnsi="Times New Roman"/>
          <w:sz w:val="20"/>
          <w:szCs w:val="20"/>
          <w:color w:val="auto"/>
        </w:rPr>
        <w:t>”) and the Federal Arbitration Act, 9 U.S.C. Sec. 1, et seq. A copy of the JAMS Rules may be found on the JAMS website at www.jamsadr.com and will be provided to Executive by the Company upon request. Judgment may be entered on the arbitrator’s award in any court having jurisdiction. Nothing in this Section 9 is intended to prevent either Executive or the Company from obtaining injunctive relief in court to prevent irreparable harm pending the conclusion of any such arbitration. For purposes of settling any dispute or controversy arising hereunder or for the purpose of entering any judgment upon an award rendered by the arbitrator, the Company and Executive hereby consent to the jurisdiction of any or all of the following courts: (i) the United States District Court for the Northern District of Illinois or (ii) any of the courts of the State of Illinois. The Company and Executive hereby waive, to the fullest extent permitted by applicable law, any objection which it or he may now or hereafter have to such courts’ jurisdiction and any defense of inconvenient forum with respect to such courts. The Company and Executive hereby agree that a judgment upon an award rendered by the arbitrator may be enforced in other jurisdictions by suit on the judgment or in any other manner provided by law. This Section 9 shall not apply to any claims of violation of any federal or state employment discrimination laws. BY AGREEING TO THIS ARBITRATION PROCEDURE, EXECUTIVE AND THE COMPANY WAIVE THE RIGHT TO RESOLVE ANY SUCH DISPUTE, CLAIM OR DEMAND THROUGH A TRIAL BY JURY OR JUDGE OR BY ADMINISTRATIVE PROCEEDING IN ANY JURISDICTION.</w:t>
      </w:r>
    </w:p>
    <w:p>
      <w:pPr>
        <w:spacing w:after="0" w:line="202" w:lineRule="exact"/>
        <w:rPr>
          <w:rFonts w:ascii="Times New Roman" w:cs="Times New Roman" w:eastAsia="Times New Roman" w:hAnsi="Times New Roman"/>
          <w:sz w:val="20"/>
          <w:szCs w:val="20"/>
          <w:color w:val="auto"/>
        </w:rPr>
      </w:pPr>
    </w:p>
    <w:p>
      <w:pPr>
        <w:jc w:val="both"/>
        <w:ind w:firstLine="725"/>
        <w:spacing w:after="0" w:line="244" w:lineRule="auto"/>
        <w:tabs>
          <w:tab w:leader="none" w:pos="111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required or permitted to be given under this Agreement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forty-eight (48) hours thereafter by a signed original sent in the manner provided in the preceding sentence. Notice to Executive shall be sent to his most recent residence and personal email address on file with the Company. Notice to the Company shall be sent to its physical address set forth on the first page hereto and addressed to William Aprea, Senior VP, Legal of the Company, at the email address provided by the Company for such person.</w:t>
      </w:r>
    </w:p>
    <w:p>
      <w:pPr>
        <w:spacing w:after="0" w:line="266" w:lineRule="exact"/>
        <w:rPr>
          <w:rFonts w:ascii="Times New Roman" w:cs="Times New Roman" w:eastAsia="Times New Roman" w:hAnsi="Times New Roman"/>
          <w:sz w:val="20"/>
          <w:szCs w:val="20"/>
          <w:color w:val="auto"/>
        </w:rPr>
      </w:pPr>
    </w:p>
    <w:p>
      <w:pPr>
        <w:jc w:val="both"/>
        <w:ind w:firstLine="725"/>
        <w:spacing w:after="0" w:line="243" w:lineRule="auto"/>
        <w:tabs>
          <w:tab w:leader="none" w:pos="111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PIIA, the Consulting Agreement and the Equity Award Agreements (to the extent governing Executive’s vested Equity Awards) constitute the entire agreement and understanding between the parties as to the subject matter herein and supersede all prior or contemporaneous agreements whether written or oral, including, without limitation, the Offer Letter (except as expressly provided in Section 3(e) above). The invalidity or unenforceability of any provision or provisions of this Agreement will not affect the validity or enforceability of any other provision hereof, which will remain in full force and effect. The terms in this Agreement may only be modified in writing and signed by Executive and an authorized officer of the Company. In the event of any conflict between any of the terms in this Agreement and the terms of any other agreement between Executive and the Company, the terms of this Agreement will control.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318" w:right="719" w:bottom="1440" w:gutter="0" w:footer="0" w:header="0"/>
        </w:sectPr>
      </w:pPr>
    </w:p>
    <w:bookmarkStart w:id="47" w:name="page48"/>
    <w:bookmarkEnd w:id="47"/>
    <w:p>
      <w:pPr>
        <w:spacing w:after="0" w:line="108" w:lineRule="exact"/>
        <w:rPr>
          <w:sz w:val="20"/>
          <w:szCs w:val="20"/>
          <w:color w:val="auto"/>
        </w:rPr>
      </w:pPr>
    </w:p>
    <w:p>
      <w:pPr>
        <w:jc w:val="both"/>
        <w:ind w:firstLine="725"/>
        <w:spacing w:after="0" w:line="244" w:lineRule="auto"/>
        <w:tabs>
          <w:tab w:leader="none" w:pos="111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Should any provision of the Agreement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Executive acknowledges that he has obtained sufficient information to intelligently exercise his own judgment regarding the terms of the Agreement before executing the Agreement.</w:t>
      </w:r>
    </w:p>
    <w:p>
      <w:pPr>
        <w:spacing w:after="0" w:line="199" w:lineRule="exact"/>
        <w:rPr>
          <w:rFonts w:ascii="Times New Roman" w:cs="Times New Roman" w:eastAsia="Times New Roman" w:hAnsi="Times New Roman"/>
          <w:sz w:val="20"/>
          <w:szCs w:val="20"/>
          <w:color w:val="auto"/>
        </w:rPr>
      </w:pPr>
    </w:p>
    <w:p>
      <w:pPr>
        <w:jc w:val="both"/>
        <w:ind w:firstLine="725"/>
        <w:spacing w:after="0" w:line="245" w:lineRule="auto"/>
        <w:tabs>
          <w:tab w:leader="none" w:pos="111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w:t>
      </w:r>
      <w:r>
        <w:rPr>
          <w:rFonts w:ascii="Times New Roman" w:cs="Times New Roman" w:eastAsia="Times New Roman" w:hAnsi="Times New Roman"/>
          <w:sz w:val="20"/>
          <w:szCs w:val="20"/>
          <w:color w:val="auto"/>
        </w:rPr>
        <w:t>. This Agreement will be governed by and construed in accordance with the laws of the United States of America and the State of Illinois applicable to contracts made and to be performed wholly within such State, and without regard to the conflicts of laws principles thereof. Subject to Section 9, any action or proceeding by either party to enforce this Agreement shall be brought only in any state or federal court located in Cook County, Illinois. The parties irrevocably submit to the exclusive jurisdiction of such courts and waive the defense of inconvenient forum to the maintenance of any such action or proceeding in such venue.</w:t>
      </w:r>
    </w:p>
    <w:p>
      <w:pPr>
        <w:spacing w:after="0" w:line="197" w:lineRule="exact"/>
        <w:rPr>
          <w:rFonts w:ascii="Times New Roman" w:cs="Times New Roman" w:eastAsia="Times New Roman" w:hAnsi="Times New Roman"/>
          <w:sz w:val="20"/>
          <w:szCs w:val="20"/>
          <w:color w:val="auto"/>
        </w:rPr>
      </w:pPr>
    </w:p>
    <w:p>
      <w:pPr>
        <w:jc w:val="both"/>
        <w:ind w:firstLine="725"/>
        <w:spacing w:after="0" w:line="246" w:lineRule="auto"/>
        <w:tabs>
          <w:tab w:leader="none" w:pos="111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Interest</w:t>
      </w:r>
      <w:r>
        <w:rPr>
          <w:rFonts w:ascii="Times New Roman" w:cs="Times New Roman" w:eastAsia="Times New Roman" w:hAnsi="Times New Roman"/>
          <w:sz w:val="20"/>
          <w:szCs w:val="20"/>
          <w:color w:val="auto"/>
        </w:rPr>
        <w:t>. None of the rights of Executive to receive any form of compensation payable pursuant to this Agreement shall be assignable or transferable except through a testamentary disposition or by the laws of descent and distribution upon the death of Executive. Any attempted assignment, transfer, conveyance, or other disposition (other than as aforesaid) of any interest in the rights of Executive to receive any form of compensation to be made by the Company pursuant to this Agreement shall be void.</w:t>
      </w:r>
    </w:p>
    <w:p>
      <w:pPr>
        <w:spacing w:after="0" w:line="198" w:lineRule="exact"/>
        <w:rPr>
          <w:rFonts w:ascii="Times New Roman" w:cs="Times New Roman" w:eastAsia="Times New Roman" w:hAnsi="Times New Roman"/>
          <w:sz w:val="20"/>
          <w:szCs w:val="20"/>
          <w:color w:val="auto"/>
        </w:rPr>
      </w:pPr>
    </w:p>
    <w:p>
      <w:pPr>
        <w:jc w:val="both"/>
        <w:ind w:firstLine="725"/>
        <w:spacing w:after="0" w:line="246" w:lineRule="auto"/>
        <w:tabs>
          <w:tab w:leader="none" w:pos="111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The language in all parts of this Agreement shall in all cases be construed simply, according to its fair meaning, and not strictly for or against any of the parties hereto. Without limitation, there shall be no presumption against any party on the ground that such party was responsible for drafting this Agreement or any part thereof. Where the context so requires, the use of the masculine gender shall include the feminine and/or neuter genders and the singular shall include the plural, and vice versa, and the word “person” shall include any corporation, firm, partnership or other form of association.</w:t>
      </w:r>
    </w:p>
    <w:p>
      <w:pPr>
        <w:spacing w:after="0" w:line="198" w:lineRule="exact"/>
        <w:rPr>
          <w:rFonts w:ascii="Times New Roman" w:cs="Times New Roman" w:eastAsia="Times New Roman" w:hAnsi="Times New Roman"/>
          <w:sz w:val="20"/>
          <w:szCs w:val="20"/>
          <w:color w:val="auto"/>
        </w:rPr>
      </w:pPr>
    </w:p>
    <w:p>
      <w:pPr>
        <w:ind w:firstLine="725"/>
        <w:spacing w:after="0" w:line="269" w:lineRule="auto"/>
        <w:tabs>
          <w:tab w:leader="none" w:pos="111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and Other Deductions</w:t>
      </w:r>
      <w:r>
        <w:rPr>
          <w:rFonts w:ascii="Times New Roman" w:cs="Times New Roman" w:eastAsia="Times New Roman" w:hAnsi="Times New Roman"/>
          <w:sz w:val="20"/>
          <w:szCs w:val="20"/>
          <w:color w:val="auto"/>
        </w:rPr>
        <w:t>. All compensation payable to Executive hereunder shall be subject to such deductions as the Company is from time to time required to make pursuant to law, governmental regulation or order.</w:t>
      </w:r>
    </w:p>
    <w:p>
      <w:pPr>
        <w:spacing w:after="0" w:line="172" w:lineRule="exact"/>
        <w:rPr>
          <w:rFonts w:ascii="Times New Roman" w:cs="Times New Roman" w:eastAsia="Times New Roman" w:hAnsi="Times New Roman"/>
          <w:sz w:val="20"/>
          <w:szCs w:val="20"/>
          <w:color w:val="auto"/>
        </w:rPr>
      </w:pPr>
    </w:p>
    <w:p>
      <w:pPr>
        <w:ind w:firstLine="725"/>
        <w:spacing w:after="0" w:line="269" w:lineRule="auto"/>
        <w:tabs>
          <w:tab w:leader="none" w:pos="111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Knowing and Voluntary</w:t>
      </w:r>
      <w:r>
        <w:rPr>
          <w:rFonts w:ascii="Times New Roman" w:cs="Times New Roman" w:eastAsia="Times New Roman" w:hAnsi="Times New Roman"/>
          <w:sz w:val="20"/>
          <w:szCs w:val="20"/>
          <w:color w:val="auto"/>
        </w:rPr>
        <w:t>. Executive represents and agrees that, prior to signing this Agreement, Executive has had the opportunity to discuss the terms of this Agreement with legal counsel of</w:t>
      </w:r>
    </w:p>
    <w:p>
      <w:pPr>
        <w:spacing w:after="0" w:line="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his choosing. Executive further represents and agrees that he is entering into this Agreement knowingly and voluntarily. Executive affirms that no promise was made to cause him to enter into this Agreement, other than what is promised in this Agreement. Executive further confirms that he has not relied upon any other statement or representation by anyone other than what is in this Agreement as a basis for his agreement. Executive acknowledges and agrees that neither the Company nor the Company’s counsel has provided any legal or tax advice to Executive and that Executive is free to, and is hereby advised to, consult with a legal or tax advisor of his choosing.</w:t>
      </w:r>
    </w:p>
    <w:p>
      <w:pPr>
        <w:spacing w:after="0" w:line="184" w:lineRule="exact"/>
        <w:rPr>
          <w:sz w:val="20"/>
          <w:szCs w:val="20"/>
          <w:color w:val="auto"/>
        </w:rPr>
      </w:pPr>
    </w:p>
    <w:p>
      <w:pPr>
        <w:jc w:val="both"/>
        <w:ind w:firstLine="725"/>
        <w:spacing w:after="0" w:line="254" w:lineRule="auto"/>
        <w:tabs>
          <w:tab w:leader="none" w:pos="111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all of which taken together shall constitute one instrument. Execution and delivery of this Agreement by facsimile or other electronic signature is legal, valid and binding for all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EXECUTIVE’S ACCEPTANCE OF AGREEMENT</w:t>
      </w:r>
    </w:p>
    <w:p>
      <w:pPr>
        <w:spacing w:after="0" w:line="200" w:lineRule="exact"/>
        <w:rPr>
          <w:sz w:val="20"/>
          <w:szCs w:val="20"/>
          <w:color w:val="auto"/>
        </w:rPr>
      </w:pPr>
    </w:p>
    <w:p>
      <w:pPr>
        <w:spacing w:after="0" w:line="2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BEFORE SIGNING HIS NAME TO THIS AGREEMENT, EXECUTIVE STATES THE FOLLOWING: EXECUTIVE HAS READ THE AGREEMENT, HE UNDERSTANDS IT AND HE KNOWS THAT HE IS GIVING UP IMPORTANT RIGHTS. HE HAS OBTAINED SUFFICIENT INFORMATION TO INTELLIGENTLY EXERCISE HIS OWN JUDGMENT. HE HAS BEEN ADVISED THAT HE SHOULD CONSULT WITH AN ATTORNEY BEFORE SIGNING IT, AND HE HAS SIGNED THE AGREEMENT KNOWINGLY AND VOLUNTARILY.</w:t>
      </w:r>
    </w:p>
    <w:p>
      <w:pPr>
        <w:spacing w:after="0" w:line="200" w:lineRule="exact"/>
        <w:rPr>
          <w:sz w:val="20"/>
          <w:szCs w:val="20"/>
          <w:color w:val="auto"/>
        </w:rPr>
      </w:pPr>
    </w:p>
    <w:p>
      <w:pPr>
        <w:spacing w:after="0" w:line="268" w:lineRule="exact"/>
        <w:rPr>
          <w:sz w:val="20"/>
          <w:szCs w:val="20"/>
          <w:color w:val="auto"/>
        </w:rPr>
      </w:pPr>
    </w:p>
    <w:p>
      <w:pPr>
        <w:ind w:left="5140"/>
        <w:spacing w:after="0"/>
        <w:tabs>
          <w:tab w:leader="none" w:pos="6320" w:val="left"/>
        </w:tabs>
        <w:rPr>
          <w:sz w:val="20"/>
          <w:szCs w:val="20"/>
          <w:color w:val="auto"/>
        </w:rPr>
      </w:pPr>
      <w:r>
        <w:rPr>
          <w:rFonts w:ascii="Times New Roman" w:cs="Times New Roman" w:eastAsia="Times New Roman" w:hAnsi="Times New Roman"/>
          <w:sz w:val="20"/>
          <w:szCs w:val="20"/>
          <w:color w:val="auto"/>
        </w:rPr>
        <w:t>Executed on</w:t>
      </w:r>
      <w:r>
        <w:rPr>
          <w:sz w:val="20"/>
          <w:szCs w:val="20"/>
          <w:color w:val="auto"/>
        </w:rPr>
        <w:tab/>
      </w:r>
      <w:r>
        <w:rPr>
          <w:rFonts w:ascii="Times New Roman" w:cs="Times New Roman" w:eastAsia="Times New Roman" w:hAnsi="Times New Roman"/>
          <w:sz w:val="19"/>
          <w:szCs w:val="19"/>
          <w:u w:val="single" w:color="auto"/>
          <w:color w:val="auto"/>
        </w:rPr>
        <w:t>18-May-2025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318" w:right="719" w:bottom="1440" w:gutter="0" w:footer="0" w:header="0"/>
        </w:sectPr>
      </w:pPr>
    </w:p>
    <w:bookmarkStart w:id="49" w:name="page50"/>
    <w:bookmarkEnd w:id="49"/>
    <w:p>
      <w:pPr>
        <w:ind w:left="5140"/>
        <w:spacing w:after="0"/>
        <w:rPr>
          <w:sz w:val="20"/>
          <w:szCs w:val="20"/>
          <w:color w:val="auto"/>
        </w:rPr>
      </w:pPr>
      <w:r>
        <w:rPr>
          <w:rFonts w:ascii="Times New Roman" w:cs="Times New Roman" w:eastAsia="Times New Roman" w:hAnsi="Times New Roman"/>
          <w:sz w:val="20"/>
          <w:szCs w:val="20"/>
          <w:u w:val="single" w:color="auto"/>
          <w:color w:val="auto"/>
        </w:rPr>
        <w:t>/s/Azmi Nabulsi</w:t>
      </w:r>
    </w:p>
    <w:p>
      <w:pPr>
        <w:spacing w:after="0" w:line="2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Azmi Nabulsi, M.D., M.P.H.</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Agreed and Accepted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PHATHOM PHARMACEUTICALS,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/s/Steven Basta</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Steven Basta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18-May-2025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892810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318"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CONSULTING AGREEMENT</w:t>
      </w:r>
    </w:p>
    <w:p>
      <w:pPr>
        <w:spacing w:after="0" w:line="22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This Consulting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dated as of May 17, 2025, between Phathom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Azmi Nabulsi, M.D., M.P.H. (“</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WHEREAS, Consultant’s employment with the Company terminated effective May 16, 2025,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in connection with Consultant’s separation, Consultant and the Company entered into a Separation Agreement and Release of Claims (the “</w:t>
      </w:r>
      <w:r>
        <w:rPr>
          <w:rFonts w:ascii="Times New Roman" w:cs="Times New Roman" w:eastAsia="Times New Roman" w:hAnsi="Times New Roman"/>
          <w:sz w:val="20"/>
          <w:szCs w:val="20"/>
          <w:b w:val="1"/>
          <w:bCs w:val="1"/>
          <w:i w:val="1"/>
          <w:iCs w:val="1"/>
          <w:color w:val="auto"/>
        </w:rPr>
        <w:t>Release Agreement</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the Company wishes to enter into a Consulting Agreement with Consultant in order to effectuate a smooth transition at the Company following Consultant’s Termination Date and to provide for Consultant’s continued services to the Company.</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NOW, THEREFORE, Company and Consultant hereby agree as follows: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p>
    <w:p>
      <w:pPr>
        <w:spacing w:after="0" w:line="243" w:lineRule="exact"/>
        <w:rPr>
          <w:sz w:val="20"/>
          <w:szCs w:val="20"/>
          <w:color w:val="auto"/>
        </w:rPr>
      </w:pPr>
    </w:p>
    <w:p>
      <w:pPr>
        <w:jc w:val="both"/>
        <w:ind w:firstLine="725"/>
        <w:spacing w:after="0" w:line="247" w:lineRule="auto"/>
        <w:tabs>
          <w:tab w:leader="none" w:pos="111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Services</w:t>
      </w:r>
      <w:r>
        <w:rPr>
          <w:rFonts w:ascii="Times New Roman" w:cs="Times New Roman" w:eastAsia="Times New Roman" w:hAnsi="Times New Roman"/>
          <w:sz w:val="20"/>
          <w:szCs w:val="20"/>
          <w:color w:val="auto"/>
        </w:rPr>
        <w:t>. Consultant will provide consulting services (“</w:t>
      </w:r>
      <w:r>
        <w:rPr>
          <w:rFonts w:ascii="Times New Roman" w:cs="Times New Roman" w:eastAsia="Times New Roman" w:hAnsi="Times New Roman"/>
          <w:sz w:val="20"/>
          <w:szCs w:val="20"/>
          <w:b w:val="1"/>
          <w:bCs w:val="1"/>
          <w:i w:val="1"/>
          <w:iCs w:val="1"/>
          <w:color w:val="auto"/>
        </w:rPr>
        <w:t>Services</w:t>
      </w:r>
      <w:r>
        <w:rPr>
          <w:rFonts w:ascii="Times New Roman" w:cs="Times New Roman" w:eastAsia="Times New Roman" w:hAnsi="Times New Roman"/>
          <w:sz w:val="20"/>
          <w:szCs w:val="20"/>
          <w:color w:val="auto"/>
        </w:rPr>
        <w:t xml:space="preserve">”) detailed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the Company for the term of the Agreement. Consultant will not delegate his responsibilities under this Agreement to any third parties. When performing Services involving interactions with an external audience, Consultant will comply with Company’s directions regarding such interactions. Consultant is an independent contractor and is not authorized to make any representation, warranty, contract, or commitment on behalf of Company unless directed to by the Company.</w:t>
      </w:r>
    </w:p>
    <w:p>
      <w:pPr>
        <w:spacing w:after="0" w:line="184" w:lineRule="exact"/>
        <w:rPr>
          <w:rFonts w:ascii="Times New Roman" w:cs="Times New Roman" w:eastAsia="Times New Roman" w:hAnsi="Times New Roman"/>
          <w:sz w:val="20"/>
          <w:szCs w:val="20"/>
          <w:color w:val="auto"/>
        </w:rPr>
      </w:pPr>
    </w:p>
    <w:p>
      <w:pPr>
        <w:ind w:firstLine="725"/>
        <w:spacing w:after="0" w:line="269" w:lineRule="auto"/>
        <w:tabs>
          <w:tab w:leader="none" w:pos="111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Applicable Law</w:t>
      </w:r>
      <w:r>
        <w:rPr>
          <w:rFonts w:ascii="Times New Roman" w:cs="Times New Roman" w:eastAsia="Times New Roman" w:hAnsi="Times New Roman"/>
          <w:sz w:val="20"/>
          <w:szCs w:val="20"/>
          <w:color w:val="auto"/>
        </w:rPr>
        <w:t>. Consultant will comply with all applicable laws, including any applicable disclosure requirements relating to Consultant’s relationship with the Company or the nature of the Services.</w:t>
      </w:r>
    </w:p>
    <w:p>
      <w:pPr>
        <w:spacing w:after="0" w:line="155" w:lineRule="exact"/>
        <w:rPr>
          <w:rFonts w:ascii="Times New Roman" w:cs="Times New Roman" w:eastAsia="Times New Roman" w:hAnsi="Times New Roman"/>
          <w:sz w:val="20"/>
          <w:szCs w:val="20"/>
          <w:color w:val="auto"/>
        </w:rPr>
      </w:pPr>
    </w:p>
    <w:p>
      <w:pPr>
        <w:jc w:val="both"/>
        <w:ind w:firstLine="725"/>
        <w:spacing w:after="0" w:line="241" w:lineRule="auto"/>
        <w:tabs>
          <w:tab w:leader="none" w:pos="111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and Termination</w:t>
      </w:r>
      <w:r>
        <w:rPr>
          <w:rFonts w:ascii="Times New Roman" w:cs="Times New Roman" w:eastAsia="Times New Roman" w:hAnsi="Times New Roman"/>
          <w:sz w:val="20"/>
          <w:szCs w:val="20"/>
          <w:color w:val="auto"/>
        </w:rPr>
        <w:t>. The term of this Agreement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will commence on the day immediately following the Termination Date and will expire on May 16, 2026 (the “</w:t>
      </w:r>
      <w:r>
        <w:rPr>
          <w:rFonts w:ascii="Times New Roman" w:cs="Times New Roman" w:eastAsia="Times New Roman" w:hAnsi="Times New Roman"/>
          <w:sz w:val="20"/>
          <w:szCs w:val="20"/>
          <w:b w:val="1"/>
          <w:bCs w:val="1"/>
          <w:i w:val="1"/>
          <w:iCs w:val="1"/>
          <w:color w:val="auto"/>
        </w:rPr>
        <w:t>Initial Expiration Date</w:t>
      </w:r>
      <w:r>
        <w:rPr>
          <w:rFonts w:ascii="Times New Roman" w:cs="Times New Roman" w:eastAsia="Times New Roman" w:hAnsi="Times New Roman"/>
          <w:sz w:val="20"/>
          <w:szCs w:val="20"/>
          <w:color w:val="auto"/>
        </w:rPr>
        <w:t>,” and such initial one-year period, the “</w:t>
      </w:r>
      <w:r>
        <w:rPr>
          <w:rFonts w:ascii="Times New Roman" w:cs="Times New Roman" w:eastAsia="Times New Roman" w:hAnsi="Times New Roman"/>
          <w:sz w:val="20"/>
          <w:szCs w:val="20"/>
          <w:b w:val="1"/>
          <w:bCs w:val="1"/>
          <w:i w:val="1"/>
          <w:iCs w:val="1"/>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provided that Consultant may elect to extend the Term for an additional one-year period (such additional one-year period,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Extended Term</w:t>
      </w:r>
      <w:r>
        <w:rPr>
          <w:rFonts w:ascii="Times New Roman" w:cs="Times New Roman" w:eastAsia="Times New Roman" w:hAnsi="Times New Roman"/>
          <w:sz w:val="20"/>
          <w:szCs w:val="20"/>
          <w:color w:val="auto"/>
        </w:rPr>
        <w:t>”) by providing the Company with prior written notice no later than April 16, 2026 of such extension, in which case the “Term” shall be automatically extended until May 16, 2027 (the “</w:t>
      </w:r>
      <w:r>
        <w:rPr>
          <w:rFonts w:ascii="Times New Roman" w:cs="Times New Roman" w:eastAsia="Times New Roman" w:hAnsi="Times New Roman"/>
          <w:sz w:val="20"/>
          <w:szCs w:val="20"/>
          <w:b w:val="1"/>
          <w:bCs w:val="1"/>
          <w:i w:val="1"/>
          <w:iCs w:val="1"/>
          <w:color w:val="auto"/>
        </w:rPr>
        <w:t>Extended Expiration Date</w:t>
      </w:r>
      <w:r>
        <w:rPr>
          <w:rFonts w:ascii="Times New Roman" w:cs="Times New Roman" w:eastAsia="Times New Roman" w:hAnsi="Times New Roman"/>
          <w:sz w:val="20"/>
          <w:szCs w:val="20"/>
          <w:color w:val="auto"/>
        </w:rPr>
        <w:t>,” and each of the Initial Expiration Date and the Extended Expiration Date, an “</w:t>
      </w:r>
      <w:r>
        <w:rPr>
          <w:rFonts w:ascii="Times New Roman" w:cs="Times New Roman" w:eastAsia="Times New Roman" w:hAnsi="Times New Roman"/>
          <w:sz w:val="20"/>
          <w:szCs w:val="20"/>
          <w:b w:val="1"/>
          <w:bCs w:val="1"/>
          <w:i w:val="1"/>
          <w:iCs w:val="1"/>
          <w:color w:val="auto"/>
        </w:rPr>
        <w:t>Expiration Date</w:t>
      </w:r>
      <w:r>
        <w:rPr>
          <w:rFonts w:ascii="Times New Roman" w:cs="Times New Roman" w:eastAsia="Times New Roman" w:hAnsi="Times New Roman"/>
          <w:sz w:val="20"/>
          <w:szCs w:val="20"/>
          <w:color w:val="auto"/>
        </w:rPr>
        <w:t>”). The Term may be terminated prior to the applicable Expiration Date (i) immediately by the Company by written notice to Consultant for Cause (as defined below), (ii) by the Company upon thirty (30) days’ written notice to Consultant for any reason other than for Cause, (iii) by Consultant upon sixty (60) days’ written notice to the Company for any reason, (iv) by Consultant as a result of the Company’s material breach of any material provision of this Agreement, which breach remains uncured for a period of thirty (30) days after Consultant has provided written notice of such material breach to the Company, or (v) automatically upon the death or Disability (as defined in the Company’s 2019 Incentive Award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of Consultant; provided, however, that this Agreement shall terminate immediately, and the Company shall have no obligations to provide any of the compensation or benefits described herein for any portion of the Term, in the event that the Effective Date (as defined in the Release Agreement) does not occur within the required timeframe as set forth in the Release Agreement and Consultant shall forfeit any compensation or benefits received hereunder prior to such date (including any continued vesting of any Stock Options or RSUs (each as defined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after the Termination Date) and all of Consultant’s unvested Stock Options or RSUs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450215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395" w:right="719" w:bottom="1440" w:gutter="0" w:footer="0" w:header="0"/>
        </w:sectPr>
      </w:pPr>
    </w:p>
    <w:bookmarkStart w:id="51" w:name="page52"/>
    <w:bookmarkEnd w:id="51"/>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the Termination Date will be automatically forfeited with retroactive effect to the Termination Date.</w:t>
      </w:r>
    </w:p>
    <w:p>
      <w:pPr>
        <w:spacing w:after="0" w:line="21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any of the following: (a) Consultant’s commission of an act of fraud, embezzlement or dishonesty, or the commission of some other illegal act by Consultant, that has a demonstrable adverse impact on the Company or any successor or affiliate thereof; (b) Consultant’s conviction of, or plea of “guilty” or “no contest” to, a non-vehicular felony or any crime involving fraud, dishonesty or moral turpitude under the laws of the United States or any state thereof; (c) any intentional, unauthorized use or disclosure by Consultant of confidential information or trade secrets of the Company or any successor or affiliate thereof; (d) Consultant’s gross negligence, insubordination or material violation of any duty of loyalty to the Company or any successor or affiliate thereof, or any other demonstrable material misconduct on Consultant’s part; or (e) Consultant’s material breach of any material Company policy or any material provision of this Agreement, the Release Agreement or the PIIA (as defined below). Prior to the determination that “Cause” under clauses (d) or (e) has occurred, the Company shall (i) provide to Consultant in writing, in reasonable detail, the reasons for the determination that such “Cause” exists,</w:t>
      </w:r>
    </w:p>
    <w:p>
      <w:pPr>
        <w:spacing w:after="0" w:line="2" w:lineRule="exact"/>
        <w:rPr>
          <w:sz w:val="20"/>
          <w:szCs w:val="20"/>
          <w:color w:val="auto"/>
        </w:rPr>
      </w:pPr>
    </w:p>
    <w:p>
      <w:pPr>
        <w:jc w:val="both"/>
        <w:ind w:right="20" w:firstLine="1"/>
        <w:spacing w:after="0" w:line="242" w:lineRule="auto"/>
        <w:tabs>
          <w:tab w:leader="none" w:pos="29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afford Consultant a reasonable opportunity to remedy any such breach, (iii) provide Consultant an opportunity to be heard prior to the final decision to terminate Consultant’s employment hereunder for such “Cause” and (iv) make any decision that such “Cause” exists in good faith.</w:t>
      </w:r>
    </w:p>
    <w:p>
      <w:pPr>
        <w:spacing w:after="0" w:line="186" w:lineRule="exact"/>
        <w:rPr>
          <w:rFonts w:ascii="Times New Roman" w:cs="Times New Roman" w:eastAsia="Times New Roman" w:hAnsi="Times New Roman"/>
          <w:sz w:val="20"/>
          <w:szCs w:val="20"/>
          <w:color w:val="auto"/>
        </w:rPr>
      </w:pPr>
    </w:p>
    <w:p>
      <w:pPr>
        <w:jc w:val="both"/>
        <w:ind w:right="20" w:firstLine="725"/>
        <w:spacing w:after="0" w:line="244" w:lineRule="auto"/>
        <w:tabs>
          <w:tab w:leader="none" w:pos="1113"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As compensation for the Services, the Company will compensate Consultant as provided on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The Company will pay undisputed invoices within thirty (30) days of the Company’s receipt of such invoices. Company will reimburse Consultant for reasonable, actual expenses incurred that have been expressly approved in advance by the Company, after submission of detailed invoices or receipts documenting such expenses. If Consultant uses, recommends or comments upon any Company product in connection with the treatment of a patient, a scientific or educational presentation or publication, a media interview, development of a formulary or clinical protocols, or any other third-party communication or interaction, Consultant will disclose that Consultant is or has been a paid consultant of the Company and any other financial relationships with the Company.</w:t>
      </w:r>
    </w:p>
    <w:p>
      <w:pPr>
        <w:spacing w:after="0" w:line="185" w:lineRule="exact"/>
        <w:rPr>
          <w:rFonts w:ascii="Times New Roman" w:cs="Times New Roman" w:eastAsia="Times New Roman" w:hAnsi="Times New Roman"/>
          <w:sz w:val="20"/>
          <w:szCs w:val="20"/>
          <w:color w:val="auto"/>
        </w:rPr>
      </w:pPr>
    </w:p>
    <w:p>
      <w:pPr>
        <w:jc w:val="both"/>
        <w:ind w:right="20" w:firstLine="725"/>
        <w:spacing w:after="0" w:line="241" w:lineRule="auto"/>
        <w:tabs>
          <w:tab w:leader="none" w:pos="1113"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Consultant represents and warrants that (i) the Agreement does not conflict with or violate any obligation of Consultant or right of any third party, and Consultant will not accept work, enter into a contract, or accept an obligation from any third party that is inconsistent with Consultant’s obligations under this Agreement; and (ii) neither Consultant nor any designee providing Services hereunder have ever been, nor currently are, nor are the subject of, a proceeding that could lead to Consultant or designee becoming: (A) debarred by the FDA pursuant to 21 U.S.C. § 335a(a)-(b) from providing services in any capacity to a person that has an approved or pending drug product application; (B) excluded, debarred, suspended or otherwise ineligible to participate in (I) Federal health care programs, as defined under 42 U.S. Code § 1320a-7b(f), such as Medicare or Medicaid, by the Office of the Inspector General of the U.S. Department of Health and Human Services, or (II) federal procurement and non- procurement programs, including those produced by the U.S. General Services Administration; (C) convicted of a criminal offense that falls within the ambit of 42 U.S.C. § 1320a-7(a), but has not yet been debarred or excluded as described in this Section 5; or (D) debarred or disqualified by any foreign equivalent of the authorities and programs referenced above. If, during the Term of this Agreement, Consultant or any designee is debarred, excluded or convicted, or is the subject of a proceeding that could lead to Consultant or any designee becoming debarred, excluded or convicted as described herein, Consultant shall immediately notify the Company.</w:t>
      </w:r>
    </w:p>
    <w:p>
      <w:pPr>
        <w:spacing w:after="0" w:line="195" w:lineRule="exact"/>
        <w:rPr>
          <w:rFonts w:ascii="Times New Roman" w:cs="Times New Roman" w:eastAsia="Times New Roman" w:hAnsi="Times New Roman"/>
          <w:sz w:val="20"/>
          <w:szCs w:val="20"/>
          <w:color w:val="auto"/>
        </w:rPr>
      </w:pPr>
    </w:p>
    <w:p>
      <w:pPr>
        <w:jc w:val="both"/>
        <w:ind w:right="20" w:firstLine="725"/>
        <w:spacing w:after="0" w:line="242" w:lineRule="auto"/>
        <w:tabs>
          <w:tab w:leader="none" w:pos="1113"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Consultant acknowledges that all non-public and/or proprietary information Consultant receives, acquires, or develops in performance of the Services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is confidential and is the exclusive property of the Company. Consultant must use a reasonable degree of care to protect and prevent any unauthorized use or disclosure of Confidential Information. Consultant will not, without the written consent of the Company, (a) disclose, divulge, or publish any Confidential Information to any third party or (b) use any Confidential Information except as necessary to perform the Services. Confidential Information does not include information that Consultant can establish: (a) was known to Consultant without restriction before receipt from the Company; (b) is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450215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52" w:name="page53"/>
    <w:bookmarkEnd w:id="52"/>
    <w:p>
      <w:pPr>
        <w:spacing w:after="0" w:line="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publicly available through no fault of Consultant; or (c) is rightfully received by Consultant from a third party without a duty of confidentiality. Consultant hereby assigns to the Company, and will procure the assignment to the Company of, all Confidential Information and all such reproductions, notes, other materials, and improvements. Except as expressly provided herein, nothing in this Agreement shall grant Consultant any intellectual property rights or licenses, express or implied, in or to any portion of any Confidential Information. Upon expiration or termination of the Agreement, or upon the request of the Company, Consultant will return or destroy all Confidential Information in Consultant’s possession. Consultant’s obligations under this Section 6 will survive termination or expiration of this Agreement.</w:t>
      </w:r>
    </w:p>
    <w:p>
      <w:pPr>
        <w:spacing w:after="0" w:line="186" w:lineRule="exact"/>
        <w:rPr>
          <w:sz w:val="20"/>
          <w:szCs w:val="20"/>
          <w:color w:val="auto"/>
        </w:rPr>
      </w:pPr>
    </w:p>
    <w:p>
      <w:pPr>
        <w:jc w:val="both"/>
        <w:ind w:firstLine="725"/>
        <w:spacing w:after="0" w:line="249" w:lineRule="auto"/>
        <w:tabs>
          <w:tab w:leader="none" w:pos="1113"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 Securities Laws</w:t>
      </w:r>
      <w:r>
        <w:rPr>
          <w:rFonts w:ascii="Times New Roman" w:cs="Times New Roman" w:eastAsia="Times New Roman" w:hAnsi="Times New Roman"/>
          <w:sz w:val="20"/>
          <w:szCs w:val="20"/>
          <w:color w:val="auto"/>
        </w:rPr>
        <w:t>. Each party acknowledges that it is aware that U.S. securities laws restrict persons with material non-public information about a company obtained directly or indirectly from that company under obligations of non-disclosure and non-use from purchasing or selling securities of such company, or from communicating such information to any other person. Each party hereby agrees and undertakes to comply with any such provisions.</w:t>
      </w:r>
    </w:p>
    <w:p>
      <w:pPr>
        <w:spacing w:after="0" w:line="179" w:lineRule="exact"/>
        <w:rPr>
          <w:rFonts w:ascii="Times New Roman" w:cs="Times New Roman" w:eastAsia="Times New Roman" w:hAnsi="Times New Roman"/>
          <w:sz w:val="20"/>
          <w:szCs w:val="20"/>
          <w:color w:val="auto"/>
        </w:rPr>
      </w:pPr>
    </w:p>
    <w:p>
      <w:pPr>
        <w:jc w:val="both"/>
        <w:ind w:firstLine="725"/>
        <w:spacing w:after="0" w:line="249" w:lineRule="auto"/>
        <w:tabs>
          <w:tab w:leader="none" w:pos="1113"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Data</w:t>
      </w:r>
      <w:r>
        <w:rPr>
          <w:rFonts w:ascii="Times New Roman" w:cs="Times New Roman" w:eastAsia="Times New Roman" w:hAnsi="Times New Roman"/>
          <w:sz w:val="20"/>
          <w:szCs w:val="20"/>
          <w:color w:val="auto"/>
        </w:rPr>
        <w:t>. All personal data will be handled in accordance with applicable privacy laws and regulations. To the extent the Services include Consultant’s processing of personal data or Consultant’s disclosure of personal data, including protected health information, to the Company, the parties will enter into a data processing agreement prior to the commencement of such processing and/or disclosure.</w:t>
      </w:r>
    </w:p>
    <w:p>
      <w:pPr>
        <w:spacing w:after="0" w:line="179" w:lineRule="exact"/>
        <w:rPr>
          <w:rFonts w:ascii="Times New Roman" w:cs="Times New Roman" w:eastAsia="Times New Roman" w:hAnsi="Times New Roman"/>
          <w:sz w:val="20"/>
          <w:szCs w:val="20"/>
          <w:color w:val="auto"/>
        </w:rPr>
      </w:pPr>
    </w:p>
    <w:p>
      <w:pPr>
        <w:jc w:val="both"/>
        <w:ind w:firstLine="725"/>
        <w:spacing w:after="0" w:line="256" w:lineRule="auto"/>
        <w:tabs>
          <w:tab w:leader="none" w:pos="1113"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All inventions, discoveries, improvements, ideas, proposals, concepts, designs, processes, formulations, trade secrets, know-how, materials, documentation, reports, research, creations and products developed or prepared by Consultant solely in relation to the Services are the intellectual property of the Company (“</w:t>
      </w:r>
      <w:r>
        <w:rPr>
          <w:rFonts w:ascii="Times New Roman" w:cs="Times New Roman" w:eastAsia="Times New Roman" w:hAnsi="Times New Roman"/>
          <w:sz w:val="19"/>
          <w:szCs w:val="19"/>
          <w:b w:val="1"/>
          <w:bCs w:val="1"/>
          <w:i w:val="1"/>
          <w:iCs w:val="1"/>
          <w:color w:val="auto"/>
        </w:rPr>
        <w:t>Inventions</w:t>
      </w:r>
      <w:r>
        <w:rPr>
          <w:rFonts w:ascii="Times New Roman" w:cs="Times New Roman" w:eastAsia="Times New Roman" w:hAnsi="Times New Roman"/>
          <w:sz w:val="19"/>
          <w:szCs w:val="19"/>
          <w:color w:val="auto"/>
        </w:rPr>
        <w:t>”). To the extent any Invention qualifies as a work made for hire under applicable law, it is hereby deemed to be such. Consultant hereby assigns to the Company all right, title, and interest in and to the Inventions, which are the sole and exclusive property of the Company, and will be promptly disclosed by Consultant to the Company. Consultant will not use any intellectual property or technology of a third party in performance of the Services that will result in violation of any intellectual property rights of any third party. Consultant warrants that Consultant has and will have the right to transfer and assign to Company ownership of all Inventions. Consultant will execute all documents, and take any and all actions needed, all without further consideration, in order to confirm the Company’s rights as outlined above. In the event that Consultant should fail or refuse to execute such documents within a reasonable time, Consultant appoints the Company as Consultant’s attorney-in-fact to execute and deliver any such documents on Consultant’s behalf.</w:t>
      </w:r>
    </w:p>
    <w:p>
      <w:pPr>
        <w:spacing w:after="0" w:line="177" w:lineRule="exact"/>
        <w:rPr>
          <w:rFonts w:ascii="Times New Roman" w:cs="Times New Roman" w:eastAsia="Times New Roman" w:hAnsi="Times New Roman"/>
          <w:sz w:val="19"/>
          <w:szCs w:val="19"/>
          <w:color w:val="auto"/>
        </w:rPr>
      </w:pPr>
    </w:p>
    <w:p>
      <w:pPr>
        <w:jc w:val="both"/>
        <w:ind w:firstLine="725"/>
        <w:spacing w:after="0" w:line="258" w:lineRule="auto"/>
        <w:tabs>
          <w:tab w:leader="none" w:pos="1113"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The Company agrees to release, defend, indemnify and hold Consultant harmless from any and all potential liabilities, losses or damages (including penalties, costs, attorney fees and liability to third parties) resulting from, related to or arising out of any claim, action, suit or proceeding against Consultant arising out of (a) the negligence or willful misconduct of the Company in its execution and performance under this Agreement, or the Company’s material breach of this Agreement, and/or</w:t>
      </w:r>
    </w:p>
    <w:p>
      <w:pPr>
        <w:ind w:firstLine="2"/>
        <w:spacing w:after="0" w:line="246" w:lineRule="auto"/>
        <w:tabs>
          <w:tab w:leader="none" w:pos="33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allegations that the Company’s performance under this agreement infringes, misappropriates, or otherwise violates any intellectual right of a third party.</w:t>
      </w:r>
    </w:p>
    <w:p>
      <w:pPr>
        <w:spacing w:after="0" w:line="182" w:lineRule="exact"/>
        <w:rPr>
          <w:sz w:val="20"/>
          <w:szCs w:val="20"/>
          <w:color w:val="auto"/>
        </w:rPr>
      </w:pPr>
    </w:p>
    <w:p>
      <w:pPr>
        <w:ind w:left="1300" w:hanging="549"/>
        <w:spacing w:after="0"/>
        <w:tabs>
          <w:tab w:leader="none" w:pos="130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Confirmation of Continuing Obligations</w:t>
      </w: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20"/>
          <w:szCs w:val="20"/>
          <w:color w:val="auto"/>
        </w:rPr>
      </w:pPr>
    </w:p>
    <w:p>
      <w:pPr>
        <w:jc w:val="both"/>
        <w:ind w:firstLine="725"/>
        <w:spacing w:after="0" w:line="246" w:lineRule="auto"/>
        <w:tabs>
          <w:tab w:leader="none" w:pos="111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Proprietary Information and Inventions</w:t>
      </w:r>
      <w:r>
        <w:rPr>
          <w:rFonts w:ascii="Times New Roman" w:cs="Times New Roman" w:eastAsia="Times New Roman" w:hAnsi="Times New Roman"/>
          <w:sz w:val="20"/>
          <w:szCs w:val="20"/>
          <w:color w:val="auto"/>
        </w:rPr>
        <w:t>. Consultant hereby expressly reaffirms his obligations, to the extent any such obligations survive termination, under the Proprietary Information and Inventions Agreement between Consultant and the Company (the “</w:t>
      </w:r>
      <w:r>
        <w:rPr>
          <w:rFonts w:ascii="Times New Roman" w:cs="Times New Roman" w:eastAsia="Times New Roman" w:hAnsi="Times New Roman"/>
          <w:sz w:val="20"/>
          <w:szCs w:val="20"/>
          <w:b w:val="1"/>
          <w:bCs w:val="1"/>
          <w:i w:val="1"/>
          <w:iCs w:val="1"/>
          <w:color w:val="auto"/>
        </w:rPr>
        <w:t>PIIA</w:t>
      </w:r>
      <w:r>
        <w:rPr>
          <w:rFonts w:ascii="Times New Roman" w:cs="Times New Roman" w:eastAsia="Times New Roman" w:hAnsi="Times New Roman"/>
          <w:sz w:val="20"/>
          <w:szCs w:val="20"/>
          <w:color w:val="auto"/>
        </w:rPr>
        <w:t xml:space="preserve">”), a copy of which is attached to the Release Agreement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incorporated herein by reference, and Section 5 of the Release Agreement and agrees that such obligations shall survive the Termination Date and his termination of Services under this Agreement.</w:t>
      </w:r>
    </w:p>
    <w:p>
      <w:pPr>
        <w:spacing w:after="0" w:line="184" w:lineRule="exact"/>
        <w:rPr>
          <w:rFonts w:ascii="Times New Roman" w:cs="Times New Roman" w:eastAsia="Times New Roman" w:hAnsi="Times New Roman"/>
          <w:sz w:val="20"/>
          <w:szCs w:val="20"/>
          <w:color w:val="auto"/>
        </w:rPr>
      </w:pPr>
    </w:p>
    <w:p>
      <w:pPr>
        <w:ind w:firstLine="725"/>
        <w:spacing w:after="0" w:line="250" w:lineRule="auto"/>
        <w:tabs>
          <w:tab w:leader="none" w:pos="111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Competitive Activities</w:t>
      </w:r>
      <w:r>
        <w:rPr>
          <w:rFonts w:ascii="Times New Roman" w:cs="Times New Roman" w:eastAsia="Times New Roman" w:hAnsi="Times New Roman"/>
          <w:sz w:val="20"/>
          <w:szCs w:val="20"/>
          <w:color w:val="auto"/>
        </w:rPr>
        <w:t>. During the Term of this Agreement, without the written approval of the Chief Executive Officer of the Company, Consultant shall not, either as an employee, employer,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450215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53" w:name="page54"/>
    <w:bookmarkEnd w:id="53"/>
    <w:p>
      <w:pPr>
        <w:spacing w:after="0" w:line="9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consultant, agent, principal, partner, or officer, engage or participate in any employment, business or activity that is directly competitive with the business or proposed business of the Company (as of the date of this Agreement) and will not assist any other person or organization in directly competing (defined below) with the Company, or in preparing to engage in direct competition (defined below) with the business or proposed business of the Company (as of the date of this Agreement).</w:t>
      </w:r>
    </w:p>
    <w:p>
      <w:pPr>
        <w:spacing w:after="0" w:line="180" w:lineRule="exact"/>
        <w:rPr>
          <w:sz w:val="20"/>
          <w:szCs w:val="20"/>
          <w:color w:val="auto"/>
        </w:rPr>
      </w:pPr>
    </w:p>
    <w:p>
      <w:pPr>
        <w:jc w:val="both"/>
        <w:ind w:right="20" w:firstLine="749"/>
        <w:spacing w:after="0" w:line="245" w:lineRule="auto"/>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w:t>
      </w:r>
      <w:r>
        <w:rPr>
          <w:rFonts w:ascii="Times New Roman" w:cs="Times New Roman" w:eastAsia="Times New Roman" w:hAnsi="Times New Roman"/>
          <w:sz w:val="20"/>
          <w:szCs w:val="20"/>
          <w:color w:val="auto"/>
        </w:rPr>
        <w:t>. Consultant agrees that for one (1) year immediately following the expiration of the Term, Consultant shall not interfere with the business of the Company by (i) soliciting or attempting to solicit any employee or consultant of the Company to terminate such employee’s or consultant’s employment or service in order to become an employee, consultant or independent contractor to or for any other person or entity or (ii)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w:t>
      </w:r>
    </w:p>
    <w:p>
      <w:pPr>
        <w:spacing w:after="0" w:line="184" w:lineRule="exact"/>
        <w:rPr>
          <w:sz w:val="20"/>
          <w:szCs w:val="20"/>
          <w:color w:val="auto"/>
        </w:rPr>
      </w:pPr>
    </w:p>
    <w:p>
      <w:pPr>
        <w:jc w:val="both"/>
        <w:ind w:right="20" w:firstLine="725"/>
        <w:spacing w:after="0" w:line="244" w:lineRule="auto"/>
        <w:tabs>
          <w:tab w:leader="none" w:pos="111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Consultant agrees that Consultant will not make any negative or disparaging statements or comments about Company, its employees, officers, directors, shareholders, vendors, products or services, business, technologies, market position or performance. The Company agrees that it shall instruct its current directors and executive officers not to, make any negative or disparaging statements or comments about Consultant. Nothing in this Section 11(e) shall interfere with any protected right by Consultant under applicable law to communicate directly with, cooperate with, or provide information to, any federal, state or local government agency. Nothing in this Section 11(e) will prohibit any person from providing truthful information in response to a subpoena or other legal process.</w:t>
      </w:r>
    </w:p>
    <w:p>
      <w:pPr>
        <w:spacing w:after="0" w:line="185" w:lineRule="exact"/>
        <w:rPr>
          <w:rFonts w:ascii="Times New Roman" w:cs="Times New Roman" w:eastAsia="Times New Roman" w:hAnsi="Times New Roman"/>
          <w:sz w:val="20"/>
          <w:szCs w:val="20"/>
          <w:color w:val="auto"/>
        </w:rPr>
      </w:pPr>
    </w:p>
    <w:p>
      <w:pPr>
        <w:jc w:val="both"/>
        <w:ind w:right="20" w:firstLine="725"/>
        <w:spacing w:after="0" w:line="246" w:lineRule="auto"/>
        <w:tabs>
          <w:tab w:leader="none" w:pos="111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Terms</w:t>
      </w:r>
      <w:r>
        <w:rPr>
          <w:rFonts w:ascii="Times New Roman" w:cs="Times New Roman" w:eastAsia="Times New Roman" w:hAnsi="Times New Roman"/>
          <w:sz w:val="20"/>
          <w:szCs w:val="20"/>
          <w:color w:val="auto"/>
        </w:rPr>
        <w:t>. Subject to Section 11(i) below, Consultant agrees that Consultant shall not disclose the terms of this Agreement other than: (i) to Consultant’s counsel, accountants, tax advisors, family members or other representatives; (ii) to governmental agencies, including, but not limited to the Internal Revenue Service and similar state agencies; (iii) pursuant to legal process, subpoena, court order, or court rules; (iv) as otherwise required by applicable law; or (v) as necessary to enforce this agreement through arbitration.</w:t>
      </w:r>
    </w:p>
    <w:p>
      <w:pPr>
        <w:spacing w:after="0" w:line="184" w:lineRule="exact"/>
        <w:rPr>
          <w:rFonts w:ascii="Times New Roman" w:cs="Times New Roman" w:eastAsia="Times New Roman" w:hAnsi="Times New Roman"/>
          <w:sz w:val="20"/>
          <w:szCs w:val="20"/>
          <w:color w:val="auto"/>
        </w:rPr>
      </w:pPr>
    </w:p>
    <w:p>
      <w:pPr>
        <w:jc w:val="both"/>
        <w:ind w:right="20" w:firstLine="725"/>
        <w:spacing w:after="0" w:line="245" w:lineRule="auto"/>
        <w:tabs>
          <w:tab w:leader="none" w:pos="111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Upon the termination of this Agreement, Consultant represents and warrants that Consultant will return to the Company all Company documents (and all copies thereof) and other Company property that Consultant had in his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w:t>
      </w:r>
    </w:p>
    <w:p>
      <w:pPr>
        <w:spacing w:after="0" w:line="184" w:lineRule="exact"/>
        <w:rPr>
          <w:rFonts w:ascii="Times New Roman" w:cs="Times New Roman" w:eastAsia="Times New Roman" w:hAnsi="Times New Roman"/>
          <w:sz w:val="20"/>
          <w:szCs w:val="20"/>
          <w:color w:val="auto"/>
        </w:rPr>
      </w:pPr>
    </w:p>
    <w:p>
      <w:pPr>
        <w:ind w:right="20" w:firstLine="725"/>
        <w:spacing w:after="0" w:line="269" w:lineRule="auto"/>
        <w:tabs>
          <w:tab w:leader="none" w:pos="111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Remedy in the Event of Breach</w:t>
      </w:r>
      <w:r>
        <w:rPr>
          <w:rFonts w:ascii="Times New Roman" w:cs="Times New Roman" w:eastAsia="Times New Roman" w:hAnsi="Times New Roman"/>
          <w:sz w:val="20"/>
          <w:szCs w:val="20"/>
          <w:color w:val="auto"/>
        </w:rPr>
        <w:t>. In addition to all other rights and remedies available to the Company under law or in equity, in the event of Consultant’s material breach of this Agreement or the</w:t>
      </w:r>
    </w:p>
    <w:p>
      <w:pPr>
        <w:spacing w:after="0" w:line="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Release Agreement, the Company shall be entitled to terminate this Agreement immediately and no additional payments shall be payable to Consultant hereunder, all of Consultant’s unvested Stock Options and unvested RSUs (each as defined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shall immediately terminate and the post-termination exercise period of Consultant’s Stock Options shall immediately terminate.</w:t>
      </w:r>
    </w:p>
    <w:p>
      <w:pPr>
        <w:spacing w:after="0" w:line="174" w:lineRule="exact"/>
        <w:rPr>
          <w:sz w:val="20"/>
          <w:szCs w:val="20"/>
          <w:color w:val="auto"/>
        </w:rPr>
      </w:pPr>
    </w:p>
    <w:p>
      <w:pPr>
        <w:jc w:val="both"/>
        <w:ind w:right="20" w:firstLine="725"/>
        <w:spacing w:after="0" w:line="243" w:lineRule="auto"/>
        <w:tabs>
          <w:tab w:leader="none" w:pos="111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Activities</w:t>
      </w:r>
      <w:r>
        <w:rPr>
          <w:rFonts w:ascii="Times New Roman" w:cs="Times New Roman" w:eastAsia="Times New Roman" w:hAnsi="Times New Roman"/>
          <w:sz w:val="20"/>
          <w:szCs w:val="20"/>
          <w:color w:val="auto"/>
        </w:rPr>
        <w:t>. Notwithstanding anything in this Agreement or the PIIA to the contrary, nothing contained in this Agreement or the PIIA shall prohibit Consultant from (i) communicating directly with,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the Occupational Safety and Health Administration, the U.S. Commodity Futures Trading Commission, the U.S. Department of Justice or any other securities regulatory agency, self-</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450215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54" w:name="page55"/>
    <w:bookmarkEnd w:id="54"/>
    <w:p>
      <w:pPr>
        <w:spacing w:after="0" w:line="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regulatory authority or federal, state or local regulatory authority (collectively,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his attorney(s) or in a sealed complaint or other document filed in a lawsuit or other governmental proceeding, and/or (iii) receiving an award for information provided to any Government Agency. Further, nothing herein will prevent Consultant from participating in activity permitted by Section 7 of the National Labor Relations Act or from filing an unfair labor practice charge with the NLRB. For the avoidance of doubt, Consultant does not need to notify or obtain the prior authorization of the Company to exercise any of the foregoing rights. Pursuant to 18 USC Section 1833(b), Consultant will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Consultant is required to provide testimony, then unless otherwise directed or requested by a Government Agency or law enforcement, Consultant shall notify the Company as soon as reasonably practicable after receiving any such request of the anticipated testimony. Further, nothing in this Agreement prevents Consultant from discussing or disclosing information about unlawful acts in the workplace, such as harassment or discrimination or any other conduct that Consultant has reason to believe is unlawful.</w:t>
      </w:r>
    </w:p>
    <w:p>
      <w:pPr>
        <w:spacing w:after="0" w:line="194" w:lineRule="exact"/>
        <w:rPr>
          <w:sz w:val="20"/>
          <w:szCs w:val="20"/>
          <w:color w:val="auto"/>
        </w:rPr>
      </w:pPr>
    </w:p>
    <w:p>
      <w:pPr>
        <w:jc w:val="both"/>
        <w:ind w:firstLine="725"/>
        <w:spacing w:after="0" w:line="249" w:lineRule="auto"/>
        <w:tabs>
          <w:tab w:leader="none" w:pos="111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Liability</w:t>
      </w:r>
      <w:r>
        <w:rPr>
          <w:rFonts w:ascii="Times New Roman" w:cs="Times New Roman" w:eastAsia="Times New Roman" w:hAnsi="Times New Roman"/>
          <w:sz w:val="20"/>
          <w:szCs w:val="20"/>
          <w:color w:val="auto"/>
        </w:rPr>
        <w:t>. NEITHER COMPANY NOR CONSULTANT SHALL BE LIABLE TO THE OTHER PARTY FOR ANY LOST PROFITS OR LOST BUSINESS OR FOR ANY CONSEQUENTIAL, INCIDENTAL, SPECIAL OR INDIRECT DAMAGES OF ANY KIND, WHETHER ARISING IN CONTRACT, TORT OR OTHERWISE, AND REGARDLESS OF WHETHER SUCH PARTY HAS BEEN NOTIFIED OF THE POSSIBILITY OF SUCH DAMAGES.</w:t>
      </w:r>
    </w:p>
    <w:p>
      <w:pPr>
        <w:spacing w:after="0" w:line="179" w:lineRule="exact"/>
        <w:rPr>
          <w:rFonts w:ascii="Times New Roman" w:cs="Times New Roman" w:eastAsia="Times New Roman" w:hAnsi="Times New Roman"/>
          <w:sz w:val="20"/>
          <w:szCs w:val="20"/>
          <w:color w:val="auto"/>
        </w:rPr>
      </w:pPr>
    </w:p>
    <w:p>
      <w:pPr>
        <w:jc w:val="both"/>
        <w:ind w:firstLine="725"/>
        <w:spacing w:after="0" w:line="244" w:lineRule="auto"/>
        <w:tabs>
          <w:tab w:leader="none" w:pos="111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required or permitted to be given under this Agreement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forty-eight (48) hours thereafter by a signed original sent in the manner provided in the preceding sentence. Notice to Consultant shall be sent to his most recent residence and personal email address on file with the Company. Notice to the Company shall be sent to its physical address set forth on the first page hereto and addressed to William Aprea, Senior VP, Legal of the Company, at the email address provided by the Company for such person.</w:t>
      </w:r>
    </w:p>
    <w:p>
      <w:pPr>
        <w:spacing w:after="0" w:line="50" w:lineRule="exact"/>
        <w:rPr>
          <w:rFonts w:ascii="Times New Roman" w:cs="Times New Roman" w:eastAsia="Times New Roman" w:hAnsi="Times New Roman"/>
          <w:sz w:val="20"/>
          <w:szCs w:val="20"/>
          <w:color w:val="auto"/>
        </w:rPr>
      </w:pPr>
    </w:p>
    <w:p>
      <w:pPr>
        <w:jc w:val="both"/>
        <w:ind w:firstLine="725"/>
        <w:spacing w:after="0" w:line="244" w:lineRule="auto"/>
        <w:tabs>
          <w:tab w:leader="none" w:pos="111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Dispute Resolution</w:t>
      </w:r>
      <w:r>
        <w:rPr>
          <w:rFonts w:ascii="Times New Roman" w:cs="Times New Roman" w:eastAsia="Times New Roman" w:hAnsi="Times New Roman"/>
          <w:sz w:val="20"/>
          <w:szCs w:val="20"/>
          <w:color w:val="auto"/>
        </w:rPr>
        <w:t>. This Agreement will be governed by and construed in accordance with the laws of the United States of America and the State of Illinois applicable to contracts made and to be performed wholly within such State, and without regard to the conflicts of laws principles thereof. Subject to Section 9 of the Release Agreement, any action or proceeding by either party to enforce this Agreement shall be brought only in any state or federal court located in Cook County, Illinois. The parties irrevocably submit to the exclusive jurisdiction of such courts and waive the defense of inconvenient forum to the maintenance of any such action or proceeding in such venue. Any disputes under this Agreement shall be resolved in accordance with Section 9 of the Release Agreement.</w:t>
      </w:r>
    </w:p>
    <w:p>
      <w:pPr>
        <w:spacing w:after="0" w:line="186" w:lineRule="exact"/>
        <w:rPr>
          <w:sz w:val="20"/>
          <w:szCs w:val="20"/>
          <w:color w:val="auto"/>
        </w:rPr>
      </w:pPr>
    </w:p>
    <w:p>
      <w:pPr>
        <w:jc w:val="both"/>
        <w:ind w:firstLine="896"/>
        <w:spacing w:after="0" w:line="244"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PIIA and the Release Agreement constitute the entire agreement and understanding between the parties as to the subject matter herein and supersede all prior or contemporaneous agreements whether written or oral. The invalidity or unenforceability of any provision or provisions of this Agreement will not affect the validity or enforceability of any other provision hereof, which will remain in full force and effect. The terms in this Agreement may only be modified in writing and signed by Consultant and an authorized officer of the Company. In the event of any conflict</w:t>
      </w: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450215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55" w:name="page56"/>
    <w:bookmarkEnd w:id="55"/>
    <w:p>
      <w:pPr>
        <w:spacing w:after="0" w:line="95" w:lineRule="exact"/>
        <w:rPr>
          <w:sz w:val="20"/>
          <w:szCs w:val="20"/>
          <w:color w:val="auto"/>
        </w:rPr>
      </w:pPr>
    </w:p>
    <w:p>
      <w:pPr>
        <w:jc w:val="both"/>
        <w:ind w:right="180"/>
        <w:spacing w:after="0" w:line="269" w:lineRule="auto"/>
        <w:rPr>
          <w:sz w:val="20"/>
          <w:szCs w:val="20"/>
          <w:color w:val="auto"/>
        </w:rPr>
      </w:pPr>
      <w:r>
        <w:rPr>
          <w:rFonts w:ascii="Times New Roman" w:cs="Times New Roman" w:eastAsia="Times New Roman" w:hAnsi="Times New Roman"/>
          <w:sz w:val="20"/>
          <w:szCs w:val="20"/>
          <w:color w:val="auto"/>
        </w:rPr>
        <w:t>between any of the terms in this Agreement and the terms of any other agreement between Consultant and the Company, the terms of this Agreement will control.</w:t>
      </w:r>
    </w:p>
    <w:p>
      <w:pPr>
        <w:spacing w:after="0" w:line="159" w:lineRule="exact"/>
        <w:rPr>
          <w:sz w:val="20"/>
          <w:szCs w:val="20"/>
          <w:color w:val="auto"/>
        </w:rPr>
      </w:pPr>
    </w:p>
    <w:p>
      <w:pPr>
        <w:jc w:val="both"/>
        <w:ind w:right="180" w:firstLine="911"/>
        <w:spacing w:after="0" w:line="244" w:lineRule="auto"/>
        <w:rPr>
          <w:sz w:val="20"/>
          <w:szCs w:val="20"/>
          <w:color w:val="auto"/>
        </w:rPr>
      </w:pPr>
      <w:r>
        <w:rPr>
          <w:rFonts w:ascii="Times New Roman" w:cs="Times New Roman" w:eastAsia="Times New Roman" w:hAnsi="Times New Roman"/>
          <w:sz w:val="20"/>
          <w:szCs w:val="20"/>
          <w:color w:val="auto"/>
        </w:rPr>
        <w:t>16.</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Should any provision of the Agreement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Consultant acknowledges that he has obtained sufficient information to intelligently exercise his own judgment regarding the terms of the Agreement before executing the Agreement.</w:t>
      </w:r>
    </w:p>
    <w:p>
      <w:pPr>
        <w:spacing w:after="0" w:line="186" w:lineRule="exact"/>
        <w:rPr>
          <w:sz w:val="20"/>
          <w:szCs w:val="20"/>
          <w:color w:val="auto"/>
        </w:rPr>
      </w:pPr>
    </w:p>
    <w:p>
      <w:pPr>
        <w:jc w:val="both"/>
        <w:ind w:right="180" w:firstLine="896"/>
        <w:spacing w:after="0" w:line="246" w:lineRule="auto"/>
        <w:rPr>
          <w:sz w:val="20"/>
          <w:szCs w:val="20"/>
          <w:color w:val="auto"/>
        </w:rPr>
      </w:pPr>
      <w:r>
        <w:rPr>
          <w:rFonts w:ascii="Times New Roman" w:cs="Times New Roman" w:eastAsia="Times New Roman" w:hAnsi="Times New Roman"/>
          <w:sz w:val="20"/>
          <w:szCs w:val="20"/>
          <w:color w:val="auto"/>
        </w:rPr>
        <w:t>17.</w:t>
      </w:r>
      <w:r>
        <w:rPr>
          <w:rFonts w:ascii="Times New Roman" w:cs="Times New Roman" w:eastAsia="Times New Roman" w:hAnsi="Times New Roman"/>
          <w:sz w:val="20"/>
          <w:szCs w:val="20"/>
          <w:u w:val="single" w:color="auto"/>
          <w:color w:val="auto"/>
        </w:rPr>
        <w:t>Non-transferability of Interest</w:t>
      </w:r>
      <w:r>
        <w:rPr>
          <w:rFonts w:ascii="Times New Roman" w:cs="Times New Roman" w:eastAsia="Times New Roman" w:hAnsi="Times New Roman"/>
          <w:sz w:val="20"/>
          <w:szCs w:val="20"/>
          <w:color w:val="auto"/>
        </w:rPr>
        <w:t>. None of the rights of Consultant to receive any form of compensation payable pursuant to this Agreement shall be assignable or transferable except through a testamentary disposition or by the laws of descent and distribution upon the death of Consultant. Any attempted assignment, transfer, conveyance, or other disposition (other than as aforesaid) of any interest in the rights of Consultant to receive any form of compensation to be made by the Company pursuant to this Agreement shall be void.</w:t>
      </w:r>
    </w:p>
    <w:p>
      <w:pPr>
        <w:spacing w:after="0" w:line="185" w:lineRule="exact"/>
        <w:rPr>
          <w:sz w:val="20"/>
          <w:szCs w:val="20"/>
          <w:color w:val="auto"/>
        </w:rPr>
      </w:pPr>
    </w:p>
    <w:p>
      <w:pPr>
        <w:jc w:val="both"/>
        <w:ind w:right="180" w:firstLine="911"/>
        <w:spacing w:after="0" w:line="246" w:lineRule="auto"/>
        <w:rPr>
          <w:sz w:val="20"/>
          <w:szCs w:val="20"/>
          <w:color w:val="auto"/>
        </w:rPr>
      </w:pPr>
      <w:r>
        <w:rPr>
          <w:rFonts w:ascii="Times New Roman" w:cs="Times New Roman" w:eastAsia="Times New Roman" w:hAnsi="Times New Roman"/>
          <w:sz w:val="20"/>
          <w:szCs w:val="20"/>
          <w:color w:val="auto"/>
        </w:rPr>
        <w:t>18.</w:t>
      </w: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The language in all parts of this Agreement shall in all cases be construed simply, according to its fair meaning, and not strictly for or against any of the parties hereto. Without limitation, there shall be no presumption against any party on the ground that such party was responsible for drafting this Agreement or any part thereof. Where the context so requires, the use of the masculine gender shall include the feminine and/or neuter genders and the singular shall include the plural, and vice versa, and the word “person” shall include any corporation, firm, partnership or other form of association.</w:t>
      </w:r>
    </w:p>
    <w:p>
      <w:pPr>
        <w:spacing w:after="0" w:line="185" w:lineRule="exact"/>
        <w:rPr>
          <w:sz w:val="20"/>
          <w:szCs w:val="20"/>
          <w:color w:val="auto"/>
        </w:rPr>
      </w:pPr>
    </w:p>
    <w:p>
      <w:pPr>
        <w:jc w:val="both"/>
        <w:ind w:right="180" w:firstLine="911"/>
        <w:spacing w:after="0" w:line="269" w:lineRule="auto"/>
        <w:rPr>
          <w:sz w:val="20"/>
          <w:szCs w:val="20"/>
          <w:color w:val="auto"/>
        </w:rPr>
      </w:pPr>
      <w:r>
        <w:rPr>
          <w:rFonts w:ascii="Times New Roman" w:cs="Times New Roman" w:eastAsia="Times New Roman" w:hAnsi="Times New Roman"/>
          <w:sz w:val="20"/>
          <w:szCs w:val="20"/>
          <w:color w:val="auto"/>
        </w:rPr>
        <w:t>19.</w:t>
      </w:r>
      <w:r>
        <w:rPr>
          <w:rFonts w:ascii="Times New Roman" w:cs="Times New Roman" w:eastAsia="Times New Roman" w:hAnsi="Times New Roman"/>
          <w:sz w:val="20"/>
          <w:szCs w:val="20"/>
          <w:u w:val="single" w:color="auto"/>
          <w:color w:val="auto"/>
        </w:rPr>
        <w:t>Withholding and Other Deductions</w:t>
      </w:r>
      <w:r>
        <w:rPr>
          <w:rFonts w:ascii="Times New Roman" w:cs="Times New Roman" w:eastAsia="Times New Roman" w:hAnsi="Times New Roman"/>
          <w:sz w:val="20"/>
          <w:szCs w:val="20"/>
          <w:color w:val="auto"/>
        </w:rPr>
        <w:t>. All compensation payable to Consultant hereunder shall be subject to such deductions as the Company is from time to time required to make pursuant to law, governmental regulation or order.</w:t>
      </w:r>
    </w:p>
    <w:p>
      <w:pPr>
        <w:spacing w:after="0" w:line="159" w:lineRule="exact"/>
        <w:rPr>
          <w:sz w:val="20"/>
          <w:szCs w:val="20"/>
          <w:color w:val="auto"/>
        </w:rPr>
      </w:pPr>
    </w:p>
    <w:p>
      <w:pPr>
        <w:jc w:val="both"/>
        <w:ind w:right="180" w:firstLine="911"/>
        <w:spacing w:after="0" w:line="246" w:lineRule="auto"/>
        <w:rPr>
          <w:sz w:val="20"/>
          <w:szCs w:val="20"/>
          <w:color w:val="auto"/>
        </w:rPr>
      </w:pPr>
      <w:r>
        <w:rPr>
          <w:rFonts w:ascii="Times New Roman" w:cs="Times New Roman" w:eastAsia="Times New Roman" w:hAnsi="Times New Roman"/>
          <w:sz w:val="20"/>
          <w:szCs w:val="20"/>
          <w:color w:val="auto"/>
        </w:rPr>
        <w:t>20.</w:t>
      </w:r>
      <w:r>
        <w:rPr>
          <w:rFonts w:ascii="Times New Roman" w:cs="Times New Roman" w:eastAsia="Times New Roman" w:hAnsi="Times New Roman"/>
          <w:sz w:val="20"/>
          <w:szCs w:val="20"/>
          <w:u w:val="single" w:color="auto"/>
          <w:color w:val="auto"/>
        </w:rPr>
        <w:t>Knowing and Voluntary</w:t>
      </w:r>
      <w:r>
        <w:rPr>
          <w:rFonts w:ascii="Times New Roman" w:cs="Times New Roman" w:eastAsia="Times New Roman" w:hAnsi="Times New Roman"/>
          <w:sz w:val="20"/>
          <w:szCs w:val="20"/>
          <w:color w:val="auto"/>
        </w:rPr>
        <w:t>. Consultant represents and agrees that, prior to signing this Agreement, Consultant has had the opportunity to discuss the terms of this Agreement with legal counsel of his choosing. Consultant further represents and agrees that he is entering into this Agreement knowingly and voluntarily. Consultant affirms that no promise was made to cause him to enter into this Agreement, other than what is promised in this Agreement. Consultant further confirms that he has not relied upon any</w:t>
      </w:r>
    </w:p>
    <w:p>
      <w:pPr>
        <w:spacing w:after="0" w:line="50"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color w:val="auto"/>
        </w:rPr>
        <w:t>other statement or representation by anyone other than what is in this Agreement as a basis for his agreement. Consultant acknowledges and agrees that neither the Company nor the Company’s counsel has provided any legal or tax advice to Consultant and that Consultant is free to, and is hereby advised to, consult with a legal or tax advisor of his choosing.</w:t>
      </w:r>
    </w:p>
    <w:p>
      <w:pPr>
        <w:spacing w:after="0" w:line="174" w:lineRule="exact"/>
        <w:rPr>
          <w:sz w:val="20"/>
          <w:szCs w:val="20"/>
          <w:color w:val="auto"/>
        </w:rPr>
      </w:pPr>
    </w:p>
    <w:p>
      <w:pPr>
        <w:jc w:val="both"/>
        <w:ind w:right="180" w:firstLine="896"/>
        <w:spacing w:after="0" w:line="25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all of which taken together shall constitute one instrument. Execution and delivery of this Agreement by facsimile or other electronic signature is legal, valid and binding for all purposes.</w:t>
      </w:r>
    </w:p>
    <w:p>
      <w:pPr>
        <w:spacing w:after="0" w:line="200" w:lineRule="exact"/>
        <w:rPr>
          <w:sz w:val="20"/>
          <w:szCs w:val="20"/>
          <w:color w:val="auto"/>
        </w:rPr>
      </w:pPr>
    </w:p>
    <w:p>
      <w:pPr>
        <w:spacing w:after="0" w:line="20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9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Having understood and agreed to the foregoing, the Company and Consultant have signed this Agreement, effective as of the date written above.</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hathom</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By: /s/Steven Basta</w:t>
      </w:r>
    </w:p>
    <w:p>
      <w:pPr>
        <w:ind w:left="120"/>
        <w:spacing w:after="0"/>
        <w:rPr>
          <w:sz w:val="20"/>
          <w:szCs w:val="20"/>
          <w:color w:val="auto"/>
        </w:rPr>
      </w:pPr>
      <w:r>
        <w:rPr>
          <w:rFonts w:ascii="Times New Roman" w:cs="Times New Roman" w:eastAsia="Times New Roman" w:hAnsi="Times New Roman"/>
          <w:sz w:val="20"/>
          <w:szCs w:val="20"/>
          <w:color w:val="auto"/>
        </w:rPr>
        <w:t>Name: Steven Basta</w:t>
      </w:r>
    </w:p>
    <w:p>
      <w:pPr>
        <w:jc w:val="center"/>
        <w:ind w:right="18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459105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700" w:top="1440"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onsultant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/s/Azmi Nabulsi</w:t>
      </w:r>
    </w:p>
    <w:p>
      <w:pPr>
        <w:spacing w:after="0"/>
        <w:rPr>
          <w:sz w:val="20"/>
          <w:szCs w:val="20"/>
          <w:color w:val="auto"/>
        </w:rPr>
      </w:pPr>
      <w:r>
        <w:rPr>
          <w:rFonts w:ascii="Times New Roman" w:cs="Times New Roman" w:eastAsia="Times New Roman" w:hAnsi="Times New Roman"/>
          <w:sz w:val="20"/>
          <w:szCs w:val="20"/>
          <w:color w:val="auto"/>
        </w:rPr>
        <w:t>Azmi Nabulsi, M.D., M.P.H.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onsulting</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459105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39"/>
          </w:cols>
          <w:pgMar w:left="820" w:top="1318"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Consultant Services &amp;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Services</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the Term, Consultant will provide transitional services as reasonably requested by Chief Executive Officer of the Company, provided that in no event will Consultant be expected to provide the Services for more than twenty (20) hours per month during the Term. The Consultant will be expected to provide the Services for a period of ten (10) hours per month, and for a minimum of one hundred twenty (120) hours of Services during each of the Initial Term and the Extended Term (if applicable), unless otherwise determined by the Chief Executive Officer of the Company. The Chief Executive Officer of the Company must approve Consultant’s Services in excess of one hundred twenty (120) hours during each of the Initial Term and the Extended Term (if applicable) in advance.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Compensation</w:t>
      </w:r>
    </w:p>
    <w:p>
      <w:pPr>
        <w:spacing w:after="0" w:line="216" w:lineRule="exact"/>
        <w:rPr>
          <w:sz w:val="20"/>
          <w:szCs w:val="20"/>
          <w:color w:val="auto"/>
        </w:rPr>
      </w:pPr>
    </w:p>
    <w:p>
      <w:pPr>
        <w:jc w:val="both"/>
        <w:ind w:left="740" w:hanging="363"/>
        <w:spacing w:after="0" w:line="249" w:lineRule="auto"/>
        <w:tabs>
          <w:tab w:leader="none" w:pos="7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hours worked in excess of one hundred twenty (120) hours during each of the Initial Term and the Extended Term (if applicable), the Company shall pay Consultant $400 per hour for such Services performed hereunder, which amount shall be payable in accordance with Section 4 following Consultant’s submission of a written invoice detailing the hours worked to the Company.</w:t>
      </w:r>
    </w:p>
    <w:p>
      <w:pPr>
        <w:spacing w:after="0" w:line="179" w:lineRule="exact"/>
        <w:rPr>
          <w:rFonts w:ascii="Times New Roman" w:cs="Times New Roman" w:eastAsia="Times New Roman" w:hAnsi="Times New Roman"/>
          <w:sz w:val="20"/>
          <w:szCs w:val="20"/>
          <w:color w:val="auto"/>
        </w:rPr>
      </w:pPr>
    </w:p>
    <w:p>
      <w:pPr>
        <w:jc w:val="both"/>
        <w:ind w:left="740" w:hanging="363"/>
        <w:spacing w:after="0" w:line="249" w:lineRule="auto"/>
        <w:tabs>
          <w:tab w:leader="none" w:pos="7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subject to the occurrence of the Effective Date within the required timeframe as set forth in the Release Agreement, in consideration of Consultant’s minimum Services requirement set forth above and his continued compliance with this Agreement and the Release Agreement, the outstanding Company equity awards held by Consultant as of the Termination Date will be treated as follows:</w:t>
      </w:r>
    </w:p>
    <w:p>
      <w:pPr>
        <w:spacing w:after="0" w:line="176" w:lineRule="exact"/>
        <w:rPr>
          <w:sz w:val="20"/>
          <w:szCs w:val="20"/>
          <w:color w:val="auto"/>
        </w:rPr>
      </w:pPr>
    </w:p>
    <w:p>
      <w:pPr>
        <w:jc w:val="both"/>
        <w:ind w:left="1480" w:hanging="355"/>
        <w:spacing w:after="0" w:line="247" w:lineRule="auto"/>
        <w:tabs>
          <w:tab w:leader="none" w:pos="14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As of the Termination Date, Consultant holds stock options (the “</w:t>
      </w:r>
      <w:r>
        <w:rPr>
          <w:rFonts w:ascii="Times New Roman" w:cs="Times New Roman" w:eastAsia="Times New Roman" w:hAnsi="Times New Roman"/>
          <w:sz w:val="20"/>
          <w:szCs w:val="20"/>
          <w:b w:val="1"/>
          <w:bCs w:val="1"/>
          <w:i w:val="1"/>
          <w:iCs w:val="1"/>
          <w:color w:val="auto"/>
        </w:rPr>
        <w:t>Stock Options</w:t>
      </w:r>
      <w:r>
        <w:rPr>
          <w:rFonts w:ascii="Times New Roman" w:cs="Times New Roman" w:eastAsia="Times New Roman" w:hAnsi="Times New Roman"/>
          <w:sz w:val="20"/>
          <w:szCs w:val="20"/>
          <w:color w:val="auto"/>
        </w:rPr>
        <w:t>”) to purchase shares of the Company’s common stock issued to Consultant by the Company pursuant to certain stock option agreements (the “</w:t>
      </w:r>
      <w:r>
        <w:rPr>
          <w:rFonts w:ascii="Times New Roman" w:cs="Times New Roman" w:eastAsia="Times New Roman" w:hAnsi="Times New Roman"/>
          <w:sz w:val="20"/>
          <w:szCs w:val="20"/>
          <w:b w:val="1"/>
          <w:bCs w:val="1"/>
          <w:i w:val="1"/>
          <w:iCs w:val="1"/>
          <w:color w:val="auto"/>
        </w:rPr>
        <w:t>Stock Option Agreements</w:t>
      </w:r>
      <w:r>
        <w:rPr>
          <w:rFonts w:ascii="Times New Roman" w:cs="Times New Roman" w:eastAsia="Times New Roman" w:hAnsi="Times New Roman"/>
          <w:sz w:val="20"/>
          <w:szCs w:val="20"/>
          <w:color w:val="auto"/>
        </w:rPr>
        <w:t>”). During the Term, Consultant’s Stock Options will continue to vest in accordance with the existing vesting schedules set forth in the applicable Stock Option Agreements pursuant to which such Stock Options were granted.</w:t>
      </w:r>
    </w:p>
    <w:p>
      <w:pPr>
        <w:spacing w:after="0" w:line="170"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w:t>
      </w:r>
    </w:p>
    <w:p>
      <w:pPr>
        <w:spacing w:after="0" w:line="215" w:lineRule="exact"/>
        <w:rPr>
          <w:rFonts w:ascii="Times New Roman" w:cs="Times New Roman" w:eastAsia="Times New Roman" w:hAnsi="Times New Roman"/>
          <w:sz w:val="20"/>
          <w:szCs w:val="20"/>
          <w:color w:val="auto"/>
        </w:rPr>
      </w:pPr>
    </w:p>
    <w:p>
      <w:pPr>
        <w:jc w:val="both"/>
        <w:ind w:left="2240" w:hanging="366"/>
        <w:spacing w:after="0" w:line="254" w:lineRule="auto"/>
        <w:tabs>
          <w:tab w:leader="none" w:pos="2240"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the Company terminates this Agreement prior to the then-applicable Expiration Date other than for Cause, (b) Consultant terminates this Agreement prior to the then-applicable Expiration Date as a result of the Company’s material breach of any material provision of this Agreement, which breach remains uncured for a period of thirty (30) days after Consultant has provided written notice of such material breach to the Company, or (c) the then-current Term terminates as a result of Consultant’s death or Disability, then (i) the vesting of such number of Stock Options as would have vested on or prior to the Extended Expiration Date in accordance with the vesting schedules set forth in the Stock Option Agreements shall vest on an accelerated basis (the “</w:t>
      </w:r>
      <w:r>
        <w:rPr>
          <w:rFonts w:ascii="Times New Roman" w:cs="Times New Roman" w:eastAsia="Times New Roman" w:hAnsi="Times New Roman"/>
          <w:sz w:val="19"/>
          <w:szCs w:val="19"/>
          <w:b w:val="1"/>
          <w:bCs w:val="1"/>
          <w:i w:val="1"/>
          <w:iCs w:val="1"/>
          <w:color w:val="auto"/>
        </w:rPr>
        <w:t>Qualifying Termination Accelerated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Options</w:t>
      </w:r>
      <w:r>
        <w:rPr>
          <w:rFonts w:ascii="Times New Roman" w:cs="Times New Roman" w:eastAsia="Times New Roman" w:hAnsi="Times New Roman"/>
          <w:sz w:val="19"/>
          <w:szCs w:val="19"/>
          <w:color w:val="auto"/>
        </w:rPr>
        <w:t>”), and (ii) all of Consultant’s vested Stock Options as of termination of the Services under this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Agreement (after giving effect to any Qualifying Termination Accelerated Options vesting set forth in this paragraph) may be exercised by Consultant until the date that is three (3) months following the</w:t>
      </w:r>
    </w:p>
    <w:p>
      <w:pPr>
        <w:spacing w:after="0" w:line="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Extended Expiration Date;</w:t>
      </w: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459105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395" w:right="719" w:bottom="1440" w:gutter="0" w:footer="0" w:header="0"/>
        </w:sectPr>
      </w:pPr>
    </w:p>
    <w:bookmarkStart w:id="58" w:name="page59"/>
    <w:bookmarkEnd w:id="58"/>
    <w:p>
      <w:pPr>
        <w:spacing w:after="0" w:line="95" w:lineRule="exact"/>
        <w:rPr>
          <w:sz w:val="20"/>
          <w:szCs w:val="20"/>
          <w:color w:val="auto"/>
        </w:rPr>
      </w:pPr>
    </w:p>
    <w:p>
      <w:pPr>
        <w:jc w:val="both"/>
        <w:ind w:left="1500" w:hanging="366"/>
        <w:spacing w:after="0" w:line="243" w:lineRule="auto"/>
        <w:tabs>
          <w:tab w:leader="none" w:pos="15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Consultant terminates this Agreement prior to February 16, 2026 and such termination is not as a result of the Company’s material breach of this Agreement (as set forth in clause (b) of the preceding paragraph), then (a) the vesting of such number of Stock Options as would have vested on or prior to February 16, 2026 in accordance with the vesting schedules set forth in the Stock Option Agreements shall vest on an accelerated basis (the “</w:t>
      </w:r>
      <w:r>
        <w:rPr>
          <w:rFonts w:ascii="Times New Roman" w:cs="Times New Roman" w:eastAsia="Times New Roman" w:hAnsi="Times New Roman"/>
          <w:sz w:val="20"/>
          <w:szCs w:val="20"/>
          <w:b w:val="1"/>
          <w:bCs w:val="1"/>
          <w:i w:val="1"/>
          <w:iCs w:val="1"/>
          <w:color w:val="auto"/>
        </w:rPr>
        <w:t>Non-Qualifying Termination Accelerated Options</w:t>
      </w:r>
      <w:r>
        <w:rPr>
          <w:rFonts w:ascii="Times New Roman" w:cs="Times New Roman" w:eastAsia="Times New Roman" w:hAnsi="Times New Roman"/>
          <w:sz w:val="20"/>
          <w:szCs w:val="20"/>
          <w:color w:val="auto"/>
        </w:rPr>
        <w:t>”), and (ii) all of Consultant’s vested Stock Options as of the termination of Services under this Agreement (after giving effect to any Non-Qualifying Termination Accelerated Options vesting set forth in this paragraph) may be exercised by Consultant until May 16, 2026; and</w:t>
      </w:r>
    </w:p>
    <w:p>
      <w:pPr>
        <w:spacing w:after="0" w:line="189" w:lineRule="exact"/>
        <w:rPr>
          <w:rFonts w:ascii="Times New Roman" w:cs="Times New Roman" w:eastAsia="Times New Roman" w:hAnsi="Times New Roman"/>
          <w:sz w:val="20"/>
          <w:szCs w:val="20"/>
          <w:color w:val="auto"/>
        </w:rPr>
      </w:pPr>
    </w:p>
    <w:p>
      <w:pPr>
        <w:jc w:val="both"/>
        <w:ind w:left="1500" w:hanging="366"/>
        <w:spacing w:after="0" w:line="249" w:lineRule="auto"/>
        <w:tabs>
          <w:tab w:leader="none" w:pos="15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Control (as defined in the Plan) occurs prior to the then-applicable Expiration Date, then the vesting of such number of Stock Options as would have vested on or prior to the Extended Expiration Date in accordance with the vesting schedules set forth in the Stock Option Agreements shall vest on an accelerated basis on the date of such Change in Control.</w:t>
      </w:r>
    </w:p>
    <w:p>
      <w:pPr>
        <w:spacing w:after="0" w:line="180"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For example, if the Company terminates this Agreement on September 30, 2025 other than for Cause, Consultant will vest in the Stock Options that would have vested on or prior to May 16, 2027 (the Extended Expiration Date) in accordance with the vesting schedules set forth in the Stock Option Agreements and all of Consultant’s vested Stock Options will remain exercisable through August 16, 2027 (the date that is three (3) months following the Extended Expiration Date).</w:t>
      </w:r>
    </w:p>
    <w:p>
      <w:pPr>
        <w:spacing w:after="0" w:line="185"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For a further example, if the Agreement expires on May 16, 2026 without further extension by Consultant, no additional Stock Options will vest and Consultant’s vested Stock Options will remain exercisable through August 16, 2026. Any unvested Stock Options then held by Consultant that would have vested during the Extended Term will be cancelled and forfeited as of the termination date.</w:t>
      </w:r>
    </w:p>
    <w:p>
      <w:pPr>
        <w:spacing w:after="0" w:line="180" w:lineRule="exact"/>
        <w:rPr>
          <w:sz w:val="20"/>
          <w:szCs w:val="20"/>
          <w:color w:val="auto"/>
        </w:rPr>
      </w:pPr>
    </w:p>
    <w:p>
      <w:pPr>
        <w:jc w:val="both"/>
        <w:ind w:left="760"/>
        <w:spacing w:after="0" w:line="269" w:lineRule="auto"/>
        <w:rPr>
          <w:sz w:val="20"/>
          <w:szCs w:val="20"/>
          <w:color w:val="auto"/>
        </w:rPr>
      </w:pPr>
      <w:r>
        <w:rPr>
          <w:rFonts w:ascii="Times New Roman" w:cs="Times New Roman" w:eastAsia="Times New Roman" w:hAnsi="Times New Roman"/>
          <w:sz w:val="20"/>
          <w:szCs w:val="20"/>
          <w:color w:val="auto"/>
        </w:rPr>
        <w:t>Except as specifically provided above, Consultant’s Stock Options shall remain subject to the terms of the Plan and the Stock Option Agreements pursuant to which such Stock Options were granted.</w:t>
      </w:r>
    </w:p>
    <w:p>
      <w:pPr>
        <w:spacing w:after="0" w:line="155" w:lineRule="exact"/>
        <w:rPr>
          <w:sz w:val="20"/>
          <w:szCs w:val="20"/>
          <w:color w:val="auto"/>
        </w:rPr>
      </w:pPr>
    </w:p>
    <w:p>
      <w:pPr>
        <w:jc w:val="both"/>
        <w:ind w:left="740" w:hanging="355"/>
        <w:spacing w:after="0" w:line="250" w:lineRule="auto"/>
        <w:tabs>
          <w:tab w:leader="none" w:pos="7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As of the Termination Date, Consultant holds restricted stock units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with respect to shares of the Company’s common stock issued to Consultant by the Company pursuant to certain RSU agreements (the “</w:t>
      </w:r>
      <w:r>
        <w:rPr>
          <w:rFonts w:ascii="Times New Roman" w:cs="Times New Roman" w:eastAsia="Times New Roman" w:hAnsi="Times New Roman"/>
          <w:sz w:val="20"/>
          <w:szCs w:val="20"/>
          <w:b w:val="1"/>
          <w:bCs w:val="1"/>
          <w:i w:val="1"/>
          <w:iCs w:val="1"/>
          <w:color w:val="auto"/>
        </w:rPr>
        <w:t>RSU Agreements</w:t>
      </w:r>
      <w:r>
        <w:rPr>
          <w:rFonts w:ascii="Times New Roman" w:cs="Times New Roman" w:eastAsia="Times New Roman" w:hAnsi="Times New Roman"/>
          <w:sz w:val="20"/>
          <w:szCs w:val="20"/>
          <w:color w:val="auto"/>
        </w:rPr>
        <w:t>”). During the Term, the RSUs will continue to vest in accordance with the existing vesting schedules set forth in the applicable RSU Agreements pursuant to which such RSUs were granted.</w:t>
      </w:r>
    </w:p>
    <w:p>
      <w:pPr>
        <w:spacing w:after="0" w:line="193"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w:t>
      </w:r>
    </w:p>
    <w:p>
      <w:pPr>
        <w:spacing w:after="0" w:line="215" w:lineRule="exact"/>
        <w:rPr>
          <w:rFonts w:ascii="Times New Roman" w:cs="Times New Roman" w:eastAsia="Times New Roman" w:hAnsi="Times New Roman"/>
          <w:sz w:val="20"/>
          <w:szCs w:val="20"/>
          <w:color w:val="auto"/>
        </w:rPr>
      </w:pPr>
    </w:p>
    <w:p>
      <w:pPr>
        <w:jc w:val="both"/>
        <w:ind w:left="1500" w:hanging="366"/>
        <w:spacing w:after="0" w:line="249" w:lineRule="auto"/>
        <w:tabs>
          <w:tab w:leader="none" w:pos="15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the Company terminates this Agreement prior to the then-applicable Expiration Date other than for Cause, (b) Consultant terminates this Agreement prior to the then-applicable Expiration Date as a result of the Company’s material breach of any material provision of this Agreement, which breach remains uncured</w:t>
      </w:r>
    </w:p>
    <w:p>
      <w:pPr>
        <w:spacing w:after="0" w:line="31" w:lineRule="exact"/>
        <w:rPr>
          <w:rFonts w:ascii="Times New Roman" w:cs="Times New Roman" w:eastAsia="Times New Roman" w:hAnsi="Times New Roman"/>
          <w:sz w:val="20"/>
          <w:szCs w:val="20"/>
          <w:color w:val="auto"/>
        </w:rPr>
      </w:pPr>
    </w:p>
    <w:p>
      <w:pPr>
        <w:jc w:val="both"/>
        <w:ind w:left="150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period of thirty (30) days after Consultant has provided written notice of such material breach to the Company, or (c) the then-current Term terminates as a result of Consultant’s death or Disability, then the vesting of such number of RSUs as would have vested on or prior to the Extended Expiration Date in accordance with the vesting schedules set forth in the RSU Agreements shall vest on an</w:t>
      </w:r>
    </w:p>
    <w:p>
      <w:pPr>
        <w:ind w:left="1500"/>
        <w:spacing w:after="0"/>
        <w:rPr>
          <w:sz w:val="20"/>
          <w:szCs w:val="20"/>
          <w:color w:val="auto"/>
        </w:rPr>
      </w:pPr>
      <w:r>
        <w:rPr>
          <w:rFonts w:ascii="Times New Roman" w:cs="Times New Roman" w:eastAsia="Times New Roman" w:hAnsi="Times New Roman"/>
          <w:sz w:val="20"/>
          <w:szCs w:val="20"/>
          <w:color w:val="auto"/>
        </w:rPr>
        <w:t>accelerated basis;</w:t>
      </w:r>
    </w:p>
    <w:p>
      <w:pPr>
        <w:ind w:left="4400"/>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450215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59" w:name="page60"/>
    <w:bookmarkEnd w:id="59"/>
    <w:p>
      <w:pPr>
        <w:spacing w:after="0" w:line="95" w:lineRule="exact"/>
        <w:rPr>
          <w:sz w:val="20"/>
          <w:szCs w:val="20"/>
          <w:color w:val="auto"/>
        </w:rPr>
      </w:pPr>
    </w:p>
    <w:p>
      <w:pPr>
        <w:ind w:left="1500" w:hanging="366"/>
        <w:spacing w:after="0" w:line="250" w:lineRule="auto"/>
        <w:tabs>
          <w:tab w:leader="none" w:pos="15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Consultant terminates this Agreement prior to February 28, 2026 for any reason other than the Company’s material breach of this Agreement (as set forth in clause</w:t>
      </w:r>
    </w:p>
    <w:p>
      <w:pPr>
        <w:spacing w:after="0" w:line="1" w:lineRule="exact"/>
        <w:rPr>
          <w:rFonts w:ascii="Times New Roman" w:cs="Times New Roman" w:eastAsia="Times New Roman" w:hAnsi="Times New Roman"/>
          <w:sz w:val="20"/>
          <w:szCs w:val="20"/>
          <w:color w:val="auto"/>
        </w:rPr>
      </w:pPr>
    </w:p>
    <w:p>
      <w:pPr>
        <w:jc w:val="both"/>
        <w:ind w:left="1500" w:firstLine="7"/>
        <w:spacing w:after="0" w:line="242" w:lineRule="auto"/>
        <w:tabs>
          <w:tab w:leader="none" w:pos="1791"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preceding paragraph), then the vesting of such number of RSUs as would have vested on or prior to February 28, 2026 in accordance with the vesting schedules set forth in the RSU Agreements shall vest on an accelerated basis; and</w:t>
      </w:r>
    </w:p>
    <w:p>
      <w:pPr>
        <w:spacing w:after="0" w:line="186" w:lineRule="exact"/>
        <w:rPr>
          <w:rFonts w:ascii="Times New Roman" w:cs="Times New Roman" w:eastAsia="Times New Roman" w:hAnsi="Times New Roman"/>
          <w:sz w:val="20"/>
          <w:szCs w:val="20"/>
          <w:color w:val="auto"/>
        </w:rPr>
      </w:pPr>
    </w:p>
    <w:p>
      <w:pPr>
        <w:jc w:val="both"/>
        <w:ind w:left="1500" w:hanging="366"/>
        <w:spacing w:after="0" w:line="249" w:lineRule="auto"/>
        <w:tabs>
          <w:tab w:leader="none" w:pos="15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Control occurs prior to the then-applicable Expiration Date, then the vesting of such number of RSUs as would have vested on or prior to the Extended Expiration Date in accordance with the vesting schedules set forth in the RSU Agreements shall vest on an accelerated basis on the date of such Change in Control.</w:t>
      </w:r>
    </w:p>
    <w:p>
      <w:pPr>
        <w:spacing w:after="0" w:line="180"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For example, if the Company terminates this Agreement on September 30, 2025 other than for Cause, Consultant will vest in the RSUs that would have vested on or prior to May 16, 2027 (the Extended Expiration Date) in accordance with the vesting schedules set forth in the RSU Agreements.</w:t>
      </w:r>
    </w:p>
    <w:p>
      <w:pPr>
        <w:spacing w:after="0" w:line="174"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For a further example, if the Agreement expires on May 16, 2026 without further extension by Consultant, no additional RSUs will vest. Any unvested RSUs then held by Consultant that would have vested during the Extended Term will be cancelled and forfeited as of the termination date.</w:t>
      </w:r>
    </w:p>
    <w:p>
      <w:pPr>
        <w:spacing w:after="0" w:line="174" w:lineRule="exact"/>
        <w:rPr>
          <w:sz w:val="20"/>
          <w:szCs w:val="20"/>
          <w:color w:val="auto"/>
        </w:rPr>
      </w:pPr>
    </w:p>
    <w:p>
      <w:pPr>
        <w:jc w:val="both"/>
        <w:ind w:left="760"/>
        <w:spacing w:after="0" w:line="269" w:lineRule="auto"/>
        <w:rPr>
          <w:sz w:val="20"/>
          <w:szCs w:val="20"/>
          <w:color w:val="auto"/>
        </w:rPr>
      </w:pPr>
      <w:r>
        <w:rPr>
          <w:rFonts w:ascii="Times New Roman" w:cs="Times New Roman" w:eastAsia="Times New Roman" w:hAnsi="Times New Roman"/>
          <w:sz w:val="20"/>
          <w:szCs w:val="20"/>
          <w:color w:val="auto"/>
        </w:rPr>
        <w:t>Except as specifically provided above, Consultant’s RSUs shall remain subject to the terms of the Plan and the RSU agreements pursuant to which such RSUs were granted.</w:t>
      </w:r>
    </w:p>
    <w:p>
      <w:pPr>
        <w:spacing w:after="0" w:line="173" w:lineRule="exact"/>
        <w:rPr>
          <w:sz w:val="20"/>
          <w:szCs w:val="20"/>
          <w:color w:val="auto"/>
        </w:rPr>
      </w:pPr>
    </w:p>
    <w:p>
      <w:pPr>
        <w:ind w:left="740" w:hanging="355"/>
        <w:spacing w:after="0" w:line="250"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this Agreement, any unvested Stock Options and RSUs then held by Consultant that do not accelerate as provided above shall be cancelled and forfeited on the date of termination.</w:t>
      </w:r>
    </w:p>
    <w:p>
      <w:pPr>
        <w:spacing w:after="0" w:line="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450215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20"/>
          <w:szCs w:val="20"/>
          <w:b w:val="1"/>
          <w:bCs w:val="1"/>
          <w:color w:val="auto"/>
        </w:rPr>
        <w:t>Exhibit B</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Older Worker Benefit Protection Act Disclosure</w:t>
      </w:r>
    </w:p>
    <w:p>
      <w:pPr>
        <w:spacing w:after="0" w:line="204" w:lineRule="exact"/>
        <w:rPr>
          <w:sz w:val="20"/>
          <w:szCs w:val="20"/>
          <w:color w:val="auto"/>
        </w:rPr>
      </w:pPr>
    </w:p>
    <w:p>
      <w:pPr>
        <w:jc w:val="both"/>
        <w:ind w:left="20" w:right="20"/>
        <w:spacing w:after="0" w:line="237" w:lineRule="auto"/>
        <w:rPr>
          <w:sz w:val="20"/>
          <w:szCs w:val="20"/>
          <w:color w:val="auto"/>
        </w:rPr>
      </w:pPr>
      <w:r>
        <w:rPr>
          <w:rFonts w:ascii="Arial" w:cs="Arial" w:eastAsia="Arial" w:hAnsi="Arial"/>
          <w:sz w:val="20"/>
          <w:szCs w:val="20"/>
          <w:color w:val="auto"/>
        </w:rPr>
        <w:t>For your information, and to assist you in deciding whether to sign the Separation Agreement and General Release of All Claims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we are providing you with the following information regarding the employment termination program (the “</w:t>
      </w:r>
      <w:r>
        <w:rPr>
          <w:rFonts w:ascii="Arial" w:cs="Arial" w:eastAsia="Arial" w:hAnsi="Arial"/>
          <w:sz w:val="20"/>
          <w:szCs w:val="20"/>
          <w:b w:val="1"/>
          <w:bCs w:val="1"/>
          <w:i w:val="1"/>
          <w:iCs w:val="1"/>
          <w:color w:val="auto"/>
        </w:rPr>
        <w:t>Severance Program</w:t>
      </w:r>
      <w:r>
        <w:rPr>
          <w:rFonts w:ascii="Arial" w:cs="Arial" w:eastAsia="Arial" w:hAnsi="Arial"/>
          <w:sz w:val="20"/>
          <w:szCs w:val="20"/>
          <w:color w:val="auto"/>
        </w:rPr>
        <w:t>”). This disclosure is being provided to you pursuant to the requirements of the Older Workers Benefit Protection Act of 1990.</w:t>
      </w:r>
    </w:p>
    <w:p>
      <w:pPr>
        <w:spacing w:after="0" w:line="170" w:lineRule="exact"/>
        <w:rPr>
          <w:sz w:val="20"/>
          <w:szCs w:val="20"/>
          <w:color w:val="auto"/>
        </w:rPr>
      </w:pPr>
    </w:p>
    <w:p>
      <w:pPr>
        <w:jc w:val="both"/>
        <w:ind w:left="20" w:right="20"/>
        <w:spacing w:after="0" w:line="242" w:lineRule="auto"/>
        <w:rPr>
          <w:sz w:val="20"/>
          <w:szCs w:val="20"/>
          <w:color w:val="auto"/>
        </w:rPr>
      </w:pPr>
      <w:r>
        <w:rPr>
          <w:rFonts w:ascii="Arial" w:cs="Arial" w:eastAsia="Arial" w:hAnsi="Arial"/>
          <w:sz w:val="20"/>
          <w:szCs w:val="20"/>
          <w:b w:val="1"/>
          <w:bCs w:val="1"/>
          <w:color w:val="auto"/>
        </w:rPr>
        <w:t xml:space="preserve">Decisional Unit: </w:t>
      </w:r>
      <w:r>
        <w:rPr>
          <w:rFonts w:ascii="Arial" w:cs="Arial" w:eastAsia="Arial" w:hAnsi="Arial"/>
          <w:sz w:val="20"/>
          <w:szCs w:val="20"/>
          <w:color w:val="auto"/>
        </w:rPr>
        <w:t>The group of individuals identified in this disclosure, referred to by federal law as the “Decisional Unit,”</w:t>
      </w:r>
      <w:r>
        <w:rPr>
          <w:rFonts w:ascii="Arial" w:cs="Arial" w:eastAsia="Arial" w:hAnsi="Arial"/>
          <w:sz w:val="20"/>
          <w:szCs w:val="20"/>
          <w:b w:val="1"/>
          <w:bCs w:val="1"/>
          <w:color w:val="auto"/>
        </w:rPr>
        <w:t xml:space="preserve"> </w:t>
      </w:r>
      <w:r>
        <w:rPr>
          <w:rFonts w:ascii="Arial" w:cs="Arial" w:eastAsia="Arial" w:hAnsi="Arial"/>
          <w:sz w:val="20"/>
          <w:szCs w:val="20"/>
          <w:color w:val="auto"/>
        </w:rPr>
        <w:t>consists of all individuals employed by Phathom Pharmaceuticals,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in non-field based roles, as of April 30, 2025.</w:t>
      </w:r>
    </w:p>
    <w:p>
      <w:pPr>
        <w:spacing w:after="0" w:line="182" w:lineRule="exact"/>
        <w:rPr>
          <w:sz w:val="20"/>
          <w:szCs w:val="20"/>
          <w:color w:val="auto"/>
        </w:rPr>
      </w:pPr>
    </w:p>
    <w:p>
      <w:pPr>
        <w:jc w:val="both"/>
        <w:ind w:left="20"/>
        <w:spacing w:after="0" w:line="233" w:lineRule="auto"/>
        <w:rPr>
          <w:sz w:val="20"/>
          <w:szCs w:val="20"/>
          <w:color w:val="auto"/>
        </w:rPr>
      </w:pPr>
      <w:r>
        <w:rPr>
          <w:rFonts w:ascii="Arial" w:cs="Arial" w:eastAsia="Arial" w:hAnsi="Arial"/>
          <w:sz w:val="20"/>
          <w:szCs w:val="20"/>
          <w:b w:val="1"/>
          <w:bCs w:val="1"/>
          <w:color w:val="auto"/>
        </w:rPr>
        <w:t xml:space="preserve">Eligibility Factors: </w:t>
      </w:r>
      <w:r>
        <w:rPr>
          <w:rFonts w:ascii="Arial" w:cs="Arial" w:eastAsia="Arial" w:hAnsi="Arial"/>
          <w:sz w:val="20"/>
          <w:szCs w:val="20"/>
          <w:color w:val="auto"/>
        </w:rPr>
        <w:t>All employees in the Decisional Unit were eligible for selection for employment termination as part</w:t>
      </w:r>
      <w:r>
        <w:rPr>
          <w:rFonts w:ascii="Arial" w:cs="Arial" w:eastAsia="Arial" w:hAnsi="Arial"/>
          <w:sz w:val="20"/>
          <w:szCs w:val="20"/>
          <w:b w:val="1"/>
          <w:bCs w:val="1"/>
          <w:color w:val="auto"/>
        </w:rPr>
        <w:t xml:space="preserve"> </w:t>
      </w:r>
      <w:r>
        <w:rPr>
          <w:rFonts w:ascii="Arial" w:cs="Arial" w:eastAsia="Arial" w:hAnsi="Arial"/>
          <w:sz w:val="20"/>
          <w:szCs w:val="20"/>
          <w:color w:val="auto"/>
        </w:rPr>
        <w:t>of a reduction in force (the “</w:t>
      </w:r>
      <w:r>
        <w:rPr>
          <w:rFonts w:ascii="Arial" w:cs="Arial" w:eastAsia="Arial" w:hAnsi="Arial"/>
          <w:sz w:val="20"/>
          <w:szCs w:val="20"/>
          <w:b w:val="1"/>
          <w:bCs w:val="1"/>
          <w:i w:val="1"/>
          <w:iCs w:val="1"/>
          <w:color w:val="auto"/>
        </w:rPr>
        <w:t>RIF</w:t>
      </w:r>
      <w:r>
        <w:rPr>
          <w:rFonts w:ascii="Arial" w:cs="Arial" w:eastAsia="Arial" w:hAnsi="Arial"/>
          <w:sz w:val="20"/>
          <w:szCs w:val="20"/>
          <w:color w:val="auto"/>
        </w:rPr>
        <w:t>”). Selection of employees in the Decisional Unit for termination of employment in conjunction with the RIF was based on job criticality. All employees in the Decisional Unit not terminated in conjunction with this RIF, specifically including any employee who obtained another job with the Company, voluntarily quit, resigned, or are involuntarily terminated for any reason other than the RIF, are not eligible to participate in the Severance Program.</w:t>
      </w:r>
    </w:p>
    <w:p>
      <w:pPr>
        <w:spacing w:after="0" w:line="172"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20"/>
          <w:szCs w:val="20"/>
          <w:b w:val="1"/>
          <w:bCs w:val="1"/>
          <w:color w:val="auto"/>
        </w:rPr>
        <w:t xml:space="preserve">Information Current as of April 30, 2025: </w:t>
      </w:r>
      <w:r>
        <w:rPr>
          <w:rFonts w:ascii="Arial" w:cs="Arial" w:eastAsia="Arial" w:hAnsi="Arial"/>
          <w:sz w:val="20"/>
          <w:szCs w:val="20"/>
          <w:color w:val="auto"/>
        </w:rPr>
        <w:t>The information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b w:val="1"/>
          <w:bCs w:val="1"/>
          <w:color w:val="auto"/>
        </w:rPr>
        <w:t xml:space="preserve"> </w:t>
      </w:r>
      <w:r>
        <w:rPr>
          <w:rFonts w:ascii="Arial" w:cs="Arial" w:eastAsia="Arial" w:hAnsi="Arial"/>
          <w:sz w:val="20"/>
          <w:szCs w:val="20"/>
          <w:color w:val="auto"/>
        </w:rPr>
        <w:t>is current as of the date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b w:val="1"/>
          <w:bCs w:val="1"/>
          <w:color w:val="auto"/>
        </w:rPr>
        <w:t xml:space="preserve"> </w:t>
      </w:r>
      <w:r>
        <w:rPr>
          <w:rFonts w:ascii="Arial" w:cs="Arial" w:eastAsia="Arial" w:hAnsi="Arial"/>
          <w:sz w:val="20"/>
          <w:szCs w:val="20"/>
          <w:color w:val="auto"/>
        </w:rPr>
        <w:t>was</w:t>
      </w:r>
      <w:r>
        <w:rPr>
          <w:rFonts w:ascii="Arial" w:cs="Arial" w:eastAsia="Arial" w:hAnsi="Arial"/>
          <w:sz w:val="20"/>
          <w:szCs w:val="20"/>
          <w:b w:val="1"/>
          <w:bCs w:val="1"/>
          <w:color w:val="auto"/>
        </w:rPr>
        <w:t xml:space="preserve"> </w:t>
      </w:r>
      <w:r>
        <w:rPr>
          <w:rFonts w:ascii="Arial" w:cs="Arial" w:eastAsia="Arial" w:hAnsi="Arial"/>
          <w:sz w:val="20"/>
          <w:szCs w:val="20"/>
          <w:color w:val="auto"/>
        </w:rPr>
        <w:t>prepared, but may change between the date of preparation and the final RIF date.</w:t>
      </w:r>
    </w:p>
    <w:p>
      <w:pPr>
        <w:spacing w:after="0" w:line="152" w:lineRule="exact"/>
        <w:rPr>
          <w:sz w:val="20"/>
          <w:szCs w:val="20"/>
          <w:color w:val="auto"/>
        </w:rPr>
      </w:pPr>
    </w:p>
    <w:p>
      <w:pPr>
        <w:jc w:val="both"/>
        <w:ind w:left="20"/>
        <w:spacing w:after="0" w:line="233" w:lineRule="auto"/>
        <w:rPr>
          <w:sz w:val="20"/>
          <w:szCs w:val="20"/>
          <w:color w:val="auto"/>
        </w:rPr>
      </w:pPr>
      <w:r>
        <w:rPr>
          <w:rFonts w:ascii="Arial" w:cs="Arial" w:eastAsia="Arial" w:hAnsi="Arial"/>
          <w:sz w:val="20"/>
          <w:szCs w:val="20"/>
          <w:b w:val="1"/>
          <w:bCs w:val="1"/>
          <w:color w:val="auto"/>
        </w:rPr>
        <w:t xml:space="preserve">Return of Executed Severance Agreement, Waiver and Release: </w:t>
      </w:r>
      <w:r>
        <w:rPr>
          <w:rFonts w:ascii="Arial" w:cs="Arial" w:eastAsia="Arial" w:hAnsi="Arial"/>
          <w:sz w:val="20"/>
          <w:szCs w:val="20"/>
          <w:color w:val="auto"/>
        </w:rPr>
        <w:t>Below is a listing by position and age of all</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in the Decisional Unit, with an indication as to whether they were selected or were not selected for employment termination in conjunction with the RIF. All employees who are forty or older at the time of the RIF and who are being offered severance benefits under the Severance Program must sign and return the Agreement within forty-five (45) days after receiving the Agreement to William Aprea, Senior VP, Legal and Compliance of the Company. Once the Agreement is executed, each of these individuals will have seven (7) days to revoke his/her agreement.</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425"/>
        </w:trPr>
        <w:tc>
          <w:tcPr>
            <w:tcW w:w="3460" w:type="dxa"/>
            <w:vAlign w:val="bottom"/>
            <w:tcBorders>
              <w:top w:val="single" w:sz="8" w:color="auto"/>
              <w:left w:val="single" w:sz="8" w:color="auto"/>
              <w:right w:val="single" w:sz="8" w:color="auto"/>
            </w:tcBorders>
            <w:shd w:val="clear" w:color="auto" w:fill="BDBDBD"/>
          </w:tcPr>
          <w:p>
            <w:pPr>
              <w:spacing w:after="0"/>
              <w:rPr>
                <w:sz w:val="24"/>
                <w:szCs w:val="24"/>
                <w:color w:val="auto"/>
              </w:rPr>
            </w:pPr>
          </w:p>
        </w:tc>
        <w:tc>
          <w:tcPr>
            <w:tcW w:w="1280" w:type="dxa"/>
            <w:vAlign w:val="bottom"/>
            <w:tcBorders>
              <w:top w:val="single" w:sz="8" w:color="auto"/>
              <w:right w:val="single" w:sz="8" w:color="auto"/>
            </w:tcBorders>
            <w:shd w:val="clear" w:color="auto" w:fill="BDBDBD"/>
          </w:tcPr>
          <w:p>
            <w:pPr>
              <w:spacing w:after="0"/>
              <w:rPr>
                <w:sz w:val="24"/>
                <w:szCs w:val="24"/>
                <w:color w:val="auto"/>
              </w:rPr>
            </w:pPr>
          </w:p>
        </w:tc>
        <w:tc>
          <w:tcPr>
            <w:tcW w:w="2900" w:type="dxa"/>
            <w:vAlign w:val="bottom"/>
            <w:tcBorders>
              <w:top w:val="single" w:sz="8" w:color="auto"/>
              <w:right w:val="single" w:sz="8" w:color="auto"/>
            </w:tcBorders>
            <w:shd w:val="clear" w:color="auto" w:fill="BDBDBD"/>
          </w:tcPr>
          <w:p>
            <w:pPr>
              <w:ind w:left="40"/>
              <w:spacing w:after="0"/>
              <w:rPr>
                <w:sz w:val="20"/>
                <w:szCs w:val="20"/>
                <w:color w:val="auto"/>
              </w:rPr>
            </w:pPr>
            <w:r>
              <w:rPr>
                <w:rFonts w:ascii="Arial" w:cs="Arial" w:eastAsia="Arial" w:hAnsi="Arial"/>
                <w:sz w:val="20"/>
                <w:szCs w:val="20"/>
                <w:b w:val="1"/>
                <w:bCs w:val="1"/>
                <w:color w:val="auto"/>
              </w:rPr>
              <w:t>Selected for Termination and</w:t>
            </w:r>
          </w:p>
        </w:tc>
        <w:tc>
          <w:tcPr>
            <w:tcW w:w="2820" w:type="dxa"/>
            <w:vAlign w:val="bottom"/>
            <w:tcBorders>
              <w:top w:val="single" w:sz="8" w:color="auto"/>
              <w:right w:val="single" w:sz="8" w:color="auto"/>
            </w:tcBorders>
            <w:vMerge w:val="restart"/>
            <w:shd w:val="clear" w:color="auto" w:fill="BDBDBD"/>
          </w:tcPr>
          <w:p>
            <w:pPr>
              <w:ind w:left="100"/>
              <w:spacing w:after="0"/>
              <w:rPr>
                <w:sz w:val="20"/>
                <w:szCs w:val="20"/>
                <w:color w:val="auto"/>
              </w:rPr>
            </w:pPr>
            <w:r>
              <w:rPr>
                <w:rFonts w:ascii="Arial" w:cs="Arial" w:eastAsia="Arial" w:hAnsi="Arial"/>
                <w:sz w:val="20"/>
                <w:szCs w:val="20"/>
                <w:b w:val="1"/>
                <w:bCs w:val="1"/>
                <w:color w:val="auto"/>
              </w:rPr>
              <w:t>Not Selected for</w:t>
            </w:r>
          </w:p>
        </w:tc>
        <w:tc>
          <w:tcPr>
            <w:tcW w:w="0" w:type="dxa"/>
            <w:vAlign w:val="bottom"/>
          </w:tcPr>
          <w:p>
            <w:pPr>
              <w:spacing w:after="0"/>
              <w:rPr>
                <w:sz w:val="1"/>
                <w:szCs w:val="1"/>
                <w:color w:val="auto"/>
              </w:rPr>
            </w:pPr>
          </w:p>
        </w:tc>
      </w:tr>
      <w:tr>
        <w:trPr>
          <w:trHeight w:val="216"/>
        </w:trPr>
        <w:tc>
          <w:tcPr>
            <w:tcW w:w="3460" w:type="dxa"/>
            <w:vAlign w:val="bottom"/>
            <w:tcBorders>
              <w:left w:val="single" w:sz="8" w:color="auto"/>
              <w:right w:val="single" w:sz="8" w:color="auto"/>
            </w:tcBorders>
            <w:vMerge w:val="restart"/>
            <w:shd w:val="clear" w:color="auto" w:fill="BDBDBD"/>
          </w:tcPr>
          <w:p>
            <w:pPr>
              <w:ind w:left="60"/>
              <w:spacing w:after="0"/>
              <w:rPr>
                <w:sz w:val="20"/>
                <w:szCs w:val="20"/>
                <w:color w:val="auto"/>
              </w:rPr>
            </w:pPr>
            <w:r>
              <w:rPr>
                <w:rFonts w:ascii="Arial" w:cs="Arial" w:eastAsia="Arial" w:hAnsi="Arial"/>
                <w:sz w:val="20"/>
                <w:szCs w:val="20"/>
                <w:b w:val="1"/>
                <w:bCs w:val="1"/>
                <w:color w:val="auto"/>
              </w:rPr>
              <w:t>Job Title</w:t>
            </w:r>
          </w:p>
        </w:tc>
        <w:tc>
          <w:tcPr>
            <w:tcW w:w="1280" w:type="dxa"/>
            <w:vAlign w:val="bottom"/>
            <w:tcBorders>
              <w:right w:val="single" w:sz="8" w:color="auto"/>
            </w:tcBorders>
            <w:vMerge w:val="restart"/>
            <w:shd w:val="clear" w:color="auto" w:fill="BDBDBD"/>
          </w:tcPr>
          <w:p>
            <w:pPr>
              <w:jc w:val="right"/>
              <w:ind w:right="854"/>
              <w:spacing w:after="0"/>
              <w:rPr>
                <w:sz w:val="20"/>
                <w:szCs w:val="20"/>
                <w:color w:val="auto"/>
              </w:rPr>
            </w:pPr>
            <w:r>
              <w:rPr>
                <w:rFonts w:ascii="Arial" w:cs="Arial" w:eastAsia="Arial" w:hAnsi="Arial"/>
                <w:sz w:val="20"/>
                <w:szCs w:val="20"/>
                <w:b w:val="1"/>
                <w:bCs w:val="1"/>
                <w:color w:val="auto"/>
                <w:w w:val="84"/>
              </w:rPr>
              <w:t>Age</w:t>
            </w:r>
          </w:p>
        </w:tc>
        <w:tc>
          <w:tcPr>
            <w:tcW w:w="2900" w:type="dxa"/>
            <w:vAlign w:val="bottom"/>
            <w:tcBorders>
              <w:right w:val="single" w:sz="8" w:color="auto"/>
            </w:tcBorders>
            <w:shd w:val="clear" w:color="auto" w:fill="BDBDBD"/>
          </w:tcPr>
          <w:p>
            <w:pPr>
              <w:ind w:left="40"/>
              <w:spacing w:after="0" w:line="216" w:lineRule="exact"/>
              <w:rPr>
                <w:sz w:val="20"/>
                <w:szCs w:val="20"/>
                <w:color w:val="auto"/>
              </w:rPr>
            </w:pPr>
            <w:r>
              <w:rPr>
                <w:rFonts w:ascii="Arial" w:cs="Arial" w:eastAsia="Arial" w:hAnsi="Arial"/>
                <w:sz w:val="20"/>
                <w:szCs w:val="20"/>
                <w:b w:val="1"/>
                <w:bCs w:val="1"/>
                <w:color w:val="auto"/>
              </w:rPr>
              <w:t>Eligible for Severance</w:t>
            </w:r>
          </w:p>
        </w:tc>
        <w:tc>
          <w:tcPr>
            <w:tcW w:w="2820" w:type="dxa"/>
            <w:vAlign w:val="bottom"/>
            <w:tcBorders>
              <w:right w:val="single" w:sz="8" w:color="auto"/>
            </w:tcBorders>
            <w:vMerge w:val="continue"/>
            <w:shd w:val="clear" w:color="auto" w:fill="BDBDBD"/>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460" w:type="dxa"/>
            <w:vAlign w:val="bottom"/>
            <w:tcBorders>
              <w:left w:val="single" w:sz="8" w:color="auto"/>
              <w:right w:val="single" w:sz="8" w:color="auto"/>
            </w:tcBorders>
            <w:vMerge w:val="continue"/>
            <w:shd w:val="clear" w:color="auto" w:fill="BDBDBD"/>
          </w:tcPr>
          <w:p>
            <w:pPr>
              <w:spacing w:after="0"/>
              <w:rPr>
                <w:sz w:val="15"/>
                <w:szCs w:val="15"/>
                <w:color w:val="auto"/>
              </w:rPr>
            </w:pPr>
          </w:p>
        </w:tc>
        <w:tc>
          <w:tcPr>
            <w:tcW w:w="1280" w:type="dxa"/>
            <w:vAlign w:val="bottom"/>
            <w:tcBorders>
              <w:right w:val="single" w:sz="8" w:color="auto"/>
            </w:tcBorders>
            <w:vMerge w:val="continue"/>
            <w:shd w:val="clear" w:color="auto" w:fill="BDBDBD"/>
          </w:tcPr>
          <w:p>
            <w:pPr>
              <w:spacing w:after="0"/>
              <w:rPr>
                <w:sz w:val="15"/>
                <w:szCs w:val="15"/>
                <w:color w:val="auto"/>
              </w:rPr>
            </w:pPr>
          </w:p>
        </w:tc>
        <w:tc>
          <w:tcPr>
            <w:tcW w:w="2900" w:type="dxa"/>
            <w:vAlign w:val="bottom"/>
            <w:tcBorders>
              <w:right w:val="single" w:sz="8" w:color="auto"/>
            </w:tcBorders>
            <w:vMerge w:val="restart"/>
            <w:shd w:val="clear" w:color="auto" w:fill="BDBDBD"/>
          </w:tcPr>
          <w:p>
            <w:pPr>
              <w:ind w:left="40"/>
              <w:spacing w:after="0"/>
              <w:rPr>
                <w:sz w:val="20"/>
                <w:szCs w:val="20"/>
                <w:color w:val="auto"/>
              </w:rPr>
            </w:pPr>
            <w:r>
              <w:rPr>
                <w:rFonts w:ascii="Arial" w:cs="Arial" w:eastAsia="Arial" w:hAnsi="Arial"/>
                <w:sz w:val="20"/>
                <w:szCs w:val="20"/>
                <w:b w:val="1"/>
                <w:bCs w:val="1"/>
                <w:color w:val="auto"/>
              </w:rPr>
              <w:t>Program</w:t>
            </w:r>
          </w:p>
        </w:tc>
        <w:tc>
          <w:tcPr>
            <w:tcW w:w="2820" w:type="dxa"/>
            <w:vAlign w:val="bottom"/>
            <w:tcBorders>
              <w:right w:val="single" w:sz="8" w:color="auto"/>
            </w:tcBorders>
            <w:vMerge w:val="restart"/>
            <w:shd w:val="clear" w:color="auto" w:fill="BDBDBD"/>
          </w:tcPr>
          <w:p>
            <w:pPr>
              <w:ind w:left="160"/>
              <w:spacing w:after="0"/>
              <w:rPr>
                <w:sz w:val="20"/>
                <w:szCs w:val="20"/>
                <w:color w:val="auto"/>
              </w:rPr>
            </w:pPr>
            <w:r>
              <w:rPr>
                <w:rFonts w:ascii="Arial" w:cs="Arial" w:eastAsia="Arial" w:hAnsi="Arial"/>
                <w:sz w:val="20"/>
                <w:szCs w:val="20"/>
                <w:b w:val="1"/>
                <w:bCs w:val="1"/>
                <w:color w:val="auto"/>
              </w:rPr>
              <w:t>Termination</w:t>
            </w:r>
          </w:p>
        </w:tc>
        <w:tc>
          <w:tcPr>
            <w:tcW w:w="0" w:type="dxa"/>
            <w:vAlign w:val="bottom"/>
          </w:tcPr>
          <w:p>
            <w:pPr>
              <w:spacing w:after="0"/>
              <w:rPr>
                <w:sz w:val="1"/>
                <w:szCs w:val="1"/>
                <w:color w:val="auto"/>
              </w:rPr>
            </w:pPr>
          </w:p>
        </w:tc>
      </w:tr>
      <w:tr>
        <w:trPr>
          <w:trHeight w:val="95"/>
        </w:trPr>
        <w:tc>
          <w:tcPr>
            <w:tcW w:w="3460" w:type="dxa"/>
            <w:vAlign w:val="bottom"/>
            <w:tcBorders>
              <w:left w:val="single" w:sz="8" w:color="auto"/>
              <w:right w:val="single" w:sz="8" w:color="auto"/>
            </w:tcBorders>
            <w:shd w:val="clear" w:color="auto" w:fill="BDBDBD"/>
          </w:tcPr>
          <w:p>
            <w:pPr>
              <w:spacing w:after="0"/>
              <w:rPr>
                <w:sz w:val="8"/>
                <w:szCs w:val="8"/>
                <w:color w:val="auto"/>
              </w:rPr>
            </w:pPr>
          </w:p>
        </w:tc>
        <w:tc>
          <w:tcPr>
            <w:tcW w:w="1280" w:type="dxa"/>
            <w:vAlign w:val="bottom"/>
            <w:tcBorders>
              <w:right w:val="single" w:sz="8" w:color="auto"/>
            </w:tcBorders>
            <w:shd w:val="clear" w:color="auto" w:fill="BDBDBD"/>
          </w:tcPr>
          <w:p>
            <w:pPr>
              <w:spacing w:after="0"/>
              <w:rPr>
                <w:sz w:val="8"/>
                <w:szCs w:val="8"/>
                <w:color w:val="auto"/>
              </w:rPr>
            </w:pPr>
          </w:p>
        </w:tc>
        <w:tc>
          <w:tcPr>
            <w:tcW w:w="2900" w:type="dxa"/>
            <w:vAlign w:val="bottom"/>
            <w:tcBorders>
              <w:right w:val="single" w:sz="8" w:color="auto"/>
            </w:tcBorders>
            <w:vMerge w:val="continue"/>
            <w:shd w:val="clear" w:color="auto" w:fill="BDBDBD"/>
          </w:tcPr>
          <w:p>
            <w:pPr>
              <w:spacing w:after="0"/>
              <w:rPr>
                <w:sz w:val="8"/>
                <w:szCs w:val="8"/>
                <w:color w:val="auto"/>
              </w:rPr>
            </w:pPr>
          </w:p>
        </w:tc>
        <w:tc>
          <w:tcPr>
            <w:tcW w:w="2820" w:type="dxa"/>
            <w:vAlign w:val="bottom"/>
            <w:tcBorders>
              <w:right w:val="single" w:sz="8" w:color="auto"/>
            </w:tcBorders>
            <w:vMerge w:val="continue"/>
            <w:shd w:val="clear" w:color="auto" w:fill="BDBDBD"/>
          </w:tcPr>
          <w:p>
            <w:pPr>
              <w:spacing w:after="0"/>
              <w:rPr>
                <w:sz w:val="8"/>
                <w:szCs w:val="8"/>
                <w:color w:val="auto"/>
              </w:rPr>
            </w:pPr>
          </w:p>
        </w:tc>
        <w:tc>
          <w:tcPr>
            <w:tcW w:w="0" w:type="dxa"/>
            <w:vAlign w:val="bottom"/>
          </w:tcPr>
          <w:p>
            <w:pPr>
              <w:spacing w:after="0"/>
              <w:rPr>
                <w:sz w:val="1"/>
                <w:szCs w:val="1"/>
                <w:color w:val="auto"/>
              </w:rPr>
            </w:pPr>
          </w:p>
        </w:tc>
      </w:tr>
      <w:tr>
        <w:trPr>
          <w:trHeight w:val="469"/>
        </w:trPr>
        <w:tc>
          <w:tcPr>
            <w:tcW w:w="3460" w:type="dxa"/>
            <w:vAlign w:val="bottom"/>
            <w:tcBorders>
              <w:left w:val="single" w:sz="8" w:color="auto"/>
              <w:bottom w:val="single" w:sz="8" w:color="auto"/>
              <w:right w:val="single" w:sz="8" w:color="auto"/>
            </w:tcBorders>
            <w:shd w:val="clear" w:color="auto" w:fill="BDBDBD"/>
          </w:tcPr>
          <w:p>
            <w:pPr>
              <w:spacing w:after="0"/>
              <w:rPr>
                <w:sz w:val="24"/>
                <w:szCs w:val="24"/>
                <w:color w:val="auto"/>
              </w:rPr>
            </w:pPr>
          </w:p>
        </w:tc>
        <w:tc>
          <w:tcPr>
            <w:tcW w:w="1280" w:type="dxa"/>
            <w:vAlign w:val="bottom"/>
            <w:tcBorders>
              <w:bottom w:val="single" w:sz="8" w:color="auto"/>
              <w:right w:val="single" w:sz="8" w:color="auto"/>
            </w:tcBorders>
            <w:shd w:val="clear" w:color="auto" w:fill="BDBDBD"/>
          </w:tcPr>
          <w:p>
            <w:pPr>
              <w:spacing w:after="0"/>
              <w:rPr>
                <w:sz w:val="24"/>
                <w:szCs w:val="24"/>
                <w:color w:val="auto"/>
              </w:rPr>
            </w:pPr>
          </w:p>
        </w:tc>
        <w:tc>
          <w:tcPr>
            <w:tcW w:w="2900" w:type="dxa"/>
            <w:vAlign w:val="bottom"/>
            <w:tcBorders>
              <w:bottom w:val="single" w:sz="8" w:color="auto"/>
              <w:right w:val="single" w:sz="8" w:color="auto"/>
            </w:tcBorders>
            <w:shd w:val="clear" w:color="auto" w:fill="BDBDBD"/>
          </w:tcPr>
          <w:p>
            <w:pPr>
              <w:spacing w:after="0"/>
              <w:rPr>
                <w:sz w:val="24"/>
                <w:szCs w:val="24"/>
                <w:color w:val="auto"/>
              </w:rPr>
            </w:pPr>
          </w:p>
        </w:tc>
        <w:tc>
          <w:tcPr>
            <w:tcW w:w="2820" w:type="dxa"/>
            <w:vAlign w:val="bottom"/>
            <w:tcBorders>
              <w:bottom w:val="single" w:sz="8" w:color="auto"/>
              <w:right w:val="single" w:sz="8" w:color="auto"/>
            </w:tcBorders>
            <w:shd w:val="clear" w:color="auto" w:fill="BDBDBD"/>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460" w:type="dxa"/>
            <w:vAlign w:val="bottom"/>
            <w:tcBorders>
              <w:left w:val="single" w:sz="8" w:color="auto"/>
              <w:bottom w:val="single" w:sz="8" w:color="auto"/>
              <w:right w:val="single" w:sz="8" w:color="auto"/>
            </w:tcBorders>
          </w:tcPr>
          <w:p>
            <w:pPr>
              <w:ind w:left="60"/>
              <w:spacing w:after="0" w:line="193" w:lineRule="exact"/>
              <w:rPr>
                <w:sz w:val="20"/>
                <w:szCs w:val="20"/>
                <w:color w:val="auto"/>
              </w:rPr>
            </w:pPr>
            <w:r>
              <w:rPr>
                <w:rFonts w:ascii="Arial" w:cs="Arial" w:eastAsia="Arial" w:hAnsi="Arial"/>
                <w:sz w:val="18"/>
                <w:szCs w:val="18"/>
                <w:color w:val="auto"/>
              </w:rPr>
              <w:t>Accounting Manager</w:t>
            </w:r>
          </w:p>
        </w:tc>
        <w:tc>
          <w:tcPr>
            <w:tcW w:w="1280" w:type="dxa"/>
            <w:vAlign w:val="bottom"/>
            <w:tcBorders>
              <w:bottom w:val="single" w:sz="8" w:color="auto"/>
              <w:right w:val="single" w:sz="8" w:color="auto"/>
            </w:tcBorders>
          </w:tcPr>
          <w:p>
            <w:pPr>
              <w:jc w:val="right"/>
              <w:ind w:right="1034"/>
              <w:spacing w:after="0" w:line="193" w:lineRule="exact"/>
              <w:rPr>
                <w:sz w:val="20"/>
                <w:szCs w:val="20"/>
                <w:color w:val="auto"/>
              </w:rPr>
            </w:pPr>
            <w:r>
              <w:rPr>
                <w:rFonts w:ascii="Arial" w:cs="Arial" w:eastAsia="Arial" w:hAnsi="Arial"/>
                <w:sz w:val="17"/>
                <w:szCs w:val="17"/>
                <w:color w:val="auto"/>
                <w:w w:val="73"/>
              </w:rPr>
              <w:t>44</w:t>
            </w:r>
          </w:p>
        </w:tc>
        <w:tc>
          <w:tcPr>
            <w:tcW w:w="2900" w:type="dxa"/>
            <w:vAlign w:val="bottom"/>
            <w:tcBorders>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0"/>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Administrative Assistant</w:t>
            </w:r>
          </w:p>
        </w:tc>
        <w:tc>
          <w:tcPr>
            <w:tcW w:w="1280" w:type="dxa"/>
            <w:vAlign w:val="bottom"/>
            <w:tcBorders>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w w:val="73"/>
              </w:rPr>
              <w:t>60</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Assoc Dir, Clinical Operations</w:t>
            </w:r>
          </w:p>
        </w:tc>
        <w:tc>
          <w:tcPr>
            <w:tcW w:w="1280" w:type="dxa"/>
            <w:vAlign w:val="bottom"/>
            <w:tcBorders>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w w:val="73"/>
              </w:rPr>
              <w:t>53</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460" w:type="dxa"/>
            <w:vAlign w:val="bottom"/>
            <w:tcBorders>
              <w:left w:val="single" w:sz="8" w:color="auto"/>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Assoc Dir, Consumer &amp; Patient</w:t>
            </w:r>
          </w:p>
        </w:tc>
        <w:tc>
          <w:tcPr>
            <w:tcW w:w="1280" w:type="dxa"/>
            <w:vAlign w:val="bottom"/>
            <w:tcBorders>
              <w:right w:val="single" w:sz="8" w:color="auto"/>
            </w:tcBorders>
            <w:vMerge w:val="restart"/>
          </w:tcPr>
          <w:p>
            <w:pPr>
              <w:jc w:val="right"/>
              <w:ind w:right="1034"/>
              <w:spacing w:after="0"/>
              <w:rPr>
                <w:sz w:val="20"/>
                <w:szCs w:val="20"/>
                <w:color w:val="auto"/>
              </w:rPr>
            </w:pPr>
            <w:r>
              <w:rPr>
                <w:rFonts w:ascii="Arial" w:cs="Arial" w:eastAsia="Arial" w:hAnsi="Arial"/>
                <w:sz w:val="17"/>
                <w:szCs w:val="17"/>
                <w:color w:val="auto"/>
                <w:w w:val="73"/>
              </w:rPr>
              <w:t>46</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460" w:type="dxa"/>
            <w:vAlign w:val="bottom"/>
            <w:tcBorders>
              <w:left w:val="single" w:sz="8" w:color="auto"/>
              <w:right w:val="single" w:sz="8" w:color="auto"/>
            </w:tcBorders>
            <w:vMerge w:val="restart"/>
          </w:tcPr>
          <w:p>
            <w:pPr>
              <w:ind w:left="360"/>
              <w:spacing w:after="0"/>
              <w:rPr>
                <w:sz w:val="20"/>
                <w:szCs w:val="20"/>
                <w:color w:val="auto"/>
              </w:rPr>
            </w:pPr>
            <w:r>
              <w:rPr>
                <w:rFonts w:ascii="Arial" w:cs="Arial" w:eastAsia="Arial" w:hAnsi="Arial"/>
                <w:sz w:val="18"/>
                <w:szCs w:val="18"/>
                <w:color w:val="auto"/>
              </w:rPr>
              <w:t>Marketing</w:t>
            </w:r>
          </w:p>
        </w:tc>
        <w:tc>
          <w:tcPr>
            <w:tcW w:w="128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vMerge w:val="continue"/>
          </w:tcPr>
          <w:p>
            <w:pPr>
              <w:spacing w:after="0"/>
              <w:rPr>
                <w:sz w:val="13"/>
                <w:szCs w:val="13"/>
                <w:color w:val="auto"/>
              </w:rPr>
            </w:pPr>
          </w:p>
        </w:tc>
        <w:tc>
          <w:tcPr>
            <w:tcW w:w="2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34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29"/>
        </w:trPr>
        <w:tc>
          <w:tcPr>
            <w:tcW w:w="34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Assoc Dir, Corporate Communications</w:t>
            </w:r>
          </w:p>
        </w:tc>
        <w:tc>
          <w:tcPr>
            <w:tcW w:w="1280" w:type="dxa"/>
            <w:vAlign w:val="bottom"/>
            <w:tcBorders>
              <w:right w:val="single" w:sz="8" w:color="auto"/>
            </w:tcBorders>
          </w:tcPr>
          <w:p>
            <w:pPr>
              <w:jc w:val="right"/>
              <w:ind w:right="1034"/>
              <w:spacing w:after="0"/>
              <w:rPr>
                <w:sz w:val="20"/>
                <w:szCs w:val="20"/>
                <w:color w:val="auto"/>
              </w:rPr>
            </w:pPr>
            <w:r>
              <w:rPr>
                <w:rFonts w:ascii="Arial" w:cs="Arial" w:eastAsia="Arial" w:hAnsi="Arial"/>
                <w:sz w:val="17"/>
                <w:szCs w:val="17"/>
                <w:color w:val="auto"/>
                <w:w w:val="73"/>
              </w:rPr>
              <w:t>29</w:t>
            </w:r>
          </w:p>
        </w:tc>
        <w:tc>
          <w:tcPr>
            <w:tcW w:w="29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69"/>
        </w:trPr>
        <w:tc>
          <w:tcPr>
            <w:tcW w:w="3460" w:type="dxa"/>
            <w:vAlign w:val="bottom"/>
            <w:tcBorders>
              <w:left w:val="single" w:sz="8" w:color="auto"/>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Assoc Dir, HCP Marketing</w:t>
            </w:r>
          </w:p>
        </w:tc>
        <w:tc>
          <w:tcPr>
            <w:tcW w:w="1280" w:type="dxa"/>
            <w:vAlign w:val="bottom"/>
            <w:tcBorders>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w w:val="73"/>
              </w:rPr>
              <w:t>37</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Assoc Dir, HCP Marketing</w:t>
            </w:r>
          </w:p>
        </w:tc>
        <w:tc>
          <w:tcPr>
            <w:tcW w:w="1280" w:type="dxa"/>
            <w:vAlign w:val="bottom"/>
            <w:tcBorders>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w w:val="73"/>
              </w:rPr>
              <w:t>44</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610235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1398" w:right="6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59"/>
        </w:trPr>
        <w:tc>
          <w:tcPr>
            <w:tcW w:w="400" w:type="dxa"/>
            <w:vAlign w:val="bottom"/>
            <w:tcBorders>
              <w:right w:val="single" w:sz="8" w:color="auto"/>
            </w:tcBorders>
          </w:tcPr>
          <w:p>
            <w:pPr>
              <w:spacing w:after="0"/>
              <w:rPr>
                <w:sz w:val="22"/>
                <w:szCs w:val="22"/>
                <w:color w:val="auto"/>
              </w:rPr>
            </w:pPr>
          </w:p>
        </w:tc>
        <w:tc>
          <w:tcPr>
            <w:tcW w:w="34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Assoc Dir, Marketing Operations</w:t>
            </w:r>
          </w:p>
        </w:tc>
        <w:tc>
          <w:tcPr>
            <w:tcW w:w="1280" w:type="dxa"/>
            <w:vAlign w:val="bottom"/>
            <w:tcBorders>
              <w:top w:val="single" w:sz="8" w:color="auto"/>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48</w:t>
            </w:r>
          </w:p>
        </w:tc>
        <w:tc>
          <w:tcPr>
            <w:tcW w:w="2900" w:type="dxa"/>
            <w:vAlign w:val="bottom"/>
            <w:tcBorders>
              <w:top w:val="single" w:sz="8" w:color="auto"/>
              <w:right w:val="single" w:sz="8" w:color="auto"/>
            </w:tcBorders>
          </w:tcPr>
          <w:p>
            <w:pPr>
              <w:spacing w:after="0"/>
              <w:rPr>
                <w:sz w:val="22"/>
                <w:szCs w:val="22"/>
                <w:color w:val="auto"/>
              </w:rPr>
            </w:pPr>
          </w:p>
        </w:tc>
        <w:tc>
          <w:tcPr>
            <w:tcW w:w="28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0" w:type="dxa"/>
            <w:vAlign w:val="bottom"/>
            <w:tcBorders>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Assoc Dir, Quality &amp; Compliance</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60</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Assoc Dir, Quality &amp; Compliance</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44</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Assoc Dir, Safety Scientist</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60</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Compliance Manager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28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Dir, Advanced Analytics &amp; Forecasting</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40</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uto"/>
            </w:tcBorders>
          </w:tcPr>
          <w:p>
            <w:pPr>
              <w:spacing w:after="0"/>
              <w:rPr>
                <w:sz w:val="16"/>
                <w:szCs w:val="16"/>
                <w:color w:val="auto"/>
              </w:rPr>
            </w:pPr>
          </w:p>
        </w:tc>
        <w:tc>
          <w:tcPr>
            <w:tcW w:w="34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Dir, Business Development and Investor</w:t>
            </w:r>
          </w:p>
        </w:tc>
        <w:tc>
          <w:tcPr>
            <w:tcW w:w="1280" w:type="dxa"/>
            <w:vAlign w:val="bottom"/>
            <w:tcBorders>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30</w:t>
            </w:r>
          </w:p>
        </w:tc>
        <w:tc>
          <w:tcPr>
            <w:tcW w:w="29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 w:type="dxa"/>
            <w:vAlign w:val="bottom"/>
            <w:tcBorders>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ind w:left="220"/>
              <w:spacing w:after="0" w:line="203" w:lineRule="exact"/>
              <w:rPr>
                <w:sz w:val="20"/>
                <w:szCs w:val="20"/>
                <w:color w:val="auto"/>
              </w:rPr>
            </w:pPr>
            <w:r>
              <w:rPr>
                <w:rFonts w:ascii="Arial" w:cs="Arial" w:eastAsia="Arial" w:hAnsi="Arial"/>
                <w:sz w:val="18"/>
                <w:szCs w:val="18"/>
                <w:color w:val="auto"/>
              </w:rPr>
              <w:t>Relations</w:t>
            </w:r>
          </w:p>
        </w:tc>
        <w:tc>
          <w:tcPr>
            <w:tcW w:w="128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00" w:type="dxa"/>
            <w:vAlign w:val="bottom"/>
            <w:tcBorders>
              <w:right w:val="single" w:sz="8" w:color="auto"/>
            </w:tcBorders>
          </w:tcPr>
          <w:p>
            <w:pPr>
              <w:spacing w:after="0"/>
              <w:rPr>
                <w:sz w:val="15"/>
                <w:szCs w:val="15"/>
                <w:color w:val="auto"/>
              </w:rPr>
            </w:pPr>
          </w:p>
        </w:tc>
        <w:tc>
          <w:tcPr>
            <w:tcW w:w="342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Dir, Consumer Patient</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57</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0" w:type="dxa"/>
            <w:vAlign w:val="bottom"/>
            <w:tcBorders>
              <w:right w:val="single" w:sz="8" w:color="auto"/>
            </w:tcBorders>
          </w:tcPr>
          <w:p>
            <w:pPr>
              <w:spacing w:after="0"/>
              <w:rPr>
                <w:sz w:val="13"/>
                <w:szCs w:val="13"/>
                <w:color w:val="auto"/>
              </w:rPr>
            </w:pPr>
          </w:p>
        </w:tc>
        <w:tc>
          <w:tcPr>
            <w:tcW w:w="34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Marketing</w:t>
            </w:r>
          </w:p>
        </w:tc>
        <w:tc>
          <w:tcPr>
            <w:tcW w:w="128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vMerge w:val="continue"/>
          </w:tcPr>
          <w:p>
            <w:pPr>
              <w:spacing w:after="0"/>
              <w:rPr>
                <w:sz w:val="13"/>
                <w:szCs w:val="13"/>
                <w:color w:val="auto"/>
              </w:rPr>
            </w:pPr>
          </w:p>
        </w:tc>
        <w:tc>
          <w:tcPr>
            <w:tcW w:w="28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 Financial Planning &amp; Analysis</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46</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0" w:type="dxa"/>
            <w:vAlign w:val="bottom"/>
            <w:tcBorders>
              <w:right w:val="single" w:sz="8" w:color="auto"/>
            </w:tcBorders>
          </w:tcPr>
          <w:p>
            <w:pPr>
              <w:spacing w:after="0"/>
              <w:rPr>
                <w:sz w:val="15"/>
                <w:szCs w:val="15"/>
                <w:color w:val="auto"/>
              </w:rPr>
            </w:pPr>
          </w:p>
        </w:tc>
        <w:tc>
          <w:tcPr>
            <w:tcW w:w="342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Dir, Financial Reporting &amp; Technical</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51</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0" w:type="dxa"/>
            <w:vAlign w:val="bottom"/>
            <w:tcBorders>
              <w:right w:val="single" w:sz="8" w:color="auto"/>
            </w:tcBorders>
          </w:tcPr>
          <w:p>
            <w:pPr>
              <w:spacing w:after="0"/>
              <w:rPr>
                <w:sz w:val="13"/>
                <w:szCs w:val="13"/>
                <w:color w:val="auto"/>
              </w:rPr>
            </w:pPr>
          </w:p>
        </w:tc>
        <w:tc>
          <w:tcPr>
            <w:tcW w:w="34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Acctg</w:t>
            </w:r>
          </w:p>
        </w:tc>
        <w:tc>
          <w:tcPr>
            <w:tcW w:w="128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Head of Total Rewards</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44</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HEOR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48</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HRBP</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46</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 Library &amp; Information Services</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58</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Marketing</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45</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0" w:type="dxa"/>
            <w:vAlign w:val="bottom"/>
            <w:tcBorders>
              <w:right w:val="single" w:sz="8" w:color="auto"/>
            </w:tcBorders>
          </w:tcPr>
          <w:p>
            <w:pPr>
              <w:spacing w:after="0"/>
              <w:rPr>
                <w:sz w:val="15"/>
                <w:szCs w:val="15"/>
                <w:color w:val="auto"/>
              </w:rPr>
            </w:pPr>
          </w:p>
        </w:tc>
        <w:tc>
          <w:tcPr>
            <w:tcW w:w="342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Dir, Medical Information &amp; Promotional</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47</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0" w:type="dxa"/>
            <w:vAlign w:val="bottom"/>
            <w:tcBorders>
              <w:right w:val="single" w:sz="8" w:color="auto"/>
            </w:tcBorders>
          </w:tcPr>
          <w:p>
            <w:pPr>
              <w:spacing w:after="0"/>
              <w:rPr>
                <w:sz w:val="13"/>
                <w:szCs w:val="13"/>
                <w:color w:val="auto"/>
              </w:rPr>
            </w:pPr>
          </w:p>
        </w:tc>
        <w:tc>
          <w:tcPr>
            <w:tcW w:w="34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Review</w:t>
            </w:r>
          </w:p>
        </w:tc>
        <w:tc>
          <w:tcPr>
            <w:tcW w:w="128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 Product &amp; Corporate Counsel</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47</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Sales Operations</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56</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Scientific Communications</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60</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Exec Admin/Office Supv</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73</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0" w:type="dxa"/>
            <w:vAlign w:val="bottom"/>
            <w:tcBorders>
              <w:right w:val="single" w:sz="8" w:color="auto"/>
            </w:tcBorders>
          </w:tcPr>
          <w:p>
            <w:pPr>
              <w:spacing w:after="0"/>
              <w:rPr>
                <w:sz w:val="15"/>
                <w:szCs w:val="15"/>
                <w:color w:val="auto"/>
              </w:rPr>
            </w:pPr>
          </w:p>
        </w:tc>
        <w:tc>
          <w:tcPr>
            <w:tcW w:w="342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Executive Assistant to the CEO and</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56</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0" w:type="dxa"/>
            <w:vAlign w:val="bottom"/>
            <w:tcBorders>
              <w:right w:val="single" w:sz="8" w:color="auto"/>
            </w:tcBorders>
          </w:tcPr>
          <w:p>
            <w:pPr>
              <w:spacing w:after="0"/>
              <w:rPr>
                <w:sz w:val="13"/>
                <w:szCs w:val="13"/>
                <w:color w:val="auto"/>
              </w:rPr>
            </w:pPr>
          </w:p>
        </w:tc>
        <w:tc>
          <w:tcPr>
            <w:tcW w:w="34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Office Manager</w:t>
            </w:r>
          </w:p>
        </w:tc>
        <w:tc>
          <w:tcPr>
            <w:tcW w:w="128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HR Specialist</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65</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Investor Relations and BD Manager</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32</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Market Access Operations Manager</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26</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Payroll Accountant</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40</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Principal Statistician</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32</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Sales Analytics Manager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28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Sales Coordinator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51</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Sales Operations Manager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45</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Senior Training Manager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53</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Specialist GxP Systems</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63</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Sr Administrative Assistant</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60</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Sr Contracts Manager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Sr Dir, Clinical Operations</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54</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Sr Dir, CMC</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56</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9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24</w:t>
            </w:r>
          </w:p>
        </w:tc>
        <w:tc>
          <w:tcPr>
            <w:tcW w:w="2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7"/>
        </w:trPr>
        <w:tc>
          <w:tcPr>
            <w:tcW w:w="4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353"/>
        </w:trPr>
        <w:tc>
          <w:tcPr>
            <w:tcW w:w="380" w:type="dxa"/>
            <w:vAlign w:val="bottom"/>
            <w:tcBorders>
              <w:right w:val="single" w:sz="8" w:color="auto"/>
            </w:tcBorders>
          </w:tcPr>
          <w:p>
            <w:pPr>
              <w:spacing w:after="0"/>
              <w:rPr>
                <w:sz w:val="24"/>
                <w:szCs w:val="24"/>
                <w:color w:val="auto"/>
              </w:rPr>
            </w:pPr>
          </w:p>
        </w:tc>
        <w:tc>
          <w:tcPr>
            <w:tcW w:w="3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Commercial &amp; Corporate Training</w:t>
            </w:r>
          </w:p>
        </w:tc>
        <w:tc>
          <w:tcPr>
            <w:tcW w:w="1260" w:type="dxa"/>
            <w:vAlign w:val="bottom"/>
            <w:tcBorders>
              <w:top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51</w:t>
            </w:r>
          </w:p>
        </w:tc>
        <w:tc>
          <w:tcPr>
            <w:tcW w:w="2900" w:type="dxa"/>
            <w:vAlign w:val="bottom"/>
            <w:tcBorders>
              <w:top w:val="single" w:sz="8" w:color="auto"/>
              <w:right w:val="single" w:sz="8" w:color="auto"/>
            </w:tcBorders>
          </w:tcPr>
          <w:p>
            <w:pPr>
              <w:spacing w:after="0"/>
              <w:rPr>
                <w:sz w:val="24"/>
                <w:szCs w:val="24"/>
                <w:color w:val="auto"/>
              </w:rPr>
            </w:pPr>
          </w:p>
        </w:tc>
        <w:tc>
          <w:tcPr>
            <w:tcW w:w="28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0" w:type="dxa"/>
            <w:vAlign w:val="bottom"/>
            <w:tcBorders>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38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0" w:type="dxa"/>
            <w:vAlign w:val="bottom"/>
            <w:tcBorders>
              <w:right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Sr Dir, Commercial Analytics</w:t>
            </w:r>
          </w:p>
        </w:tc>
        <w:tc>
          <w:tcPr>
            <w:tcW w:w="1260" w:type="dxa"/>
            <w:vAlign w:val="bottom"/>
            <w:tcBorders>
              <w:bottom w:val="single" w:sz="8" w:color="auto"/>
              <w:right w:val="single" w:sz="8" w:color="auto"/>
            </w:tcBorders>
          </w:tcPr>
          <w:p>
            <w:pPr>
              <w:jc w:val="right"/>
              <w:ind w:right="1047"/>
              <w:spacing w:after="0" w:line="169" w:lineRule="exact"/>
              <w:rPr>
                <w:sz w:val="20"/>
                <w:szCs w:val="20"/>
                <w:color w:val="auto"/>
              </w:rPr>
            </w:pPr>
            <w:r>
              <w:rPr>
                <w:rFonts w:ascii="Arial" w:cs="Arial" w:eastAsia="Arial" w:hAnsi="Arial"/>
                <w:sz w:val="15"/>
                <w:szCs w:val="15"/>
                <w:color w:val="auto"/>
                <w:w w:val="71"/>
              </w:rPr>
              <w:t>55</w:t>
            </w:r>
          </w:p>
        </w:tc>
        <w:tc>
          <w:tcPr>
            <w:tcW w:w="2900" w:type="dxa"/>
            <w:vAlign w:val="bottom"/>
            <w:tcBorders>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X</w:t>
            </w: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0" w:type="dxa"/>
            <w:vAlign w:val="bottom"/>
            <w:tcBorders>
              <w:right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ind w:left="40"/>
              <w:spacing w:after="0" w:line="193" w:lineRule="exact"/>
              <w:rPr>
                <w:sz w:val="20"/>
                <w:szCs w:val="20"/>
                <w:color w:val="auto"/>
              </w:rPr>
            </w:pPr>
            <w:r>
              <w:rPr>
                <w:rFonts w:ascii="Arial" w:cs="Arial" w:eastAsia="Arial" w:hAnsi="Arial"/>
                <w:sz w:val="18"/>
                <w:szCs w:val="18"/>
                <w:color w:val="auto"/>
              </w:rPr>
              <w:t>Sr Dir, Customer Insights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57</w:t>
            </w:r>
          </w:p>
        </w:tc>
        <w:tc>
          <w:tcPr>
            <w:tcW w:w="29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GI National Accounts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53</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Sr Dir, GxP Systems &amp; Compliance</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67</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380" w:type="dxa"/>
            <w:vAlign w:val="bottom"/>
            <w:tcBorders>
              <w:right w:val="single" w:sz="8" w:color="auto"/>
            </w:tcBorders>
          </w:tcPr>
          <w:p>
            <w:pPr>
              <w:spacing w:after="0"/>
              <w:rPr>
                <w:sz w:val="7"/>
                <w:szCs w:val="7"/>
                <w:color w:val="auto"/>
              </w:rPr>
            </w:pPr>
          </w:p>
        </w:tc>
        <w:tc>
          <w:tcPr>
            <w:tcW w:w="34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80" w:type="dxa"/>
            <w:vAlign w:val="bottom"/>
            <w:tcBorders>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Legal &amp; Compliance</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Sr Dir, Market Access Strategy &amp;</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44</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Operations</w:t>
            </w:r>
          </w:p>
        </w:tc>
        <w:tc>
          <w:tcPr>
            <w:tcW w:w="126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80" w:type="dxa"/>
            <w:vAlign w:val="bottom"/>
            <w:tcBorders>
              <w:right w:val="single" w:sz="8" w:color="auto"/>
            </w:tcBorders>
          </w:tcPr>
          <w:p>
            <w:pPr>
              <w:spacing w:after="0"/>
              <w:rPr>
                <w:sz w:val="7"/>
                <w:szCs w:val="7"/>
                <w:color w:val="auto"/>
              </w:rPr>
            </w:pPr>
          </w:p>
        </w:tc>
        <w:tc>
          <w:tcPr>
            <w:tcW w:w="346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Project Management</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64</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Quality &amp; Compliance</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55</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Sr Dir, Regulatory Advertising &amp;</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65</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rPr>
              <w:t>Promotion</w:t>
            </w:r>
          </w:p>
        </w:tc>
        <w:tc>
          <w:tcPr>
            <w:tcW w:w="126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80" w:type="dxa"/>
            <w:vAlign w:val="bottom"/>
            <w:tcBorders>
              <w:right w:val="single" w:sz="8" w:color="auto"/>
            </w:tcBorders>
          </w:tcPr>
          <w:p>
            <w:pPr>
              <w:spacing w:after="0"/>
              <w:rPr>
                <w:sz w:val="7"/>
                <w:szCs w:val="7"/>
                <w:color w:val="auto"/>
              </w:rPr>
            </w:pPr>
          </w:p>
        </w:tc>
        <w:tc>
          <w:tcPr>
            <w:tcW w:w="346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Regulatory Affairs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41</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Supply Chain</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45</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Talent Acquisition</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46</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Manager, Accounting</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33</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Sr Manager, Clinical QA Quality &amp;</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54</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Compliance</w:t>
            </w:r>
          </w:p>
        </w:tc>
        <w:tc>
          <w:tcPr>
            <w:tcW w:w="126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80" w:type="dxa"/>
            <w:vAlign w:val="bottom"/>
            <w:tcBorders>
              <w:right w:val="single" w:sz="8" w:color="auto"/>
            </w:tcBorders>
          </w:tcPr>
          <w:p>
            <w:pPr>
              <w:spacing w:after="0"/>
              <w:rPr>
                <w:sz w:val="7"/>
                <w:szCs w:val="7"/>
                <w:color w:val="auto"/>
              </w:rPr>
            </w:pPr>
          </w:p>
        </w:tc>
        <w:tc>
          <w:tcPr>
            <w:tcW w:w="346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Sr Manager, Commercial Analytics</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49</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380" w:type="dxa"/>
            <w:vAlign w:val="bottom"/>
            <w:tcBorders>
              <w:right w:val="single" w:sz="8" w:color="auto"/>
            </w:tcBorders>
          </w:tcPr>
          <w:p>
            <w:pPr>
              <w:spacing w:after="0"/>
              <w:rPr>
                <w:sz w:val="7"/>
                <w:szCs w:val="7"/>
                <w:color w:val="auto"/>
              </w:rPr>
            </w:pPr>
          </w:p>
        </w:tc>
        <w:tc>
          <w:tcPr>
            <w:tcW w:w="34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80" w:type="dxa"/>
            <w:vAlign w:val="bottom"/>
            <w:tcBorders>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8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Sr Manager, GxP Systems &amp;</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37</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Compliance</w:t>
            </w:r>
          </w:p>
        </w:tc>
        <w:tc>
          <w:tcPr>
            <w:tcW w:w="126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vMerge w:val="continue"/>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80" w:type="dxa"/>
            <w:vAlign w:val="bottom"/>
            <w:tcBorders>
              <w:right w:val="single" w:sz="8" w:color="auto"/>
            </w:tcBorders>
          </w:tcPr>
          <w:p>
            <w:pPr>
              <w:spacing w:after="0"/>
              <w:rPr>
                <w:sz w:val="7"/>
                <w:szCs w:val="7"/>
                <w:color w:val="auto"/>
              </w:rPr>
            </w:pPr>
          </w:p>
        </w:tc>
        <w:tc>
          <w:tcPr>
            <w:tcW w:w="346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Manager, HRBP</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34</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Manager, IT</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Manager, Marketing</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32</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Print Production Manager</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49</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Staff Accountant</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26</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SVP, Development Operations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57</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SVP, Legal &amp; Interim Chief Compliance</w:t>
            </w:r>
          </w:p>
        </w:tc>
        <w:tc>
          <w:tcPr>
            <w:tcW w:w="1260" w:type="dxa"/>
            <w:vAlign w:val="bottom"/>
            <w:tcBorders>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53</w:t>
            </w:r>
          </w:p>
        </w:tc>
        <w:tc>
          <w:tcPr>
            <w:tcW w:w="29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Borders>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ind w:left="220"/>
              <w:spacing w:after="0" w:line="203" w:lineRule="exact"/>
              <w:rPr>
                <w:sz w:val="20"/>
                <w:szCs w:val="20"/>
                <w:color w:val="auto"/>
              </w:rPr>
            </w:pPr>
            <w:r>
              <w:rPr>
                <w:rFonts w:ascii="Arial" w:cs="Arial" w:eastAsia="Arial" w:hAnsi="Arial"/>
                <w:sz w:val="18"/>
                <w:szCs w:val="18"/>
                <w:color w:val="auto"/>
              </w:rPr>
              <w:t>Officer</w:t>
            </w:r>
          </w:p>
        </w:tc>
        <w:tc>
          <w:tcPr>
            <w:tcW w:w="126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SVP, Manufacturing &amp; Supply Chain</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56</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380" w:type="dxa"/>
            <w:vAlign w:val="bottom"/>
            <w:tcBorders>
              <w:right w:val="single" w:sz="8" w:color="auto"/>
            </w:tcBorders>
          </w:tcPr>
          <w:p>
            <w:pPr>
              <w:spacing w:after="0"/>
              <w:rPr>
                <w:sz w:val="7"/>
                <w:szCs w:val="7"/>
                <w:color w:val="auto"/>
              </w:rPr>
            </w:pPr>
          </w:p>
        </w:tc>
        <w:tc>
          <w:tcPr>
            <w:tcW w:w="34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80" w:type="dxa"/>
            <w:vAlign w:val="bottom"/>
            <w:tcBorders>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SVP, Market Access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60</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SVP, Marketing</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51</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Systems Analyst</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34</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VP, Accounting &amp; External Reporting</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33</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380" w:type="dxa"/>
            <w:vAlign w:val="bottom"/>
            <w:tcBorders>
              <w:right w:val="single" w:sz="8" w:color="auto"/>
            </w:tcBorders>
          </w:tcPr>
          <w:p>
            <w:pPr>
              <w:spacing w:after="0"/>
              <w:rPr>
                <w:sz w:val="7"/>
                <w:szCs w:val="7"/>
                <w:color w:val="auto"/>
              </w:rPr>
            </w:pPr>
          </w:p>
        </w:tc>
        <w:tc>
          <w:tcPr>
            <w:tcW w:w="34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80" w:type="dxa"/>
            <w:vAlign w:val="bottom"/>
            <w:tcBorders>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Biostats &amp; Programming</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Clinical &amp; Patient Safety</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81</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CMC &amp; Clinical Supplies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59</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Comm Insights &amp; Analytics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57</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Communications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32</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Consumer Marketing</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49</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VP, Financial Planning &amp; Analysis</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47</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380" w:type="dxa"/>
            <w:vAlign w:val="bottom"/>
            <w:tcBorders>
              <w:right w:val="single" w:sz="8" w:color="auto"/>
            </w:tcBorders>
          </w:tcPr>
          <w:p>
            <w:pPr>
              <w:spacing w:after="0"/>
              <w:rPr>
                <w:sz w:val="7"/>
                <w:szCs w:val="7"/>
                <w:color w:val="auto"/>
              </w:rPr>
            </w:pPr>
          </w:p>
        </w:tc>
        <w:tc>
          <w:tcPr>
            <w:tcW w:w="34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80" w:type="dxa"/>
            <w:vAlign w:val="bottom"/>
            <w:tcBorders>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Head of Medical Affairs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54</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9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25</w:t>
            </w:r>
          </w:p>
        </w:tc>
        <w:tc>
          <w:tcPr>
            <w:tcW w:w="2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3"/>
        </w:trPr>
        <w:tc>
          <w:tcPr>
            <w:tcW w:w="3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4"/>
        </w:trPr>
        <w:tc>
          <w:tcPr>
            <w:tcW w:w="380" w:type="dxa"/>
            <w:vAlign w:val="bottom"/>
            <w:tcBorders>
              <w:right w:val="single" w:sz="8" w:color="auto"/>
            </w:tcBorders>
          </w:tcPr>
          <w:p>
            <w:pPr>
              <w:spacing w:after="0"/>
              <w:rPr>
                <w:sz w:val="18"/>
                <w:szCs w:val="18"/>
                <w:color w:val="auto"/>
              </w:rPr>
            </w:pPr>
          </w:p>
        </w:tc>
        <w:tc>
          <w:tcPr>
            <w:tcW w:w="34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Head of Pharmacovigilance Services</w:t>
            </w:r>
          </w:p>
        </w:tc>
        <w:tc>
          <w:tcPr>
            <w:tcW w:w="1280" w:type="dxa"/>
            <w:vAlign w:val="bottom"/>
            <w:tcBorders>
              <w:top w:val="single" w:sz="8" w:color="auto"/>
              <w:right w:val="single" w:sz="8" w:color="auto"/>
            </w:tcBorders>
          </w:tcPr>
          <w:p>
            <w:pPr>
              <w:spacing w:after="0"/>
              <w:rPr>
                <w:sz w:val="18"/>
                <w:szCs w:val="18"/>
                <w:color w:val="auto"/>
              </w:rPr>
            </w:pPr>
          </w:p>
        </w:tc>
        <w:tc>
          <w:tcPr>
            <w:tcW w:w="2900" w:type="dxa"/>
            <w:vAlign w:val="bottom"/>
            <w:tcBorders>
              <w:top w:val="single" w:sz="8" w:color="auto"/>
              <w:right w:val="single" w:sz="8" w:color="auto"/>
            </w:tcBorders>
          </w:tcPr>
          <w:p>
            <w:pPr>
              <w:spacing w:after="0"/>
              <w:rPr>
                <w:sz w:val="18"/>
                <w:szCs w:val="18"/>
                <w:color w:val="auto"/>
              </w:rPr>
            </w:pPr>
          </w:p>
        </w:tc>
        <w:tc>
          <w:tcPr>
            <w:tcW w:w="2820" w:type="dxa"/>
            <w:vAlign w:val="bottom"/>
            <w:tcBorders>
              <w:top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80" w:type="dxa"/>
            <w:vAlign w:val="bottom"/>
            <w:tcBorders>
              <w:right w:val="single" w:sz="8" w:color="auto"/>
            </w:tcBorders>
          </w:tcPr>
          <w:p>
            <w:pPr>
              <w:spacing w:after="0"/>
              <w:rPr>
                <w:sz w:val="21"/>
                <w:szCs w:val="21"/>
                <w:color w:val="auto"/>
              </w:rPr>
            </w:pPr>
          </w:p>
        </w:tc>
        <w:tc>
          <w:tcPr>
            <w:tcW w:w="3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 Medical Informatics</w:t>
            </w:r>
          </w:p>
        </w:tc>
        <w:tc>
          <w:tcPr>
            <w:tcW w:w="1280" w:type="dxa"/>
            <w:vAlign w:val="bottom"/>
            <w:tcBorders>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67</w:t>
            </w:r>
          </w:p>
        </w:tc>
        <w:tc>
          <w:tcPr>
            <w:tcW w:w="29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8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0" w:type="dxa"/>
            <w:vAlign w:val="bottom"/>
            <w:tcBorders>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ind w:left="40"/>
              <w:spacing w:after="0" w:line="193" w:lineRule="exact"/>
              <w:rPr>
                <w:sz w:val="20"/>
                <w:szCs w:val="20"/>
                <w:color w:val="auto"/>
              </w:rPr>
            </w:pPr>
            <w:r>
              <w:rPr>
                <w:rFonts w:ascii="Arial" w:cs="Arial" w:eastAsia="Arial" w:hAnsi="Arial"/>
                <w:sz w:val="18"/>
                <w:szCs w:val="18"/>
                <w:color w:val="auto"/>
              </w:rPr>
              <w:t>VP, Human Resources</w:t>
            </w:r>
          </w:p>
        </w:tc>
        <w:tc>
          <w:tcPr>
            <w:tcW w:w="1280" w:type="dxa"/>
            <w:vAlign w:val="bottom"/>
            <w:tcBorders>
              <w:bottom w:val="single" w:sz="8" w:color="auto"/>
              <w:right w:val="single" w:sz="8" w:color="auto"/>
            </w:tcBorders>
          </w:tcPr>
          <w:p>
            <w:pPr>
              <w:jc w:val="right"/>
              <w:ind w:right="1036"/>
              <w:spacing w:after="0" w:line="193" w:lineRule="exact"/>
              <w:rPr>
                <w:sz w:val="20"/>
                <w:szCs w:val="20"/>
                <w:color w:val="auto"/>
              </w:rPr>
            </w:pPr>
            <w:r>
              <w:rPr>
                <w:rFonts w:ascii="Arial" w:cs="Arial" w:eastAsia="Arial" w:hAnsi="Arial"/>
                <w:sz w:val="17"/>
                <w:szCs w:val="17"/>
                <w:color w:val="auto"/>
                <w:w w:val="73"/>
              </w:rPr>
              <w:t>58</w:t>
            </w:r>
          </w:p>
        </w:tc>
        <w:tc>
          <w:tcPr>
            <w:tcW w:w="29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Information Technology</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60</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80" w:type="dxa"/>
            <w:vAlign w:val="bottom"/>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380" w:type="dxa"/>
            <w:vAlign w:val="bottom"/>
            <w:tcBorders>
              <w:right w:val="single" w:sz="8" w:color="auto"/>
            </w:tcBorders>
          </w:tcPr>
          <w:p>
            <w:pPr>
              <w:spacing w:after="0"/>
              <w:rPr>
                <w:sz w:val="15"/>
                <w:szCs w:val="15"/>
                <w:color w:val="auto"/>
              </w:rPr>
            </w:pPr>
          </w:p>
        </w:tc>
        <w:tc>
          <w:tcPr>
            <w:tcW w:w="3440" w:type="dxa"/>
            <w:vAlign w:val="bottom"/>
            <w:tcBorders>
              <w:right w:val="single" w:sz="8" w:color="auto"/>
            </w:tcBorders>
          </w:tcPr>
          <w:p>
            <w:pPr>
              <w:ind w:left="100"/>
              <w:spacing w:after="0" w:line="181" w:lineRule="exact"/>
              <w:rPr>
                <w:sz w:val="20"/>
                <w:szCs w:val="20"/>
                <w:color w:val="auto"/>
              </w:rPr>
            </w:pPr>
            <w:r>
              <w:rPr>
                <w:rFonts w:ascii="Arial" w:cs="Arial" w:eastAsia="Arial" w:hAnsi="Arial"/>
                <w:sz w:val="18"/>
                <w:szCs w:val="18"/>
                <w:color w:val="auto"/>
              </w:rPr>
              <w:t>VP, Quality, Compliance, &amp; GxP</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53</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Systems</w:t>
            </w:r>
          </w:p>
        </w:tc>
        <w:tc>
          <w:tcPr>
            <w:tcW w:w="128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380" w:type="dxa"/>
            <w:vAlign w:val="bottom"/>
            <w:tcBorders>
              <w:right w:val="single" w:sz="8" w:color="auto"/>
            </w:tcBorders>
          </w:tcPr>
          <w:p>
            <w:pPr>
              <w:spacing w:after="0"/>
              <w:rPr>
                <w:sz w:val="6"/>
                <w:szCs w:val="6"/>
                <w:color w:val="auto"/>
              </w:rPr>
            </w:pPr>
          </w:p>
        </w:tc>
        <w:tc>
          <w:tcPr>
            <w:tcW w:w="344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VP, R&amp;D Operations &amp; Outsourcing</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57</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380" w:type="dxa"/>
            <w:vAlign w:val="bottom"/>
            <w:tcBorders>
              <w:right w:val="single" w:sz="8" w:color="auto"/>
            </w:tcBorders>
          </w:tcPr>
          <w:p>
            <w:pPr>
              <w:spacing w:after="0"/>
              <w:rPr>
                <w:sz w:val="6"/>
                <w:szCs w:val="6"/>
                <w:color w:val="auto"/>
              </w:rPr>
            </w:pPr>
          </w:p>
        </w:tc>
        <w:tc>
          <w:tcPr>
            <w:tcW w:w="344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900" w:type="dxa"/>
            <w:vAlign w:val="bottom"/>
            <w:tcBorders>
              <w:right w:val="single" w:sz="8" w:color="auto"/>
            </w:tcBorders>
            <w:vMerge w:val="continue"/>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380" w:type="dxa"/>
            <w:vAlign w:val="bottom"/>
            <w:tcBorders>
              <w:right w:val="single" w:sz="8" w:color="auto"/>
            </w:tcBorders>
          </w:tcPr>
          <w:p>
            <w:pPr>
              <w:spacing w:after="0"/>
              <w:rPr>
                <w:sz w:val="7"/>
                <w:szCs w:val="7"/>
                <w:color w:val="auto"/>
              </w:rPr>
            </w:pPr>
          </w:p>
        </w:tc>
        <w:tc>
          <w:tcPr>
            <w:tcW w:w="344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80" w:type="dxa"/>
            <w:vAlign w:val="bottom"/>
            <w:tcBorders>
              <w:right w:val="single" w:sz="8" w:color="auto"/>
            </w:tcBorders>
          </w:tcPr>
          <w:p>
            <w:pPr>
              <w:spacing w:after="0"/>
              <w:rPr>
                <w:sz w:val="15"/>
                <w:szCs w:val="15"/>
                <w:color w:val="auto"/>
              </w:rPr>
            </w:pPr>
          </w:p>
        </w:tc>
        <w:tc>
          <w:tcPr>
            <w:tcW w:w="3440" w:type="dxa"/>
            <w:vAlign w:val="bottom"/>
            <w:tcBorders>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VP, Regulatory Affairs and Medical</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52</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Writing</w:t>
            </w:r>
          </w:p>
        </w:tc>
        <w:tc>
          <w:tcPr>
            <w:tcW w:w="128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80" w:type="dxa"/>
            <w:vAlign w:val="bottom"/>
            <w:tcBorders>
              <w:right w:val="single" w:sz="8" w:color="auto"/>
            </w:tcBorders>
          </w:tcPr>
          <w:p>
            <w:pPr>
              <w:spacing w:after="0"/>
              <w:rPr>
                <w:sz w:val="7"/>
                <w:szCs w:val="7"/>
                <w:color w:val="auto"/>
              </w:rPr>
            </w:pPr>
          </w:p>
        </w:tc>
        <w:tc>
          <w:tcPr>
            <w:tcW w:w="3440" w:type="dxa"/>
            <w:vAlign w:val="bottom"/>
            <w:tcBorders>
              <w:bottom w:val="single" w:sz="8" w:color="auto"/>
              <w:right w:val="single" w:sz="8" w:color="auto"/>
            </w:tcBorders>
            <w:vMerge w:val="continue"/>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00" w:type="dxa"/>
            <w:vAlign w:val="bottom"/>
          </w:tcPr>
          <w:p>
            <w:pPr>
              <w:jc w:val="right"/>
              <w:ind w:right="2188"/>
              <w:spacing w:after="0"/>
              <w:rPr>
                <w:sz w:val="20"/>
                <w:szCs w:val="20"/>
                <w:color w:val="auto"/>
              </w:rPr>
            </w:pPr>
            <w:r>
              <w:rPr>
                <w:rFonts w:ascii="Times New Roman" w:cs="Times New Roman" w:eastAsia="Times New Roman" w:hAnsi="Times New Roman"/>
                <w:sz w:val="20"/>
                <w:szCs w:val="20"/>
                <w:color w:val="auto"/>
              </w:rPr>
              <w:t>26</w:t>
            </w:r>
          </w:p>
        </w:tc>
        <w:tc>
          <w:tcPr>
            <w:tcW w:w="2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6"/>
        </w:trPr>
        <w:tc>
          <w:tcPr>
            <w:tcW w:w="3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PHATHOM PHARMACEUTICALS,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PROPRIETARY INFORMATION AND INVENTIONS ASSIGNMENT AGREEMENT</w:t>
      </w:r>
    </w:p>
    <w:p>
      <w:pPr>
        <w:spacing w:after="0" w:line="21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In consideration and as a condition of my employment or engagement or continued employment or engagement by Phathom Pharmaceuticals, Inc., a Delaware corporation (together with any of its subsidiaries or parent companies, and any of their successors or assigns collectively,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my receipt of the compensation paid to me by the Company in the context of that employment or engagement, including the stock award provided to me by the Company, and for other good and valuable consideration, the receipt and sufficiency of which is hereby acknowledged, effective as of the date of my signature below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 the undersigned, agree as follows:</w:t>
      </w:r>
    </w:p>
    <w:p>
      <w:pPr>
        <w:spacing w:after="0" w:line="171" w:lineRule="exact"/>
        <w:rPr>
          <w:sz w:val="20"/>
          <w:szCs w:val="20"/>
          <w:color w:val="auto"/>
        </w:rPr>
      </w:pPr>
    </w:p>
    <w:p>
      <w:pPr>
        <w:jc w:val="both"/>
        <w:ind w:firstLine="725"/>
        <w:spacing w:after="0" w:line="232" w:lineRule="auto"/>
        <w:tabs>
          <w:tab w:leader="none" w:pos="111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Information</w:t>
      </w:r>
      <w:r>
        <w:rPr>
          <w:rFonts w:ascii="Times New Roman" w:cs="Times New Roman" w:eastAsia="Times New Roman" w:hAnsi="Times New Roman"/>
          <w:sz w:val="22"/>
          <w:szCs w:val="22"/>
          <w:color w:val="auto"/>
        </w:rPr>
        <w:t>. During the term of my employment or engagement, I may have or may in the future receive and otherwise be exposed, directly or indirectly, to confidential and proprietary information of the Company whether in graphic, written, electronic or oral form, including without limitation information relating to the Company’s business, strategies, designs, products, services and technologies and any derivatives, improvements and enhancements relating to any of the foregoing, or to the Company’s suppliers, customers or business partners (collectively “</w:t>
      </w:r>
      <w:r>
        <w:rPr>
          <w:rFonts w:ascii="Times New Roman" w:cs="Times New Roman" w:eastAsia="Times New Roman" w:hAnsi="Times New Roman"/>
          <w:sz w:val="22"/>
          <w:szCs w:val="22"/>
          <w:u w:val="single" w:color="auto"/>
          <w:color w:val="auto"/>
        </w:rPr>
        <w:t>Proprietary Information</w:t>
      </w:r>
      <w:r>
        <w:rPr>
          <w:rFonts w:ascii="Times New Roman" w:cs="Times New Roman" w:eastAsia="Times New Roman" w:hAnsi="Times New Roman"/>
          <w:sz w:val="22"/>
          <w:szCs w:val="22"/>
          <w:color w:val="auto"/>
        </w:rPr>
        <w:t>”). Proprietary Information may be identified at the time of disclosure as confidential or proprietary or information which by its context would reasonably be deemed to be confidential or proprietary. “Proprietary Information” may also include without limitation (a)(i) unpublished patent disclosures and patent applications and other filings, know-how, trade secrets, works of authorship and other intellectual property, as well as any information regarding ideas, Inventions (as defined in Section 5), technology, and processes, including without limitation assays, sketches, schematics, techniques, drawings, designs, descriptions, specifications and technical documentation, (ii) specifications, protocols, models, designs, equipment, engineering, algorithms, software programs, software source documents, formulae, (iii) information concerning or resulting from any research and development or other project, including without limitation, experimental work, product development plans, regulatory compliance information, and research, development and regulatory strategies, and (iv) business and financial information, including without limitation purchasing, procurement, manufacturing, customer lists, information relating to investors, employees, business and contractual relationships, business forecasts, sales and merchandising, business and marketing plans, product plans, and business strategies, including without limitation information the Company provides regarding third parties, such as, but not limited to, suppliers, customers, employees, investors, or vendors; and (b) any other information, to the extent such information contains, reflects or is based upon any of the foregoing Proprietary Information. The Proprietary Information may also include information of a third party that is disclosed to you by the Company or such third party at the Company’s direction.</w:t>
      </w:r>
    </w:p>
    <w:p>
      <w:pPr>
        <w:spacing w:after="0" w:line="182" w:lineRule="exact"/>
        <w:rPr>
          <w:rFonts w:ascii="Times New Roman" w:cs="Times New Roman" w:eastAsia="Times New Roman" w:hAnsi="Times New Roman"/>
          <w:sz w:val="22"/>
          <w:szCs w:val="22"/>
          <w:color w:val="auto"/>
        </w:rPr>
      </w:pPr>
    </w:p>
    <w:p>
      <w:pPr>
        <w:jc w:val="both"/>
        <w:ind w:firstLine="725"/>
        <w:spacing w:after="0" w:line="238" w:lineRule="auto"/>
        <w:tabs>
          <w:tab w:leader="none" w:pos="111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Non-Use and Nondisclosure</w:t>
      </w:r>
      <w:r>
        <w:rPr>
          <w:rFonts w:ascii="Times New Roman" w:cs="Times New Roman" w:eastAsia="Times New Roman" w:hAnsi="Times New Roman"/>
          <w:sz w:val="22"/>
          <w:szCs w:val="22"/>
          <w:color w:val="auto"/>
        </w:rPr>
        <w:t>. I acknowledge the confidential and secret character of the Proprietary Information, and agree that the Proprietary Information is the sole, exclusive and valuable property of the Company. Accordingly, I agree not to use the Proprietary Information except in the performance of my authorized duties as an employee or consultant of the Company, and not to disclose all or any part of the Proprietary Information in any form to 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610235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395" w:right="719" w:bottom="1440" w:gutter="0" w:footer="0" w:header="0"/>
        </w:sectPr>
      </w:pPr>
    </w:p>
    <w:bookmarkStart w:id="65" w:name="page66"/>
    <w:bookmarkEnd w:id="65"/>
    <w:p>
      <w:pPr>
        <w:spacing w:after="0" w:line="9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third party, either during or after the term of my employment or </w:t>
      </w:r>
      <w:r>
        <w:rPr>
          <w:rFonts w:ascii="Times New Roman" w:cs="Times New Roman" w:eastAsia="Times New Roman" w:hAnsi="Times New Roman"/>
          <w:sz w:val="19"/>
          <w:szCs w:val="19"/>
          <w:color w:val="auto"/>
        </w:rPr>
        <w:t>engagement</w:t>
      </w:r>
      <w:r>
        <w:rPr>
          <w:rFonts w:ascii="Times New Roman" w:cs="Times New Roman" w:eastAsia="Times New Roman" w:hAnsi="Times New Roman"/>
          <w:sz w:val="22"/>
          <w:szCs w:val="22"/>
          <w:color w:val="auto"/>
        </w:rPr>
        <w:t>, without the prior written consent of the Company on a case-by-case basis. Upon termination of my employment or engagement, I agree to cease using and to return to the Company all whole and partial copies and derivatives of the Proprietary Information, whether in my possession or under my direct or indirect control, provided that I am entitled to retain my personal copies of</w:t>
      </w:r>
    </w:p>
    <w:p>
      <w:pPr>
        <w:spacing w:after="0" w:line="1" w:lineRule="exact"/>
        <w:rPr>
          <w:sz w:val="20"/>
          <w:szCs w:val="20"/>
          <w:color w:val="auto"/>
        </w:rPr>
      </w:pPr>
    </w:p>
    <w:p>
      <w:pPr>
        <w:jc w:val="both"/>
        <w:ind w:firstLine="1"/>
        <w:spacing w:after="0" w:line="231" w:lineRule="auto"/>
        <w:tabs>
          <w:tab w:leader="none" w:pos="29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my compensation records, (b) materials distributed to stockholders generally, and (c) this Proprietary Information and Inventions Assignment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 understand that my obligations of nondisclosure with respect to Proprietary Information shall not apply to information that I can establish by competent proof (x) was actually in the public domain at the time of disclosure or enters the public domain following disclosure other than as a result of a breach of this Agreement, (y) is already in my possession without breach of any obligations of confidentiality at the time of disclosure by the Company as shown by my files and records immediately prior to the time of disclosure, or (z) is obtained by me from a third party not under confidentiality obligations and without a breach of any obligations of confidentiality. If I become compelled by law, regulation (including without limitation the rules of any applicable securities exchange), court order, or other governmental authority to disclose the Proprietary Information, I shall, to the extent possible and permissible under applicable law, first give the Company prompt notice. I agree to cooperate reasonably with the Company in any proceeding to obtain a protective order or other remedy. If such protective order or other remedy is not obtained, I shall only disclose that portion of such Proprietary Information required to be disclosed, in the opinion of my legal counsel. I shall request that confidential treatment be accorded such Proprietary Information, where available. Compulsory disclosures made pursuant to this section shall not relieve me of my obligations of confidentiality and non-use with respect to non-compulsory disclosures. I understand that nothing herein is intended to or shall prevent me from communicating directly with, cooperating with, or providing information to, any federal, state or local government regulator, including, but not limited to, the U.S. Securities and Exchange Commission, the U.S. Commodity Futures Trading Commission, or the U.S. Department of Justice. I shall promptly notify my supervisor or any officer of the Company if I learn of any possible unauthorized use or disclosure of Proprietary Information and shall cooperate fully with the Company to enforce its rights in such information.</w:t>
      </w:r>
    </w:p>
    <w:p>
      <w:pPr>
        <w:spacing w:after="0" w:line="182" w:lineRule="exact"/>
        <w:rPr>
          <w:rFonts w:ascii="Times New Roman" w:cs="Times New Roman" w:eastAsia="Times New Roman" w:hAnsi="Times New Roman"/>
          <w:sz w:val="22"/>
          <w:szCs w:val="22"/>
          <w:color w:val="auto"/>
        </w:rPr>
      </w:pPr>
    </w:p>
    <w:p>
      <w:pPr>
        <w:jc w:val="both"/>
        <w:ind w:right="20" w:firstLine="725"/>
        <w:spacing w:after="0" w:line="246" w:lineRule="auto"/>
        <w:tabs>
          <w:tab w:leader="none" w:pos="1113"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Defend Trade Secrets Act Notice of Immunity Rights</w:t>
      </w:r>
      <w:r>
        <w:rPr>
          <w:rFonts w:ascii="Times New Roman" w:cs="Times New Roman" w:eastAsia="Times New Roman" w:hAnsi="Times New Roman"/>
          <w:sz w:val="21"/>
          <w:szCs w:val="21"/>
          <w:color w:val="auto"/>
        </w:rPr>
        <w:t>. I acknowledge that the Company has provided me with the following notice of immunity rights in compliance with the requirements of the Defend Trade Secrets Act: (a) I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(b) I shall not be held criminally or civilly liable under any Federal or State trade secret law for the disclosure of Proprietary Information that is made in a complaint or other document filed in a lawsuit or other proceeding, if such filing is made under seal and (c) if I file a lawsuit for retaliation by the Company for reporting a suspected violation of law, I may disclose the Proprietary Information to my attorney and use the Proprietary Information in the court proceeding, if I file any document containing the Proprietary Information under seal, and do not disclose the Proprietary Information,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610235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66" w:name="page67"/>
    <w:bookmarkEnd w:id="66"/>
    <w:p>
      <w:pPr>
        <w:jc w:val="both"/>
        <w:ind w:firstLine="725"/>
        <w:spacing w:after="0" w:line="246" w:lineRule="auto"/>
        <w:tabs>
          <w:tab w:leader="none" w:pos="1113"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Property of the Company</w:t>
      </w:r>
      <w:r>
        <w:rPr>
          <w:rFonts w:ascii="Times New Roman" w:cs="Times New Roman" w:eastAsia="Times New Roman" w:hAnsi="Times New Roman"/>
          <w:sz w:val="21"/>
          <w:szCs w:val="21"/>
          <w:color w:val="auto"/>
        </w:rPr>
        <w:t>. I acknowledge and agree that all notes, memoranda, reports, drawings, blueprints, manuals, materials, data, emails and other papers and records of every kind, or other tangible or intangible materials which shall have or shall come into my possession in the course of my employment or engagement with the Company, relating to any Proprietary Information, shall be the sole and exclusive property of the Company and I hereby assign any rights or interests I may have obtained or may in the future obtain in any of the foregoing. I agree to surrender this property to the Company immediately upon termination of my employment or engagement with the Company, or at any time upon request by the Company. I further agree that any property situated on the Company’s data systems or on the Company’s premises and owned by the Company, including without limitation electronic storage media, filing cabinets or other work areas, is subject to inspection by Company personnel at any time with or without notice.</w:t>
      </w:r>
    </w:p>
    <w:p>
      <w:pPr>
        <w:spacing w:after="0" w:line="175" w:lineRule="exact"/>
        <w:rPr>
          <w:rFonts w:ascii="Times New Roman" w:cs="Times New Roman" w:eastAsia="Times New Roman" w:hAnsi="Times New Roman"/>
          <w:sz w:val="21"/>
          <w:szCs w:val="21"/>
          <w:color w:val="auto"/>
        </w:rPr>
      </w:pPr>
    </w:p>
    <w:p>
      <w:pPr>
        <w:ind w:left="1500" w:hanging="749"/>
        <w:spacing w:after="0"/>
        <w:tabs>
          <w:tab w:leader="none" w:pos="15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46"/>
        <w:spacing w:after="0" w:line="232" w:lineRule="auto"/>
        <w:rPr>
          <w:sz w:val="20"/>
          <w:szCs w:val="20"/>
          <w:color w:val="auto"/>
        </w:rPr>
      </w:pPr>
      <w:r>
        <w:rPr>
          <w:rFonts w:ascii="Times New Roman" w:cs="Times New Roman" w:eastAsia="Times New Roman" w:hAnsi="Times New Roman"/>
          <w:sz w:val="22"/>
          <w:szCs w:val="22"/>
          <w:color w:val="auto"/>
        </w:rPr>
        <w:t>5.1</w:t>
      </w:r>
      <w:r>
        <w:rPr>
          <w:rFonts w:ascii="Times New Roman" w:cs="Times New Roman" w:eastAsia="Times New Roman" w:hAnsi="Times New Roman"/>
          <w:sz w:val="22"/>
          <w:szCs w:val="22"/>
          <w:u w:val="single" w:color="auto"/>
          <w:color w:val="auto"/>
        </w:rPr>
        <w:t>Disclosure and Assignment of Inventions</w:t>
      </w:r>
      <w:r>
        <w:rPr>
          <w:rFonts w:ascii="Times New Roman" w:cs="Times New Roman" w:eastAsia="Times New Roman" w:hAnsi="Times New Roman"/>
          <w:sz w:val="22"/>
          <w:szCs w:val="22"/>
          <w:color w:val="auto"/>
        </w:rPr>
        <w:t>. For purposes of this Agreement, an “Invention” shall mean any idea, invention or work of authorship, including, without limitation, any documentation, formula, design, device, code, method, software, technique, process, discovery, concept, improvement, enhancement, development, machine or contribution, in each case whether or not patentable or copyrightable. I will disclose all Inventions promptly in writing to an officer of the Company or to attorneys of the Company in accordance with the Company’s policies and procedures. I will, and hereby do, assign to the Company, without requirement of further writing, without royalty or any other further consideration, my entire right, title and interest throughout the world in and to all Inventions created, conceived, made, developed, and/or reduced to practice by me at any time during the course of my employment or engagement by the Company and all intellectual property rights therein. I hereby waive, and agree to waive, any moral rights I may have in any copyrightable work I create or have created on behalf of the Company. I also hereby agree, that for a period of one year after my employment or engagement with the Company, I shall disclose to the Company any Inventions that I create, conceive, make, develop, reduce to practice or work on that relate to the work I performed for the Company. The Company agrees that it will use commercially reasonable measures to keep Inventions disclosed to it pursuant to this Section 5.1 that do not constitute Inventions to be owned by the Company in confidence and shall not use any Inventions for its own advantage, unless in either case those Inventions are assigned or assignable to the Company pursuant to this Section 5.1 or otherwise.</w:t>
      </w:r>
    </w:p>
    <w:p>
      <w:pPr>
        <w:spacing w:after="0" w:line="191" w:lineRule="exact"/>
        <w:rPr>
          <w:sz w:val="20"/>
          <w:szCs w:val="20"/>
          <w:color w:val="auto"/>
        </w:rPr>
      </w:pPr>
    </w:p>
    <w:p>
      <w:pPr>
        <w:jc w:val="both"/>
        <w:ind w:firstLine="1446"/>
        <w:spacing w:after="0" w:line="236" w:lineRule="auto"/>
        <w:rPr>
          <w:sz w:val="20"/>
          <w:szCs w:val="20"/>
          <w:color w:val="auto"/>
        </w:rPr>
      </w:pPr>
      <w:r>
        <w:rPr>
          <w:rFonts w:ascii="Times New Roman" w:cs="Times New Roman" w:eastAsia="Times New Roman" w:hAnsi="Times New Roman"/>
          <w:sz w:val="22"/>
          <w:szCs w:val="22"/>
          <w:color w:val="auto"/>
        </w:rPr>
        <w:t>5.2</w:t>
      </w:r>
      <w:r>
        <w:rPr>
          <w:rFonts w:ascii="Times New Roman" w:cs="Times New Roman" w:eastAsia="Times New Roman" w:hAnsi="Times New Roman"/>
          <w:sz w:val="22"/>
          <w:szCs w:val="22"/>
          <w:u w:val="single" w:color="auto"/>
          <w:color w:val="auto"/>
        </w:rPr>
        <w:t>Certain Exemptions</w:t>
      </w:r>
      <w:r>
        <w:rPr>
          <w:rFonts w:ascii="Times New Roman" w:cs="Times New Roman" w:eastAsia="Times New Roman" w:hAnsi="Times New Roman"/>
          <w:sz w:val="22"/>
          <w:szCs w:val="22"/>
          <w:color w:val="auto"/>
        </w:rPr>
        <w:t>. The obligations to assign Inventions set forth in Section 5.1 apply with respect to all Inventions (a) whether or not such Inventions are conceived, made, developed or worked on by me during my regular hours of employment or engagement with the Company; (b) whether or not the Invention was made at the suggestion of the Company;</w:t>
      </w:r>
    </w:p>
    <w:p>
      <w:pPr>
        <w:spacing w:after="0" w:line="1" w:lineRule="exact"/>
        <w:rPr>
          <w:sz w:val="20"/>
          <w:szCs w:val="20"/>
          <w:color w:val="auto"/>
        </w:rPr>
      </w:pPr>
    </w:p>
    <w:p>
      <w:pPr>
        <w:jc w:val="both"/>
        <w:ind w:firstLine="2"/>
        <w:spacing w:after="0" w:line="232" w:lineRule="auto"/>
        <w:tabs>
          <w:tab w:leader="none" w:pos="30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 Invention was reduced to drawings, written description, documentation, models or other tangible form; and (d) whether or not the Invention is related to the general line of business engaged in by the Company, but do not apply to Inventions that (x) I develop entirely on my own time or after the date of this Agreement without using the Company’s equipment, supplies, facilities or Proprietary Information; (y) do not relate to the Company’s business, or actual or demonstrably anticipated research or development of the Company at the time of conception or reduction to practice of the Invention; and (z) do not result from and are not related to any work performed by me for the Company. I hereby acknowledge and agree that the Company has notified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601345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395" w:right="719" w:bottom="1440" w:gutter="0" w:footer="0" w:header="0"/>
        </w:sectPr>
      </w:pPr>
    </w:p>
    <w:bookmarkStart w:id="67" w:name="page68"/>
    <w:bookmarkEnd w:id="67"/>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me that, if I reside in the state of California, assignments provided for in Section 5.1 do not apply to any Invention which qualifies fully for exemption from assignment under the provisions of Section 2870 of the California Labor Code (“</w:t>
      </w:r>
      <w:r>
        <w:rPr>
          <w:rFonts w:ascii="Times New Roman" w:cs="Times New Roman" w:eastAsia="Times New Roman" w:hAnsi="Times New Roman"/>
          <w:sz w:val="22"/>
          <w:szCs w:val="22"/>
          <w:u w:val="single" w:color="auto"/>
          <w:color w:val="auto"/>
        </w:rPr>
        <w:t>Section 2870</w:t>
      </w:r>
      <w:r>
        <w:rPr>
          <w:rFonts w:ascii="Times New Roman" w:cs="Times New Roman" w:eastAsia="Times New Roman" w:hAnsi="Times New Roman"/>
          <w:sz w:val="22"/>
          <w:szCs w:val="22"/>
          <w:color w:val="auto"/>
        </w:rPr>
        <w:t xml:space="preserve">”), a copy of which is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If applicable, at the time of disclosure of an Invention that I believe qualifies under Section 2870, I shall provide to the Company, in writing, evidence to substantiate the belief that such Invention qualifies under Section 2870. I further understand that, to the extent this Agreement shall be construed in accordance with the laws of any state which precludes a requirement in an agreement such as this Agreement to assign certain classes of inventions made by an employee or consultant, Section 5.1 shall be interpreted not to apply to any Invention which a court rules and/or the Company agrees falls within such classes.</w:t>
      </w:r>
    </w:p>
    <w:p>
      <w:pPr>
        <w:spacing w:after="0" w:line="178" w:lineRule="exact"/>
        <w:rPr>
          <w:sz w:val="20"/>
          <w:szCs w:val="20"/>
          <w:color w:val="auto"/>
        </w:rPr>
      </w:pPr>
    </w:p>
    <w:p>
      <w:pPr>
        <w:jc w:val="both"/>
        <w:ind w:right="20" w:firstLine="1446"/>
        <w:spacing w:after="0" w:line="239" w:lineRule="auto"/>
        <w:rPr>
          <w:sz w:val="20"/>
          <w:szCs w:val="20"/>
          <w:color w:val="auto"/>
        </w:rPr>
      </w:pPr>
      <w:r>
        <w:rPr>
          <w:rFonts w:ascii="Times New Roman" w:cs="Times New Roman" w:eastAsia="Times New Roman" w:hAnsi="Times New Roman"/>
          <w:sz w:val="22"/>
          <w:szCs w:val="22"/>
          <w:color w:val="auto"/>
        </w:rPr>
        <w:t>5.3</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I will make and maintain adequate and current written records of all Inventions covered by Section 5.1. These records may be in the form of notes, sketches, drawings, flow charts, electronic data or recordings, notebooks and any other format. These records shall be and remain the property of the Company at all times and shall be made available to the Company at all times.</w:t>
      </w:r>
    </w:p>
    <w:p>
      <w:pPr>
        <w:spacing w:after="0" w:line="180" w:lineRule="exact"/>
        <w:rPr>
          <w:sz w:val="20"/>
          <w:szCs w:val="20"/>
          <w:color w:val="auto"/>
        </w:rPr>
      </w:pPr>
    </w:p>
    <w:p>
      <w:pPr>
        <w:jc w:val="both"/>
        <w:ind w:right="20" w:firstLine="1446"/>
        <w:spacing w:after="0" w:line="235" w:lineRule="auto"/>
        <w:rPr>
          <w:sz w:val="20"/>
          <w:szCs w:val="20"/>
          <w:color w:val="auto"/>
        </w:rPr>
      </w:pPr>
      <w:r>
        <w:rPr>
          <w:rFonts w:ascii="Times New Roman" w:cs="Times New Roman" w:eastAsia="Times New Roman" w:hAnsi="Times New Roman"/>
          <w:sz w:val="22"/>
          <w:szCs w:val="22"/>
          <w:color w:val="auto"/>
        </w:rPr>
        <w:t>5.4</w:t>
      </w:r>
      <w:r>
        <w:rPr>
          <w:rFonts w:ascii="Times New Roman" w:cs="Times New Roman" w:eastAsia="Times New Roman" w:hAnsi="Times New Roman"/>
          <w:sz w:val="22"/>
          <w:szCs w:val="22"/>
          <w:u w:val="single" w:color="auto"/>
          <w:color w:val="auto"/>
        </w:rPr>
        <w:t>Patents and Other Rights</w:t>
      </w:r>
      <w:r>
        <w:rPr>
          <w:rFonts w:ascii="Times New Roman" w:cs="Times New Roman" w:eastAsia="Times New Roman" w:hAnsi="Times New Roman"/>
          <w:sz w:val="22"/>
          <w:szCs w:val="22"/>
          <w:color w:val="auto"/>
        </w:rPr>
        <w:t>. I agree to assist the Company in obtaining, maintaining and enforcing patents, invention assignments and copyright assignments, and other proprietary rights in connection with any Invention covered by Section 5.1, and will otherwise assist the Company as reasonably required by the Company to perfect in the Company the rights, title and other interests in my work product granted to the Company under this Agreement (both in the United States and foreign countries). I further agree that my obligations under this Section</w:t>
      </w:r>
    </w:p>
    <w:p>
      <w:pPr>
        <w:jc w:val="both"/>
        <w:spacing w:after="0" w:line="232" w:lineRule="auto"/>
        <w:rPr>
          <w:sz w:val="20"/>
          <w:szCs w:val="20"/>
          <w:color w:val="auto"/>
        </w:rPr>
      </w:pPr>
      <w:r>
        <w:rPr>
          <w:rFonts w:ascii="Times New Roman" w:cs="Times New Roman" w:eastAsia="Times New Roman" w:hAnsi="Times New Roman"/>
          <w:sz w:val="22"/>
          <w:szCs w:val="22"/>
          <w:color w:val="auto"/>
        </w:rPr>
        <w:t>5.4 shall continue beyond the termination of my employment or engagement with the Company, but if I am requested by the Company to render such assistance after the termination of such employment or engagement, I shall be entitled to a fair and reasonable rate of compensation for such assistance, and to reimbursement of any expenses incurred at the request of the Company relating to such assistance. If the Company is unable for any reason, after reasonable effort, to secure my signature on any document needed in connection with the actions specified above,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this Section 5.4 with the same legal force and effect as if executed by me.</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5.5</w:t>
      </w:r>
      <w:r>
        <w:rPr>
          <w:rFonts w:ascii="Times New Roman" w:cs="Times New Roman" w:eastAsia="Times New Roman" w:hAnsi="Times New Roman"/>
          <w:sz w:val="21"/>
          <w:szCs w:val="21"/>
          <w:u w:val="single" w:color="auto"/>
          <w:color w:val="auto"/>
        </w:rPr>
        <w:t>Prior Contracts and Inventions; Information Belonging to Third Parties</w:t>
      </w:r>
      <w:r>
        <w:rPr>
          <w:rFonts w:ascii="Times New Roman" w:cs="Times New Roman" w:eastAsia="Times New Roman" w:hAnsi="Times New Roman"/>
          <w:sz w:val="21"/>
          <w:szCs w:val="21"/>
          <w:color w:val="auto"/>
        </w:rPr>
        <w:t xml:space="preserve">. I represent and warrant that, except as 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I am not required, and I have not been required during the course of work for the Company or its predecessors, to assign Inventions under any other contracts that are now or were previously in existence between me and any other person or entity. I further represent that (a) I am not obligated under any consulting, employment or other agreement that would affect the Company’s rights or my duties under this Agreement, and I shall not enter into any such agreement or obligation during the period of my employment or engagement by the Company, (b) there is no action, investigation, or proceeding pending or threatened, or any basis therefor known to me involving my prior employment or any consultancy or the use of any information or techniques alleged to be proprietary to any former employer, and (c) the performance of my duties as an employee or consultant of the Company do not and will not</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610235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314" w:right="699" w:bottom="1440" w:gutter="0" w:footer="0" w:header="0"/>
        </w:sectPr>
      </w:pPr>
    </w:p>
    <w:bookmarkStart w:id="68" w:name="page69"/>
    <w:bookmarkEnd w:id="68"/>
    <w:p>
      <w:pPr>
        <w:spacing w:after="0" w:line="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breach, or constitute a default under any agreement to which I am bound, including any agreement limiting the use or disclosure of proprietary information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I have not and will not, in connection with my employment or engagement by the Company, use or disclose to the Company any confidential, trade secret or other proprietary information of any previous employer or other person to which I am not lawfully entitled. As a matter of record, I attach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 brief description of all Inventions made or conceived by me prior to my employment with the Company which I desire to be excluded from this Agreement (“</w:t>
      </w:r>
      <w:r>
        <w:rPr>
          <w:rFonts w:ascii="Times New Roman" w:cs="Times New Roman" w:eastAsia="Times New Roman" w:hAnsi="Times New Roman"/>
          <w:sz w:val="21"/>
          <w:szCs w:val="21"/>
          <w:u w:val="single" w:color="auto"/>
          <w:color w:val="auto"/>
        </w:rPr>
        <w:t>Background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Technology</w:t>
      </w:r>
      <w:r>
        <w:rPr>
          <w:rFonts w:ascii="Times New Roman" w:cs="Times New Roman" w:eastAsia="Times New Roman" w:hAnsi="Times New Roman"/>
          <w:sz w:val="21"/>
          <w:szCs w:val="21"/>
          <w:color w:val="auto"/>
        </w:rPr>
        <w:t xml:space="preserve">”). If full disclosure of any Background Technology would breach or constitute a default under any agreement to which I am bound, including any agreement limiting the use or disclosure of proprietary information acquired in confidence prior to engagement by the Company, I understand that I am to describe such Background Technology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 the most specific level possible without violating any such prior agreement. Without limiting my obligations or representations under this Section 5.5, if I use any Background Technology in the course of my employment or engagement or incorporate any Background Technology in any product, service or other offering of the Company, I hereby grant the Company a non-exclusive, royalty-free, perpetual and irrevocable, worldwide right to use and sublicense the use of Background Technology for the purpose of developing, marketing, selling and supporting Company technology, products and services, either directly or through multiple tiers of distribution, but not for the purpose of marketing Background Technology separately from Company products or services.</w:t>
      </w:r>
    </w:p>
    <w:p>
      <w:pPr>
        <w:spacing w:after="0" w:line="189" w:lineRule="exact"/>
        <w:rPr>
          <w:sz w:val="20"/>
          <w:szCs w:val="20"/>
          <w:color w:val="auto"/>
        </w:rPr>
      </w:pPr>
    </w:p>
    <w:p>
      <w:pPr>
        <w:jc w:val="both"/>
        <w:ind w:right="20" w:firstLine="1446"/>
        <w:spacing w:after="0" w:line="239" w:lineRule="auto"/>
        <w:rPr>
          <w:sz w:val="20"/>
          <w:szCs w:val="20"/>
          <w:color w:val="auto"/>
        </w:rPr>
      </w:pPr>
      <w:r>
        <w:rPr>
          <w:rFonts w:ascii="Times New Roman" w:cs="Times New Roman" w:eastAsia="Times New Roman" w:hAnsi="Times New Roman"/>
          <w:sz w:val="22"/>
          <w:szCs w:val="22"/>
          <w:color w:val="auto"/>
        </w:rPr>
        <w:t>5.6</w:t>
      </w:r>
      <w:r>
        <w:rPr>
          <w:rFonts w:ascii="Times New Roman" w:cs="Times New Roman" w:eastAsia="Times New Roman" w:hAnsi="Times New Roman"/>
          <w:sz w:val="22"/>
          <w:szCs w:val="22"/>
          <w:u w:val="single" w:color="auto"/>
          <w:color w:val="auto"/>
        </w:rPr>
        <w:t>Works Made for Hire</w:t>
      </w:r>
      <w:r>
        <w:rPr>
          <w:rFonts w:ascii="Times New Roman" w:cs="Times New Roman" w:eastAsia="Times New Roman" w:hAnsi="Times New Roman"/>
          <w:sz w:val="22"/>
          <w:szCs w:val="22"/>
          <w:color w:val="auto"/>
        </w:rPr>
        <w:t>. I acknowledge that all original works of authorship which were or are made by me (solely or jointly with others) within the scope of my employment or engagement with the Company and which are eligible for copyright protection are “works made for hire” as that term is defined in the United States Copyright Act (17 U.S.C., Section 101).</w:t>
      </w:r>
    </w:p>
    <w:p>
      <w:pPr>
        <w:spacing w:after="0" w:line="180" w:lineRule="exact"/>
        <w:rPr>
          <w:sz w:val="20"/>
          <w:szCs w:val="20"/>
          <w:color w:val="auto"/>
        </w:rPr>
      </w:pPr>
    </w:p>
    <w:p>
      <w:pPr>
        <w:jc w:val="both"/>
        <w:ind w:right="20" w:firstLine="725"/>
        <w:spacing w:after="0" w:line="244" w:lineRule="auto"/>
        <w:tabs>
          <w:tab w:leader="none" w:pos="111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I agree to fully comply with the covenants set forth in this Section 6 (the “</w:t>
      </w:r>
      <w:r>
        <w:rPr>
          <w:rFonts w:ascii="Times New Roman" w:cs="Times New Roman" w:eastAsia="Times New Roman" w:hAnsi="Times New Roman"/>
          <w:sz w:val="22"/>
          <w:szCs w:val="22"/>
          <w:u w:val="single" w:color="auto"/>
          <w:color w:val="auto"/>
        </w:rPr>
        <w:t>Restrictive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I further acknowledge and agree that the Restrictive Covenants are reasonable and necessary to protect the Company’s legitimate business interests, including its Proprietary Information and goodwill.</w:t>
      </w:r>
    </w:p>
    <w:p>
      <w:pPr>
        <w:spacing w:after="0" w:line="173" w:lineRule="exact"/>
        <w:rPr>
          <w:sz w:val="20"/>
          <w:szCs w:val="20"/>
          <w:color w:val="auto"/>
        </w:rPr>
      </w:pPr>
    </w:p>
    <w:p>
      <w:pPr>
        <w:jc w:val="both"/>
        <w:ind w:right="20" w:firstLine="1446"/>
        <w:spacing w:after="0" w:line="246" w:lineRule="auto"/>
        <w:rPr>
          <w:sz w:val="20"/>
          <w:szCs w:val="20"/>
          <w:color w:val="auto"/>
        </w:rPr>
      </w:pPr>
      <w:r>
        <w:rPr>
          <w:rFonts w:ascii="Times New Roman" w:cs="Times New Roman" w:eastAsia="Times New Roman" w:hAnsi="Times New Roman"/>
          <w:sz w:val="21"/>
          <w:szCs w:val="21"/>
          <w:color w:val="auto"/>
        </w:rPr>
        <w:t>6.1</w:t>
      </w: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During the term of my employment or engagement with the Company, and, to the extent I am not a resident of the State of California, for a period of one year immediately following the termination of such employment or engagement, I will not, directly or indirectly, for my own benefit or for the benefit of any other individual or entity other than the Company: (i) operate, conduct, or engage in, or prepare to operate, conduct, or engage in the Business; (ii) own, finance, or invest in (except as the holder of not more than one percent of the outstanding stock of a publicly-held company) any Business, or (iii) participate in, render services to, or assist any person or entity that engages in or is preparing to engage in the Business in any capacity (whether as an employee, consultant, contractor, partner, officer, director, or otherwise) (x) which involves the same or similar types of services I performed for the Company at any time during the last two years of my employment or engagement with the Company or (y) in which I could reasonably be expected to use or disclose Proprietary Information, in each case (i), (ii), or</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610235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69" w:name="page70"/>
    <w:bookmarkEnd w:id="69"/>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in the Restricted Territory.</w:t>
      </w:r>
    </w:p>
    <w:p>
      <w:pPr>
        <w:spacing w:after="0" w:line="206" w:lineRule="exact"/>
        <w:rPr>
          <w:sz w:val="20"/>
          <w:szCs w:val="20"/>
          <w:color w:val="auto"/>
        </w:rPr>
      </w:pPr>
    </w:p>
    <w:p>
      <w:pPr>
        <w:jc w:val="both"/>
        <w:ind w:right="20" w:firstLine="1446"/>
        <w:spacing w:after="0" w:line="247" w:lineRule="auto"/>
        <w:rPr>
          <w:sz w:val="20"/>
          <w:szCs w:val="20"/>
          <w:color w:val="auto"/>
        </w:rPr>
      </w:pPr>
      <w:r>
        <w:rPr>
          <w:rFonts w:ascii="Times New Roman" w:cs="Times New Roman" w:eastAsia="Times New Roman" w:hAnsi="Times New Roman"/>
          <w:sz w:val="21"/>
          <w:szCs w:val="21"/>
          <w:color w:val="auto"/>
        </w:rPr>
        <w:t>6.2</w:t>
      </w:r>
      <w:r>
        <w:rPr>
          <w:rFonts w:ascii="Times New Roman" w:cs="Times New Roman" w:eastAsia="Times New Roman" w:hAnsi="Times New Roman"/>
          <w:sz w:val="21"/>
          <w:szCs w:val="21"/>
          <w:u w:val="single" w:color="auto"/>
          <w:color w:val="auto"/>
        </w:rPr>
        <w:t>Non-Solicitation of Company Personnel</w:t>
      </w:r>
      <w:r>
        <w:rPr>
          <w:rFonts w:ascii="Times New Roman" w:cs="Times New Roman" w:eastAsia="Times New Roman" w:hAnsi="Times New Roman"/>
          <w:sz w:val="21"/>
          <w:szCs w:val="21"/>
          <w:color w:val="auto"/>
        </w:rPr>
        <w:t>. During the term of my employment or engagement with the Company, and for a period of one year immediately following the termination of such employment or engagement for any reason, I will not, directly or indirectly, for my own benefit or for the benefit of any other individual or entity: (a) employ or hire any Company Personnel in any capacity (whether as an employee, contractor, consultant or otherwise);</w:t>
      </w:r>
    </w:p>
    <w:p>
      <w:pPr>
        <w:spacing w:after="0" w:line="2" w:lineRule="exact"/>
        <w:rPr>
          <w:sz w:val="20"/>
          <w:szCs w:val="20"/>
          <w:color w:val="auto"/>
        </w:rPr>
      </w:pPr>
    </w:p>
    <w:p>
      <w:pPr>
        <w:jc w:val="both"/>
        <w:ind w:right="20" w:firstLine="2"/>
        <w:spacing w:after="0" w:line="233" w:lineRule="auto"/>
        <w:tabs>
          <w:tab w:leader="none" w:pos="31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attempt to solicit for employment or hire any Company Personnel in any capacity; (c) entice or induce any Company Personnel to leave his or her or their employment with the Company; or (d) otherwise negatively interfere with the Company’s relationship with any Company Personnel. Notwithstanding the foregoing, a general solicitation or advertisement for job opportunities that I may publish without targeting any Company Personnel shall not be considered a violation of Section 6.2(b).</w:t>
      </w:r>
    </w:p>
    <w:p>
      <w:pPr>
        <w:spacing w:after="0" w:line="179" w:lineRule="exact"/>
        <w:rPr>
          <w:sz w:val="20"/>
          <w:szCs w:val="20"/>
          <w:color w:val="auto"/>
        </w:rPr>
      </w:pPr>
    </w:p>
    <w:p>
      <w:pPr>
        <w:jc w:val="both"/>
        <w:ind w:right="20" w:firstLine="1446"/>
        <w:spacing w:after="0" w:line="236" w:lineRule="auto"/>
        <w:rPr>
          <w:sz w:val="20"/>
          <w:szCs w:val="20"/>
          <w:color w:val="auto"/>
        </w:rPr>
      </w:pPr>
      <w:r>
        <w:rPr>
          <w:rFonts w:ascii="Times New Roman" w:cs="Times New Roman" w:eastAsia="Times New Roman" w:hAnsi="Times New Roman"/>
          <w:sz w:val="22"/>
          <w:szCs w:val="22"/>
          <w:color w:val="auto"/>
        </w:rPr>
        <w:t>6.3</w:t>
      </w:r>
      <w:r>
        <w:rPr>
          <w:rFonts w:ascii="Times New Roman" w:cs="Times New Roman" w:eastAsia="Times New Roman" w:hAnsi="Times New Roman"/>
          <w:sz w:val="22"/>
          <w:szCs w:val="22"/>
          <w:u w:val="single" w:color="auto"/>
          <w:color w:val="auto"/>
        </w:rPr>
        <w:t>Non-Solicitation of Company Customers</w:t>
      </w:r>
      <w:r>
        <w:rPr>
          <w:rFonts w:ascii="Times New Roman" w:cs="Times New Roman" w:eastAsia="Times New Roman" w:hAnsi="Times New Roman"/>
          <w:sz w:val="22"/>
          <w:szCs w:val="22"/>
          <w:color w:val="auto"/>
        </w:rPr>
        <w:t>. During the term of my employment or engagement with the Company, I will not, directly or indirectly, for my own benefit or for the benefit of any other individual or entity: (a) solicit business from, or offer to provide products or services that are similar to any product or service provided or that could be provided by the Company or that are otherwise competitive with the Business to, any Company Customer; (b) cause or encourage any Company Customer to reduce or cease doing business with the Company, or (c) otherwise negatively interfere with the Company’s relationships with any Company Customer.</w:t>
      </w:r>
    </w:p>
    <w:p>
      <w:pPr>
        <w:spacing w:after="0" w:line="181" w:lineRule="exact"/>
        <w:rPr>
          <w:sz w:val="20"/>
          <w:szCs w:val="20"/>
          <w:color w:val="auto"/>
        </w:rPr>
      </w:pPr>
    </w:p>
    <w:p>
      <w:pPr>
        <w:jc w:val="both"/>
        <w:ind w:right="20" w:firstLine="1446"/>
        <w:spacing w:after="0" w:line="239" w:lineRule="auto"/>
        <w:rPr>
          <w:sz w:val="20"/>
          <w:szCs w:val="20"/>
          <w:color w:val="auto"/>
        </w:rPr>
      </w:pPr>
      <w:r>
        <w:rPr>
          <w:rFonts w:ascii="Times New Roman" w:cs="Times New Roman" w:eastAsia="Times New Roman" w:hAnsi="Times New Roman"/>
          <w:sz w:val="22"/>
          <w:szCs w:val="22"/>
          <w:color w:val="auto"/>
        </w:rPr>
        <w:t>6.4</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If any restriction set forth in the Restrictive Covenants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80" w:lineRule="exact"/>
        <w:rPr>
          <w:sz w:val="20"/>
          <w:szCs w:val="20"/>
          <w:color w:val="auto"/>
        </w:rPr>
      </w:pPr>
    </w:p>
    <w:p>
      <w:pPr>
        <w:jc w:val="both"/>
        <w:ind w:right="20" w:firstLine="1446"/>
        <w:spacing w:after="0" w:line="244" w:lineRule="auto"/>
        <w:rPr>
          <w:sz w:val="20"/>
          <w:szCs w:val="20"/>
          <w:color w:val="auto"/>
        </w:rPr>
      </w:pPr>
      <w:r>
        <w:rPr>
          <w:rFonts w:ascii="Times New Roman" w:cs="Times New Roman" w:eastAsia="Times New Roman" w:hAnsi="Times New Roman"/>
          <w:sz w:val="22"/>
          <w:szCs w:val="22"/>
          <w:color w:val="auto"/>
        </w:rPr>
        <w:t>6.5</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At any time, the Company may in its sole discretion elect to waive any or part of the Restrictive Covenants, provided any such waiver is expressly agreed to in writing by an executive officer of the Company, or, if I am an executive officer of the Company, by the Board of Directors of the Company.</w:t>
      </w:r>
    </w:p>
    <w:p>
      <w:pPr>
        <w:spacing w:after="0" w:line="173"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the Restrictive Covenants:</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(a)The term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any business or part thereof that develops, manufactures, markets, licenses, sells or provides any product or service that competes with any product or service developed, manufactured, marketed, licensed, sold or provided, or planned to be developed, manufactured, marketed, licensed, sold or provided, by the Company, in each case at any time during my employment or engagement with the Company.</w:t>
      </w:r>
    </w:p>
    <w:p>
      <w:pPr>
        <w:spacing w:after="0" w:line="200" w:lineRule="exact"/>
        <w:rPr>
          <w:sz w:val="20"/>
          <w:szCs w:val="20"/>
          <w:color w:val="auto"/>
        </w:rPr>
      </w:pPr>
    </w:p>
    <w:p>
      <w:pPr>
        <w:spacing w:after="0" w:line="304" w:lineRule="exact"/>
        <w:rPr>
          <w:sz w:val="20"/>
          <w:szCs w:val="20"/>
          <w:color w:val="auto"/>
        </w:rPr>
      </w:pPr>
    </w:p>
    <w:p>
      <w:pPr>
        <w:jc w:val="both"/>
        <w:ind w:right="20" w:firstLine="1446"/>
        <w:spacing w:after="0" w:line="239" w:lineRule="auto"/>
        <w:rPr>
          <w:sz w:val="20"/>
          <w:szCs w:val="20"/>
          <w:color w:val="auto"/>
        </w:rPr>
      </w:pPr>
      <w:r>
        <w:rPr>
          <w:rFonts w:ascii="Times New Roman" w:cs="Times New Roman" w:eastAsia="Times New Roman" w:hAnsi="Times New Roman"/>
          <w:sz w:val="22"/>
          <w:szCs w:val="22"/>
          <w:color w:val="auto"/>
        </w:rPr>
        <w:t>(b)The term “</w:t>
      </w:r>
      <w:r>
        <w:rPr>
          <w:rFonts w:ascii="Times New Roman" w:cs="Times New Roman" w:eastAsia="Times New Roman" w:hAnsi="Times New Roman"/>
          <w:sz w:val="22"/>
          <w:szCs w:val="22"/>
          <w:u w:val="single" w:color="auto"/>
          <w:color w:val="auto"/>
        </w:rPr>
        <w:t>Company Customer</w:t>
      </w:r>
      <w:r>
        <w:rPr>
          <w:rFonts w:ascii="Times New Roman" w:cs="Times New Roman" w:eastAsia="Times New Roman" w:hAnsi="Times New Roman"/>
          <w:sz w:val="22"/>
          <w:szCs w:val="22"/>
          <w:color w:val="auto"/>
        </w:rPr>
        <w:t>” means any individual or entity who (i) is, or was at any time during the one year period prior to my employment or engagement with the Company, a customer, supplier, or vendor of the Company of whom I learned, with whom I had business contact or about whom I obtained Proprietary Information at any time during my</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601345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70" w:name="page71"/>
    <w:bookmarkEnd w:id="70"/>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employment or engagement with the Company, or (ii) is a prospective customer, supplier, or vendor of the Company of whom I learned, with whom I had business contact, or about whom I obtained Proprietary Information as part of a solicitation of business on behalf of the Company at any time during the one year period prior to my termination of employment or engagement with the Company.</w:t>
      </w:r>
    </w:p>
    <w:p>
      <w:pPr>
        <w:spacing w:after="0" w:line="180" w:lineRule="exact"/>
        <w:rPr>
          <w:sz w:val="20"/>
          <w:szCs w:val="20"/>
          <w:color w:val="auto"/>
        </w:rPr>
      </w:pPr>
    </w:p>
    <w:p>
      <w:pPr>
        <w:jc w:val="both"/>
        <w:ind w:right="20" w:firstLine="1446"/>
        <w:spacing w:after="0" w:line="244" w:lineRule="auto"/>
        <w:rPr>
          <w:sz w:val="20"/>
          <w:szCs w:val="20"/>
          <w:color w:val="auto"/>
        </w:rPr>
      </w:pPr>
      <w:r>
        <w:rPr>
          <w:rFonts w:ascii="Times New Roman" w:cs="Times New Roman" w:eastAsia="Times New Roman" w:hAnsi="Times New Roman"/>
          <w:sz w:val="22"/>
          <w:szCs w:val="22"/>
          <w:color w:val="auto"/>
        </w:rPr>
        <w:t>(c)The term “</w:t>
      </w:r>
      <w:r>
        <w:rPr>
          <w:rFonts w:ascii="Times New Roman" w:cs="Times New Roman" w:eastAsia="Times New Roman" w:hAnsi="Times New Roman"/>
          <w:sz w:val="22"/>
          <w:szCs w:val="22"/>
          <w:u w:val="single" w:color="auto"/>
          <w:color w:val="auto"/>
        </w:rPr>
        <w:t>Company Personnel</w:t>
      </w:r>
      <w:r>
        <w:rPr>
          <w:rFonts w:ascii="Times New Roman" w:cs="Times New Roman" w:eastAsia="Times New Roman" w:hAnsi="Times New Roman"/>
          <w:sz w:val="22"/>
          <w:szCs w:val="22"/>
          <w:color w:val="auto"/>
        </w:rPr>
        <w:t>” means any individual or entity who is or was at any time during the six months period prior to my solicitation or other activity prohibited by Section 6.2, employed or engaged (whether as an employee, consultant, independent contractor or in any other capacity) by the Company.</w:t>
      </w:r>
    </w:p>
    <w:p>
      <w:pPr>
        <w:spacing w:after="0" w:line="173" w:lineRule="exact"/>
        <w:rPr>
          <w:sz w:val="20"/>
          <w:szCs w:val="20"/>
          <w:color w:val="auto"/>
        </w:rPr>
      </w:pPr>
    </w:p>
    <w:p>
      <w:pPr>
        <w:jc w:val="both"/>
        <w:ind w:right="20" w:firstLine="1446"/>
        <w:spacing w:after="0" w:line="239" w:lineRule="auto"/>
        <w:rPr>
          <w:sz w:val="20"/>
          <w:szCs w:val="20"/>
          <w:color w:val="auto"/>
        </w:rPr>
      </w:pPr>
      <w:r>
        <w:rPr>
          <w:rFonts w:ascii="Times New Roman" w:cs="Times New Roman" w:eastAsia="Times New Roman" w:hAnsi="Times New Roman"/>
          <w:sz w:val="22"/>
          <w:szCs w:val="22"/>
          <w:color w:val="auto"/>
        </w:rPr>
        <w:t>(d)The term “</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means each city, county, state, territory and country in which (i) I provided services or had a material presence or influence at any time during the last two years of my employment or engagement with the Company or (ii) the Company is engaged in or has plans to engage in the Business as of the termination of my employment or engagement with the Company.</w:t>
      </w:r>
    </w:p>
    <w:p>
      <w:pPr>
        <w:spacing w:after="0" w:line="180" w:lineRule="exact"/>
        <w:rPr>
          <w:sz w:val="20"/>
          <w:szCs w:val="20"/>
          <w:color w:val="auto"/>
        </w:rPr>
      </w:pPr>
    </w:p>
    <w:p>
      <w:pPr>
        <w:jc w:val="both"/>
        <w:ind w:firstLine="751"/>
        <w:spacing w:after="0" w:line="244" w:lineRule="auto"/>
        <w:tabs>
          <w:tab w:leader="none" w:pos="113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to Other Parties</w:t>
      </w:r>
      <w:r>
        <w:rPr>
          <w:rFonts w:ascii="Times New Roman" w:cs="Times New Roman" w:eastAsia="Times New Roman" w:hAnsi="Times New Roman"/>
          <w:sz w:val="22"/>
          <w:szCs w:val="22"/>
          <w:color w:val="auto"/>
        </w:rPr>
        <w:t>. In the event of termination of my employment or engagement with the Company for any reason, I hereby consent to notification by the Company to my new employer or other party for whom I work about my rights and obligations under this Agreement.</w:t>
      </w:r>
    </w:p>
    <w:p>
      <w:pPr>
        <w:spacing w:after="0" w:line="173" w:lineRule="exact"/>
        <w:rPr>
          <w:rFonts w:ascii="Times New Roman" w:cs="Times New Roman" w:eastAsia="Times New Roman" w:hAnsi="Times New Roman"/>
          <w:sz w:val="22"/>
          <w:szCs w:val="22"/>
          <w:color w:val="auto"/>
        </w:rPr>
      </w:pPr>
    </w:p>
    <w:p>
      <w:pPr>
        <w:jc w:val="both"/>
        <w:ind w:right="20" w:firstLine="725"/>
        <w:spacing w:after="0" w:line="234" w:lineRule="auto"/>
        <w:tabs>
          <w:tab w:leader="none" w:pos="111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I understand and agree that my employment or engagement with the Company is at will. Accordingly, my employment or engagement can be terminated at any time, without cause or notice, at my option or the Company’s option. The at-will nature of my employment or engagement also means that I can be transferred or demoted, and my job title, compensation, benefits and other terms and conditions of employment or engagement can be reduced, at any time with or without cause. I acknowledge that such changes shall not affect the enforceability of the Restrictive Covenants or other terms of this Agreement. This at-will status of my employment relationship or engagement with the Company shall remain in full force and effect throughout my employment or engagement with the Company, and the Restrictive Covenants shall remain in full force and effect pursuant to their terms. The at-will status of my employment or engagement can be modified only in a written agreement that expressly alters such status and which is signed by both an authorized officer of the Company and me.</w:t>
      </w:r>
    </w:p>
    <w:p>
      <w:pPr>
        <w:spacing w:after="0" w:line="179" w:lineRule="exact"/>
        <w:rPr>
          <w:rFonts w:ascii="Times New Roman" w:cs="Times New Roman" w:eastAsia="Times New Roman" w:hAnsi="Times New Roman"/>
          <w:sz w:val="22"/>
          <w:szCs w:val="22"/>
          <w:color w:val="auto"/>
        </w:rPr>
      </w:pPr>
    </w:p>
    <w:p>
      <w:pPr>
        <w:ind w:left="1500" w:hanging="749"/>
        <w:spacing w:after="0"/>
        <w:tabs>
          <w:tab w:leader="none" w:pos="15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446"/>
        <w:spacing w:after="0" w:line="235" w:lineRule="auto"/>
        <w:rPr>
          <w:sz w:val="20"/>
          <w:szCs w:val="20"/>
          <w:color w:val="auto"/>
        </w:rPr>
      </w:pPr>
      <w:r>
        <w:rPr>
          <w:rFonts w:ascii="Times New Roman" w:cs="Times New Roman" w:eastAsia="Times New Roman" w:hAnsi="Times New Roman"/>
          <w:sz w:val="22"/>
          <w:szCs w:val="22"/>
          <w:color w:val="auto"/>
        </w:rPr>
        <w:t>9.1The parties’ rights and obligations under this Agreement will bind and inure to the benefit of their respective successors, heirs, executors, and administrators and permitted assigns. I will not assign this Agreement or my obligations hereunder without the prior written consent of the Company, which consent may be withheld in the Company’s sole discretion, and any such purported assignment without consent shall be null and void from the beginning. I agree that the Company may freely assign or otherwise transfer this Agreement to any affiliate or successor in interest (whether by way of merger, sale, acquisition or corporate re- organization or any substantially similar process) of the Company.</w:t>
      </w:r>
    </w:p>
    <w:p>
      <w:pPr>
        <w:spacing w:after="0" w:line="1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9.2This Agreement constitutes the parties’ final, exclusive and complete</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601345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395" w:right="699" w:bottom="1440" w:gutter="0" w:footer="0" w:header="0"/>
        </w:sectPr>
      </w:pPr>
    </w:p>
    <w:bookmarkStart w:id="71" w:name="page72"/>
    <w:bookmarkEnd w:id="71"/>
    <w:p>
      <w:pPr>
        <w:spacing w:after="0" w:line="9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understanding and agreement with respect to the subject matter hereof, and supersedes all prior and contemporaneous understandings and agreements, whether oral or written, relating to its subject matter. Notwithstanding the foregoing, this Agreement shall not supersede, limit or replace any restrictions or obligations contained in any prior proprietary information and inventions agreement by and between me and the Company or any of its affiliates to the extent such prior restrictions are more favorable to the Company than those set forth in this Agreement, and the Company shall be entitled to the full benefits of this Agreement and any such other restrictions and obligations.</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9.3Any subsequent change or changes in my duties, obligations, rights or compensation will not affect the validity or scope of this Agreement. This Agreement may not be waived, modified or amended unless mutually agreed upon in writing by both parties.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81" w:lineRule="exact"/>
        <w:rPr>
          <w:sz w:val="20"/>
          <w:szCs w:val="20"/>
          <w:color w:val="auto"/>
        </w:rPr>
      </w:pPr>
    </w:p>
    <w:p>
      <w:pPr>
        <w:jc w:val="both"/>
        <w:ind w:right="20" w:firstLine="1446"/>
        <w:spacing w:after="0" w:line="236" w:lineRule="auto"/>
        <w:rPr>
          <w:sz w:val="20"/>
          <w:szCs w:val="20"/>
          <w:color w:val="auto"/>
        </w:rPr>
      </w:pPr>
      <w:r>
        <w:rPr>
          <w:rFonts w:ascii="Times New Roman" w:cs="Times New Roman" w:eastAsia="Times New Roman" w:hAnsi="Times New Roman"/>
          <w:sz w:val="22"/>
          <w:szCs w:val="22"/>
          <w:color w:val="auto"/>
        </w:rPr>
        <w:t>9.4If any provision of this Agreement is found by a proper authority to be unenforceable or invalid such unenforceability or invalidity shall not render this Agreement unenforceable or invalid as a whole and in such event, such provision shall be changed and interpreted so as to best accomplish the objectives of such unenforceable or invalid provision within the limits of applicable law or applicable court decisions and the remainder of the terms, provisions, covenants and restrictions of this Agreement shall remain in full force and effect and shall in no way be affected, impaired or invalidated.</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9.5I acknowledge that the Company will suffer substantial damages not readily ascertainable or compensable in terms of money in the event of the breach of any of my obligations under this Agreement. I therefore agree that the Company shall be entitled (without limitation of any other rights or remedies otherwise available to the Company) to obtain an injunction from any court of competent jurisdiction prohibiting the continuance or recurrence of any breach of this Agreement.</w:t>
      </w:r>
    </w:p>
    <w:p>
      <w:pPr>
        <w:spacing w:after="0" w:line="177" w:lineRule="exact"/>
        <w:rPr>
          <w:sz w:val="20"/>
          <w:szCs w:val="20"/>
          <w:color w:val="auto"/>
        </w:rPr>
      </w:pPr>
    </w:p>
    <w:p>
      <w:pPr>
        <w:jc w:val="both"/>
        <w:ind w:right="20" w:firstLine="1446"/>
        <w:spacing w:after="0" w:line="235" w:lineRule="auto"/>
        <w:rPr>
          <w:sz w:val="20"/>
          <w:szCs w:val="20"/>
          <w:color w:val="auto"/>
        </w:rPr>
      </w:pPr>
      <w:r>
        <w:rPr>
          <w:rFonts w:ascii="Times New Roman" w:cs="Times New Roman" w:eastAsia="Times New Roman" w:hAnsi="Times New Roman"/>
          <w:sz w:val="22"/>
          <w:szCs w:val="22"/>
          <w:color w:val="auto"/>
        </w:rPr>
        <w:t>9.6The rights and obligations of the parties under this Agreement shall be governed in all respects by the laws of the state in which I reside as of the date of this Agreement exclusively, without reference to any conflict of laws rule that would result in the application of the laws of any other jurisdiction. The parties agree that all disputes arising under this Agreement shall be adjudicated in the state and federal courts having jurisdiction over disputes arising in Lake County, Illinois, and I hereby agree to consent to the personal jurisdiction of such court. The Company and I each hereby irrevocably waive any right to a trial by jury in any action, suit or other legal proceeding arising under or relating to any provision of this Agreement.</w:t>
      </w:r>
    </w:p>
    <w:p>
      <w:pPr>
        <w:spacing w:after="0" w:line="183" w:lineRule="exact"/>
        <w:rPr>
          <w:sz w:val="20"/>
          <w:szCs w:val="20"/>
          <w:color w:val="auto"/>
        </w:rPr>
      </w:pPr>
    </w:p>
    <w:p>
      <w:pPr>
        <w:jc w:val="both"/>
        <w:ind w:right="20" w:firstLine="1446"/>
        <w:spacing w:after="0" w:line="239" w:lineRule="auto"/>
        <w:rPr>
          <w:sz w:val="20"/>
          <w:szCs w:val="20"/>
          <w:color w:val="auto"/>
        </w:rPr>
      </w:pPr>
      <w:r>
        <w:rPr>
          <w:rFonts w:ascii="Times New Roman" w:cs="Times New Roman" w:eastAsia="Times New Roman" w:hAnsi="Times New Roman"/>
          <w:sz w:val="22"/>
          <w:szCs w:val="22"/>
          <w:color w:val="auto"/>
        </w:rPr>
        <w:t>9.7Any notices required or permitted hereunder shall be given to the appropriate party at the address specified on the signature page to this Agreement or at such other address as the party shall specify in writing. Such notice shall be deemed given upon personal delivery, or sent by certified or registered mail, postage prepaid, three days after the date of mailing.</w:t>
      </w:r>
    </w:p>
    <w:p>
      <w:pPr>
        <w:spacing w:after="0" w:line="1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9.8Except as otherwise provided herein, the provisions of this Agreement shall</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610235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72" w:name="page73"/>
    <w:bookmarkEnd w:id="72"/>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survive the termination of my employment or engagement with the Company for any reason.</w:t>
      </w:r>
    </w:p>
    <w:p>
      <w:pPr>
        <w:spacing w:after="0" w:line="206" w:lineRule="exact"/>
        <w:rPr>
          <w:sz w:val="20"/>
          <w:szCs w:val="20"/>
          <w:color w:val="auto"/>
        </w:rPr>
      </w:pPr>
    </w:p>
    <w:p>
      <w:pPr>
        <w:jc w:val="both"/>
        <w:ind w:left="380" w:firstLine="1446"/>
        <w:spacing w:after="0" w:line="238" w:lineRule="auto"/>
        <w:rPr>
          <w:sz w:val="20"/>
          <w:szCs w:val="20"/>
          <w:color w:val="auto"/>
        </w:rPr>
      </w:pPr>
      <w:r>
        <w:rPr>
          <w:rFonts w:ascii="Times New Roman" w:cs="Times New Roman" w:eastAsia="Times New Roman" w:hAnsi="Times New Roman"/>
          <w:sz w:val="22"/>
          <w:szCs w:val="22"/>
          <w:color w:val="auto"/>
        </w:rPr>
        <w:t>9.9This Agreement may be executed in any number of counterparts, each of which shall be deemed to be an original and all of which together shall be deemed to be one and the same instrument. A facsimile, PDF (or any electronic signature complying with the U.S. federal ESIGN Act of 2000, e.g., www.docusign.com) or any other type of copy of an executed version of this Agreement signed by a party is binding upon the signing party to the same extent as the original of the signed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I ACKNOWLEDGE THAT I HAVE THE RIGHT TO CONSULT WITH INDEPENDENT LEGAL COUNSEL PRIOR TO SIGNING THIS AGREEMENT AND HAVE HAD A REASONABLE OPPORTUNITY TO DO SO, AND THAT I EITHER HAVE CONSULTED, OR ON MY OWN VOLITION CHOSEN NOT TO CONSULT, WITH SUCH COUNSEL. I FURTHER ACKNOWLEDGE THAT I HAVE READ THIS AGREEMENT CAREFULLY AND I UNDERSTAND AND ACCEPT THE OBLIGATIONS WHICH IT IMPOSES UPON ME WITHOUT RESERVATION. NO PROMISES OR REPRESENTATIONS HAVE BEEN MADE TO ME TO INDUCE ME TO SIGN THIS AGREEMENT. I SIGN THIS AGREEMENT VOLUNTARILY AND FREELY, IN DUPLICATE, WITH THE UNDERSTANDING THAT THE COMPANY WILL RETAIN ONE COUNTERPART AND THE OTHER COUNTERPART WILL BE RETAINED BY ME.</w:t>
      </w:r>
    </w:p>
    <w:p>
      <w:pPr>
        <w:spacing w:after="0" w:line="200" w:lineRule="exact"/>
        <w:rPr>
          <w:sz w:val="20"/>
          <w:szCs w:val="20"/>
          <w:color w:val="auto"/>
        </w:rPr>
      </w:pPr>
    </w:p>
    <w:p>
      <w:pPr>
        <w:spacing w:after="0" w:line="3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I have executed this document as of May 26, 2020:</w:t>
      </w:r>
    </w:p>
    <w:p>
      <w:pPr>
        <w:spacing w:after="0" w:line="2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/s/Azmi Nabulsi</w:t>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Azmi Nabulsi</w:t>
      </w:r>
    </w:p>
    <w:p>
      <w:pPr>
        <w:spacing w:after="0" w:line="37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PHATHOM PHARMACEUTICALS, INC.</w:t>
      </w:r>
    </w:p>
    <w:p>
      <w:pPr>
        <w:spacing w:after="0" w:line="200" w:lineRule="exact"/>
        <w:rPr>
          <w:sz w:val="20"/>
          <w:szCs w:val="20"/>
          <w:color w:val="auto"/>
        </w:rPr>
      </w:pPr>
    </w:p>
    <w:p>
      <w:pPr>
        <w:spacing w:after="0" w:line="24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/s/Moon Hui Kim</w:t>
      </w: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 Moon Hui Kim Title:VP, Human</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Resources</w:t>
      </w:r>
    </w:p>
    <w:p>
      <w:pPr>
        <w:ind w:left="4880"/>
        <w:spacing w:after="0"/>
        <w:rPr>
          <w:sz w:val="20"/>
          <w:szCs w:val="20"/>
          <w:color w:val="auto"/>
        </w:rPr>
      </w:pPr>
      <w:r>
        <w:rPr>
          <w:rFonts w:ascii="Times New Roman" w:cs="Times New Roman" w:eastAsia="Times New Roman" w:hAnsi="Times New Roman"/>
          <w:sz w:val="21"/>
          <w:szCs w:val="21"/>
          <w:color w:val="auto"/>
        </w:rPr>
        <w:t>Address: 2150 E Lake Cook Road, Suite 800 Buffalo</w:t>
      </w:r>
    </w:p>
    <w:p>
      <w:pPr>
        <w:spacing w:after="0" w:line="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Grove, IL 60089</w:t>
      </w:r>
    </w:p>
    <w:p>
      <w:pPr>
        <w:spacing w:after="0" w:line="200" w:lineRule="exact"/>
        <w:rPr>
          <w:sz w:val="20"/>
          <w:szCs w:val="20"/>
          <w:color w:val="auto"/>
        </w:rPr>
      </w:pPr>
    </w:p>
    <w:p>
      <w:pPr>
        <w:spacing w:after="0" w:line="3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CALIFORNIA LABOR CODE</w:t>
      </w:r>
    </w:p>
    <w:p>
      <w:pPr>
        <w:spacing w:after="0" w:line="21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California Labor Code § 2870</w:t>
      </w:r>
      <w:r>
        <w:rPr>
          <w:rFonts w:ascii="Times New Roman" w:cs="Times New Roman" w:eastAsia="Times New Roman" w:hAnsi="Times New Roman"/>
          <w:sz w:val="22"/>
          <w:szCs w:val="22"/>
          <w:color w:val="auto"/>
        </w:rPr>
        <w:t>. Application of provision providing that employee shall assign or offer to assign rights in invention to employer.</w:t>
      </w:r>
    </w:p>
    <w:p>
      <w:pPr>
        <w:spacing w:after="0" w:line="158" w:lineRule="exact"/>
        <w:rPr>
          <w:sz w:val="20"/>
          <w:szCs w:val="20"/>
          <w:color w:val="auto"/>
        </w:rPr>
      </w:pPr>
    </w:p>
    <w:p>
      <w:pPr>
        <w:jc w:val="both"/>
        <w:ind w:left="720" w:hanging="718"/>
        <w:spacing w:after="0" w:line="239" w:lineRule="auto"/>
        <w:tabs>
          <w:tab w:leader="none" w:pos="7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80" w:lineRule="exact"/>
        <w:rPr>
          <w:rFonts w:ascii="Times New Roman" w:cs="Times New Roman" w:eastAsia="Times New Roman" w:hAnsi="Times New Roman"/>
          <w:sz w:val="22"/>
          <w:szCs w:val="22"/>
          <w:color w:val="auto"/>
        </w:rPr>
      </w:pPr>
    </w:p>
    <w:p>
      <w:pPr>
        <w:ind w:left="1480" w:hanging="729"/>
        <w:spacing w:after="0" w:line="258" w:lineRule="auto"/>
        <w:tabs>
          <w:tab w:leader="none" w:pos="148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 at the time of conception or reduction to practice of the invention to the employer’s business, or actual or demonstrably anticipated research or development of the employer; or</w:t>
      </w:r>
    </w:p>
    <w:p>
      <w:pPr>
        <w:spacing w:after="0" w:line="158" w:lineRule="exact"/>
        <w:rPr>
          <w:rFonts w:ascii="Times New Roman" w:cs="Times New Roman" w:eastAsia="Times New Roman" w:hAnsi="Times New Roman"/>
          <w:sz w:val="22"/>
          <w:szCs w:val="22"/>
          <w:color w:val="auto"/>
        </w:rPr>
      </w:pPr>
    </w:p>
    <w:p>
      <w:pPr>
        <w:ind w:left="1500" w:hanging="749"/>
        <w:spacing w:after="0"/>
        <w:tabs>
          <w:tab w:leader="none" w:pos="150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from any work performed by the employee for the employer.</w:t>
      </w:r>
    </w:p>
    <w:p>
      <w:pPr>
        <w:spacing w:after="0" w:line="206" w:lineRule="exact"/>
        <w:rPr>
          <w:rFonts w:ascii="Times New Roman" w:cs="Times New Roman" w:eastAsia="Times New Roman" w:hAnsi="Times New Roman"/>
          <w:sz w:val="22"/>
          <w:szCs w:val="22"/>
          <w:color w:val="auto"/>
        </w:rPr>
      </w:pPr>
    </w:p>
    <w:p>
      <w:pPr>
        <w:jc w:val="both"/>
        <w:ind w:left="720" w:right="20" w:hanging="657"/>
        <w:spacing w:after="0" w:line="244" w:lineRule="auto"/>
        <w:tabs>
          <w:tab w:leader="none" w:pos="72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610235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314" w:right="699" w:bottom="1440" w:gutter="0" w:footer="0" w:header="0"/>
        </w:sectPr>
      </w:pPr>
    </w:p>
    <w:bookmarkStart w:id="75" w:name="page76"/>
    <w:bookmarkEnd w:id="75"/>
    <w:p>
      <w:pPr>
        <w:ind w:left="4720"/>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0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BACKGROUND TECHNOLOGY</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List here prior contracts to assign Inventions that are now in existence between any other person or entity and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0" w:hanging="423"/>
        <w:spacing w:after="0"/>
        <w:tabs>
          <w:tab w:leader="none" w:pos="800" w:val="left"/>
        </w:tabs>
        <w:numPr>
          <w:ilvl w:val="0"/>
          <w:numId w:val="5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here if NONE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List here previous Inventions which you desire to have specifically excluded from the operation of this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Continue on reverse side if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00" w:hanging="423"/>
        <w:spacing w:after="0"/>
        <w:tabs>
          <w:tab w:leader="none" w:pos="800" w:val="left"/>
        </w:tabs>
        <w:numPr>
          <w:ilvl w:val="0"/>
          <w:numId w:val="5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here if NONE</w:t>
      </w:r>
    </w:p>
    <w:p>
      <w:pPr>
        <w:spacing w:after="0" w:line="40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610235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700" w:top="1314" w:right="49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SEPARATION AGREEMENT AND RELEASE OF CLAIMS</w:t>
      </w:r>
    </w:p>
    <w:p>
      <w:pPr>
        <w:spacing w:after="0" w:line="229" w:lineRule="exact"/>
        <w:rPr>
          <w:sz w:val="20"/>
          <w:szCs w:val="20"/>
          <w:color w:val="auto"/>
        </w:rPr>
      </w:pPr>
    </w:p>
    <w:p>
      <w:pPr>
        <w:jc w:val="both"/>
        <w:ind w:right="380" w:firstLine="749"/>
        <w:spacing w:after="0" w:line="273" w:lineRule="auto"/>
        <w:rPr>
          <w:sz w:val="20"/>
          <w:szCs w:val="20"/>
          <w:color w:val="auto"/>
        </w:rPr>
      </w:pPr>
      <w:r>
        <w:rPr>
          <w:rFonts w:ascii="Times New Roman" w:cs="Times New Roman" w:eastAsia="Times New Roman" w:hAnsi="Times New Roman"/>
          <w:sz w:val="20"/>
          <w:szCs w:val="20"/>
          <w:color w:val="auto"/>
        </w:rPr>
        <w:t>This Separation Agreement and Release of Claims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by and between Molly Henderson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Phathom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effective as of the Effective Date (as defined below).</w:t>
      </w:r>
    </w:p>
    <w:p>
      <w:pPr>
        <w:spacing w:after="0" w:line="16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WHEREAS, Executive is a party to that certain offer letter, dated March 22, 2022, with the Company (the “</w:t>
      </w:r>
      <w:r>
        <w:rPr>
          <w:rFonts w:ascii="Times New Roman" w:cs="Times New Roman" w:eastAsia="Times New Roman" w:hAnsi="Times New Roman"/>
          <w:sz w:val="20"/>
          <w:szCs w:val="20"/>
          <w:b w:val="1"/>
          <w:bCs w:val="1"/>
          <w:i w:val="1"/>
          <w:iCs w:val="1"/>
          <w:color w:val="auto"/>
        </w:rPr>
        <w:t>Offer Letter</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right="380" w:firstLine="747"/>
        <w:spacing w:after="0" w:line="269" w:lineRule="auto"/>
        <w:rPr>
          <w:sz w:val="20"/>
          <w:szCs w:val="20"/>
          <w:color w:val="auto"/>
        </w:rPr>
      </w:pPr>
      <w:r>
        <w:rPr>
          <w:rFonts w:ascii="Times New Roman" w:cs="Times New Roman" w:eastAsia="Times New Roman" w:hAnsi="Times New Roman"/>
          <w:sz w:val="20"/>
          <w:szCs w:val="20"/>
          <w:color w:val="auto"/>
        </w:rPr>
        <w:t>WHEREAS, Executive ceased serving as the Company’s Chief Financial and Business Officer effective as of April 30, 2025 and Executive’s employment with the Company terminated on May 16, 2025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and</w:t>
      </w:r>
    </w:p>
    <w:p>
      <w:pPr>
        <w:spacing w:after="0" w:line="173" w:lineRule="exact"/>
        <w:rPr>
          <w:sz w:val="20"/>
          <w:szCs w:val="20"/>
          <w:color w:val="auto"/>
        </w:rPr>
      </w:pPr>
    </w:p>
    <w:p>
      <w:pPr>
        <w:jc w:val="both"/>
        <w:ind w:right="380" w:firstLine="747"/>
        <w:spacing w:after="0" w:line="269" w:lineRule="auto"/>
        <w:rPr>
          <w:sz w:val="20"/>
          <w:szCs w:val="20"/>
          <w:color w:val="auto"/>
        </w:rPr>
      </w:pPr>
      <w:r>
        <w:rPr>
          <w:rFonts w:ascii="Times New Roman" w:cs="Times New Roman" w:eastAsia="Times New Roman" w:hAnsi="Times New Roman"/>
          <w:sz w:val="20"/>
          <w:szCs w:val="20"/>
          <w:color w:val="auto"/>
        </w:rPr>
        <w:t>WHEREAS, Executive acknowledges that, unless she executes and does not revoke this Agreement as required under this Agreement, she will not be eligible for the Termination Benefits (as defined below).</w:t>
      </w:r>
    </w:p>
    <w:p>
      <w:pPr>
        <w:spacing w:after="0" w:line="173" w:lineRule="exact"/>
        <w:rPr>
          <w:sz w:val="20"/>
          <w:szCs w:val="20"/>
          <w:color w:val="auto"/>
        </w:rPr>
      </w:pPr>
    </w:p>
    <w:p>
      <w:pPr>
        <w:jc w:val="both"/>
        <w:ind w:right="380"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and subject to, the Termination Benefits payable to Executive described in Section 3 below, the adequacy of which is hereby acknowledged by Executive, and which Termination Benefits Executive acknowledges that she would not otherwise be entitled to receive, Executive and the Company hereby agree as follows:</w:t>
      </w:r>
    </w:p>
    <w:p>
      <w:pPr>
        <w:spacing w:after="0" w:line="18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p>
    <w:p>
      <w:pPr>
        <w:spacing w:after="0" w:line="233" w:lineRule="exact"/>
        <w:rPr>
          <w:sz w:val="20"/>
          <w:szCs w:val="20"/>
          <w:color w:val="auto"/>
        </w:rPr>
      </w:pPr>
    </w:p>
    <w:p>
      <w:pPr>
        <w:jc w:val="both"/>
        <w:ind w:left="720" w:right="380" w:hanging="718"/>
        <w:spacing w:after="0" w:line="243"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Agreement shall not become effective unless both of the following events have occurred: (a) execution of this Agreement by Executive on or after the Termination Date but prior to the last day of the Review Period (as defined below), and (b) expiration of the revocation period applicable under Section 4(c) below without Executive having given notice of revocation. The date on which this Agreement becomes effective shall be referred to in this Agreement as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Unless Executive executes this Agreement on or prior to the last day of the Review Period, and thereafter allows this Agreement to become effective in accordance with Section 4(c) below, this Agreement shall be null and void. The parties agree that any material or immaterial changes to this Agreement shall not extend the Review Period.</w:t>
      </w:r>
    </w:p>
    <w:p>
      <w:pPr>
        <w:spacing w:after="0" w:line="189" w:lineRule="exact"/>
        <w:rPr>
          <w:rFonts w:ascii="Times New Roman" w:cs="Times New Roman" w:eastAsia="Times New Roman" w:hAnsi="Times New Roman"/>
          <w:sz w:val="20"/>
          <w:szCs w:val="20"/>
          <w:color w:val="auto"/>
        </w:rPr>
      </w:pPr>
    </w:p>
    <w:p>
      <w:pPr>
        <w:ind w:left="720" w:hanging="718"/>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right="380" w:firstLine="1489"/>
        <w:spacing w:after="0" w:line="243" w:lineRule="auto"/>
        <w:tabs>
          <w:tab w:leader="none" w:pos="267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Date was the termination date of Executive’s employment with the Company and any of its affiliates for all purposes, including active participation in and coverage under all benefit plans and programs sponsored by or through the Company and its affiliates, except as provided in this Agreement. Executive hereby confirms that she ceased serving as the Company’s Chief Financial and Business Officer on April 30, 2025, and further confirms that, effective as of the Termination Date, she ceased to serve in any and all positions she held with the Company and any of its affiliates. For the avoidance of doubt, Executive hereby confirms her resignation from all other offices and any directorships held with the Company and any of its affiliates effective as of the Termination Date. In accordance with applicable law, on or following the Termination Date, the Company will issue to Executive her final paycheck, reflecting her</w:t>
      </w:r>
    </w:p>
    <w:p>
      <w:pPr>
        <w:spacing w:after="0" w:line="200" w:lineRule="exact"/>
        <w:rPr>
          <w:sz w:val="20"/>
          <w:szCs w:val="20"/>
          <w:color w:val="auto"/>
        </w:rPr>
      </w:pPr>
    </w:p>
    <w:p>
      <w:pPr>
        <w:spacing w:after="0" w:line="39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22" w:right="339" w:bottom="1440" w:gutter="0" w:footer="0" w:header="0"/>
        </w:sectPr>
      </w:pPr>
    </w:p>
    <w:bookmarkStart w:id="77" w:name="page78"/>
    <w:bookmarkEnd w:id="77"/>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earned but unpaid base salary through the Termination Date.</w:t>
      </w:r>
    </w:p>
    <w:p>
      <w:pPr>
        <w:spacing w:after="0" w:line="229" w:lineRule="exact"/>
        <w:rPr>
          <w:sz w:val="20"/>
          <w:szCs w:val="20"/>
          <w:color w:val="auto"/>
        </w:rPr>
      </w:pPr>
    </w:p>
    <w:p>
      <w:pPr>
        <w:jc w:val="both"/>
        <w:ind w:left="760" w:firstLine="1489"/>
        <w:spacing w:after="0" w:line="249" w:lineRule="auto"/>
        <w:tabs>
          <w:tab w:leader="none" w:pos="267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reimburse Executive for any and all reasonable and necessary business expenses incurred by Executive in connection with the performance of her job duties prior to the Termination Date in accordance with the Company’s policies, which expenses shall be submitted to the Company with supporting receipts and/or documentation no later than thirty (30) calendar days after the Termination Date.</w:t>
      </w:r>
    </w:p>
    <w:p>
      <w:pPr>
        <w:spacing w:after="0" w:line="179" w:lineRule="exact"/>
        <w:rPr>
          <w:rFonts w:ascii="Times New Roman" w:cs="Times New Roman" w:eastAsia="Times New Roman" w:hAnsi="Times New Roman"/>
          <w:sz w:val="20"/>
          <w:szCs w:val="20"/>
          <w:color w:val="auto"/>
        </w:rPr>
      </w:pPr>
    </w:p>
    <w:p>
      <w:pPr>
        <w:jc w:val="both"/>
        <w:ind w:left="760" w:firstLine="1489"/>
        <w:spacing w:after="0" w:line="244" w:lineRule="auto"/>
        <w:tabs>
          <w:tab w:leader="none" w:pos="267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3(d) below, Executive’s entitlement to health benefits from the Company, and eligibility to participate in the Company’s health benefit plans, shall cease on the last day of the month in which the Termination Date occurred (the “</w:t>
      </w:r>
      <w:r>
        <w:rPr>
          <w:rFonts w:ascii="Times New Roman" w:cs="Times New Roman" w:eastAsia="Times New Roman" w:hAnsi="Times New Roman"/>
          <w:sz w:val="20"/>
          <w:szCs w:val="20"/>
          <w:b w:val="1"/>
          <w:bCs w:val="1"/>
          <w:i w:val="1"/>
          <w:iCs w:val="1"/>
          <w:color w:val="auto"/>
        </w:rPr>
        <w:t>Benefits Termination Date</w:t>
      </w:r>
      <w:r>
        <w:rPr>
          <w:rFonts w:ascii="Times New Roman" w:cs="Times New Roman" w:eastAsia="Times New Roman" w:hAnsi="Times New Roman"/>
          <w:sz w:val="20"/>
          <w:szCs w:val="20"/>
          <w:color w:val="auto"/>
        </w:rPr>
        <w:t>”), except to the extent Executive elects to and is eligible to receive continued healthcare coverage pursuant to the provisions of the Consolidated Omnibus Budget Reconciliation Act of 1985, as amended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for herself and any covered dependents. Executive’s entitlement to other benefits from the Company, and eligibility to participate in the Company’s other benefit plans and programs, shall cease on the Termination Date.</w:t>
      </w:r>
    </w:p>
    <w:p>
      <w:pPr>
        <w:spacing w:after="0" w:line="185" w:lineRule="exact"/>
        <w:rPr>
          <w:rFonts w:ascii="Times New Roman" w:cs="Times New Roman" w:eastAsia="Times New Roman" w:hAnsi="Times New Roman"/>
          <w:sz w:val="20"/>
          <w:szCs w:val="20"/>
          <w:color w:val="auto"/>
        </w:rPr>
      </w:pPr>
    </w:p>
    <w:p>
      <w:pPr>
        <w:jc w:val="both"/>
        <w:ind w:left="760" w:firstLine="1489"/>
        <w:spacing w:after="0" w:line="249" w:lineRule="auto"/>
        <w:tabs>
          <w:tab w:leader="none" w:pos="267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other than the compensation set forth in this Section 2 to be paid to her as provided herein and the Termination Benefits set forth in Section 3 below, she has or will have received all wages, accrued but unused vacation or paid time off, and other benefits due her as a result of her employment or service with and termination from the Company.</w:t>
      </w:r>
    </w:p>
    <w:p>
      <w:pPr>
        <w:spacing w:after="0" w:line="179" w:lineRule="exact"/>
        <w:rPr>
          <w:rFonts w:ascii="Times New Roman" w:cs="Times New Roman" w:eastAsia="Times New Roman" w:hAnsi="Times New Roman"/>
          <w:sz w:val="20"/>
          <w:szCs w:val="20"/>
          <w:color w:val="auto"/>
        </w:rPr>
      </w:pPr>
    </w:p>
    <w:p>
      <w:pPr>
        <w:jc w:val="both"/>
        <w:ind w:left="720" w:hanging="718"/>
        <w:spacing w:after="0" w:line="249"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Benefits</w:t>
      </w:r>
      <w:r>
        <w:rPr>
          <w:rFonts w:ascii="Times New Roman" w:cs="Times New Roman" w:eastAsia="Times New Roman" w:hAnsi="Times New Roman"/>
          <w:sz w:val="20"/>
          <w:szCs w:val="20"/>
          <w:color w:val="auto"/>
        </w:rPr>
        <w:t>. In consideration for Executive’s agreement to be bound by the terms of this Agreement, including but not limited to the release of claims in Section 4, but subject to Executive’s continued compliance with this Agreement, including Section 5, the Company agrees to provide Executive with the following termination benefits (the “</w:t>
      </w:r>
      <w:r>
        <w:rPr>
          <w:rFonts w:ascii="Times New Roman" w:cs="Times New Roman" w:eastAsia="Times New Roman" w:hAnsi="Times New Roman"/>
          <w:sz w:val="20"/>
          <w:szCs w:val="20"/>
          <w:b w:val="1"/>
          <w:bCs w:val="1"/>
          <w:i w:val="1"/>
          <w:iCs w:val="1"/>
          <w:color w:val="auto"/>
        </w:rPr>
        <w:t>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Benefits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60" w:firstLine="1489"/>
        <w:spacing w:after="0" w:line="246" w:lineRule="auto"/>
        <w:tabs>
          <w:tab w:leader="none" w:pos="267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shall be entitled to continued payment of Executive’s base salary at the rate in effect on the Termination Date ($533,000 per year) through the nine (9)-month anniversary of the Termination Date, in accordance with the Company’s then-current payroll policies and practices. The payments under this Section 3(a) shall commence with the first payroll period following the Effective Date (the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and the first payment shall include all accrued amounts from the Termination Date;</w:t>
      </w:r>
    </w:p>
    <w:p>
      <w:pPr>
        <w:spacing w:after="0" w:line="198" w:lineRule="exact"/>
        <w:rPr>
          <w:rFonts w:ascii="Times New Roman" w:cs="Times New Roman" w:eastAsia="Times New Roman" w:hAnsi="Times New Roman"/>
          <w:sz w:val="20"/>
          <w:szCs w:val="20"/>
          <w:color w:val="auto"/>
        </w:rPr>
      </w:pPr>
    </w:p>
    <w:p>
      <w:pPr>
        <w:ind w:left="760" w:firstLine="1489"/>
        <w:spacing w:after="0" w:line="269" w:lineRule="auto"/>
        <w:tabs>
          <w:tab w:leader="none" w:pos="267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shall be entitled to a payment equal to $94,035, representing Executive’s target bonus for 2025, pro-rated based on the number of days employed during 2025, payable in a lump sum on the Payment Date;</w:t>
      </w:r>
    </w:p>
    <w:p>
      <w:pPr>
        <w:spacing w:after="0" w:line="168" w:lineRule="exact"/>
        <w:rPr>
          <w:rFonts w:ascii="Times New Roman" w:cs="Times New Roman" w:eastAsia="Times New Roman" w:hAnsi="Times New Roman"/>
          <w:sz w:val="20"/>
          <w:szCs w:val="20"/>
          <w:color w:val="auto"/>
        </w:rPr>
      </w:pPr>
    </w:p>
    <w:p>
      <w:pPr>
        <w:jc w:val="both"/>
        <w:ind w:left="760" w:firstLine="1489"/>
        <w:spacing w:after="0" w:line="243" w:lineRule="auto"/>
        <w:tabs>
          <w:tab w:leader="none" w:pos="267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Executive holds stock options (the “</w:t>
      </w:r>
      <w:r>
        <w:rPr>
          <w:rFonts w:ascii="Times New Roman" w:cs="Times New Roman" w:eastAsia="Times New Roman" w:hAnsi="Times New Roman"/>
          <w:sz w:val="20"/>
          <w:szCs w:val="20"/>
          <w:b w:val="1"/>
          <w:bCs w:val="1"/>
          <w:i w:val="1"/>
          <w:iCs w:val="1"/>
          <w:color w:val="auto"/>
        </w:rPr>
        <w:t>Stock Options</w:t>
      </w:r>
      <w:r>
        <w:rPr>
          <w:rFonts w:ascii="Times New Roman" w:cs="Times New Roman" w:eastAsia="Times New Roman" w:hAnsi="Times New Roman"/>
          <w:sz w:val="20"/>
          <w:szCs w:val="20"/>
          <w:color w:val="auto"/>
        </w:rPr>
        <w:t>”) to purchase shares of the Company’s common stock issued to Executive by the Company pursuant to certain stock option agreements (the “</w:t>
      </w:r>
      <w:r>
        <w:rPr>
          <w:rFonts w:ascii="Times New Roman" w:cs="Times New Roman" w:eastAsia="Times New Roman" w:hAnsi="Times New Roman"/>
          <w:sz w:val="20"/>
          <w:szCs w:val="20"/>
          <w:b w:val="1"/>
          <w:bCs w:val="1"/>
          <w:i w:val="1"/>
          <w:iCs w:val="1"/>
          <w:color w:val="auto"/>
        </w:rPr>
        <w:t>Stock Option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Agreements</w:t>
      </w:r>
      <w:r>
        <w:rPr>
          <w:rFonts w:ascii="Times New Roman" w:cs="Times New Roman" w:eastAsia="Times New Roman" w:hAnsi="Times New Roman"/>
          <w:sz w:val="20"/>
          <w:szCs w:val="20"/>
          <w:color w:val="auto"/>
        </w:rPr>
        <w:t>”). Effective as of the Effective Date, (i) the vesting of such number of Stock Options as would have vested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prior to the nine (9)-month anniversary of the Termination Date in accordance with the vesting schedules set forth in the Stock Option Agreements shall vest on an accelerated basis (the “</w:t>
      </w:r>
      <w:r>
        <w:rPr>
          <w:rFonts w:ascii="Times New Roman" w:cs="Times New Roman" w:eastAsia="Times New Roman" w:hAnsi="Times New Roman"/>
          <w:sz w:val="20"/>
          <w:szCs w:val="20"/>
          <w:b w:val="1"/>
          <w:bCs w:val="1"/>
          <w:i w:val="1"/>
          <w:iCs w:val="1"/>
          <w:color w:val="auto"/>
        </w:rPr>
        <w:t>Accelerated Options</w:t>
      </w:r>
      <w:r>
        <w:rPr>
          <w:rFonts w:ascii="Times New Roman" w:cs="Times New Roman" w:eastAsia="Times New Roman" w:hAnsi="Times New Roman"/>
          <w:sz w:val="20"/>
          <w:szCs w:val="20"/>
          <w:color w:val="auto"/>
        </w:rPr>
        <w:t>”), and (ii) all of Executive’s vested Stock Options as of the Termination Date (after giving effect to any Accelerated Options vesting on the Effective Date), may be exercised by Executive until May 16, 2026. Executive acknowledges that her Stock Options that were previously incentive stock options may be reclassified as non-qualified stock options for tax purposes as a result of the foregoing extension.</w:t>
      </w:r>
    </w:p>
    <w:p>
      <w:pPr>
        <w:spacing w:after="0" w:line="199" w:lineRule="exact"/>
        <w:rPr>
          <w:sz w:val="20"/>
          <w:szCs w:val="20"/>
          <w:color w:val="auto"/>
        </w:rPr>
      </w:pPr>
    </w:p>
    <w:p>
      <w:pPr>
        <w:ind w:left="760" w:firstLine="2247"/>
        <w:spacing w:after="0" w:line="273" w:lineRule="auto"/>
        <w:rPr>
          <w:sz w:val="20"/>
          <w:szCs w:val="20"/>
          <w:color w:val="auto"/>
        </w:rPr>
      </w:pPr>
      <w:r>
        <w:rPr>
          <w:rFonts w:ascii="Times New Roman" w:cs="Times New Roman" w:eastAsia="Times New Roman" w:hAnsi="Times New Roman"/>
          <w:sz w:val="20"/>
          <w:szCs w:val="20"/>
          <w:color w:val="auto"/>
        </w:rPr>
        <w:t>(ii)Executive holds restricted stock units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and together with the Stock Options, the “</w:t>
      </w:r>
      <w:r>
        <w:rPr>
          <w:rFonts w:ascii="Times New Roman" w:cs="Times New Roman" w:eastAsia="Times New Roman" w:hAnsi="Times New Roman"/>
          <w:sz w:val="20"/>
          <w:szCs w:val="20"/>
          <w:b w:val="1"/>
          <w:bCs w:val="1"/>
          <w:i w:val="1"/>
          <w:iCs w:val="1"/>
          <w:color w:val="auto"/>
        </w:rPr>
        <w:t>Equity Awards</w:t>
      </w:r>
      <w:r>
        <w:rPr>
          <w:rFonts w:ascii="Times New Roman" w:cs="Times New Roman" w:eastAsia="Times New Roman" w:hAnsi="Times New Roman"/>
          <w:sz w:val="20"/>
          <w:szCs w:val="20"/>
          <w:color w:val="auto"/>
        </w:rPr>
        <w:t>”) to purchase shares of the Company’s common stock</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78" w:name="page79"/>
    <w:bookmarkEnd w:id="78"/>
    <w:p>
      <w:pPr>
        <w:jc w:val="both"/>
        <w:ind w:left="760" w:right="20"/>
        <w:spacing w:after="0" w:line="250" w:lineRule="auto"/>
        <w:rPr>
          <w:sz w:val="20"/>
          <w:szCs w:val="20"/>
          <w:color w:val="auto"/>
        </w:rPr>
      </w:pPr>
      <w:r>
        <w:rPr>
          <w:rFonts w:ascii="Times New Roman" w:cs="Times New Roman" w:eastAsia="Times New Roman" w:hAnsi="Times New Roman"/>
          <w:sz w:val="20"/>
          <w:szCs w:val="20"/>
          <w:color w:val="auto"/>
        </w:rPr>
        <w:t>issued to Executive by the Company pursuant to certain RSU agreements (the “</w:t>
      </w:r>
      <w:r>
        <w:rPr>
          <w:rFonts w:ascii="Times New Roman" w:cs="Times New Roman" w:eastAsia="Times New Roman" w:hAnsi="Times New Roman"/>
          <w:sz w:val="20"/>
          <w:szCs w:val="20"/>
          <w:b w:val="1"/>
          <w:bCs w:val="1"/>
          <w:i w:val="1"/>
          <w:iCs w:val="1"/>
          <w:color w:val="auto"/>
        </w:rPr>
        <w:t>RSU Agreements</w:t>
      </w:r>
      <w:r>
        <w:rPr>
          <w:rFonts w:ascii="Times New Roman" w:cs="Times New Roman" w:eastAsia="Times New Roman" w:hAnsi="Times New Roman"/>
          <w:sz w:val="20"/>
          <w:szCs w:val="20"/>
          <w:color w:val="auto"/>
        </w:rPr>
        <w:t>” and together with the Stock Option Agreements, the “</w:t>
      </w:r>
      <w:r>
        <w:rPr>
          <w:rFonts w:ascii="Times New Roman" w:cs="Times New Roman" w:eastAsia="Times New Roman" w:hAnsi="Times New Roman"/>
          <w:sz w:val="20"/>
          <w:szCs w:val="20"/>
          <w:b w:val="1"/>
          <w:bCs w:val="1"/>
          <w:i w:val="1"/>
          <w:iCs w:val="1"/>
          <w:color w:val="auto"/>
        </w:rPr>
        <w:t>Equity Award Agreements</w:t>
      </w:r>
      <w:r>
        <w:rPr>
          <w:rFonts w:ascii="Times New Roman" w:cs="Times New Roman" w:eastAsia="Times New Roman" w:hAnsi="Times New Roman"/>
          <w:sz w:val="20"/>
          <w:szCs w:val="20"/>
          <w:color w:val="auto"/>
        </w:rPr>
        <w:t>”). Effective as of the Effective Date, the vesting of such number of RSUs as would have vested on or prior to the nine (9)-month anniversary of the Termination Date in accordance with the vesting schedules set forth in the RSU Agreements shall vest on an accelerated basis.</w:t>
      </w:r>
    </w:p>
    <w:p>
      <w:pPr>
        <w:spacing w:after="0" w:line="189" w:lineRule="exact"/>
        <w:rPr>
          <w:sz w:val="20"/>
          <w:szCs w:val="20"/>
          <w:color w:val="auto"/>
        </w:rPr>
      </w:pPr>
    </w:p>
    <w:p>
      <w:pPr>
        <w:jc w:val="both"/>
        <w:ind w:left="760" w:right="20" w:firstLine="2247"/>
        <w:spacing w:after="0" w:line="256" w:lineRule="auto"/>
        <w:rPr>
          <w:sz w:val="20"/>
          <w:szCs w:val="20"/>
          <w:color w:val="auto"/>
        </w:rPr>
      </w:pPr>
      <w:r>
        <w:rPr>
          <w:rFonts w:ascii="Times New Roman" w:cs="Times New Roman" w:eastAsia="Times New Roman" w:hAnsi="Times New Roman"/>
          <w:sz w:val="20"/>
          <w:szCs w:val="20"/>
          <w:color w:val="auto"/>
        </w:rPr>
        <w:t>(iii)Executive holds performance stock units granted on February 27, 2025 (the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Effective as of the Termination Date, such PSUs shall be forfeited in accordance with the terms of the applicable PSU award agreement.</w:t>
      </w:r>
    </w:p>
    <w:p>
      <w:pPr>
        <w:spacing w:after="0" w:line="186"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0"/>
          <w:szCs w:val="20"/>
          <w:color w:val="auto"/>
        </w:rPr>
        <w:t>Other than the equity acceleration described in this Section 3(c)(i) and 3(c)(ii), but subject to any additional equity acceleration pursuant to Section 3(e) below in the event a “Change in Control” (as defined in the Offer Letter) occurs on or prior to August 16, 2025, Executive hereby agrees and acknowledges that, notwithstanding any provisions in any other agreement between Executive and the Company to the contrary, including the Equity Award Agreements and the equity plans pursuant to which they were granted, on the Termination Date, any portion of the Equity Awards not eligible to vest pursuant to this Section 3 held by Executive and outstanding as of the Termination Date were cancelled, surrendered and forfeited by Executive for no consideration immediately upon the Termination Date;</w:t>
      </w:r>
    </w:p>
    <w:p>
      <w:pPr>
        <w:spacing w:after="0" w:line="199" w:lineRule="exact"/>
        <w:rPr>
          <w:sz w:val="20"/>
          <w:szCs w:val="20"/>
          <w:color w:val="auto"/>
        </w:rPr>
      </w:pPr>
    </w:p>
    <w:p>
      <w:pPr>
        <w:jc w:val="both"/>
        <w:ind w:left="760" w:right="20" w:firstLine="1489"/>
        <w:spacing w:after="0" w:line="241" w:lineRule="auto"/>
        <w:tabs>
          <w:tab w:leader="none" w:pos="267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period beginning on the Benefits Termination Date and ending on the nine (9)-month anniversary of the Termination Date (or, if earlier, (i) the date on which the applicable continuation period under COBRA expires, or (ii) the date on which Executive becomes eligible to receive the equivalent or increased healthcare coverage by means of subsequent employment or self-employment) (such period, the “</w:t>
      </w:r>
      <w:r>
        <w:rPr>
          <w:rFonts w:ascii="Times New Roman" w:cs="Times New Roman" w:eastAsia="Times New Roman" w:hAnsi="Times New Roman"/>
          <w:sz w:val="20"/>
          <w:szCs w:val="20"/>
          <w:b w:val="1"/>
          <w:bCs w:val="1"/>
          <w:i w:val="1"/>
          <w:iCs w:val="1"/>
          <w:color w:val="auto"/>
        </w:rPr>
        <w:t>COBRA Coverage Period</w:t>
      </w:r>
      <w:r>
        <w:rPr>
          <w:rFonts w:ascii="Times New Roman" w:cs="Times New Roman" w:eastAsia="Times New Roman" w:hAnsi="Times New Roman"/>
          <w:sz w:val="20"/>
          <w:szCs w:val="20"/>
          <w:color w:val="auto"/>
        </w:rPr>
        <w:t>”), the Company shall pay for or reimburse Executive on a monthly basis for an amount equal to the monthly premium Executive and/or Executive’s covered dependents, as applicable, are required to pay for continuation coverage pursuant to COBRA for Executive and/or Executive’s eligible dependents, as applicable, who were covered under the Company’s health plans as of the Termination Date (calculated by reference to the premium as of the Termination Date). If the Company cannot provide the foregoing benefits in a manner that is exempt from Section 409A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or that is otherwise compliant with applicable law (including, without limitation, Section 2716 of the Public Health Service Act), instead of providing the payments or reimbursements as set forth above, the Company shall instead pay to Executive the foregoing monthly amount as a taxable monthly payment for the COBRA Coverage Period (or any remaining portion thereof). Executive shall be solely responsible for all matters relating to continuation of coverage pursuant to COBRA, including, without limitation, the election of such coverage and the timely payment of premiums. Executive shall notify the Company immediately if she becomes eligible to receive the equivalent or increased healthcare coverage by means of subsequent employment or self-employment; and</w:t>
      </w:r>
    </w:p>
    <w:p>
      <w:pPr>
        <w:spacing w:after="0" w:line="206" w:lineRule="exact"/>
        <w:rPr>
          <w:rFonts w:ascii="Times New Roman" w:cs="Times New Roman" w:eastAsia="Times New Roman" w:hAnsi="Times New Roman"/>
          <w:sz w:val="20"/>
          <w:szCs w:val="20"/>
          <w:color w:val="auto"/>
        </w:rPr>
      </w:pPr>
    </w:p>
    <w:p>
      <w:pPr>
        <w:jc w:val="both"/>
        <w:ind w:left="760" w:right="20" w:firstLine="1489"/>
        <w:spacing w:after="0" w:line="246" w:lineRule="auto"/>
        <w:tabs>
          <w:tab w:leader="none" w:pos="267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“Change in Control” (as defined in the Offer Letter) occurs on or prior to August 16, 2025, Executive shall be eligible to receive the “CIC Severance Benefits” (as defined in the Offer Letter) in accordance with the terms of the Offer Letter to the extent such CIC Severance Benefits exceed the Termination Benefits provided or to be provided pursuant to this Agreement (and subject to reduction for any Termination Benefits previously provided or to be provided pursuant to this Agreement).</w:t>
      </w:r>
    </w:p>
    <w:p>
      <w:pPr>
        <w:spacing w:after="0" w:line="198" w:lineRule="exact"/>
        <w:rPr>
          <w:rFonts w:ascii="Times New Roman" w:cs="Times New Roman" w:eastAsia="Times New Roman" w:hAnsi="Times New Roman"/>
          <w:sz w:val="20"/>
          <w:szCs w:val="20"/>
          <w:color w:val="auto"/>
        </w:rPr>
      </w:pPr>
    </w:p>
    <w:p>
      <w:pPr>
        <w:jc w:val="both"/>
        <w:ind w:left="760" w:right="20" w:firstLine="1489"/>
        <w:spacing w:after="0" w:line="254" w:lineRule="auto"/>
        <w:tabs>
          <w:tab w:leader="none" w:pos="267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provide Executive with outplacement services for a period of up to one year following the Termination Date through a third party provider mutually agreed upon by Executive and the Company (and the Company’s consent shall not be unreasonably withheld) valued at up to $30,000.</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247" w:right="699" w:bottom="1440" w:gutter="0" w:footer="0" w:header="0"/>
        </w:sectPr>
      </w:pPr>
    </w:p>
    <w:bookmarkStart w:id="79" w:name="page80"/>
    <w:bookmarkEnd w:id="79"/>
    <w:p>
      <w:pPr>
        <w:spacing w:after="0" w:line="4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Termination Benefits shall be the exclusive severance benefits to which Executive is entitled, unless Executive has breached the provisions of this Agreement, in which case Section 5(e) shall apply. Executive understands that Executive will not be entitled to the Termination Benefits under this Agreement if she does not execute this Agreement on or prior to the last day of the Review Period, if she revokes this Agreement after executing it as specified in Section 4(c) below, or in the event Executive breaches the terms of this Agreement.</w:t>
      </w:r>
    </w:p>
    <w:p>
      <w:pPr>
        <w:spacing w:after="0" w:line="185" w:lineRule="exact"/>
        <w:rPr>
          <w:sz w:val="20"/>
          <w:szCs w:val="20"/>
          <w:color w:val="auto"/>
        </w:rPr>
      </w:pPr>
    </w:p>
    <w:p>
      <w:pPr>
        <w:ind w:left="720" w:hanging="718"/>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right="20" w:firstLine="1489"/>
        <w:spacing w:after="0" w:line="246" w:lineRule="auto"/>
        <w:tabs>
          <w:tab w:leader="none" w:pos="2676"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not to sue, or otherwise file any claim against, the Company or its parent companies, subsidiaries or affiliates, and any of their respective successors, assigns, directors, officers, managers, employees, attorneys, insurers, or agents, each in their respective capacities as such (collectively, the “</w:t>
      </w:r>
      <w:r>
        <w:rPr>
          <w:rFonts w:ascii="Times New Roman" w:cs="Times New Roman" w:eastAsia="Times New Roman" w:hAnsi="Times New Roman"/>
          <w:sz w:val="20"/>
          <w:szCs w:val="20"/>
          <w:b w:val="1"/>
          <w:bCs w:val="1"/>
          <w:i w:val="1"/>
          <w:iCs w:val="1"/>
          <w:color w:val="auto"/>
        </w:rPr>
        <w:t>Company Parties</w:t>
      </w:r>
      <w:r>
        <w:rPr>
          <w:rFonts w:ascii="Times New Roman" w:cs="Times New Roman" w:eastAsia="Times New Roman" w:hAnsi="Times New Roman"/>
          <w:sz w:val="20"/>
          <w:szCs w:val="20"/>
          <w:color w:val="auto"/>
        </w:rPr>
        <w:t>”), for any reason whatsoever based on anything that has occurred at any time up to and including the execution date of this Agreement as follows:</w:t>
      </w:r>
    </w:p>
    <w:p>
      <w:pPr>
        <w:spacing w:after="0" w:line="184" w:lineRule="exact"/>
        <w:rPr>
          <w:rFonts w:ascii="Times New Roman" w:cs="Times New Roman" w:eastAsia="Times New Roman" w:hAnsi="Times New Roman"/>
          <w:sz w:val="20"/>
          <w:szCs w:val="20"/>
          <w:color w:val="auto"/>
        </w:rPr>
      </w:pPr>
    </w:p>
    <w:p>
      <w:pPr>
        <w:jc w:val="both"/>
        <w:ind w:firstLine="2248"/>
        <w:spacing w:after="0"/>
        <w:tabs>
          <w:tab w:leader="none" w:pos="2666"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behalf of Executive and her executors, administrators, heirs and assigns, Executive hereby releases and forever discharge the Company Parties,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which Executive now has or may hereafter have against any of the Company Parties by reason of any matter, cause, or thing whatsoever from the beginning of time through and including the execution date of this Agreement, including, without limiting the generality of the foregoing: any Claims arising directly or indirectly out of, relating to, or in any other way involving in any manner whatsoever Executive’s employment by the Company or its affiliates or the separation thereof, including without limitation any and all Claims arising under federal, state, or local laws relating to employment; any Claims of any kind that may be brought in any court or administrative agency; any Claims arising under the Age Discrimination in Employment Act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the Older Workers Benefits Protection Act, the Title VII of the Civil Rights Act of 1964, the Civil Rights Act of 1991, the Equal Pay Act, the Civil Rights Act of 1866, Section 1981, 42 U.S.C. § 1981, the Family and Medical Leave Act of 1993, the Americans with Disabilities Act of 1990, the False Claims Act, the Employee Retirement Income Security Act, the Worker Adjustment and Retraining Notification Act, the Fair Labor Standards Act, the Sarbanes-Oxley Act of 2002, the National Labor Relations Act of 1935, the Uniformed Services Employment and Reemployment Rights Act of 1994, Fair Credit Reporting Act, New Jersey's Conscientious Employee Protection Act, the New Jersey Soldiers' and Sailors' Civil Relief Act, Millville Dallas Airmotive Plant Job Loss Notification Act, New Jersey Family Leave Act, New Jersey Law Against Discrimination, New Jersey Security and Financial Empowerment Act, New Jersey State Wage and Hour Law, New Jersey Paid Sick Leave Law, and New Jersey State Wage Payment Law, or any similar state law, each of the foregoing as may have been amended, and any other federal, state, or local statute, regulation, ordinance, constitution, or order concerning labor or employment, termination of labor or employment, wages and benefits, retaliation, leaves of absence, or any other term or condition of employment; Claims for breach of contract; Claims for unfair business practices;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257" w:lineRule="exact"/>
        <w:rPr>
          <w:rFonts w:ascii="Times New Roman" w:cs="Times New Roman" w:eastAsia="Times New Roman" w:hAnsi="Times New Roman"/>
          <w:sz w:val="20"/>
          <w:szCs w:val="20"/>
          <w:color w:val="auto"/>
        </w:rPr>
      </w:pPr>
    </w:p>
    <w:p>
      <w:pPr>
        <w:jc w:val="both"/>
        <w:ind w:right="20" w:firstLine="2171"/>
        <w:spacing w:after="0" w:line="254" w:lineRule="auto"/>
        <w:tabs>
          <w:tab w:leader="none" w:pos="258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generality of the foregoing, Executive does not release any Claims that cannot be released as a matter of law including, without limitation, (A) Executive’s right to file for unemployment insurance benefits or any state disability insurance benefits pursuant to the terms</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80" w:name="page81"/>
    <w:bookmarkEnd w:id="80"/>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of applicable state law; (B) Executive’s right to file Claims for workers’ compensation insurance benefits under the terms of any worker’s compensation insurance policy or fund of the Company; (C) Executive’s right to file a charge of discrimination, harassment, interference with leave rights, failure to accommodate, or retaliation with the Equal Employment Opportunity Commission or any other federal, state or local government agency, or to cooperate with or participate in any investigation conducted by such agency; provided, however, that Executive hereby releases Executive’s right to receive damages in any such proceeding brought by Executive or on Executive’s behalf; or (D) Executive’s rights under Section 5(f) below. Furthermore, Executive does not release hereby any rights that Executive may have relating to (x) indemnification by the Company or its affiliates under any indemnification agreement with the Company, the Company’s Bylaws or any applicable law or under any applicable insurance policy with respect to Executive’s liability as an employee of the Company; (y) Executive’s vested accrued benefits under the Company’s respective benefits and compensation plans; and (z) any Claims for breach of this Agreement.</w:t>
      </w:r>
    </w:p>
    <w:p>
      <w:pPr>
        <w:spacing w:after="0" w:line="192"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THE EXECUTIVE ACKNOWLEDGES THAT SHE HAS BEEN ADVISED OF AND IS FAMILIAR WITH THE PROVISIONS OF CALIFORNIA CIVIL CODE SECTION 1542, WHICH PROVIDES AS FOLLOWS:</w:t>
      </w:r>
    </w:p>
    <w:p>
      <w:pPr>
        <w:spacing w:after="0" w:line="155" w:lineRule="exact"/>
        <w:rPr>
          <w:sz w:val="20"/>
          <w:szCs w:val="20"/>
          <w:color w:val="auto"/>
        </w:rPr>
      </w:pPr>
    </w:p>
    <w:p>
      <w:pPr>
        <w:jc w:val="both"/>
        <w:ind w:right="20" w:firstLine="1496"/>
        <w:spacing w:after="0" w:line="250" w:lineRule="auto"/>
        <w:rPr>
          <w:sz w:val="20"/>
          <w:szCs w:val="20"/>
          <w:color w:val="auto"/>
        </w:rPr>
      </w:pPr>
      <w:r>
        <w:rPr>
          <w:rFonts w:ascii="Times New Roman" w:cs="Times New Roman" w:eastAsia="Times New Roman" w:hAnsi="Times New Roman"/>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right="20" w:firstLine="1496"/>
        <w:spacing w:after="0" w:line="254" w:lineRule="auto"/>
        <w:rPr>
          <w:sz w:val="20"/>
          <w:szCs w:val="20"/>
          <w:color w:val="auto"/>
        </w:rPr>
      </w:pPr>
      <w:r>
        <w:rPr>
          <w:rFonts w:ascii="Times New Roman" w:cs="Times New Roman" w:eastAsia="Times New Roman" w:hAnsi="Times New Roman"/>
          <w:sz w:val="20"/>
          <w:szCs w:val="20"/>
          <w:color w:val="auto"/>
        </w:rPr>
        <w:t>BEING AWARE OF SAID CODE SECTION, THE EXECUTIVE HEREBY EXPRESSLY WAIVES ANY RIGHTS HE MAY HAVE THEREUNDER, AS WELL AS UNDER ANY OTHER STATUTES OR COMMON LAW PRINCIPLES OF SIMILAR EFFECT.</w:t>
      </w:r>
    </w:p>
    <w:p>
      <w:pPr>
        <w:spacing w:after="0" w:line="174" w:lineRule="exact"/>
        <w:rPr>
          <w:sz w:val="20"/>
          <w:szCs w:val="20"/>
          <w:color w:val="auto"/>
        </w:rPr>
      </w:pPr>
    </w:p>
    <w:p>
      <w:pPr>
        <w:jc w:val="both"/>
        <w:ind w:left="760" w:right="20" w:firstLine="1489"/>
        <w:spacing w:after="0" w:line="243" w:lineRule="auto"/>
        <w:tabs>
          <w:tab w:leader="none" w:pos="267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she was presented with this Agreement on April 30, 2025. Executive agrees that she will have a period of forty-five (45) calendar days from the date the Company delivered to Executive a copy of this Agreement in which to consider whether to execute the Agreement (the “</w:t>
      </w:r>
      <w:r>
        <w:rPr>
          <w:rFonts w:ascii="Times New Roman" w:cs="Times New Roman" w:eastAsia="Times New Roman" w:hAnsi="Times New Roman"/>
          <w:sz w:val="20"/>
          <w:szCs w:val="20"/>
          <w:b w:val="1"/>
          <w:bCs w:val="1"/>
          <w:i w:val="1"/>
          <w:iCs w:val="1"/>
          <w:color w:val="auto"/>
        </w:rPr>
        <w:t>Review Period</w:t>
      </w:r>
      <w:r>
        <w:rPr>
          <w:rFonts w:ascii="Times New Roman" w:cs="Times New Roman" w:eastAsia="Times New Roman" w:hAnsi="Times New Roman"/>
          <w:sz w:val="20"/>
          <w:szCs w:val="20"/>
          <w:color w:val="auto"/>
        </w:rPr>
        <w:t>”). Executive further acknowledges that the Company has advised Executive that she is waiving her rights under the ADEA, and that Executive has the right to and should consult with an attorney of her choice before signing this Agreement, and Executive has had sufficient time to consider the terms of this Agreement. Executive represents and acknowledges that if Executive executes this Agreement prior to the expiration of the Review Period, Executive does so knowingly, voluntarily, and upon the advice and with the approval of Executive’s legal counsel (if any), and that Executive voluntarily waives any remaining consideration period.</w:t>
      </w:r>
    </w:p>
    <w:p>
      <w:pPr>
        <w:spacing w:after="0" w:line="199" w:lineRule="exact"/>
        <w:rPr>
          <w:rFonts w:ascii="Times New Roman" w:cs="Times New Roman" w:eastAsia="Times New Roman" w:hAnsi="Times New Roman"/>
          <w:sz w:val="20"/>
          <w:szCs w:val="20"/>
          <w:color w:val="auto"/>
        </w:rPr>
      </w:pPr>
    </w:p>
    <w:p>
      <w:pPr>
        <w:jc w:val="both"/>
        <w:ind w:left="760" w:firstLine="1489"/>
        <w:spacing w:after="0" w:line="245" w:lineRule="auto"/>
        <w:tabs>
          <w:tab w:leader="none" w:pos="267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understands that the Company’s obligations under the Agreement will not become effective or enforceable until the eighth (8th) calendar day after the date Executive signs the Agreement provided that Executive has timely delivered it to the Company, and that in the seven (7) day period following the date Executive delivers a signed copy of the Agreement to the Company, Executive understands that Executive may revoke her acceptance of the Agreement by delivering written notice of revocation to William Aprea, Senior VP, Legal of the Company, within such seven (7) day period.</w:t>
      </w:r>
    </w:p>
    <w:p>
      <w:pPr>
        <w:spacing w:after="0" w:line="238" w:lineRule="exact"/>
        <w:rPr>
          <w:rFonts w:ascii="Times New Roman" w:cs="Times New Roman" w:eastAsia="Times New Roman" w:hAnsi="Times New Roman"/>
          <w:sz w:val="20"/>
          <w:szCs w:val="20"/>
          <w:color w:val="auto"/>
        </w:rPr>
      </w:pPr>
    </w:p>
    <w:p>
      <w:pPr>
        <w:jc w:val="both"/>
        <w:ind w:left="760" w:right="20" w:firstLine="1489"/>
        <w:spacing w:after="0" w:line="254" w:lineRule="auto"/>
        <w:tabs>
          <w:tab w:leader="none" w:pos="267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further understands that the offer of the Termination Benefits and this Agreement will expire in the event Executive does not execute this Agreement on or prior to the last day of the Review Period, or if she revokes this Agreement after executing it as specified</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251" w:right="69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20"/>
          <w:szCs w:val="20"/>
          <w:color w:val="auto"/>
        </w:rPr>
        <w:t>in Section 4(c) above.</w:t>
      </w:r>
    </w:p>
    <w:p>
      <w:pPr>
        <w:spacing w:after="0" w:line="229" w:lineRule="exact"/>
        <w:rPr>
          <w:sz w:val="20"/>
          <w:szCs w:val="20"/>
          <w:color w:val="auto"/>
        </w:rPr>
      </w:pPr>
    </w:p>
    <w:p>
      <w:pPr>
        <w:jc w:val="both"/>
        <w:ind w:left="20" w:firstLine="1489"/>
        <w:spacing w:after="0" w:line="246" w:lineRule="auto"/>
        <w:tabs>
          <w:tab w:leader="none" w:pos="1936"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represents and warrants that she is the sole owner of all Claims relating to her employment or service with the Company and/or with any predecessor of the Company and that she has not assigned or transferred any Claims relating to her employment or service to any other person or entity. Executive understands and agrees that the Agreement will not be construed at any time as an admission of liability or wrongdoing by either the Company or Executive.</w:t>
      </w:r>
    </w:p>
    <w:p>
      <w:pPr>
        <w:spacing w:after="0" w:line="198" w:lineRule="exact"/>
        <w:rPr>
          <w:rFonts w:ascii="Times New Roman" w:cs="Times New Roman" w:eastAsia="Times New Roman" w:hAnsi="Times New Roman"/>
          <w:sz w:val="20"/>
          <w:szCs w:val="20"/>
          <w:color w:val="auto"/>
        </w:rPr>
      </w:pPr>
    </w:p>
    <w:p>
      <w:pPr>
        <w:jc w:val="both"/>
        <w:ind w:left="20" w:firstLine="1489"/>
        <w:spacing w:after="0" w:line="249" w:lineRule="auto"/>
        <w:tabs>
          <w:tab w:leader="none" w:pos="1936"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understands that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Agreement is a list of the job titles and ages for all individuals in Executive’s decisional unit who have been selected for the program, as well as the job titles and ages of all individuals in Executive’s decisional unit who have not been selected for the program, as of the date the Company provided this Agreement to Executive.</w:t>
      </w:r>
    </w:p>
    <w:p>
      <w:pPr>
        <w:spacing w:after="0" w:line="152" w:lineRule="exact"/>
        <w:rPr>
          <w:rFonts w:ascii="Times New Roman" w:cs="Times New Roman" w:eastAsia="Times New Roman" w:hAnsi="Times New Roman"/>
          <w:sz w:val="20"/>
          <w:szCs w:val="20"/>
          <w:color w:val="auto"/>
        </w:rPr>
      </w:pPr>
    </w:p>
    <w:p>
      <w:pPr>
        <w:ind w:left="1860" w:hanging="429"/>
        <w:spacing w:after="0"/>
        <w:tabs>
          <w:tab w:leader="none" w:pos="18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20" w:firstLine="1489"/>
        <w:spacing w:after="0" w:line="249" w:lineRule="auto"/>
        <w:tabs>
          <w:tab w:leader="none" w:pos="193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hereby expressly reaffirms her obligations under the Company’s Proprietary Information and Inventions Assignment Agreement between Executive and the Company, which is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incorporated herein by reference (“</w:t>
      </w:r>
      <w:r>
        <w:rPr>
          <w:rFonts w:ascii="Times New Roman" w:cs="Times New Roman" w:eastAsia="Times New Roman" w:hAnsi="Times New Roman"/>
          <w:sz w:val="20"/>
          <w:szCs w:val="20"/>
          <w:b w:val="1"/>
          <w:bCs w:val="1"/>
          <w:i w:val="1"/>
          <w:iCs w:val="1"/>
          <w:color w:val="auto"/>
        </w:rPr>
        <w:t>PIIA</w:t>
      </w:r>
      <w:r>
        <w:rPr>
          <w:rFonts w:ascii="Times New Roman" w:cs="Times New Roman" w:eastAsia="Times New Roman" w:hAnsi="Times New Roman"/>
          <w:sz w:val="20"/>
          <w:szCs w:val="20"/>
          <w:color w:val="auto"/>
        </w:rPr>
        <w:t>”), and agrees that such obligations shall survive the Termination Date.</w:t>
      </w:r>
    </w:p>
    <w:p>
      <w:pPr>
        <w:spacing w:after="0" w:line="193" w:lineRule="exact"/>
        <w:rPr>
          <w:rFonts w:ascii="Times New Roman" w:cs="Times New Roman" w:eastAsia="Times New Roman" w:hAnsi="Times New Roman"/>
          <w:sz w:val="20"/>
          <w:szCs w:val="20"/>
          <w:color w:val="auto"/>
        </w:rPr>
      </w:pPr>
    </w:p>
    <w:p>
      <w:pPr>
        <w:jc w:val="both"/>
        <w:ind w:left="20" w:firstLine="1489"/>
        <w:spacing w:after="0" w:line="244" w:lineRule="auto"/>
        <w:tabs>
          <w:tab w:leader="none" w:pos="193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that for one (1) year immediately following the Termination Date, Executive shall not interfere with the business of the Company by (i) soliciting or attempting to solicit any employee or consultant of the Company to terminate such employee’s or consultant’s employment or service in order to become an employee, consultant or independent contractor to or for any other person or entity or (ii)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w:t>
      </w:r>
    </w:p>
    <w:p>
      <w:pPr>
        <w:spacing w:after="0" w:line="199" w:lineRule="exact"/>
        <w:rPr>
          <w:rFonts w:ascii="Times New Roman" w:cs="Times New Roman" w:eastAsia="Times New Roman" w:hAnsi="Times New Roman"/>
          <w:sz w:val="20"/>
          <w:szCs w:val="20"/>
          <w:color w:val="auto"/>
        </w:rPr>
      </w:pPr>
    </w:p>
    <w:p>
      <w:pPr>
        <w:jc w:val="both"/>
        <w:ind w:left="20" w:firstLine="1489"/>
        <w:spacing w:after="0" w:line="244" w:lineRule="auto"/>
        <w:tabs>
          <w:tab w:leader="none" w:pos="193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that Executive will not make any negative or disparaging statements or comments about Company, its employees, officers, directors, shareholders, vendors, products or services, business, technologies, market position or performance. The Company agrees that it shall instruct its current directors and executive officers not to, make any negative or disparaging statements or comments about Executive. Nothing in this Section 5(c) shall interfere with any protected right by Executive under applicable law to communicate directly with, cooperate with, or provide information to, any federal, state or local government agency. Nothing in this Section 5(c) will prohibit any person from providing truthful information in response to a subpoena or other legal process.</w:t>
      </w:r>
    </w:p>
    <w:p>
      <w:pPr>
        <w:spacing w:after="0" w:line="199" w:lineRule="exact"/>
        <w:rPr>
          <w:rFonts w:ascii="Times New Roman" w:cs="Times New Roman" w:eastAsia="Times New Roman" w:hAnsi="Times New Roman"/>
          <w:sz w:val="20"/>
          <w:szCs w:val="20"/>
          <w:color w:val="auto"/>
        </w:rPr>
      </w:pPr>
    </w:p>
    <w:p>
      <w:pPr>
        <w:jc w:val="both"/>
        <w:ind w:left="20" w:firstLine="1489"/>
        <w:spacing w:after="0" w:line="256" w:lineRule="auto"/>
        <w:tabs>
          <w:tab w:leader="none" w:pos="1936"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signing below, Executive represents and warrants that she has returned to the Company all Company documents (and all copies thereof) and other Company property that Executive had in her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Executive understands that, even if Executive does not sign this Agreement, she is still bound by any and all confidential/proprietary/trade secret information, non-disclosure and inventions assignment agreement(s) signed by Executive in connection with her employment with Company, including the PIIA, pursuant to the terms of such agreement(s). Executive's compliance with this Section 5(d) shall be a condition to her receipt of the Termination Benefits.</w:t>
      </w:r>
    </w:p>
    <w:p>
      <w:pPr>
        <w:spacing w:after="0" w:line="200" w:lineRule="exact"/>
        <w:rPr>
          <w:sz w:val="20"/>
          <w:szCs w:val="20"/>
          <w:color w:val="auto"/>
        </w:rPr>
      </w:pPr>
    </w:p>
    <w:p>
      <w:pPr>
        <w:spacing w:after="0" w:line="35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251" w:right="719" w:bottom="1440" w:gutter="0" w:footer="0" w:header="0"/>
        </w:sectPr>
      </w:pPr>
    </w:p>
    <w:bookmarkStart w:id="82" w:name="page83"/>
    <w:bookmarkEnd w:id="82"/>
    <w:p>
      <w:pPr>
        <w:spacing w:after="0" w:line="41" w:lineRule="exact"/>
        <w:rPr>
          <w:sz w:val="20"/>
          <w:szCs w:val="20"/>
          <w:color w:val="auto"/>
        </w:rPr>
      </w:pPr>
    </w:p>
    <w:p>
      <w:pPr>
        <w:jc w:val="both"/>
        <w:ind w:left="760" w:right="20" w:firstLine="1489"/>
        <w:spacing w:after="0" w:line="254" w:lineRule="auto"/>
        <w:tabs>
          <w:tab w:leader="none" w:pos="267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all other rights and remedies available to the Company under law or in equity, the Company shall be entitled to withhold all Termination Benefits from Executive in the event of her breach of this Agreement, including this Section 5.</w:t>
      </w:r>
    </w:p>
    <w:p>
      <w:pPr>
        <w:spacing w:after="0" w:line="187" w:lineRule="exact"/>
        <w:rPr>
          <w:rFonts w:ascii="Times New Roman" w:cs="Times New Roman" w:eastAsia="Times New Roman" w:hAnsi="Times New Roman"/>
          <w:sz w:val="20"/>
          <w:szCs w:val="20"/>
          <w:color w:val="auto"/>
        </w:rPr>
      </w:pPr>
    </w:p>
    <w:p>
      <w:pPr>
        <w:jc w:val="both"/>
        <w:ind w:left="760" w:right="20" w:firstLine="1489"/>
        <w:spacing w:after="0" w:line="253" w:lineRule="auto"/>
        <w:tabs>
          <w:tab w:leader="none" w:pos="2676"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or the PIIA to the contrary, nothing contained in this Agreement or the PIIA shall prohibit Executive from (i) communicating directly with,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cs="Times New Roman" w:eastAsia="Times New Roman" w:hAnsi="Times New Roman"/>
          <w:sz w:val="19"/>
          <w:szCs w:val="19"/>
          <w:b w:val="1"/>
          <w:bCs w:val="1"/>
          <w:i w:val="1"/>
          <w:iCs w:val="1"/>
          <w:color w:val="auto"/>
        </w:rPr>
        <w:t>NLRB</w:t>
      </w:r>
      <w:r>
        <w:rPr>
          <w:rFonts w:ascii="Times New Roman" w:cs="Times New Roman" w:eastAsia="Times New Roman" w:hAnsi="Times New Roman"/>
          <w:sz w:val="19"/>
          <w:szCs w:val="19"/>
          <w:color w:val="auto"/>
        </w:rPr>
        <w:t>”), the Occupational Safety and Health Administration, the U.S. Commodity Futures Trading Commission, the U.S. Department of Justice or any other securities regulatory agency, self- regulatory authority or federal, state or local regulatory authority (collectively, “</w:t>
      </w:r>
      <w:r>
        <w:rPr>
          <w:rFonts w:ascii="Times New Roman" w:cs="Times New Roman" w:eastAsia="Times New Roman" w:hAnsi="Times New Roman"/>
          <w:sz w:val="19"/>
          <w:szCs w:val="19"/>
          <w:b w:val="1"/>
          <w:bCs w:val="1"/>
          <w:i w:val="1"/>
          <w:iCs w:val="1"/>
          <w:color w:val="auto"/>
        </w:rPr>
        <w:t>Government Agencies</w:t>
      </w:r>
      <w:r>
        <w:rPr>
          <w:rFonts w:ascii="Times New Roman" w:cs="Times New Roman" w:eastAsia="Times New Roman" w:hAnsi="Times New Roman"/>
          <w:sz w:val="19"/>
          <w:szCs w:val="19"/>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her attorney(s) or in a sealed complaint or other document filed in a lawsuit or other governmental proceeding, and/or (iii) receiving an award for information provided to any Government Agency. Further, nothing herein will prevent Executive from participating in activity permitted by Section 7 of the National Labor Relations Act or from filing an unfair labor practice charge with the NLRB. For the avoidance of doubt, Executive does not need to notify or obtain the prior authorization of the Company to exercise any of the foregoing rights. Pursuant to 18 USC Section 1833(b), Executive will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 request of the anticipated testimony. Further, nothing in this Agreement prevents Executive from discussing or disclosing information about unlawful acts in the workplace, such as harassment or discrimination or any other conduct that Executive has reason to believe is unlawful.</w:t>
      </w:r>
    </w:p>
    <w:p>
      <w:pPr>
        <w:spacing w:after="0" w:line="205" w:lineRule="exact"/>
        <w:rPr>
          <w:rFonts w:ascii="Times New Roman" w:cs="Times New Roman" w:eastAsia="Times New Roman" w:hAnsi="Times New Roman"/>
          <w:sz w:val="19"/>
          <w:szCs w:val="19"/>
          <w:color w:val="auto"/>
        </w:rPr>
      </w:pPr>
    </w:p>
    <w:p>
      <w:pPr>
        <w:jc w:val="both"/>
        <w:ind w:left="760" w:right="20" w:firstLine="1489"/>
        <w:spacing w:after="0" w:line="256" w:lineRule="auto"/>
        <w:tabs>
          <w:tab w:leader="none" w:pos="267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5, the term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not only the Company, but also as any company, partnership or entity which, directly or indirectly, controls, is controlled by or is under common control with such entities.</w:t>
      </w:r>
    </w:p>
    <w:p>
      <w:pPr>
        <w:spacing w:after="0" w:line="186" w:lineRule="exact"/>
        <w:rPr>
          <w:rFonts w:ascii="Times New Roman" w:cs="Times New Roman" w:eastAsia="Times New Roman" w:hAnsi="Times New Roman"/>
          <w:sz w:val="20"/>
          <w:szCs w:val="20"/>
          <w:color w:val="auto"/>
        </w:rPr>
      </w:pPr>
    </w:p>
    <w:p>
      <w:pPr>
        <w:jc w:val="both"/>
        <w:ind w:firstLine="2248"/>
        <w:spacing w:after="0" w:line="242" w:lineRule="auto"/>
        <w:tabs>
          <w:tab w:leader="none" w:pos="266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As a condition of her receipt of the Termination Benefits, Executive agrees that, upon reasonable notice and without the necessity of Company obtaining a subpoena or court order, she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her employment as to which she may have relevant information and any other matter for which she was responsible or had knowledge of through the Termination Date. Such cooperation may include, but will not be limited to, providing background information within Executive’s knowledge; aiding in the drafting of declarations;</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83" w:name="page84"/>
    <w:bookmarkEnd w:id="83"/>
    <w:p>
      <w:pPr>
        <w:spacing w:after="0" w:line="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executing declarations or similar documents; testifying or otherwise appearing at investigation interviews, depositions, arbitrations or court hearings; and preparing for the above-described or similar activities. Upon the reasonable request of the Company, Executive agrees to cooperate with the transition of her job responsibilities following the Termination Date and cooperate in providing information on matters on which she was involved while an employee.</w:t>
      </w:r>
    </w:p>
    <w:p>
      <w:pPr>
        <w:spacing w:after="0" w:line="193" w:lineRule="exact"/>
        <w:rPr>
          <w:sz w:val="20"/>
          <w:szCs w:val="20"/>
          <w:color w:val="auto"/>
        </w:rPr>
      </w:pPr>
    </w:p>
    <w:p>
      <w:pPr>
        <w:ind w:left="2660" w:hanging="412"/>
        <w:spacing w:after="0"/>
        <w:tabs>
          <w:tab w:leader="none" w:pos="26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409A.</w:t>
      </w:r>
    </w:p>
    <w:p>
      <w:pPr>
        <w:spacing w:after="0" w:line="229" w:lineRule="exact"/>
        <w:rPr>
          <w:rFonts w:ascii="Times New Roman" w:cs="Times New Roman" w:eastAsia="Times New Roman" w:hAnsi="Times New Roman"/>
          <w:sz w:val="20"/>
          <w:szCs w:val="20"/>
          <w:color w:val="auto"/>
        </w:rPr>
      </w:pPr>
    </w:p>
    <w:p>
      <w:pPr>
        <w:jc w:val="both"/>
        <w:ind w:left="760" w:right="20" w:firstLine="1489"/>
        <w:spacing w:after="0" w:line="243" w:lineRule="auto"/>
        <w:tabs>
          <w:tab w:leader="none" w:pos="2676"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this Agreement shall be interpreted in accordance with Section 409A of the Code and Department of Treasury regulations and other interpretive guidance issued thereunder. 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For purposes of Section 409A of the Code, any right to a series of installment payments under this Agreement shall be treated as a right to a series of separate payments.</w:t>
      </w:r>
    </w:p>
    <w:p>
      <w:pPr>
        <w:spacing w:after="0" w:line="199" w:lineRule="exact"/>
        <w:rPr>
          <w:rFonts w:ascii="Times New Roman" w:cs="Times New Roman" w:eastAsia="Times New Roman" w:hAnsi="Times New Roman"/>
          <w:sz w:val="20"/>
          <w:szCs w:val="20"/>
          <w:color w:val="auto"/>
        </w:rPr>
      </w:pPr>
    </w:p>
    <w:p>
      <w:pPr>
        <w:ind w:left="760" w:right="20" w:firstLine="1489"/>
        <w:spacing w:after="0" w:line="269" w:lineRule="auto"/>
        <w:tabs>
          <w:tab w:leader="none" w:pos="2676"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that the Termination Date will constitute the date of Executive’s “separation from service” (as defined in Treasury Regulation Section 1.409A-1(h))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760" w:right="20" w:firstLine="1489"/>
        <w:spacing w:after="0" w:line="255" w:lineRule="auto"/>
        <w:tabs>
          <w:tab w:leader="none" w:pos="2676" w:val="left"/>
        </w:tabs>
        <w:numPr>
          <w:ilvl w:val="2"/>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Executive is a “specified employee” (as defined in Section 409A of the Code), as determined by the Company in accordance with Section 409A of the Code, on the Termination Date, to the extent that the payments or benefits under this Agreement are “non-qualified deferred compensation” subject to Section 409A of the Code and the delayed payment or distribution of all or any portion of such amounts to which Executive is entitled under this Agreement is required in order to avoid a prohibited distribution under Section 409A(a)(2)(B)(i) of the Code, then such portion deferred pursuant to this Section 7(c) shall be paid or distributed to Executive in a lump sum on the earlier of (i) the date that is six (6) months and one day following Executive’s Separation from Service, (ii) the date of Executive’s death, or</w:t>
      </w:r>
    </w:p>
    <w:p>
      <w:pPr>
        <w:spacing w:after="0" w:line="3" w:lineRule="exact"/>
        <w:rPr>
          <w:rFonts w:ascii="Times New Roman" w:cs="Times New Roman" w:eastAsia="Times New Roman" w:hAnsi="Times New Roman"/>
          <w:sz w:val="19"/>
          <w:szCs w:val="19"/>
          <w:color w:val="auto"/>
        </w:rPr>
      </w:pPr>
    </w:p>
    <w:p>
      <w:pPr>
        <w:ind w:left="760" w:right="20" w:hanging="9"/>
        <w:spacing w:after="0" w:line="246" w:lineRule="auto"/>
        <w:tabs>
          <w:tab w:leader="none" w:pos="111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earliest date as is permitted under Section 409A of the Code. Any remaining payments due under this Agreement shall be paid as otherwise provided herein.</w:t>
      </w:r>
    </w:p>
    <w:p>
      <w:pPr>
        <w:spacing w:after="0" w:line="195" w:lineRule="exact"/>
        <w:rPr>
          <w:rFonts w:ascii="Times New Roman" w:cs="Times New Roman" w:eastAsia="Times New Roman" w:hAnsi="Times New Roman"/>
          <w:sz w:val="20"/>
          <w:szCs w:val="20"/>
          <w:color w:val="auto"/>
        </w:rPr>
      </w:pPr>
    </w:p>
    <w:p>
      <w:pPr>
        <w:jc w:val="both"/>
        <w:ind w:left="760" w:right="20" w:firstLine="1489"/>
        <w:spacing w:after="0" w:line="245" w:lineRule="auto"/>
        <w:tabs>
          <w:tab w:leader="none" w:pos="2676"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reimbursement of expenses or in-kind benefits payable under this Agreement shall be made in accordance with Treasury Regulation Section 1.409A-3(i)(1)(iv) and shall be paid on or before the last day of Executive’s taxable year following the taxable year in which Executive incurred the expenses. The amount of expenses reimbursed or in-kind benefits payable in one year shall not affect the amount eligible for reimbursement or in-kind benefits payable in any other taxable year of Executive’s, and Executive’s right to reimbursement for such amounts shall not be subject to liquidation or exchange for any other benefit.</w:t>
      </w:r>
    </w:p>
    <w:p>
      <w:pPr>
        <w:spacing w:after="0" w:line="197" w:lineRule="exact"/>
        <w:rPr>
          <w:rFonts w:ascii="Times New Roman" w:cs="Times New Roman" w:eastAsia="Times New Roman" w:hAnsi="Times New Roman"/>
          <w:sz w:val="20"/>
          <w:szCs w:val="20"/>
          <w:color w:val="auto"/>
        </w:rPr>
      </w:pPr>
    </w:p>
    <w:p>
      <w:pPr>
        <w:ind w:left="2660" w:hanging="412"/>
        <w:spacing w:after="0"/>
        <w:tabs>
          <w:tab w:leader="none" w:pos="26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29" w:lineRule="exact"/>
        <w:rPr>
          <w:rFonts w:ascii="Times New Roman" w:cs="Times New Roman" w:eastAsia="Times New Roman" w:hAnsi="Times New Roman"/>
          <w:sz w:val="20"/>
          <w:szCs w:val="20"/>
          <w:color w:val="auto"/>
        </w:rPr>
      </w:pPr>
    </w:p>
    <w:p>
      <w:pPr>
        <w:ind w:right="160" w:firstLine="2248"/>
        <w:spacing w:after="0" w:line="246" w:lineRule="auto"/>
        <w:tabs>
          <w:tab w:leader="none" w:pos="266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 and Venue</w:t>
      </w:r>
      <w:r>
        <w:rPr>
          <w:rFonts w:ascii="Times New Roman" w:cs="Times New Roman" w:eastAsia="Times New Roman" w:hAnsi="Times New Roman"/>
          <w:sz w:val="20"/>
          <w:szCs w:val="20"/>
          <w:color w:val="auto"/>
        </w:rPr>
        <w:t>. Executive and the Company agree that any and all disputes, claims, and causes of action, in law or equity, in any way arising out of or relating to the terms of this Agreement, Executive’s employment relationship with the Company, or the termination of Executive’s employment with the Company, shall be resolved, to the fullest extent permitted by law, by final, binding and confidential arbitration in the State of New Jersey, conducted before a single neutral arbitrator selected and administered in accordance with the employment arbitration rules &amp; procedures or</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84" w:name="page85"/>
    <w:bookmarkEnd w:id="84"/>
    <w:p>
      <w:pPr>
        <w:ind w:right="40"/>
        <w:spacing w:after="0" w:line="241" w:lineRule="auto"/>
        <w:rPr>
          <w:sz w:val="20"/>
          <w:szCs w:val="20"/>
          <w:color w:val="auto"/>
        </w:rPr>
      </w:pPr>
      <w:r>
        <w:rPr>
          <w:rFonts w:ascii="Times New Roman" w:cs="Times New Roman" w:eastAsia="Times New Roman" w:hAnsi="Times New Roman"/>
          <w:sz w:val="20"/>
          <w:szCs w:val="20"/>
          <w:color w:val="auto"/>
        </w:rPr>
        <w:t>then applicable equivalent rules of JAMS (the “JAMS Rules”) and the Federal Arbitration Act, 9 U.S.C. Sec. 1, et seq. A copy of the JAMS Rules may be found on the JAMS website at www.jamsadr.com and will be provided to Executive by the Company upon request. Judgment may be entered on the arbitrator’s award in any court having jurisdiction. Nothing in this Section 9 is intended to prevent either Executive or the Company from obtaining injunctive relief in court to prevent irreparable harm pending the conclusion of any such arbitration. For purposes of settling any dispute or controversy arising hereunder or for the purpose of entering any judgment upon an award rendered by the arbitrator, the Company and Executive hereby consent to the jurisdiction of any or all of the following courts: (i) the United States District Court for the District of New Jersey or (ii) any of the courts of the State of New Jersey. The Company and Executive hereby waive, to the fullest extent permitted by applicable law, any objection which it or she may now or hereafter have to such courts’ jurisdiction and any defense of inconvenient forum with respect to such courts. The Company and Executive hereby agree that a judgment upon an award rendered by the arbitrator may be enforced in other jurisdictions by suit on the judgment or in any other manner provided by law. This Section 9 shall not apply to any claims of violation of any federal or state employment discrimination laws. BY AGREEING TO THIS ARBITRATION PROCEDURE, EXECUTIVE AND THE COMPANY WAIVE THE RIGHT TO RESOLVE ANY SUCH DISPUTE, CLAIM OR DEMAND THROUGH A TRIAL BY JURY OR JUDGE OR BY ADMINISTRATIVE PROCEEDING IN ANY JURISDICTION.</w:t>
      </w:r>
    </w:p>
    <w:p>
      <w:pPr>
        <w:spacing w:after="0" w:line="209" w:lineRule="exact"/>
        <w:rPr>
          <w:sz w:val="20"/>
          <w:szCs w:val="20"/>
          <w:color w:val="auto"/>
        </w:rPr>
      </w:pPr>
    </w:p>
    <w:p>
      <w:pPr>
        <w:jc w:val="both"/>
        <w:ind w:firstLine="2171"/>
        <w:spacing w:after="0" w:line="259" w:lineRule="auto"/>
        <w:tabs>
          <w:tab w:leader="none" w:pos="258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or other communications required or permitted to be given under this Agreement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forty-eight (48) hours thereafter by a signed original sent in the manner provided in the preceding sentence. Notice to Executive shall be sent to her most recent residence and personal email address on file with the Company. Notice to the Company shall be sent to its physical address set forth on the first page hereto and addressed to William Aprea, Senior VP, Legal of the Company, at the email address provided by the Company for such person.</w:t>
      </w:r>
    </w:p>
    <w:p>
      <w:pPr>
        <w:spacing w:after="0" w:line="185" w:lineRule="exact"/>
        <w:rPr>
          <w:rFonts w:ascii="Times New Roman" w:cs="Times New Roman" w:eastAsia="Times New Roman" w:hAnsi="Times New Roman"/>
          <w:sz w:val="19"/>
          <w:szCs w:val="19"/>
          <w:color w:val="auto"/>
        </w:rPr>
      </w:pPr>
    </w:p>
    <w:p>
      <w:pPr>
        <w:jc w:val="both"/>
        <w:ind w:firstLine="2171"/>
        <w:spacing w:after="0" w:line="243" w:lineRule="auto"/>
        <w:tabs>
          <w:tab w:leader="none" w:pos="258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PIIA and the Equity Award Agreements (to the extent governing Executive’s vested Equity Awards) constitute the entire agreement and understanding between the parties as to the subject matter herein and supersede all prior or contemporaneous agreements whether written or oral, including, without limitation, the Offer Letter (except as expressly provided in Section 3(e) above). The invalidity or unenforceability of any provision or provisions of this Agreement will not affect the validity or enforceability of any other provision hereof, which will remain in full force and effect. The terms in this Agreement may only be modified in writing and signed by Executive and an authorized officer of the Company. In the event of any conflict between any of the terms in this Agreement and the terms of any other agreement between Executive and the Company, the terms of this Agreement will control.</w:t>
      </w:r>
    </w:p>
    <w:p>
      <w:pPr>
        <w:spacing w:after="0" w:line="202" w:lineRule="exact"/>
        <w:rPr>
          <w:rFonts w:ascii="Times New Roman" w:cs="Times New Roman" w:eastAsia="Times New Roman" w:hAnsi="Times New Roman"/>
          <w:sz w:val="20"/>
          <w:szCs w:val="20"/>
          <w:color w:val="auto"/>
        </w:rPr>
      </w:pPr>
    </w:p>
    <w:p>
      <w:pPr>
        <w:jc w:val="both"/>
        <w:ind w:firstLine="2171"/>
        <w:spacing w:after="0" w:line="244" w:lineRule="auto"/>
        <w:tabs>
          <w:tab w:leader="none" w:pos="258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Should any provision of the Agreement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Executive acknowledges that she has obtained sufficient information to intelligently exercise her own judgment regarding the terms of the Agreement before executing the Agreement.</w:t>
      </w:r>
    </w:p>
    <w:p>
      <w:pPr>
        <w:spacing w:after="0" w:line="199" w:lineRule="exact"/>
        <w:rPr>
          <w:rFonts w:ascii="Times New Roman" w:cs="Times New Roman" w:eastAsia="Times New Roman" w:hAnsi="Times New Roman"/>
          <w:sz w:val="20"/>
          <w:szCs w:val="20"/>
          <w:color w:val="auto"/>
        </w:rPr>
      </w:pPr>
    </w:p>
    <w:p>
      <w:pPr>
        <w:jc w:val="both"/>
        <w:ind w:firstLine="2171"/>
        <w:spacing w:after="0" w:line="254" w:lineRule="auto"/>
        <w:tabs>
          <w:tab w:leader="none" w:pos="258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w:t>
      </w:r>
      <w:r>
        <w:rPr>
          <w:rFonts w:ascii="Times New Roman" w:cs="Times New Roman" w:eastAsia="Times New Roman" w:hAnsi="Times New Roman"/>
          <w:sz w:val="20"/>
          <w:szCs w:val="20"/>
          <w:color w:val="auto"/>
        </w:rPr>
        <w:t>. This Agreement will be governed by and construed in accordance with the laws of the United States of America and the State of New Jersey applicable to contracts made and to be performed wholly within such State, and without regard to the conflicts of laws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251" w:right="719" w:bottom="1440" w:gutter="0" w:footer="0" w:header="0"/>
        </w:sectPr>
      </w:pPr>
    </w:p>
    <w:bookmarkStart w:id="85" w:name="page86"/>
    <w:bookmarkEnd w:id="85"/>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principles thereof. Subject to Section 9, any action or proceeding by either party to enforce this Agreement shall be brought only in any state or federal court located in New Jersey. The parties irrevocably submit to the exclusive jurisdiction of such courts and waive the defense of inconvenient forum to the maintenance of any such action or proceeding in such venue.</w:t>
      </w:r>
    </w:p>
    <w:p>
      <w:pPr>
        <w:spacing w:after="0" w:line="188" w:lineRule="exact"/>
        <w:rPr>
          <w:sz w:val="20"/>
          <w:szCs w:val="20"/>
          <w:color w:val="auto"/>
        </w:rPr>
      </w:pPr>
    </w:p>
    <w:p>
      <w:pPr>
        <w:jc w:val="both"/>
        <w:ind w:firstLine="2171"/>
        <w:spacing w:after="0" w:line="246" w:lineRule="auto"/>
        <w:tabs>
          <w:tab w:leader="none" w:pos="25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Interest</w:t>
      </w:r>
      <w:r>
        <w:rPr>
          <w:rFonts w:ascii="Times New Roman" w:cs="Times New Roman" w:eastAsia="Times New Roman" w:hAnsi="Times New Roman"/>
          <w:sz w:val="20"/>
          <w:szCs w:val="20"/>
          <w:color w:val="auto"/>
        </w:rPr>
        <w:t>. None of the rights of Executive to receive any form of compensation payable pursuant to this Agreement shall be assignable or transferable except through a testamentary disposition or by the laws of descent and distribution upon the death of Executive. Any attempted assignment, transfer, conveyance, or other disposition (other than as aforesaid) of any interest in the rights of Executive to receive any form of compensation to be made by the Company pursuant to this Agreement shall be void.</w:t>
      </w:r>
    </w:p>
    <w:p>
      <w:pPr>
        <w:spacing w:after="0" w:line="198" w:lineRule="exact"/>
        <w:rPr>
          <w:rFonts w:ascii="Times New Roman" w:cs="Times New Roman" w:eastAsia="Times New Roman" w:hAnsi="Times New Roman"/>
          <w:sz w:val="20"/>
          <w:szCs w:val="20"/>
          <w:color w:val="auto"/>
        </w:rPr>
      </w:pPr>
    </w:p>
    <w:p>
      <w:pPr>
        <w:jc w:val="both"/>
        <w:ind w:firstLine="2171"/>
        <w:spacing w:after="0" w:line="245" w:lineRule="auto"/>
        <w:tabs>
          <w:tab w:leader="none" w:pos="25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The language in all parts of this Agreement shall in all cases be construed simply, according to its fair meaning, and not strictly for or against any of the parties hereto. Without limitation, there shall be no presumption against any party on the ground that such party was responsible for drafting this Agreement or any part thereof. Where the context so requires, the use of the masculine gender shall include the feminine and/or neuter genders and the singular shall include the plural, and vice versa, and the word “person” shall include any corporation, firm, partnership or other form of association.</w:t>
      </w:r>
    </w:p>
    <w:p>
      <w:pPr>
        <w:spacing w:after="0" w:line="197" w:lineRule="exact"/>
        <w:rPr>
          <w:rFonts w:ascii="Times New Roman" w:cs="Times New Roman" w:eastAsia="Times New Roman" w:hAnsi="Times New Roman"/>
          <w:sz w:val="20"/>
          <w:szCs w:val="20"/>
          <w:color w:val="auto"/>
        </w:rPr>
      </w:pPr>
    </w:p>
    <w:p>
      <w:pPr>
        <w:jc w:val="both"/>
        <w:ind w:firstLine="2171"/>
        <w:spacing w:after="0" w:line="295" w:lineRule="auto"/>
        <w:tabs>
          <w:tab w:leader="none" w:pos="2588"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 and Other Deductions</w:t>
      </w:r>
      <w:r>
        <w:rPr>
          <w:rFonts w:ascii="Times New Roman" w:cs="Times New Roman" w:eastAsia="Times New Roman" w:hAnsi="Times New Roman"/>
          <w:sz w:val="19"/>
          <w:szCs w:val="19"/>
          <w:color w:val="auto"/>
        </w:rPr>
        <w:t>. All compensation payable to Executive hereunder shall be subject to such deductions as the Company is from time to time required to make pursuant to law, governmental regulation or order.</w:t>
      </w:r>
    </w:p>
    <w:p>
      <w:pPr>
        <w:spacing w:after="0" w:line="151" w:lineRule="exact"/>
        <w:rPr>
          <w:rFonts w:ascii="Times New Roman" w:cs="Times New Roman" w:eastAsia="Times New Roman" w:hAnsi="Times New Roman"/>
          <w:sz w:val="19"/>
          <w:szCs w:val="19"/>
          <w:color w:val="auto"/>
        </w:rPr>
      </w:pPr>
    </w:p>
    <w:p>
      <w:pPr>
        <w:jc w:val="both"/>
        <w:ind w:firstLine="2171"/>
        <w:spacing w:after="0" w:line="244" w:lineRule="auto"/>
        <w:tabs>
          <w:tab w:leader="none" w:pos="25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Knowing and Voluntary</w:t>
      </w:r>
      <w:r>
        <w:rPr>
          <w:rFonts w:ascii="Times New Roman" w:cs="Times New Roman" w:eastAsia="Times New Roman" w:hAnsi="Times New Roman"/>
          <w:sz w:val="20"/>
          <w:szCs w:val="20"/>
          <w:color w:val="auto"/>
        </w:rPr>
        <w:t>. Executive represents and agrees that, prior to signing this Agreement, Executive has had the opportunity to discuss the terms of this Agreement with legal counsel of her choosing. Executive further represents and agrees that she is entering into this Agreement knowingly and voluntarily. Executive affirms that no promise was made to cause her to enter into this Agreement, other than what is promised in this Agreement. Executive further confirms that she has not relied upon any other statement or representation by anyone other than what is in this Agreement as a basis for her agreement. Executive acknowledges and agrees that neither the Company nor the Company’s counsel has provided any legal or tax advice to Executive and that Executive is free to, and is hereby advised to, consult with a legal or tax advisor of her choosing.</w:t>
      </w:r>
    </w:p>
    <w:p>
      <w:pPr>
        <w:spacing w:after="0" w:line="199" w:lineRule="exact"/>
        <w:rPr>
          <w:rFonts w:ascii="Times New Roman" w:cs="Times New Roman" w:eastAsia="Times New Roman" w:hAnsi="Times New Roman"/>
          <w:sz w:val="20"/>
          <w:szCs w:val="20"/>
          <w:color w:val="auto"/>
        </w:rPr>
      </w:pPr>
    </w:p>
    <w:p>
      <w:pPr>
        <w:jc w:val="both"/>
        <w:ind w:firstLine="2171"/>
        <w:spacing w:after="0" w:line="254" w:lineRule="auto"/>
        <w:tabs>
          <w:tab w:leader="none" w:pos="25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all of which taken together shall constitute one instrument. Execution and delivery of this Agreement by facsimile or other electronic signature is legal, valid and binding for all purposes.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86" w:name="page87"/>
    <w:bookmarkEnd w:id="86"/>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EXECUTIVE’S ACCEPTANCE OF AGREEMENT</w:t>
      </w:r>
    </w:p>
    <w:p>
      <w:pPr>
        <w:spacing w:after="0" w:line="200" w:lineRule="exact"/>
        <w:rPr>
          <w:sz w:val="20"/>
          <w:szCs w:val="20"/>
          <w:color w:val="auto"/>
        </w:rPr>
      </w:pPr>
    </w:p>
    <w:p>
      <w:pPr>
        <w:spacing w:after="0" w:line="245" w:lineRule="exact"/>
        <w:rPr>
          <w:sz w:val="20"/>
          <w:szCs w:val="20"/>
          <w:color w:val="auto"/>
        </w:rPr>
      </w:pPr>
    </w:p>
    <w:p>
      <w:pPr>
        <w:jc w:val="both"/>
        <w:ind w:left="2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BEFORE SIGNING HER NAME TO THIS AGREEMENT, EXECUTIVE STATES THE FOLLOWING: EXECUTIVE HAS READ THE AGREEMENT, SHE UNDERSTANDS IT AND SHE KNOWS THAT SHE IS GIVING UP IMPORTANT RIGHTS. SHE HAS OBTAINED SUFFICIENT INFORMATION TO INTELLIGENTLY EXERCISE HER OWN JUDGMENT. SHE HAS BEEN ADVISED THAT SHE SHOULD CONSULT WITH AN ATTORNEY BEFORE SIGNING IT, AND SHE HAS SIGNED THE AGREEMENT KNOWINGLY AND VOLUNTARILY.</w:t>
      </w:r>
    </w:p>
    <w:p>
      <w:pPr>
        <w:spacing w:after="0" w:line="200" w:lineRule="exact"/>
        <w:rPr>
          <w:sz w:val="20"/>
          <w:szCs w:val="20"/>
          <w:color w:val="auto"/>
        </w:rPr>
      </w:pPr>
    </w:p>
    <w:p>
      <w:pPr>
        <w:spacing w:after="0" w:line="29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Executed on 20-May-2025</w:t>
      </w:r>
    </w:p>
    <w:p>
      <w:pPr>
        <w:spacing w:after="0" w:line="4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u w:val="single" w:color="auto"/>
          <w:color w:val="auto"/>
        </w:rPr>
        <w:t>/s/ Molly Henderson</w:t>
      </w:r>
    </w:p>
    <w:p>
      <w:pPr>
        <w:spacing w:after="0" w:line="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Molly Henderson</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Agreed and Accepted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PHATHOM PHARMACEUTICALS, INC.</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/s/ Steven Basta</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Steven Basta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20-May-2025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481330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680" w:top="1440" w:right="719" w:bottom="1440" w:gutter="0" w:footer="0" w:header="0"/>
        </w:sectPr>
      </w:pPr>
    </w:p>
    <w:bookmarkStart w:id="87" w:name="page88"/>
    <w:bookmarkEnd w:id="87"/>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Older Worker Benefit Protection Act Disclosure</w:t>
      </w:r>
    </w:p>
    <w:p>
      <w:pPr>
        <w:spacing w:after="0" w:line="204" w:lineRule="exact"/>
        <w:rPr>
          <w:sz w:val="20"/>
          <w:szCs w:val="20"/>
          <w:color w:val="auto"/>
        </w:rPr>
      </w:pPr>
    </w:p>
    <w:p>
      <w:pPr>
        <w:jc w:val="both"/>
        <w:ind w:left="20" w:right="20"/>
        <w:spacing w:after="0" w:line="237" w:lineRule="auto"/>
        <w:rPr>
          <w:sz w:val="20"/>
          <w:szCs w:val="20"/>
          <w:color w:val="auto"/>
        </w:rPr>
      </w:pPr>
      <w:r>
        <w:rPr>
          <w:rFonts w:ascii="Arial" w:cs="Arial" w:eastAsia="Arial" w:hAnsi="Arial"/>
          <w:sz w:val="20"/>
          <w:szCs w:val="20"/>
          <w:color w:val="auto"/>
        </w:rPr>
        <w:t>For your information, and to assist you in deciding whether to sign the Separation Agreement and General Release of All Claims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we are providing you with the following information regarding the employment termination program (the “</w:t>
      </w:r>
      <w:r>
        <w:rPr>
          <w:rFonts w:ascii="Arial" w:cs="Arial" w:eastAsia="Arial" w:hAnsi="Arial"/>
          <w:sz w:val="20"/>
          <w:szCs w:val="20"/>
          <w:b w:val="1"/>
          <w:bCs w:val="1"/>
          <w:i w:val="1"/>
          <w:iCs w:val="1"/>
          <w:color w:val="auto"/>
        </w:rPr>
        <w:t>Severance Program</w:t>
      </w:r>
      <w:r>
        <w:rPr>
          <w:rFonts w:ascii="Arial" w:cs="Arial" w:eastAsia="Arial" w:hAnsi="Arial"/>
          <w:sz w:val="20"/>
          <w:szCs w:val="20"/>
          <w:color w:val="auto"/>
        </w:rPr>
        <w:t>”). This disclosure is being provided to you pursuant to the requirements of the Older Workers Benefit Protection Act of 1990.</w:t>
      </w:r>
    </w:p>
    <w:p>
      <w:pPr>
        <w:spacing w:after="0" w:line="183" w:lineRule="exact"/>
        <w:rPr>
          <w:sz w:val="20"/>
          <w:szCs w:val="20"/>
          <w:color w:val="auto"/>
        </w:rPr>
      </w:pPr>
    </w:p>
    <w:p>
      <w:pPr>
        <w:jc w:val="both"/>
        <w:ind w:left="20" w:right="20"/>
        <w:spacing w:after="0" w:line="242" w:lineRule="auto"/>
        <w:rPr>
          <w:sz w:val="20"/>
          <w:szCs w:val="20"/>
          <w:color w:val="auto"/>
        </w:rPr>
      </w:pPr>
      <w:r>
        <w:rPr>
          <w:rFonts w:ascii="Arial" w:cs="Arial" w:eastAsia="Arial" w:hAnsi="Arial"/>
          <w:sz w:val="20"/>
          <w:szCs w:val="20"/>
          <w:b w:val="1"/>
          <w:bCs w:val="1"/>
          <w:color w:val="auto"/>
        </w:rPr>
        <w:t xml:space="preserve">Decisional Unit: </w:t>
      </w:r>
      <w:r>
        <w:rPr>
          <w:rFonts w:ascii="Arial" w:cs="Arial" w:eastAsia="Arial" w:hAnsi="Arial"/>
          <w:sz w:val="20"/>
          <w:szCs w:val="20"/>
          <w:color w:val="auto"/>
        </w:rPr>
        <w:t>The group of individuals identified in this disclosure, referred to by federal law as the “Decisional Unit,”</w:t>
      </w:r>
      <w:r>
        <w:rPr>
          <w:rFonts w:ascii="Arial" w:cs="Arial" w:eastAsia="Arial" w:hAnsi="Arial"/>
          <w:sz w:val="20"/>
          <w:szCs w:val="20"/>
          <w:b w:val="1"/>
          <w:bCs w:val="1"/>
          <w:color w:val="auto"/>
        </w:rPr>
        <w:t xml:space="preserve"> </w:t>
      </w:r>
      <w:r>
        <w:rPr>
          <w:rFonts w:ascii="Arial" w:cs="Arial" w:eastAsia="Arial" w:hAnsi="Arial"/>
          <w:sz w:val="20"/>
          <w:szCs w:val="20"/>
          <w:color w:val="auto"/>
        </w:rPr>
        <w:t>consists of all individuals employed by Phathom Pharmaceuticals,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in non-field based roles, as of April 30, 2025.</w:t>
      </w:r>
    </w:p>
    <w:p>
      <w:pPr>
        <w:spacing w:after="0" w:line="168" w:lineRule="exact"/>
        <w:rPr>
          <w:sz w:val="20"/>
          <w:szCs w:val="20"/>
          <w:color w:val="auto"/>
        </w:rPr>
      </w:pPr>
    </w:p>
    <w:p>
      <w:pPr>
        <w:jc w:val="both"/>
        <w:ind w:left="20"/>
        <w:spacing w:after="0" w:line="233" w:lineRule="auto"/>
        <w:rPr>
          <w:sz w:val="20"/>
          <w:szCs w:val="20"/>
          <w:color w:val="auto"/>
        </w:rPr>
      </w:pPr>
      <w:r>
        <w:rPr>
          <w:rFonts w:ascii="Arial" w:cs="Arial" w:eastAsia="Arial" w:hAnsi="Arial"/>
          <w:sz w:val="20"/>
          <w:szCs w:val="20"/>
          <w:b w:val="1"/>
          <w:bCs w:val="1"/>
          <w:color w:val="auto"/>
        </w:rPr>
        <w:t xml:space="preserve">Eligibility Factors: </w:t>
      </w:r>
      <w:r>
        <w:rPr>
          <w:rFonts w:ascii="Arial" w:cs="Arial" w:eastAsia="Arial" w:hAnsi="Arial"/>
          <w:sz w:val="20"/>
          <w:szCs w:val="20"/>
          <w:color w:val="auto"/>
        </w:rPr>
        <w:t>All employees in the Decisional Unit were eligible for selection for employment termination as part</w:t>
      </w:r>
      <w:r>
        <w:rPr>
          <w:rFonts w:ascii="Arial" w:cs="Arial" w:eastAsia="Arial" w:hAnsi="Arial"/>
          <w:sz w:val="20"/>
          <w:szCs w:val="20"/>
          <w:b w:val="1"/>
          <w:bCs w:val="1"/>
          <w:color w:val="auto"/>
        </w:rPr>
        <w:t xml:space="preserve"> </w:t>
      </w:r>
      <w:r>
        <w:rPr>
          <w:rFonts w:ascii="Arial" w:cs="Arial" w:eastAsia="Arial" w:hAnsi="Arial"/>
          <w:sz w:val="20"/>
          <w:szCs w:val="20"/>
          <w:color w:val="auto"/>
        </w:rPr>
        <w:t>of a reduction in force (the “</w:t>
      </w:r>
      <w:r>
        <w:rPr>
          <w:rFonts w:ascii="Arial" w:cs="Arial" w:eastAsia="Arial" w:hAnsi="Arial"/>
          <w:sz w:val="20"/>
          <w:szCs w:val="20"/>
          <w:b w:val="1"/>
          <w:bCs w:val="1"/>
          <w:i w:val="1"/>
          <w:iCs w:val="1"/>
          <w:color w:val="auto"/>
        </w:rPr>
        <w:t>RIF</w:t>
      </w:r>
      <w:r>
        <w:rPr>
          <w:rFonts w:ascii="Arial" w:cs="Arial" w:eastAsia="Arial" w:hAnsi="Arial"/>
          <w:sz w:val="20"/>
          <w:szCs w:val="20"/>
          <w:color w:val="auto"/>
        </w:rPr>
        <w:t>”). Selection of employees in the Decisional Unit for termination of employment in conjunction with the RIF was based on job criticality. All employees in the Decisional Unit not terminated in conjunction with this RIF, specifically including any employee who obtained another job with the Company, voluntarily quit, resigned, or are involuntarily terminated for any reason other than the RIF, are not eligible to participate in the Severance Program.</w:t>
      </w:r>
    </w:p>
    <w:p>
      <w:pPr>
        <w:spacing w:after="0" w:line="172"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20"/>
          <w:szCs w:val="20"/>
          <w:b w:val="1"/>
          <w:bCs w:val="1"/>
          <w:color w:val="auto"/>
        </w:rPr>
        <w:t xml:space="preserve">Information Current as of April 30, 2025: </w:t>
      </w:r>
      <w:r>
        <w:rPr>
          <w:rFonts w:ascii="Arial" w:cs="Arial" w:eastAsia="Arial" w:hAnsi="Arial"/>
          <w:sz w:val="20"/>
          <w:szCs w:val="20"/>
          <w:color w:val="auto"/>
        </w:rPr>
        <w:t>The information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b w:val="1"/>
          <w:bCs w:val="1"/>
          <w:color w:val="auto"/>
        </w:rPr>
        <w:t xml:space="preserve"> </w:t>
      </w:r>
      <w:r>
        <w:rPr>
          <w:rFonts w:ascii="Arial" w:cs="Arial" w:eastAsia="Arial" w:hAnsi="Arial"/>
          <w:sz w:val="20"/>
          <w:szCs w:val="20"/>
          <w:color w:val="auto"/>
        </w:rPr>
        <w:t>is current as of the date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b w:val="1"/>
          <w:bCs w:val="1"/>
          <w:color w:val="auto"/>
        </w:rPr>
        <w:t xml:space="preserve"> </w:t>
      </w:r>
      <w:r>
        <w:rPr>
          <w:rFonts w:ascii="Arial" w:cs="Arial" w:eastAsia="Arial" w:hAnsi="Arial"/>
          <w:sz w:val="20"/>
          <w:szCs w:val="20"/>
          <w:color w:val="auto"/>
        </w:rPr>
        <w:t>was</w:t>
      </w:r>
      <w:r>
        <w:rPr>
          <w:rFonts w:ascii="Arial" w:cs="Arial" w:eastAsia="Arial" w:hAnsi="Arial"/>
          <w:sz w:val="20"/>
          <w:szCs w:val="20"/>
          <w:b w:val="1"/>
          <w:bCs w:val="1"/>
          <w:color w:val="auto"/>
        </w:rPr>
        <w:t xml:space="preserve"> </w:t>
      </w:r>
      <w:r>
        <w:rPr>
          <w:rFonts w:ascii="Arial" w:cs="Arial" w:eastAsia="Arial" w:hAnsi="Arial"/>
          <w:sz w:val="20"/>
          <w:szCs w:val="20"/>
          <w:color w:val="auto"/>
        </w:rPr>
        <w:t>prepared, but may change between the date of preparation and the final RIF date.</w:t>
      </w:r>
    </w:p>
    <w:p>
      <w:pPr>
        <w:spacing w:after="0" w:line="165" w:lineRule="exact"/>
        <w:rPr>
          <w:sz w:val="20"/>
          <w:szCs w:val="20"/>
          <w:color w:val="auto"/>
        </w:rPr>
      </w:pPr>
    </w:p>
    <w:p>
      <w:pPr>
        <w:jc w:val="both"/>
        <w:ind w:left="20"/>
        <w:spacing w:after="0" w:line="233" w:lineRule="auto"/>
        <w:rPr>
          <w:sz w:val="20"/>
          <w:szCs w:val="20"/>
          <w:color w:val="auto"/>
        </w:rPr>
      </w:pPr>
      <w:r>
        <w:rPr>
          <w:rFonts w:ascii="Arial" w:cs="Arial" w:eastAsia="Arial" w:hAnsi="Arial"/>
          <w:sz w:val="20"/>
          <w:szCs w:val="20"/>
          <w:b w:val="1"/>
          <w:bCs w:val="1"/>
          <w:color w:val="auto"/>
        </w:rPr>
        <w:t xml:space="preserve">Return of Executed Severance Agreement, Waiver and Release: </w:t>
      </w:r>
      <w:r>
        <w:rPr>
          <w:rFonts w:ascii="Arial" w:cs="Arial" w:eastAsia="Arial" w:hAnsi="Arial"/>
          <w:sz w:val="20"/>
          <w:szCs w:val="20"/>
          <w:color w:val="auto"/>
        </w:rPr>
        <w:t>Below is a listing by position and age of all</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in the Decisional Unit, with an indication as to whether they were selected or were not selected for employment termination in conjunction with the RIF. All employees who are forty or older at the time of the RIF and who are being offered severance benefits under the Severance Program must sign and return the Agreement within forty-five (45) days after receiving the Agreement to William Aprea, Senior VP, Legal and Compliance of the Company. Once the Agreement is executed, each of these individuals will have seven (7) days to revoke his/her agreement.</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425"/>
        </w:trPr>
        <w:tc>
          <w:tcPr>
            <w:tcW w:w="3460" w:type="dxa"/>
            <w:vAlign w:val="bottom"/>
            <w:tcBorders>
              <w:top w:val="single" w:sz="8" w:color="auto"/>
              <w:left w:val="single" w:sz="8" w:color="auto"/>
              <w:right w:val="single" w:sz="8" w:color="auto"/>
            </w:tcBorders>
            <w:shd w:val="clear" w:color="auto" w:fill="BDBDBD"/>
          </w:tcPr>
          <w:p>
            <w:pPr>
              <w:spacing w:after="0"/>
              <w:rPr>
                <w:sz w:val="24"/>
                <w:szCs w:val="24"/>
                <w:color w:val="auto"/>
              </w:rPr>
            </w:pPr>
          </w:p>
        </w:tc>
        <w:tc>
          <w:tcPr>
            <w:tcW w:w="1280" w:type="dxa"/>
            <w:vAlign w:val="bottom"/>
            <w:tcBorders>
              <w:top w:val="single" w:sz="8" w:color="auto"/>
              <w:right w:val="single" w:sz="8" w:color="auto"/>
            </w:tcBorders>
            <w:shd w:val="clear" w:color="auto" w:fill="BDBDBD"/>
          </w:tcPr>
          <w:p>
            <w:pPr>
              <w:spacing w:after="0"/>
              <w:rPr>
                <w:sz w:val="24"/>
                <w:szCs w:val="24"/>
                <w:color w:val="auto"/>
              </w:rPr>
            </w:pPr>
          </w:p>
        </w:tc>
        <w:tc>
          <w:tcPr>
            <w:tcW w:w="2900" w:type="dxa"/>
            <w:vAlign w:val="bottom"/>
            <w:tcBorders>
              <w:top w:val="single" w:sz="8" w:color="auto"/>
              <w:right w:val="single" w:sz="8" w:color="auto"/>
            </w:tcBorders>
            <w:shd w:val="clear" w:color="auto" w:fill="BDBDBD"/>
          </w:tcPr>
          <w:p>
            <w:pPr>
              <w:ind w:left="40"/>
              <w:spacing w:after="0"/>
              <w:rPr>
                <w:sz w:val="20"/>
                <w:szCs w:val="20"/>
                <w:color w:val="auto"/>
              </w:rPr>
            </w:pPr>
            <w:r>
              <w:rPr>
                <w:rFonts w:ascii="Arial" w:cs="Arial" w:eastAsia="Arial" w:hAnsi="Arial"/>
                <w:sz w:val="20"/>
                <w:szCs w:val="20"/>
                <w:b w:val="1"/>
                <w:bCs w:val="1"/>
                <w:color w:val="auto"/>
              </w:rPr>
              <w:t>Selected for Termination and</w:t>
            </w:r>
          </w:p>
        </w:tc>
        <w:tc>
          <w:tcPr>
            <w:tcW w:w="2820" w:type="dxa"/>
            <w:vAlign w:val="bottom"/>
            <w:tcBorders>
              <w:top w:val="single" w:sz="8" w:color="auto"/>
              <w:right w:val="single" w:sz="8" w:color="auto"/>
            </w:tcBorders>
            <w:vMerge w:val="restart"/>
            <w:shd w:val="clear" w:color="auto" w:fill="BDBDBD"/>
          </w:tcPr>
          <w:p>
            <w:pPr>
              <w:ind w:left="100"/>
              <w:spacing w:after="0"/>
              <w:rPr>
                <w:sz w:val="20"/>
                <w:szCs w:val="20"/>
                <w:color w:val="auto"/>
              </w:rPr>
            </w:pPr>
            <w:r>
              <w:rPr>
                <w:rFonts w:ascii="Arial" w:cs="Arial" w:eastAsia="Arial" w:hAnsi="Arial"/>
                <w:sz w:val="20"/>
                <w:szCs w:val="20"/>
                <w:b w:val="1"/>
                <w:bCs w:val="1"/>
                <w:color w:val="auto"/>
              </w:rPr>
              <w:t>Not Selected for</w:t>
            </w:r>
          </w:p>
        </w:tc>
        <w:tc>
          <w:tcPr>
            <w:tcW w:w="0" w:type="dxa"/>
            <w:vAlign w:val="bottom"/>
          </w:tcPr>
          <w:p>
            <w:pPr>
              <w:spacing w:after="0"/>
              <w:rPr>
                <w:sz w:val="1"/>
                <w:szCs w:val="1"/>
                <w:color w:val="auto"/>
              </w:rPr>
            </w:pPr>
          </w:p>
        </w:tc>
      </w:tr>
      <w:tr>
        <w:trPr>
          <w:trHeight w:val="216"/>
        </w:trPr>
        <w:tc>
          <w:tcPr>
            <w:tcW w:w="3460" w:type="dxa"/>
            <w:vAlign w:val="bottom"/>
            <w:tcBorders>
              <w:left w:val="single" w:sz="8" w:color="auto"/>
              <w:right w:val="single" w:sz="8" w:color="auto"/>
            </w:tcBorders>
            <w:vMerge w:val="restart"/>
            <w:shd w:val="clear" w:color="auto" w:fill="BDBDBD"/>
          </w:tcPr>
          <w:p>
            <w:pPr>
              <w:ind w:left="60"/>
              <w:spacing w:after="0"/>
              <w:rPr>
                <w:sz w:val="20"/>
                <w:szCs w:val="20"/>
                <w:color w:val="auto"/>
              </w:rPr>
            </w:pPr>
            <w:r>
              <w:rPr>
                <w:rFonts w:ascii="Arial" w:cs="Arial" w:eastAsia="Arial" w:hAnsi="Arial"/>
                <w:sz w:val="20"/>
                <w:szCs w:val="20"/>
                <w:b w:val="1"/>
                <w:bCs w:val="1"/>
                <w:color w:val="auto"/>
              </w:rPr>
              <w:t>Job Title</w:t>
            </w:r>
          </w:p>
        </w:tc>
        <w:tc>
          <w:tcPr>
            <w:tcW w:w="1280" w:type="dxa"/>
            <w:vAlign w:val="bottom"/>
            <w:tcBorders>
              <w:right w:val="single" w:sz="8" w:color="auto"/>
            </w:tcBorders>
            <w:vMerge w:val="restart"/>
            <w:shd w:val="clear" w:color="auto" w:fill="BDBDBD"/>
          </w:tcPr>
          <w:p>
            <w:pPr>
              <w:jc w:val="right"/>
              <w:ind w:right="854"/>
              <w:spacing w:after="0"/>
              <w:rPr>
                <w:sz w:val="20"/>
                <w:szCs w:val="20"/>
                <w:color w:val="auto"/>
              </w:rPr>
            </w:pPr>
            <w:r>
              <w:rPr>
                <w:rFonts w:ascii="Arial" w:cs="Arial" w:eastAsia="Arial" w:hAnsi="Arial"/>
                <w:sz w:val="20"/>
                <w:szCs w:val="20"/>
                <w:b w:val="1"/>
                <w:bCs w:val="1"/>
                <w:color w:val="auto"/>
                <w:w w:val="84"/>
              </w:rPr>
              <w:t>Age</w:t>
            </w:r>
          </w:p>
        </w:tc>
        <w:tc>
          <w:tcPr>
            <w:tcW w:w="2900" w:type="dxa"/>
            <w:vAlign w:val="bottom"/>
            <w:tcBorders>
              <w:right w:val="single" w:sz="8" w:color="auto"/>
            </w:tcBorders>
            <w:shd w:val="clear" w:color="auto" w:fill="BDBDBD"/>
          </w:tcPr>
          <w:p>
            <w:pPr>
              <w:ind w:left="40"/>
              <w:spacing w:after="0" w:line="216" w:lineRule="exact"/>
              <w:rPr>
                <w:sz w:val="20"/>
                <w:szCs w:val="20"/>
                <w:color w:val="auto"/>
              </w:rPr>
            </w:pPr>
            <w:r>
              <w:rPr>
                <w:rFonts w:ascii="Arial" w:cs="Arial" w:eastAsia="Arial" w:hAnsi="Arial"/>
                <w:sz w:val="20"/>
                <w:szCs w:val="20"/>
                <w:b w:val="1"/>
                <w:bCs w:val="1"/>
                <w:color w:val="auto"/>
              </w:rPr>
              <w:t>Eligible for Severance</w:t>
            </w:r>
          </w:p>
        </w:tc>
        <w:tc>
          <w:tcPr>
            <w:tcW w:w="2820" w:type="dxa"/>
            <w:vAlign w:val="bottom"/>
            <w:tcBorders>
              <w:right w:val="single" w:sz="8" w:color="auto"/>
            </w:tcBorders>
            <w:vMerge w:val="continue"/>
            <w:shd w:val="clear" w:color="auto" w:fill="BDBDBD"/>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60" w:type="dxa"/>
            <w:vAlign w:val="bottom"/>
            <w:tcBorders>
              <w:left w:val="single" w:sz="8" w:color="auto"/>
              <w:right w:val="single" w:sz="8" w:color="auto"/>
            </w:tcBorders>
            <w:vMerge w:val="continue"/>
            <w:shd w:val="clear" w:color="auto" w:fill="BDBDBD"/>
          </w:tcPr>
          <w:p>
            <w:pPr>
              <w:spacing w:after="0"/>
              <w:rPr>
                <w:sz w:val="14"/>
                <w:szCs w:val="14"/>
                <w:color w:val="auto"/>
              </w:rPr>
            </w:pPr>
          </w:p>
        </w:tc>
        <w:tc>
          <w:tcPr>
            <w:tcW w:w="1280" w:type="dxa"/>
            <w:vAlign w:val="bottom"/>
            <w:tcBorders>
              <w:right w:val="single" w:sz="8" w:color="auto"/>
            </w:tcBorders>
            <w:vMerge w:val="continue"/>
            <w:shd w:val="clear" w:color="auto" w:fill="BDBDBD"/>
          </w:tcPr>
          <w:p>
            <w:pPr>
              <w:spacing w:after="0"/>
              <w:rPr>
                <w:sz w:val="14"/>
                <w:szCs w:val="14"/>
                <w:color w:val="auto"/>
              </w:rPr>
            </w:pPr>
          </w:p>
        </w:tc>
        <w:tc>
          <w:tcPr>
            <w:tcW w:w="2900" w:type="dxa"/>
            <w:vAlign w:val="bottom"/>
            <w:tcBorders>
              <w:right w:val="single" w:sz="8" w:color="auto"/>
            </w:tcBorders>
            <w:vMerge w:val="restart"/>
            <w:shd w:val="clear" w:color="auto" w:fill="BDBDBD"/>
          </w:tcPr>
          <w:p>
            <w:pPr>
              <w:ind w:left="40"/>
              <w:spacing w:after="0"/>
              <w:rPr>
                <w:sz w:val="20"/>
                <w:szCs w:val="20"/>
                <w:color w:val="auto"/>
              </w:rPr>
            </w:pPr>
            <w:r>
              <w:rPr>
                <w:rFonts w:ascii="Arial" w:cs="Arial" w:eastAsia="Arial" w:hAnsi="Arial"/>
                <w:sz w:val="20"/>
                <w:szCs w:val="20"/>
                <w:b w:val="1"/>
                <w:bCs w:val="1"/>
                <w:color w:val="auto"/>
              </w:rPr>
              <w:t>Program</w:t>
            </w:r>
          </w:p>
        </w:tc>
        <w:tc>
          <w:tcPr>
            <w:tcW w:w="2820" w:type="dxa"/>
            <w:vAlign w:val="bottom"/>
            <w:tcBorders>
              <w:right w:val="single" w:sz="8" w:color="auto"/>
            </w:tcBorders>
            <w:vMerge w:val="restart"/>
            <w:shd w:val="clear" w:color="auto" w:fill="BDBDBD"/>
          </w:tcPr>
          <w:p>
            <w:pPr>
              <w:ind w:left="160"/>
              <w:spacing w:after="0"/>
              <w:rPr>
                <w:sz w:val="20"/>
                <w:szCs w:val="20"/>
                <w:color w:val="auto"/>
              </w:rPr>
            </w:pPr>
            <w:r>
              <w:rPr>
                <w:rFonts w:ascii="Arial" w:cs="Arial" w:eastAsia="Arial" w:hAnsi="Arial"/>
                <w:sz w:val="20"/>
                <w:szCs w:val="20"/>
                <w:b w:val="1"/>
                <w:bCs w:val="1"/>
                <w:color w:val="auto"/>
              </w:rPr>
              <w:t>Termination</w:t>
            </w:r>
          </w:p>
        </w:tc>
        <w:tc>
          <w:tcPr>
            <w:tcW w:w="0" w:type="dxa"/>
            <w:vAlign w:val="bottom"/>
          </w:tcPr>
          <w:p>
            <w:pPr>
              <w:spacing w:after="0"/>
              <w:rPr>
                <w:sz w:val="1"/>
                <w:szCs w:val="1"/>
                <w:color w:val="auto"/>
              </w:rPr>
            </w:pPr>
          </w:p>
        </w:tc>
      </w:tr>
      <w:tr>
        <w:trPr>
          <w:trHeight w:val="108"/>
        </w:trPr>
        <w:tc>
          <w:tcPr>
            <w:tcW w:w="3460" w:type="dxa"/>
            <w:vAlign w:val="bottom"/>
            <w:tcBorders>
              <w:left w:val="single" w:sz="8" w:color="auto"/>
              <w:right w:val="single" w:sz="8" w:color="auto"/>
            </w:tcBorders>
            <w:shd w:val="clear" w:color="auto" w:fill="BDBDBD"/>
          </w:tcPr>
          <w:p>
            <w:pPr>
              <w:spacing w:after="0"/>
              <w:rPr>
                <w:sz w:val="9"/>
                <w:szCs w:val="9"/>
                <w:color w:val="auto"/>
              </w:rPr>
            </w:pPr>
          </w:p>
        </w:tc>
        <w:tc>
          <w:tcPr>
            <w:tcW w:w="1280" w:type="dxa"/>
            <w:vAlign w:val="bottom"/>
            <w:tcBorders>
              <w:right w:val="single" w:sz="8" w:color="auto"/>
            </w:tcBorders>
            <w:shd w:val="clear" w:color="auto" w:fill="BDBDBD"/>
          </w:tcPr>
          <w:p>
            <w:pPr>
              <w:spacing w:after="0"/>
              <w:rPr>
                <w:sz w:val="9"/>
                <w:szCs w:val="9"/>
                <w:color w:val="auto"/>
              </w:rPr>
            </w:pPr>
          </w:p>
        </w:tc>
        <w:tc>
          <w:tcPr>
            <w:tcW w:w="2900" w:type="dxa"/>
            <w:vAlign w:val="bottom"/>
            <w:tcBorders>
              <w:right w:val="single" w:sz="8" w:color="auto"/>
            </w:tcBorders>
            <w:vMerge w:val="continue"/>
            <w:shd w:val="clear" w:color="auto" w:fill="BDBDBD"/>
          </w:tcPr>
          <w:p>
            <w:pPr>
              <w:spacing w:after="0"/>
              <w:rPr>
                <w:sz w:val="9"/>
                <w:szCs w:val="9"/>
                <w:color w:val="auto"/>
              </w:rPr>
            </w:pPr>
          </w:p>
        </w:tc>
        <w:tc>
          <w:tcPr>
            <w:tcW w:w="2820" w:type="dxa"/>
            <w:vAlign w:val="bottom"/>
            <w:tcBorders>
              <w:right w:val="single" w:sz="8" w:color="auto"/>
            </w:tcBorders>
            <w:vMerge w:val="continue"/>
            <w:shd w:val="clear" w:color="auto" w:fill="BDBDBD"/>
          </w:tcPr>
          <w:p>
            <w:pPr>
              <w:spacing w:after="0"/>
              <w:rPr>
                <w:sz w:val="9"/>
                <w:szCs w:val="9"/>
                <w:color w:val="auto"/>
              </w:rPr>
            </w:pPr>
          </w:p>
        </w:tc>
        <w:tc>
          <w:tcPr>
            <w:tcW w:w="0" w:type="dxa"/>
            <w:vAlign w:val="bottom"/>
          </w:tcPr>
          <w:p>
            <w:pPr>
              <w:spacing w:after="0"/>
              <w:rPr>
                <w:sz w:val="1"/>
                <w:szCs w:val="1"/>
                <w:color w:val="auto"/>
              </w:rPr>
            </w:pPr>
          </w:p>
        </w:tc>
      </w:tr>
      <w:tr>
        <w:trPr>
          <w:trHeight w:val="469"/>
        </w:trPr>
        <w:tc>
          <w:tcPr>
            <w:tcW w:w="3460" w:type="dxa"/>
            <w:vAlign w:val="bottom"/>
            <w:tcBorders>
              <w:left w:val="single" w:sz="8" w:color="auto"/>
              <w:bottom w:val="single" w:sz="8" w:color="auto"/>
              <w:right w:val="single" w:sz="8" w:color="auto"/>
            </w:tcBorders>
            <w:shd w:val="clear" w:color="auto" w:fill="BDBDBD"/>
          </w:tcPr>
          <w:p>
            <w:pPr>
              <w:spacing w:after="0"/>
              <w:rPr>
                <w:sz w:val="24"/>
                <w:szCs w:val="24"/>
                <w:color w:val="auto"/>
              </w:rPr>
            </w:pPr>
          </w:p>
        </w:tc>
        <w:tc>
          <w:tcPr>
            <w:tcW w:w="1280" w:type="dxa"/>
            <w:vAlign w:val="bottom"/>
            <w:tcBorders>
              <w:bottom w:val="single" w:sz="8" w:color="auto"/>
              <w:right w:val="single" w:sz="8" w:color="auto"/>
            </w:tcBorders>
            <w:shd w:val="clear" w:color="auto" w:fill="BDBDBD"/>
          </w:tcPr>
          <w:p>
            <w:pPr>
              <w:spacing w:after="0"/>
              <w:rPr>
                <w:sz w:val="24"/>
                <w:szCs w:val="24"/>
                <w:color w:val="auto"/>
              </w:rPr>
            </w:pPr>
          </w:p>
        </w:tc>
        <w:tc>
          <w:tcPr>
            <w:tcW w:w="2900" w:type="dxa"/>
            <w:vAlign w:val="bottom"/>
            <w:tcBorders>
              <w:bottom w:val="single" w:sz="8" w:color="auto"/>
              <w:right w:val="single" w:sz="8" w:color="auto"/>
            </w:tcBorders>
            <w:shd w:val="clear" w:color="auto" w:fill="BDBDBD"/>
          </w:tcPr>
          <w:p>
            <w:pPr>
              <w:spacing w:after="0"/>
              <w:rPr>
                <w:sz w:val="24"/>
                <w:szCs w:val="24"/>
                <w:color w:val="auto"/>
              </w:rPr>
            </w:pPr>
          </w:p>
        </w:tc>
        <w:tc>
          <w:tcPr>
            <w:tcW w:w="2820" w:type="dxa"/>
            <w:vAlign w:val="bottom"/>
            <w:tcBorders>
              <w:bottom w:val="single" w:sz="8" w:color="auto"/>
              <w:right w:val="single" w:sz="8" w:color="auto"/>
            </w:tcBorders>
            <w:shd w:val="clear" w:color="auto" w:fill="BDBDBD"/>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460" w:type="dxa"/>
            <w:vAlign w:val="bottom"/>
            <w:tcBorders>
              <w:left w:val="single" w:sz="8" w:color="auto"/>
              <w:bottom w:val="single" w:sz="8" w:color="auto"/>
              <w:right w:val="single" w:sz="8" w:color="auto"/>
            </w:tcBorders>
          </w:tcPr>
          <w:p>
            <w:pPr>
              <w:ind w:left="60"/>
              <w:spacing w:after="0" w:line="193" w:lineRule="exact"/>
              <w:rPr>
                <w:sz w:val="20"/>
                <w:szCs w:val="20"/>
                <w:color w:val="auto"/>
              </w:rPr>
            </w:pPr>
            <w:r>
              <w:rPr>
                <w:rFonts w:ascii="Arial" w:cs="Arial" w:eastAsia="Arial" w:hAnsi="Arial"/>
                <w:sz w:val="18"/>
                <w:szCs w:val="18"/>
                <w:color w:val="auto"/>
              </w:rPr>
              <w:t>Accounting Manager</w:t>
            </w:r>
          </w:p>
        </w:tc>
        <w:tc>
          <w:tcPr>
            <w:tcW w:w="1280" w:type="dxa"/>
            <w:vAlign w:val="bottom"/>
            <w:tcBorders>
              <w:bottom w:val="single" w:sz="8" w:color="auto"/>
              <w:right w:val="single" w:sz="8" w:color="auto"/>
            </w:tcBorders>
          </w:tcPr>
          <w:p>
            <w:pPr>
              <w:jc w:val="right"/>
              <w:ind w:right="1034"/>
              <w:spacing w:after="0" w:line="193" w:lineRule="exact"/>
              <w:rPr>
                <w:sz w:val="20"/>
                <w:szCs w:val="20"/>
                <w:color w:val="auto"/>
              </w:rPr>
            </w:pPr>
            <w:r>
              <w:rPr>
                <w:rFonts w:ascii="Arial" w:cs="Arial" w:eastAsia="Arial" w:hAnsi="Arial"/>
                <w:sz w:val="17"/>
                <w:szCs w:val="17"/>
                <w:color w:val="auto"/>
                <w:w w:val="73"/>
              </w:rPr>
              <w:t>44</w:t>
            </w:r>
          </w:p>
        </w:tc>
        <w:tc>
          <w:tcPr>
            <w:tcW w:w="2900" w:type="dxa"/>
            <w:vAlign w:val="bottom"/>
            <w:tcBorders>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09"/>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Administrative Assistant</w:t>
            </w:r>
          </w:p>
        </w:tc>
        <w:tc>
          <w:tcPr>
            <w:tcW w:w="1280" w:type="dxa"/>
            <w:vAlign w:val="bottom"/>
            <w:tcBorders>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w w:val="73"/>
              </w:rPr>
              <w:t>60</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Assoc Dir, Clinical Operations</w:t>
            </w:r>
          </w:p>
        </w:tc>
        <w:tc>
          <w:tcPr>
            <w:tcW w:w="1280" w:type="dxa"/>
            <w:vAlign w:val="bottom"/>
            <w:tcBorders>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w w:val="73"/>
              </w:rPr>
              <w:t>53</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460" w:type="dxa"/>
            <w:vAlign w:val="bottom"/>
            <w:tcBorders>
              <w:left w:val="single" w:sz="8" w:color="auto"/>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Assoc Dir, Consumer &amp; Patient</w:t>
            </w:r>
          </w:p>
        </w:tc>
        <w:tc>
          <w:tcPr>
            <w:tcW w:w="1280" w:type="dxa"/>
            <w:vAlign w:val="bottom"/>
            <w:tcBorders>
              <w:right w:val="single" w:sz="8" w:color="auto"/>
            </w:tcBorders>
            <w:vMerge w:val="restart"/>
          </w:tcPr>
          <w:p>
            <w:pPr>
              <w:jc w:val="right"/>
              <w:ind w:right="1034"/>
              <w:spacing w:after="0"/>
              <w:rPr>
                <w:sz w:val="20"/>
                <w:szCs w:val="20"/>
                <w:color w:val="auto"/>
              </w:rPr>
            </w:pPr>
            <w:r>
              <w:rPr>
                <w:rFonts w:ascii="Arial" w:cs="Arial" w:eastAsia="Arial" w:hAnsi="Arial"/>
                <w:sz w:val="17"/>
                <w:szCs w:val="17"/>
                <w:color w:val="auto"/>
                <w:w w:val="73"/>
              </w:rPr>
              <w:t>46</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60" w:type="dxa"/>
            <w:vAlign w:val="bottom"/>
            <w:tcBorders>
              <w:left w:val="single" w:sz="8" w:color="auto"/>
              <w:right w:val="single" w:sz="8" w:color="auto"/>
            </w:tcBorders>
            <w:vMerge w:val="restart"/>
          </w:tcPr>
          <w:p>
            <w:pPr>
              <w:ind w:left="360"/>
              <w:spacing w:after="0"/>
              <w:rPr>
                <w:sz w:val="20"/>
                <w:szCs w:val="20"/>
                <w:color w:val="auto"/>
              </w:rPr>
            </w:pPr>
            <w:r>
              <w:rPr>
                <w:rFonts w:ascii="Arial" w:cs="Arial" w:eastAsia="Arial" w:hAnsi="Arial"/>
                <w:sz w:val="18"/>
                <w:szCs w:val="18"/>
                <w:color w:val="auto"/>
              </w:rPr>
              <w:t>Marketing</w:t>
            </w:r>
          </w:p>
        </w:tc>
        <w:tc>
          <w:tcPr>
            <w:tcW w:w="128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vMerge w:val="continue"/>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4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34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Assoc Dir, Corporate Communications</w:t>
            </w:r>
          </w:p>
        </w:tc>
        <w:tc>
          <w:tcPr>
            <w:tcW w:w="1280" w:type="dxa"/>
            <w:vAlign w:val="bottom"/>
            <w:tcBorders>
              <w:right w:val="single" w:sz="8" w:color="auto"/>
            </w:tcBorders>
          </w:tcPr>
          <w:p>
            <w:pPr>
              <w:jc w:val="right"/>
              <w:ind w:right="1034"/>
              <w:spacing w:after="0"/>
              <w:rPr>
                <w:sz w:val="20"/>
                <w:szCs w:val="20"/>
                <w:color w:val="auto"/>
              </w:rPr>
            </w:pPr>
            <w:r>
              <w:rPr>
                <w:rFonts w:ascii="Arial" w:cs="Arial" w:eastAsia="Arial" w:hAnsi="Arial"/>
                <w:sz w:val="17"/>
                <w:szCs w:val="17"/>
                <w:color w:val="auto"/>
                <w:w w:val="73"/>
              </w:rPr>
              <w:t>29</w:t>
            </w:r>
          </w:p>
        </w:tc>
        <w:tc>
          <w:tcPr>
            <w:tcW w:w="29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83"/>
        </w:trPr>
        <w:tc>
          <w:tcPr>
            <w:tcW w:w="346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Assoc Dir, HCP Marketing</w:t>
            </w:r>
          </w:p>
        </w:tc>
        <w:tc>
          <w:tcPr>
            <w:tcW w:w="1280" w:type="dxa"/>
            <w:vAlign w:val="bottom"/>
            <w:tcBorders>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w w:val="73"/>
              </w:rPr>
              <w:t>37</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Assoc Dir, HCP Marketing</w:t>
            </w:r>
          </w:p>
        </w:tc>
        <w:tc>
          <w:tcPr>
            <w:tcW w:w="1280" w:type="dxa"/>
            <w:vAlign w:val="bottom"/>
            <w:tcBorders>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w w:val="73"/>
              </w:rPr>
              <w:t>44</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601345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1440" w:right="6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59"/>
        </w:trPr>
        <w:tc>
          <w:tcPr>
            <w:tcW w:w="400" w:type="dxa"/>
            <w:vAlign w:val="bottom"/>
            <w:tcBorders>
              <w:right w:val="single" w:sz="8" w:color="auto"/>
            </w:tcBorders>
          </w:tcPr>
          <w:p>
            <w:pPr>
              <w:spacing w:after="0"/>
              <w:rPr>
                <w:sz w:val="22"/>
                <w:szCs w:val="22"/>
                <w:color w:val="auto"/>
              </w:rPr>
            </w:pPr>
          </w:p>
        </w:tc>
        <w:tc>
          <w:tcPr>
            <w:tcW w:w="34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Assoc Dir, Marketing Operations</w:t>
            </w:r>
          </w:p>
        </w:tc>
        <w:tc>
          <w:tcPr>
            <w:tcW w:w="1280" w:type="dxa"/>
            <w:vAlign w:val="bottom"/>
            <w:tcBorders>
              <w:top w:val="single" w:sz="8" w:color="auto"/>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48</w:t>
            </w:r>
          </w:p>
        </w:tc>
        <w:tc>
          <w:tcPr>
            <w:tcW w:w="2900" w:type="dxa"/>
            <w:vAlign w:val="bottom"/>
            <w:tcBorders>
              <w:top w:val="single" w:sz="8" w:color="auto"/>
              <w:right w:val="single" w:sz="8" w:color="auto"/>
            </w:tcBorders>
          </w:tcPr>
          <w:p>
            <w:pPr>
              <w:spacing w:after="0"/>
              <w:rPr>
                <w:sz w:val="22"/>
                <w:szCs w:val="22"/>
                <w:color w:val="auto"/>
              </w:rPr>
            </w:pPr>
          </w:p>
        </w:tc>
        <w:tc>
          <w:tcPr>
            <w:tcW w:w="28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0" w:type="dxa"/>
            <w:vAlign w:val="bottom"/>
            <w:tcBorders>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Assoc Dir, Quality &amp; Compliance</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60</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Assoc Dir, Quality &amp; Compliance</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44</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Assoc Dir, Safety Scientist</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60</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Compliance Manager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28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Dir, Advanced Analytics &amp; Forecasting</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40</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uto"/>
            </w:tcBorders>
          </w:tcPr>
          <w:p>
            <w:pPr>
              <w:spacing w:after="0"/>
              <w:rPr>
                <w:sz w:val="16"/>
                <w:szCs w:val="16"/>
                <w:color w:val="auto"/>
              </w:rPr>
            </w:pPr>
          </w:p>
        </w:tc>
        <w:tc>
          <w:tcPr>
            <w:tcW w:w="34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Dir, Business Development and Investor</w:t>
            </w:r>
          </w:p>
        </w:tc>
        <w:tc>
          <w:tcPr>
            <w:tcW w:w="1280" w:type="dxa"/>
            <w:vAlign w:val="bottom"/>
            <w:tcBorders>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30</w:t>
            </w:r>
          </w:p>
        </w:tc>
        <w:tc>
          <w:tcPr>
            <w:tcW w:w="29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 w:type="dxa"/>
            <w:vAlign w:val="bottom"/>
            <w:tcBorders>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ind w:left="220"/>
              <w:spacing w:after="0" w:line="203" w:lineRule="exact"/>
              <w:rPr>
                <w:sz w:val="20"/>
                <w:szCs w:val="20"/>
                <w:color w:val="auto"/>
              </w:rPr>
            </w:pPr>
            <w:r>
              <w:rPr>
                <w:rFonts w:ascii="Arial" w:cs="Arial" w:eastAsia="Arial" w:hAnsi="Arial"/>
                <w:sz w:val="18"/>
                <w:szCs w:val="18"/>
                <w:color w:val="auto"/>
              </w:rPr>
              <w:t>Relations</w:t>
            </w:r>
          </w:p>
        </w:tc>
        <w:tc>
          <w:tcPr>
            <w:tcW w:w="128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00" w:type="dxa"/>
            <w:vAlign w:val="bottom"/>
            <w:tcBorders>
              <w:right w:val="single" w:sz="8" w:color="auto"/>
            </w:tcBorders>
          </w:tcPr>
          <w:p>
            <w:pPr>
              <w:spacing w:after="0"/>
              <w:rPr>
                <w:sz w:val="15"/>
                <w:szCs w:val="15"/>
                <w:color w:val="auto"/>
              </w:rPr>
            </w:pPr>
          </w:p>
        </w:tc>
        <w:tc>
          <w:tcPr>
            <w:tcW w:w="342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Dir, Consumer Patient</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57</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0" w:type="dxa"/>
            <w:vAlign w:val="bottom"/>
            <w:tcBorders>
              <w:right w:val="single" w:sz="8" w:color="auto"/>
            </w:tcBorders>
          </w:tcPr>
          <w:p>
            <w:pPr>
              <w:spacing w:after="0"/>
              <w:rPr>
                <w:sz w:val="13"/>
                <w:szCs w:val="13"/>
                <w:color w:val="auto"/>
              </w:rPr>
            </w:pPr>
          </w:p>
        </w:tc>
        <w:tc>
          <w:tcPr>
            <w:tcW w:w="34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Marketing</w:t>
            </w:r>
          </w:p>
        </w:tc>
        <w:tc>
          <w:tcPr>
            <w:tcW w:w="128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vMerge w:val="continue"/>
          </w:tcPr>
          <w:p>
            <w:pPr>
              <w:spacing w:after="0"/>
              <w:rPr>
                <w:sz w:val="13"/>
                <w:szCs w:val="13"/>
                <w:color w:val="auto"/>
              </w:rPr>
            </w:pPr>
          </w:p>
        </w:tc>
        <w:tc>
          <w:tcPr>
            <w:tcW w:w="28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 Financial Planning &amp; Analysis</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46</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0" w:type="dxa"/>
            <w:vAlign w:val="bottom"/>
            <w:tcBorders>
              <w:right w:val="single" w:sz="8" w:color="auto"/>
            </w:tcBorders>
          </w:tcPr>
          <w:p>
            <w:pPr>
              <w:spacing w:after="0"/>
              <w:rPr>
                <w:sz w:val="15"/>
                <w:szCs w:val="15"/>
                <w:color w:val="auto"/>
              </w:rPr>
            </w:pPr>
          </w:p>
        </w:tc>
        <w:tc>
          <w:tcPr>
            <w:tcW w:w="342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Dir, Financial Reporting &amp; Technical</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51</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0" w:type="dxa"/>
            <w:vAlign w:val="bottom"/>
            <w:tcBorders>
              <w:right w:val="single" w:sz="8" w:color="auto"/>
            </w:tcBorders>
          </w:tcPr>
          <w:p>
            <w:pPr>
              <w:spacing w:after="0"/>
              <w:rPr>
                <w:sz w:val="13"/>
                <w:szCs w:val="13"/>
                <w:color w:val="auto"/>
              </w:rPr>
            </w:pPr>
          </w:p>
        </w:tc>
        <w:tc>
          <w:tcPr>
            <w:tcW w:w="34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Acctg</w:t>
            </w:r>
          </w:p>
        </w:tc>
        <w:tc>
          <w:tcPr>
            <w:tcW w:w="128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Head of Total Rewards</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44</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HEOR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48</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HRBP</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46</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 Library &amp; Information Services</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58</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Marketing</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45</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0" w:type="dxa"/>
            <w:vAlign w:val="bottom"/>
            <w:tcBorders>
              <w:right w:val="single" w:sz="8" w:color="auto"/>
            </w:tcBorders>
          </w:tcPr>
          <w:p>
            <w:pPr>
              <w:spacing w:after="0"/>
              <w:rPr>
                <w:sz w:val="15"/>
                <w:szCs w:val="15"/>
                <w:color w:val="auto"/>
              </w:rPr>
            </w:pPr>
          </w:p>
        </w:tc>
        <w:tc>
          <w:tcPr>
            <w:tcW w:w="342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Dir, Medical Information &amp; Promotional</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47</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0" w:type="dxa"/>
            <w:vAlign w:val="bottom"/>
            <w:tcBorders>
              <w:right w:val="single" w:sz="8" w:color="auto"/>
            </w:tcBorders>
          </w:tcPr>
          <w:p>
            <w:pPr>
              <w:spacing w:after="0"/>
              <w:rPr>
                <w:sz w:val="13"/>
                <w:szCs w:val="13"/>
                <w:color w:val="auto"/>
              </w:rPr>
            </w:pPr>
          </w:p>
        </w:tc>
        <w:tc>
          <w:tcPr>
            <w:tcW w:w="34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Review</w:t>
            </w:r>
          </w:p>
        </w:tc>
        <w:tc>
          <w:tcPr>
            <w:tcW w:w="128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 Product &amp; Corporate Counsel</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47</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Sales Operations</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56</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 Scientific Communications</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60</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Exec Admin/Office Supv</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73</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0" w:type="dxa"/>
            <w:vAlign w:val="bottom"/>
            <w:tcBorders>
              <w:right w:val="single" w:sz="8" w:color="auto"/>
            </w:tcBorders>
          </w:tcPr>
          <w:p>
            <w:pPr>
              <w:spacing w:after="0"/>
              <w:rPr>
                <w:sz w:val="15"/>
                <w:szCs w:val="15"/>
                <w:color w:val="auto"/>
              </w:rPr>
            </w:pPr>
          </w:p>
        </w:tc>
        <w:tc>
          <w:tcPr>
            <w:tcW w:w="342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Executive Assistant to the CEO and</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56</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0" w:type="dxa"/>
            <w:vAlign w:val="bottom"/>
            <w:tcBorders>
              <w:right w:val="single" w:sz="8" w:color="auto"/>
            </w:tcBorders>
          </w:tcPr>
          <w:p>
            <w:pPr>
              <w:spacing w:after="0"/>
              <w:rPr>
                <w:sz w:val="13"/>
                <w:szCs w:val="13"/>
                <w:color w:val="auto"/>
              </w:rPr>
            </w:pPr>
          </w:p>
        </w:tc>
        <w:tc>
          <w:tcPr>
            <w:tcW w:w="34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Office Manager</w:t>
            </w:r>
          </w:p>
        </w:tc>
        <w:tc>
          <w:tcPr>
            <w:tcW w:w="128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HR Specialist</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65</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Investor Relations and BD Manager</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32</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4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Market Access Operations Manager</w:t>
            </w:r>
          </w:p>
        </w:tc>
        <w:tc>
          <w:tcPr>
            <w:tcW w:w="128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w w:val="73"/>
              </w:rPr>
              <w:t>26</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Payroll Accountant</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40</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Principal Statistician</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32</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Sales Analytics Manager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28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Sales Coordinator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51</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Sales Operations Manager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45</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Senior Training Manager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53</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Specialist GxP Systems</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63</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Sr Administrative Assistant</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60</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Sr Contracts Manager</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48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Sr Dir, Clinical Operations</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54</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Sr Dir, CMC</w:t>
            </w:r>
          </w:p>
        </w:tc>
        <w:tc>
          <w:tcPr>
            <w:tcW w:w="128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56</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0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Sr Dir, Commercial &amp; Corporate Training</w:t>
            </w:r>
          </w:p>
        </w:tc>
        <w:tc>
          <w:tcPr>
            <w:tcW w:w="1280" w:type="dxa"/>
            <w:vAlign w:val="bottom"/>
            <w:tcBorders>
              <w:right w:val="single" w:sz="8" w:color="auto"/>
            </w:tcBorders>
          </w:tcPr>
          <w:p>
            <w:pPr>
              <w:jc w:val="right"/>
              <w:ind w:right="1036"/>
              <w:spacing w:after="0"/>
              <w:rPr>
                <w:sz w:val="20"/>
                <w:szCs w:val="20"/>
                <w:color w:val="auto"/>
              </w:rPr>
            </w:pPr>
            <w:r>
              <w:rPr>
                <w:rFonts w:ascii="Arial" w:cs="Arial" w:eastAsia="Arial" w:hAnsi="Arial"/>
                <w:sz w:val="17"/>
                <w:szCs w:val="17"/>
                <w:color w:val="auto"/>
                <w:w w:val="73"/>
              </w:rPr>
              <w:t>51</w:t>
            </w:r>
          </w:p>
        </w:tc>
        <w:tc>
          <w:tcPr>
            <w:tcW w:w="29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0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13</w:t>
            </w:r>
          </w:p>
        </w:tc>
        <w:tc>
          <w:tcPr>
            <w:tcW w:w="2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0"/>
        </w:trPr>
        <w:tc>
          <w:tcPr>
            <w:tcW w:w="4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89" w:name="page90"/>
    <w:bookmarkEnd w:id="89"/>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80" w:type="dxa"/>
            <w:vAlign w:val="bottom"/>
            <w:tcBorders>
              <w:right w:val="single" w:sz="8" w:color="auto"/>
            </w:tcBorders>
          </w:tcPr>
          <w:p>
            <w:pPr>
              <w:spacing w:after="0"/>
              <w:rPr>
                <w:sz w:val="21"/>
                <w:szCs w:val="21"/>
                <w:color w:val="auto"/>
              </w:rPr>
            </w:pPr>
          </w:p>
        </w:tc>
        <w:tc>
          <w:tcPr>
            <w:tcW w:w="34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Commercial Analytics</w:t>
            </w:r>
          </w:p>
        </w:tc>
        <w:tc>
          <w:tcPr>
            <w:tcW w:w="1260" w:type="dxa"/>
            <w:vAlign w:val="bottom"/>
            <w:tcBorders>
              <w:top w:val="single" w:sz="8" w:color="auto"/>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55</w:t>
            </w:r>
          </w:p>
        </w:tc>
        <w:tc>
          <w:tcPr>
            <w:tcW w:w="2900" w:type="dxa"/>
            <w:vAlign w:val="bottom"/>
            <w:tcBorders>
              <w:top w:val="single" w:sz="8" w:color="auto"/>
              <w:bottom w:val="single" w:sz="8" w:color="auto"/>
              <w:right w:val="single" w:sz="8" w:color="auto"/>
            </w:tcBorders>
          </w:tcPr>
          <w:p>
            <w:pPr>
              <w:spacing w:after="0"/>
              <w:rPr>
                <w:sz w:val="21"/>
                <w:szCs w:val="21"/>
                <w:color w:val="auto"/>
              </w:rPr>
            </w:pP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80" w:type="dxa"/>
            <w:vAlign w:val="bottom"/>
            <w:tcBorders>
              <w:right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ind w:left="40"/>
              <w:spacing w:after="0" w:line="193" w:lineRule="exact"/>
              <w:rPr>
                <w:sz w:val="20"/>
                <w:szCs w:val="20"/>
                <w:color w:val="auto"/>
              </w:rPr>
            </w:pPr>
            <w:r>
              <w:rPr>
                <w:rFonts w:ascii="Arial" w:cs="Arial" w:eastAsia="Arial" w:hAnsi="Arial"/>
                <w:sz w:val="18"/>
                <w:szCs w:val="18"/>
                <w:color w:val="auto"/>
              </w:rPr>
              <w:t>Sr Dir, Customer Insights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57</w:t>
            </w:r>
          </w:p>
        </w:tc>
        <w:tc>
          <w:tcPr>
            <w:tcW w:w="29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GI National Accounts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53</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Sr Dir, GxP Systems &amp; Compliance</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67</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80" w:type="dxa"/>
            <w:vAlign w:val="bottom"/>
            <w:tcBorders>
              <w:right w:val="single" w:sz="8" w:color="auto"/>
            </w:tcBorders>
          </w:tcPr>
          <w:p>
            <w:pPr>
              <w:spacing w:after="0"/>
              <w:rPr>
                <w:sz w:val="8"/>
                <w:szCs w:val="8"/>
                <w:color w:val="auto"/>
              </w:rPr>
            </w:pPr>
          </w:p>
        </w:tc>
        <w:tc>
          <w:tcPr>
            <w:tcW w:w="34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80" w:type="dxa"/>
            <w:vAlign w:val="bottom"/>
            <w:tcBorders>
              <w:right w:val="single" w:sz="8" w:color="auto"/>
            </w:tcBorders>
          </w:tcPr>
          <w:p>
            <w:pPr>
              <w:spacing w:after="0"/>
              <w:rPr>
                <w:sz w:val="6"/>
                <w:szCs w:val="6"/>
                <w:color w:val="auto"/>
              </w:rPr>
            </w:pPr>
          </w:p>
        </w:tc>
        <w:tc>
          <w:tcPr>
            <w:tcW w:w="346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Legal &amp; Compliance</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Sr Dir, Market Access Strategy &amp;</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44</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8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Operations</w:t>
            </w:r>
          </w:p>
        </w:tc>
        <w:tc>
          <w:tcPr>
            <w:tcW w:w="126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380" w:type="dxa"/>
            <w:vAlign w:val="bottom"/>
            <w:tcBorders>
              <w:right w:val="single" w:sz="8" w:color="auto"/>
            </w:tcBorders>
          </w:tcPr>
          <w:p>
            <w:pPr>
              <w:spacing w:after="0"/>
              <w:rPr>
                <w:sz w:val="6"/>
                <w:szCs w:val="6"/>
                <w:color w:val="auto"/>
              </w:rPr>
            </w:pPr>
          </w:p>
        </w:tc>
        <w:tc>
          <w:tcPr>
            <w:tcW w:w="3460" w:type="dxa"/>
            <w:vAlign w:val="bottom"/>
            <w:tcBorders>
              <w:bottom w:val="single" w:sz="8" w:color="auto"/>
              <w:right w:val="single" w:sz="8" w:color="auto"/>
            </w:tcBorders>
            <w:vMerge w:val="continue"/>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Project Management</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64</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Quality &amp; Compliance</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55</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Sr Dir, Regulatory Advertising &amp;</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65</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8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rPr>
              <w:t>Promotion</w:t>
            </w:r>
          </w:p>
        </w:tc>
        <w:tc>
          <w:tcPr>
            <w:tcW w:w="126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380" w:type="dxa"/>
            <w:vAlign w:val="bottom"/>
            <w:tcBorders>
              <w:right w:val="single" w:sz="8" w:color="auto"/>
            </w:tcBorders>
          </w:tcPr>
          <w:p>
            <w:pPr>
              <w:spacing w:after="0"/>
              <w:rPr>
                <w:sz w:val="6"/>
                <w:szCs w:val="6"/>
                <w:color w:val="auto"/>
              </w:rPr>
            </w:pPr>
          </w:p>
        </w:tc>
        <w:tc>
          <w:tcPr>
            <w:tcW w:w="3460" w:type="dxa"/>
            <w:vAlign w:val="bottom"/>
            <w:tcBorders>
              <w:bottom w:val="single" w:sz="8" w:color="auto"/>
              <w:right w:val="single" w:sz="8" w:color="auto"/>
            </w:tcBorders>
            <w:vMerge w:val="continue"/>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Regulatory Affairs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41</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Supply Chain</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45</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Dir, Talent Acquisition</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46</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Manager, Accounting</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33</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Sr Manager, Clinical QA Quality &amp;</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54</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8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Compliance</w:t>
            </w:r>
          </w:p>
        </w:tc>
        <w:tc>
          <w:tcPr>
            <w:tcW w:w="126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380" w:type="dxa"/>
            <w:vAlign w:val="bottom"/>
            <w:tcBorders>
              <w:right w:val="single" w:sz="8" w:color="auto"/>
            </w:tcBorders>
          </w:tcPr>
          <w:p>
            <w:pPr>
              <w:spacing w:after="0"/>
              <w:rPr>
                <w:sz w:val="6"/>
                <w:szCs w:val="6"/>
                <w:color w:val="auto"/>
              </w:rPr>
            </w:pPr>
          </w:p>
        </w:tc>
        <w:tc>
          <w:tcPr>
            <w:tcW w:w="3460" w:type="dxa"/>
            <w:vAlign w:val="bottom"/>
            <w:tcBorders>
              <w:bottom w:val="single" w:sz="8" w:color="auto"/>
              <w:right w:val="single" w:sz="8" w:color="auto"/>
            </w:tcBorders>
            <w:vMerge w:val="continue"/>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3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Sr Manager, Commercial Analytics</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49</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80" w:type="dxa"/>
            <w:vAlign w:val="bottom"/>
            <w:tcBorders>
              <w:right w:val="single" w:sz="8" w:color="auto"/>
            </w:tcBorders>
          </w:tcPr>
          <w:p>
            <w:pPr>
              <w:spacing w:after="0"/>
              <w:rPr>
                <w:sz w:val="8"/>
                <w:szCs w:val="8"/>
                <w:color w:val="auto"/>
              </w:rPr>
            </w:pPr>
          </w:p>
        </w:tc>
        <w:tc>
          <w:tcPr>
            <w:tcW w:w="34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80" w:type="dxa"/>
            <w:vAlign w:val="bottom"/>
            <w:tcBorders>
              <w:right w:val="single" w:sz="8" w:color="auto"/>
            </w:tcBorders>
          </w:tcPr>
          <w:p>
            <w:pPr>
              <w:spacing w:after="0"/>
              <w:rPr>
                <w:sz w:val="6"/>
                <w:szCs w:val="6"/>
                <w:color w:val="auto"/>
              </w:rPr>
            </w:pPr>
          </w:p>
        </w:tc>
        <w:tc>
          <w:tcPr>
            <w:tcW w:w="346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8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Sr Manager, GxP Systems &amp;</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37</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8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Compliance</w:t>
            </w:r>
          </w:p>
        </w:tc>
        <w:tc>
          <w:tcPr>
            <w:tcW w:w="126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vMerge w:val="continue"/>
          </w:tcPr>
          <w:p>
            <w:pPr>
              <w:spacing w:after="0"/>
              <w:rPr>
                <w:sz w:val="13"/>
                <w:szCs w:val="13"/>
                <w:color w:val="auto"/>
              </w:rPr>
            </w:pPr>
          </w:p>
        </w:tc>
        <w:tc>
          <w:tcPr>
            <w:tcW w:w="28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380" w:type="dxa"/>
            <w:vAlign w:val="bottom"/>
            <w:tcBorders>
              <w:right w:val="single" w:sz="8" w:color="auto"/>
            </w:tcBorders>
          </w:tcPr>
          <w:p>
            <w:pPr>
              <w:spacing w:after="0"/>
              <w:rPr>
                <w:sz w:val="6"/>
                <w:szCs w:val="6"/>
                <w:color w:val="auto"/>
              </w:rPr>
            </w:pPr>
          </w:p>
        </w:tc>
        <w:tc>
          <w:tcPr>
            <w:tcW w:w="3460" w:type="dxa"/>
            <w:vAlign w:val="bottom"/>
            <w:tcBorders>
              <w:bottom w:val="single" w:sz="8" w:color="auto"/>
              <w:right w:val="single" w:sz="8" w:color="auto"/>
            </w:tcBorders>
            <w:vMerge w:val="continue"/>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Manager, HRBP</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34</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Manager, IT</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Manager, Marketing</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32</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Print Production Manager</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49</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Staff Accountant</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26</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SVP, Development Operations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57</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SVP, Legal &amp; Interim Chief Compliance</w:t>
            </w:r>
          </w:p>
        </w:tc>
        <w:tc>
          <w:tcPr>
            <w:tcW w:w="1260" w:type="dxa"/>
            <w:vAlign w:val="bottom"/>
            <w:tcBorders>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53</w:t>
            </w:r>
          </w:p>
        </w:tc>
        <w:tc>
          <w:tcPr>
            <w:tcW w:w="29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Borders>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ind w:left="220"/>
              <w:spacing w:after="0" w:line="203" w:lineRule="exact"/>
              <w:rPr>
                <w:sz w:val="20"/>
                <w:szCs w:val="20"/>
                <w:color w:val="auto"/>
              </w:rPr>
            </w:pPr>
            <w:r>
              <w:rPr>
                <w:rFonts w:ascii="Arial" w:cs="Arial" w:eastAsia="Arial" w:hAnsi="Arial"/>
                <w:sz w:val="18"/>
                <w:szCs w:val="18"/>
                <w:color w:val="auto"/>
              </w:rPr>
              <w:t>Officer</w:t>
            </w:r>
          </w:p>
        </w:tc>
        <w:tc>
          <w:tcPr>
            <w:tcW w:w="126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SVP, Manufacturing &amp; Supply Chain</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56</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80" w:type="dxa"/>
            <w:vAlign w:val="bottom"/>
            <w:tcBorders>
              <w:right w:val="single" w:sz="8" w:color="auto"/>
            </w:tcBorders>
          </w:tcPr>
          <w:p>
            <w:pPr>
              <w:spacing w:after="0"/>
              <w:rPr>
                <w:sz w:val="8"/>
                <w:szCs w:val="8"/>
                <w:color w:val="auto"/>
              </w:rPr>
            </w:pPr>
          </w:p>
        </w:tc>
        <w:tc>
          <w:tcPr>
            <w:tcW w:w="34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80" w:type="dxa"/>
            <w:vAlign w:val="bottom"/>
            <w:tcBorders>
              <w:right w:val="single" w:sz="8" w:color="auto"/>
            </w:tcBorders>
          </w:tcPr>
          <w:p>
            <w:pPr>
              <w:spacing w:after="0"/>
              <w:rPr>
                <w:sz w:val="6"/>
                <w:szCs w:val="6"/>
                <w:color w:val="auto"/>
              </w:rPr>
            </w:pPr>
          </w:p>
        </w:tc>
        <w:tc>
          <w:tcPr>
            <w:tcW w:w="346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SVP, Market Access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60</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SVP, Marketing</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51</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Systems Analyst</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34</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VP, Accounting &amp; External Reporting</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33</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80" w:type="dxa"/>
            <w:vAlign w:val="bottom"/>
            <w:tcBorders>
              <w:right w:val="single" w:sz="8" w:color="auto"/>
            </w:tcBorders>
          </w:tcPr>
          <w:p>
            <w:pPr>
              <w:spacing w:after="0"/>
              <w:rPr>
                <w:sz w:val="8"/>
                <w:szCs w:val="8"/>
                <w:color w:val="auto"/>
              </w:rPr>
            </w:pPr>
          </w:p>
        </w:tc>
        <w:tc>
          <w:tcPr>
            <w:tcW w:w="34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80" w:type="dxa"/>
            <w:vAlign w:val="bottom"/>
            <w:tcBorders>
              <w:right w:val="single" w:sz="8" w:color="auto"/>
            </w:tcBorders>
          </w:tcPr>
          <w:p>
            <w:pPr>
              <w:spacing w:after="0"/>
              <w:rPr>
                <w:sz w:val="6"/>
                <w:szCs w:val="6"/>
                <w:color w:val="auto"/>
              </w:rPr>
            </w:pPr>
          </w:p>
        </w:tc>
        <w:tc>
          <w:tcPr>
            <w:tcW w:w="346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Biostats &amp; Programming</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58</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Clinical &amp; Patient Safety</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81</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CMC &amp; Clinical Supplies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59</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Comm Insights &amp; Analytics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57</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Communications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32</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Consumer Marketing</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49</w:t>
            </w:r>
          </w:p>
        </w:tc>
        <w:tc>
          <w:tcPr>
            <w:tcW w:w="29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VP, Financial Planning &amp; Analysis</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47</w:t>
            </w:r>
          </w:p>
        </w:tc>
        <w:tc>
          <w:tcPr>
            <w:tcW w:w="29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80" w:type="dxa"/>
            <w:vAlign w:val="bottom"/>
            <w:tcBorders>
              <w:right w:val="single" w:sz="8" w:color="auto"/>
            </w:tcBorders>
          </w:tcPr>
          <w:p>
            <w:pPr>
              <w:spacing w:after="0"/>
              <w:rPr>
                <w:sz w:val="8"/>
                <w:szCs w:val="8"/>
                <w:color w:val="auto"/>
              </w:rPr>
            </w:pPr>
          </w:p>
        </w:tc>
        <w:tc>
          <w:tcPr>
            <w:tcW w:w="34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80" w:type="dxa"/>
            <w:vAlign w:val="bottom"/>
            <w:tcBorders>
              <w:right w:val="single" w:sz="8" w:color="auto"/>
            </w:tcBorders>
          </w:tcPr>
          <w:p>
            <w:pPr>
              <w:spacing w:after="0"/>
              <w:rPr>
                <w:sz w:val="6"/>
                <w:szCs w:val="6"/>
                <w:color w:val="auto"/>
              </w:rPr>
            </w:pPr>
          </w:p>
        </w:tc>
        <w:tc>
          <w:tcPr>
            <w:tcW w:w="346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Head of Medical Affairs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54</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8"/>
                <w:szCs w:val="18"/>
                <w:color w:val="auto"/>
              </w:rPr>
              <w:t>VP, Head of Pharmacovigilance Services</w:t>
            </w:r>
          </w:p>
        </w:tc>
        <w:tc>
          <w:tcPr>
            <w:tcW w:w="1260" w:type="dxa"/>
            <w:vAlign w:val="bottom"/>
            <w:tcBorders>
              <w:right w:val="single" w:sz="8" w:color="auto"/>
            </w:tcBorders>
          </w:tcPr>
          <w:p>
            <w:pPr>
              <w:spacing w:after="0"/>
              <w:rPr>
                <w:sz w:val="16"/>
                <w:szCs w:val="16"/>
                <w:color w:val="auto"/>
              </w:rPr>
            </w:pPr>
          </w:p>
        </w:tc>
        <w:tc>
          <w:tcPr>
            <w:tcW w:w="29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 Medical Informatics</w:t>
            </w:r>
          </w:p>
        </w:tc>
        <w:tc>
          <w:tcPr>
            <w:tcW w:w="1260" w:type="dxa"/>
            <w:vAlign w:val="bottom"/>
            <w:tcBorders>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67</w:t>
            </w:r>
          </w:p>
        </w:tc>
        <w:tc>
          <w:tcPr>
            <w:tcW w:w="29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380" w:type="dxa"/>
            <w:vAlign w:val="bottom"/>
            <w:tcBorders>
              <w:right w:val="single" w:sz="8" w:color="auto"/>
            </w:tcBorders>
          </w:tcPr>
          <w:p>
            <w:pPr>
              <w:spacing w:after="0"/>
              <w:rPr>
                <w:sz w:val="14"/>
                <w:szCs w:val="14"/>
                <w:color w:val="auto"/>
              </w:rPr>
            </w:pPr>
          </w:p>
        </w:tc>
        <w:tc>
          <w:tcPr>
            <w:tcW w:w="34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Human Resources</w:t>
            </w:r>
          </w:p>
        </w:tc>
        <w:tc>
          <w:tcPr>
            <w:tcW w:w="126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58</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82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9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14</w:t>
            </w:r>
          </w:p>
        </w:tc>
        <w:tc>
          <w:tcPr>
            <w:tcW w:w="2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7"/>
        </w:trPr>
        <w:tc>
          <w:tcPr>
            <w:tcW w:w="3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380" w:type="dxa"/>
            <w:vAlign w:val="bottom"/>
            <w:tcBorders>
              <w:right w:val="single" w:sz="8" w:color="auto"/>
            </w:tcBorders>
          </w:tcPr>
          <w:p>
            <w:pPr>
              <w:spacing w:after="0"/>
              <w:rPr>
                <w:sz w:val="19"/>
                <w:szCs w:val="19"/>
                <w:color w:val="auto"/>
              </w:rPr>
            </w:pPr>
          </w:p>
        </w:tc>
        <w:tc>
          <w:tcPr>
            <w:tcW w:w="34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Information Technology</w:t>
            </w:r>
          </w:p>
        </w:tc>
        <w:tc>
          <w:tcPr>
            <w:tcW w:w="1260" w:type="dxa"/>
            <w:vAlign w:val="bottom"/>
            <w:tcBorders>
              <w:top w:val="single" w:sz="8" w:color="auto"/>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w w:val="71"/>
              </w:rPr>
              <w:t>60</w:t>
            </w:r>
          </w:p>
        </w:tc>
        <w:tc>
          <w:tcPr>
            <w:tcW w:w="2900" w:type="dxa"/>
            <w:vAlign w:val="bottom"/>
            <w:tcBorders>
              <w:top w:val="single" w:sz="8" w:color="auto"/>
              <w:bottom w:val="single" w:sz="8" w:color="auto"/>
              <w:right w:val="single" w:sz="8" w:color="auto"/>
            </w:tcBorders>
          </w:tcPr>
          <w:p>
            <w:pPr>
              <w:spacing w:after="0"/>
              <w:rPr>
                <w:sz w:val="19"/>
                <w:szCs w:val="19"/>
                <w:color w:val="auto"/>
              </w:rPr>
            </w:pP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8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8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ind w:left="100"/>
              <w:spacing w:after="0" w:line="181" w:lineRule="exact"/>
              <w:rPr>
                <w:sz w:val="20"/>
                <w:szCs w:val="20"/>
                <w:color w:val="auto"/>
              </w:rPr>
            </w:pPr>
            <w:r>
              <w:rPr>
                <w:rFonts w:ascii="Arial" w:cs="Arial" w:eastAsia="Arial" w:hAnsi="Arial"/>
                <w:sz w:val="18"/>
                <w:szCs w:val="18"/>
                <w:color w:val="auto"/>
              </w:rPr>
              <w:t>VP, Quality, Compliance, &amp; GxP</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53</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8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Systems</w:t>
            </w:r>
          </w:p>
        </w:tc>
        <w:tc>
          <w:tcPr>
            <w:tcW w:w="126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80" w:type="dxa"/>
            <w:vAlign w:val="bottom"/>
            <w:tcBorders>
              <w:right w:val="single" w:sz="8" w:color="auto"/>
            </w:tcBorders>
          </w:tcPr>
          <w:p>
            <w:pPr>
              <w:spacing w:after="0"/>
              <w:rPr>
                <w:sz w:val="5"/>
                <w:szCs w:val="5"/>
                <w:color w:val="auto"/>
              </w:rPr>
            </w:pPr>
          </w:p>
        </w:tc>
        <w:tc>
          <w:tcPr>
            <w:tcW w:w="3460" w:type="dxa"/>
            <w:vAlign w:val="bottom"/>
            <w:tcBorders>
              <w:bottom w:val="single" w:sz="8" w:color="auto"/>
              <w:right w:val="single" w:sz="8" w:color="auto"/>
            </w:tcBorders>
            <w:vMerge w:val="continue"/>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3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VP, R&amp;D Operations &amp; Outsourcing</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57</w:t>
            </w:r>
          </w:p>
        </w:tc>
        <w:tc>
          <w:tcPr>
            <w:tcW w:w="2900" w:type="dxa"/>
            <w:vAlign w:val="bottom"/>
            <w:tcBorders>
              <w:right w:val="single" w:sz="8" w:color="auto"/>
            </w:tcBorders>
            <w:vMerge w:val="restart"/>
          </w:tcPr>
          <w:p>
            <w:pPr>
              <w:jc w:val="right"/>
              <w:ind w:right="2686"/>
              <w:spacing w:after="0"/>
              <w:rPr>
                <w:sz w:val="20"/>
                <w:szCs w:val="20"/>
                <w:color w:val="auto"/>
              </w:rPr>
            </w:pPr>
            <w:r>
              <w:rPr>
                <w:rFonts w:ascii="Arial" w:cs="Arial" w:eastAsia="Arial" w:hAnsi="Arial"/>
                <w:sz w:val="18"/>
                <w:szCs w:val="18"/>
                <w:b w:val="1"/>
                <w:bCs w:val="1"/>
                <w:color w:val="auto"/>
                <w:w w:val="82"/>
              </w:rPr>
              <w:t>X</w:t>
            </w:r>
          </w:p>
        </w:tc>
        <w:tc>
          <w:tcPr>
            <w:tcW w:w="28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80" w:type="dxa"/>
            <w:vAlign w:val="bottom"/>
            <w:tcBorders>
              <w:right w:val="single" w:sz="8" w:color="auto"/>
            </w:tcBorders>
          </w:tcPr>
          <w:p>
            <w:pPr>
              <w:spacing w:after="0"/>
              <w:rPr>
                <w:sz w:val="8"/>
                <w:szCs w:val="8"/>
                <w:color w:val="auto"/>
              </w:rPr>
            </w:pPr>
          </w:p>
        </w:tc>
        <w:tc>
          <w:tcPr>
            <w:tcW w:w="34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80" w:type="dxa"/>
            <w:vAlign w:val="bottom"/>
            <w:tcBorders>
              <w:right w:val="single" w:sz="8" w:color="auto"/>
            </w:tcBorders>
          </w:tcPr>
          <w:p>
            <w:pPr>
              <w:spacing w:after="0"/>
              <w:rPr>
                <w:sz w:val="6"/>
                <w:szCs w:val="6"/>
                <w:color w:val="auto"/>
              </w:rPr>
            </w:pPr>
          </w:p>
        </w:tc>
        <w:tc>
          <w:tcPr>
            <w:tcW w:w="346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8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VP, Regulatory Affairs and Medical</w:t>
            </w:r>
          </w:p>
        </w:tc>
        <w:tc>
          <w:tcPr>
            <w:tcW w:w="1260" w:type="dxa"/>
            <w:vAlign w:val="bottom"/>
            <w:tcBorders>
              <w:right w:val="single" w:sz="8" w:color="auto"/>
            </w:tcBorders>
            <w:vMerge w:val="restart"/>
          </w:tcPr>
          <w:p>
            <w:pPr>
              <w:jc w:val="right"/>
              <w:ind w:right="1047"/>
              <w:spacing w:after="0"/>
              <w:rPr>
                <w:sz w:val="20"/>
                <w:szCs w:val="20"/>
                <w:color w:val="auto"/>
              </w:rPr>
            </w:pPr>
            <w:r>
              <w:rPr>
                <w:rFonts w:ascii="Arial" w:cs="Arial" w:eastAsia="Arial" w:hAnsi="Arial"/>
                <w:sz w:val="15"/>
                <w:szCs w:val="15"/>
                <w:color w:val="auto"/>
                <w:w w:val="71"/>
              </w:rPr>
              <w:t>52</w:t>
            </w:r>
          </w:p>
        </w:tc>
        <w:tc>
          <w:tcPr>
            <w:tcW w:w="29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X</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8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Writing</w:t>
            </w:r>
          </w:p>
        </w:tc>
        <w:tc>
          <w:tcPr>
            <w:tcW w:w="126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380" w:type="dxa"/>
            <w:vAlign w:val="bottom"/>
            <w:tcBorders>
              <w:right w:val="single" w:sz="8" w:color="auto"/>
            </w:tcBorders>
          </w:tcPr>
          <w:p>
            <w:pPr>
              <w:spacing w:after="0"/>
              <w:rPr>
                <w:sz w:val="6"/>
                <w:szCs w:val="6"/>
                <w:color w:val="auto"/>
              </w:rPr>
            </w:pPr>
          </w:p>
        </w:tc>
        <w:tc>
          <w:tcPr>
            <w:tcW w:w="3460" w:type="dxa"/>
            <w:vAlign w:val="bottom"/>
            <w:tcBorders>
              <w:bottom w:val="single" w:sz="8" w:color="auto"/>
              <w:right w:val="single" w:sz="8" w:color="auto"/>
            </w:tcBorders>
            <w:vMerge w:val="continue"/>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5"/>
        </w:trPr>
        <w:tc>
          <w:tcPr>
            <w:tcW w:w="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jc w:val="right"/>
              <w:ind w:right="2186"/>
              <w:spacing w:after="0"/>
              <w:rPr>
                <w:sz w:val="20"/>
                <w:szCs w:val="20"/>
                <w:color w:val="auto"/>
              </w:rPr>
            </w:pPr>
            <w:r>
              <w:rPr>
                <w:rFonts w:ascii="Times New Roman" w:cs="Times New Roman" w:eastAsia="Times New Roman" w:hAnsi="Times New Roman"/>
                <w:sz w:val="20"/>
                <w:szCs w:val="20"/>
                <w:color w:val="auto"/>
              </w:rPr>
              <w:t>15</w:t>
            </w:r>
          </w:p>
        </w:tc>
        <w:tc>
          <w:tcPr>
            <w:tcW w:w="2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0"/>
        </w:trPr>
        <w:tc>
          <w:tcPr>
            <w:tcW w:w="3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31313"/>
        </w:rPr>
        <w:t>PHATHOM PHARMACEUTICALS, INC.</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131313"/>
        </w:rPr>
        <w:t>PROPRIETARY INFORMATION AND INVENTIONS ASSIGNMENT AGREEMENT</w:t>
      </w:r>
    </w:p>
    <w:p>
      <w:pPr>
        <w:spacing w:after="0" w:line="220" w:lineRule="exact"/>
        <w:rPr>
          <w:sz w:val="20"/>
          <w:szCs w:val="20"/>
          <w:color w:val="auto"/>
        </w:rPr>
      </w:pPr>
    </w:p>
    <w:p>
      <w:pPr>
        <w:jc w:val="both"/>
        <w:ind w:right="20" w:firstLine="737"/>
        <w:spacing w:after="0" w:line="245" w:lineRule="auto"/>
        <w:rPr>
          <w:sz w:val="20"/>
          <w:szCs w:val="20"/>
          <w:color w:val="auto"/>
        </w:rPr>
      </w:pPr>
      <w:r>
        <w:rPr>
          <w:rFonts w:ascii="Times New Roman" w:cs="Times New Roman" w:eastAsia="Times New Roman" w:hAnsi="Times New Roman"/>
          <w:sz w:val="20"/>
          <w:szCs w:val="20"/>
          <w:color w:val="131313"/>
        </w:rPr>
        <w:t xml:space="preserve">In consideration and as a condition of my </w:t>
      </w:r>
      <w:r>
        <w:rPr>
          <w:rFonts w:ascii="Times New Roman" w:cs="Times New Roman" w:eastAsia="Times New Roman" w:hAnsi="Times New Roman"/>
          <w:sz w:val="20"/>
          <w:szCs w:val="20"/>
          <w:color w:val="2A2A2A"/>
        </w:rPr>
        <w:t>employment</w:t>
      </w:r>
      <w:r>
        <w:rPr>
          <w:rFonts w:ascii="Times New Roman" w:cs="Times New Roman" w:eastAsia="Times New Roman" w:hAnsi="Times New Roman"/>
          <w:sz w:val="20"/>
          <w:szCs w:val="20"/>
          <w:color w:val="131313"/>
        </w:rPr>
        <w:t xml:space="preserve"> or engagement or continued employment or engagement by Phathom Pharmaceuticals, Inc., a Delaware corporation (together with any of its subsidiaries or parent companies, and any of their successors or assigns collectively, the </w:t>
      </w:r>
      <w:r>
        <w:rPr>
          <w:rFonts w:ascii="Times New Roman" w:cs="Times New Roman" w:eastAsia="Times New Roman" w:hAnsi="Times New Roman"/>
          <w:sz w:val="20"/>
          <w:szCs w:val="20"/>
          <w:u w:val="single" w:color="auto"/>
          <w:color w:val="131313"/>
        </w:rPr>
        <w:t>"Company"),</w:t>
      </w:r>
      <w:r>
        <w:rPr>
          <w:rFonts w:ascii="Times New Roman" w:cs="Times New Roman" w:eastAsia="Times New Roman" w:hAnsi="Times New Roman"/>
          <w:sz w:val="20"/>
          <w:szCs w:val="20"/>
          <w:color w:val="131313"/>
        </w:rPr>
        <w:t xml:space="preserve"> and my receipt of the compensation paid to me by the Company in the context of that employment or engagement, including the stock award provided to me by the Company, and for other good and valuable consideration, the receipt and sufficiency of which is hereby acknowledged, effective as of the date of my signature below (the </w:t>
      </w:r>
      <w:r>
        <w:rPr>
          <w:rFonts w:ascii="Times New Roman" w:cs="Times New Roman" w:eastAsia="Times New Roman" w:hAnsi="Times New Roman"/>
          <w:sz w:val="20"/>
          <w:szCs w:val="20"/>
          <w:u w:val="single" w:color="auto"/>
          <w:color w:val="131313"/>
        </w:rPr>
        <w:t>"Effective Date"),</w:t>
      </w:r>
      <w:r>
        <w:rPr>
          <w:rFonts w:ascii="Times New Roman" w:cs="Times New Roman" w:eastAsia="Times New Roman" w:hAnsi="Times New Roman"/>
          <w:sz w:val="20"/>
          <w:szCs w:val="20"/>
          <w:color w:val="131313"/>
        </w:rPr>
        <w:t xml:space="preserve"> I, the undersigned, agree as follows:</w:t>
      </w:r>
    </w:p>
    <w:p>
      <w:pPr>
        <w:spacing w:after="0" w:line="184" w:lineRule="exact"/>
        <w:rPr>
          <w:sz w:val="20"/>
          <w:szCs w:val="20"/>
          <w:color w:val="auto"/>
        </w:rPr>
      </w:pPr>
    </w:p>
    <w:p>
      <w:pPr>
        <w:jc w:val="both"/>
        <w:ind w:firstLine="757"/>
        <w:spacing w:after="0" w:line="254" w:lineRule="auto"/>
        <w:tabs>
          <w:tab w:leader="none" w:pos="1098" w:val="left"/>
        </w:tabs>
        <w:numPr>
          <w:ilvl w:val="0"/>
          <w:numId w:val="70"/>
        </w:numPr>
        <w:rPr>
          <w:rFonts w:ascii="Times New Roman" w:cs="Times New Roman" w:eastAsia="Times New Roman" w:hAnsi="Times New Roman"/>
          <w:sz w:val="19"/>
          <w:szCs w:val="19"/>
          <w:color w:val="131313"/>
        </w:rPr>
      </w:pPr>
      <w:r>
        <w:rPr>
          <w:rFonts w:ascii="Times New Roman" w:cs="Times New Roman" w:eastAsia="Times New Roman" w:hAnsi="Times New Roman"/>
          <w:sz w:val="19"/>
          <w:szCs w:val="19"/>
          <w:u w:val="single" w:color="auto"/>
          <w:color w:val="131313"/>
        </w:rPr>
        <w:t>Proprietary Information.</w:t>
      </w:r>
      <w:r>
        <w:rPr>
          <w:rFonts w:ascii="Times New Roman" w:cs="Times New Roman" w:eastAsia="Times New Roman" w:hAnsi="Times New Roman"/>
          <w:sz w:val="19"/>
          <w:szCs w:val="19"/>
          <w:color w:val="131313"/>
        </w:rPr>
        <w:t xml:space="preserve"> During the term of my employment or engagement, I may have or may in the future receive and otherwise be exposed, directly or indirectly, to confidential and proprietary information of the Company whether in graphic, written, electronic or oral form, including without limitation information relating to the Company's business, strategies, designs, products, services and technologies and any derivatives, improvements and enhancements relating to any of the foregoing, or to the Company's suppliers, customers or business partners (collectively </w:t>
      </w:r>
      <w:r>
        <w:rPr>
          <w:rFonts w:ascii="Times New Roman" w:cs="Times New Roman" w:eastAsia="Times New Roman" w:hAnsi="Times New Roman"/>
          <w:sz w:val="19"/>
          <w:szCs w:val="19"/>
          <w:u w:val="single" w:color="auto"/>
          <w:color w:val="131313"/>
        </w:rPr>
        <w:t>"Proprietary Information")</w:t>
      </w:r>
      <w:r>
        <w:rPr>
          <w:rFonts w:ascii="Times New Roman" w:cs="Times New Roman" w:eastAsia="Times New Roman" w:hAnsi="Times New Roman"/>
          <w:sz w:val="19"/>
          <w:szCs w:val="19"/>
          <w:color w:val="131313"/>
        </w:rPr>
        <w:t xml:space="preserve">. Proprietary Information may be identified at the time of disclosure as confidential or proprietary or information which by its context would reasonably be deemed to be confidential or proprietary. "Proprietary Information" may also include without limitation (a)(i) unpublished patent disclosures and patent applications and other filings, know-how, trade secrets, works of authorship and other intellectual property, as well as any information regarding ideas, Inventions (as defined in Section 5), technology, and processes, including without limitation assays, sketches, schematics, techniques, drawings, designs, descriptions, specifications and technical documentation, </w:t>
      </w:r>
      <w:r>
        <w:rPr>
          <w:rFonts w:ascii="Times New Roman" w:cs="Times New Roman" w:eastAsia="Times New Roman" w:hAnsi="Times New Roman"/>
          <w:sz w:val="17"/>
          <w:szCs w:val="17"/>
          <w:color w:val="131313"/>
        </w:rPr>
        <w:t>(ii)</w:t>
      </w:r>
      <w:r>
        <w:rPr>
          <w:rFonts w:ascii="Times New Roman" w:cs="Times New Roman" w:eastAsia="Times New Roman" w:hAnsi="Times New Roman"/>
          <w:sz w:val="19"/>
          <w:szCs w:val="19"/>
          <w:color w:val="131313"/>
        </w:rPr>
        <w:t xml:space="preserve"> specifications, protocols, models, designs, equipment, engineering, algorithms, software programs, software source documents, formulae, (iii) information concerning or resulting from any research and development </w:t>
      </w:r>
      <w:r>
        <w:rPr>
          <w:rFonts w:ascii="Times New Roman" w:cs="Times New Roman" w:eastAsia="Times New Roman" w:hAnsi="Times New Roman"/>
          <w:sz w:val="14"/>
          <w:szCs w:val="14"/>
          <w:color w:val="131313"/>
        </w:rPr>
        <w:t>01·</w:t>
      </w:r>
      <w:r>
        <w:rPr>
          <w:rFonts w:ascii="Times New Roman" w:cs="Times New Roman" w:eastAsia="Times New Roman" w:hAnsi="Times New Roman"/>
          <w:sz w:val="19"/>
          <w:szCs w:val="19"/>
          <w:color w:val="131313"/>
        </w:rPr>
        <w:t xml:space="preserve"> other project, including without limitation, experimental work, product development plans, regulatory compliance information, and research, development and regulatory strategies, and (iv) business and financial information, including without limitation purchasing, procurement, manufacturing, customer lists, information relating to investors, employees, business and contractual relationships, business forecasts, sales and merchandising, business and marketing plans, product plans, and business strategies, including without limitation information the Company provides regarding third parties, such as, but not limited to, suppliers, customers, employees, investors, or vendors; and (b) any other information, to the extent such information contains, reflects or is based upon any of the foregoing Proprietary Information. The Proprietary Information may also include information of a third party that is disclosed to you by the Company or such third party at the Company's direction.</w:t>
      </w:r>
    </w:p>
    <w:p>
      <w:pPr>
        <w:spacing w:after="0" w:line="399" w:lineRule="exact"/>
        <w:rPr>
          <w:sz w:val="20"/>
          <w:szCs w:val="20"/>
          <w:color w:val="auto"/>
        </w:rPr>
      </w:pPr>
    </w:p>
    <w:p>
      <w:pPr>
        <w:jc w:val="both"/>
        <w:ind w:right="20" w:firstLine="740"/>
        <w:spacing w:after="0" w:line="249" w:lineRule="auto"/>
        <w:tabs>
          <w:tab w:leader="none" w:pos="976" w:val="left"/>
        </w:tabs>
        <w:numPr>
          <w:ilvl w:val="0"/>
          <w:numId w:val="71"/>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131313"/>
        </w:rPr>
        <w:t>Obligations of Non-Use and Nondisclosure.</w:t>
      </w:r>
      <w:r>
        <w:rPr>
          <w:rFonts w:ascii="Times New Roman" w:cs="Times New Roman" w:eastAsia="Times New Roman" w:hAnsi="Times New Roman"/>
          <w:sz w:val="20"/>
          <w:szCs w:val="20"/>
          <w:color w:val="131313"/>
        </w:rPr>
        <w:t xml:space="preserve"> I acknowledge the confidential and secret character of the Proprietary Information, and agree that the Proprietary Information is the sole, exclusive and valuable property of the Company. Accordingly, I agree not to use the Proprietary Information except in the performance of my authorized duties as an employee or consultant of the Company, and not to disclose all or any part of the Proprietary Information in</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A2A2A"/>
        </w:rPr>
        <w:t xml:space="preserve">US-DOCS\ </w:t>
      </w:r>
      <w:r>
        <w:rPr>
          <w:rFonts w:ascii="Times New Roman" w:cs="Times New Roman" w:eastAsia="Times New Roman" w:hAnsi="Times New Roman"/>
          <w:sz w:val="15"/>
          <w:szCs w:val="15"/>
          <w:color w:val="131313"/>
        </w:rPr>
        <w:t>I06758519</w:t>
      </w:r>
      <w:r>
        <w:rPr>
          <w:rFonts w:ascii="Arial" w:cs="Arial" w:eastAsia="Arial" w:hAnsi="Arial"/>
          <w:sz w:val="15"/>
          <w:szCs w:val="15"/>
          <w:color w:val="2A2A2A"/>
        </w:rPr>
        <w:t>.3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584200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860" w:top="1422" w:right="839" w:bottom="1440" w:gutter="0" w:footer="0" w:header="0"/>
        </w:sectPr>
      </w:pPr>
    </w:p>
    <w:bookmarkStart w:id="92" w:name="page93"/>
    <w:bookmarkEnd w:id="92"/>
    <w:p>
      <w:pPr>
        <w:jc w:val="both"/>
        <w:ind w:left="40" w:hanging="9"/>
        <w:spacing w:after="0"/>
        <w:rPr>
          <w:sz w:val="20"/>
          <w:szCs w:val="20"/>
          <w:color w:val="auto"/>
        </w:rPr>
      </w:pPr>
      <w:r>
        <w:rPr>
          <w:rFonts w:ascii="Times New Roman" w:cs="Times New Roman" w:eastAsia="Times New Roman" w:hAnsi="Times New Roman"/>
          <w:sz w:val="20"/>
          <w:szCs w:val="20"/>
          <w:color w:val="131313"/>
        </w:rPr>
        <w:t xml:space="preserve">any form to any third party, either during or after the term of my employment or engagement, without the prior written consent of the Company on a case-by-case basis. Upon termination of my employment or engagement, I agree to cease using and to return to the Company all whole and partial copies and derivatives of the Proprietary Information, whether in my possession or under my direct or indirect control, provided that I am entitled to retain my personal copies of (a) my compensation records, (b) materials distributed to stockholders generally, and (c) this Proprietary Information and lnventions Assignment Agreement (this </w:t>
      </w:r>
      <w:r>
        <w:rPr>
          <w:rFonts w:ascii="Times New Roman" w:cs="Times New Roman" w:eastAsia="Times New Roman" w:hAnsi="Times New Roman"/>
          <w:sz w:val="20"/>
          <w:szCs w:val="20"/>
          <w:u w:val="single" w:color="auto"/>
          <w:color w:val="131313"/>
        </w:rPr>
        <w:t>"Agreement").</w:t>
      </w:r>
      <w:r>
        <w:rPr>
          <w:rFonts w:ascii="Times New Roman" w:cs="Times New Roman" w:eastAsia="Times New Roman" w:hAnsi="Times New Roman"/>
          <w:sz w:val="20"/>
          <w:szCs w:val="20"/>
          <w:color w:val="131313"/>
        </w:rPr>
        <w:t xml:space="preserve"> I understand that my obligations of nondisclosure with respect to Proprietary Information shall not apply to information that I can establish by competent proof (x) was actually in the public domain at the time of disclosure or enters the public domain following disclosure other than as a result of a breach of this Agreement, (y) is already in my possession without breach of any obligations of confidentiality at the time of disclosure by the Company as shown by my files and records immediately prior to the time of disclosure, or (z) is obtained by me from a third party not under confidentiality obligations and without a breach of any obligations of confidentiality. If I become compelled by law, regulation (including without limitation the rules of any applicable securities exchange), court order, or other governmental authority to disclose the Proprietary lnformation, I shall, to the extent possible and permissible under applicable law, first give the Company prompt notice. I agree to cooperate reasonably with the Company in any proceeding to obtain a protective order or other remedy. </w:t>
      </w:r>
      <w:r>
        <w:rPr>
          <w:rFonts w:ascii="Arial" w:cs="Arial" w:eastAsia="Arial" w:hAnsi="Arial"/>
          <w:sz w:val="20"/>
          <w:szCs w:val="20"/>
          <w:color w:val="131313"/>
        </w:rPr>
        <w:t>If</w:t>
      </w:r>
      <w:r>
        <w:rPr>
          <w:rFonts w:ascii="Times New Roman" w:cs="Times New Roman" w:eastAsia="Times New Roman" w:hAnsi="Times New Roman"/>
          <w:sz w:val="20"/>
          <w:szCs w:val="20"/>
          <w:color w:val="131313"/>
        </w:rPr>
        <w:t xml:space="preserve"> such protective order or other remedy is not obtained, I shall only disclose that portion of such Proprietary Information required to be disclosed, in the opinion of my </w:t>
      </w:r>
      <w:r>
        <w:rPr>
          <w:rFonts w:ascii="Times New Roman" w:cs="Times New Roman" w:eastAsia="Times New Roman" w:hAnsi="Times New Roman"/>
          <w:sz w:val="20"/>
          <w:szCs w:val="20"/>
          <w:color w:val="050505"/>
        </w:rPr>
        <w:t>legal</w:t>
      </w:r>
      <w:r>
        <w:rPr>
          <w:rFonts w:ascii="Times New Roman" w:cs="Times New Roman" w:eastAsia="Times New Roman" w:hAnsi="Times New Roman"/>
          <w:sz w:val="20"/>
          <w:szCs w:val="20"/>
          <w:color w:val="131313"/>
        </w:rPr>
        <w:t xml:space="preserve"> counsel. I shall request that confidential treatment be accorded such Proprietary Information, where available. Compulsory disclosures made pursuant to this section shall not relieve me of my obligations of confidentiality and non-use with respect to non-compulsory disclosures. I understand that nothing herein is intended to or shall prevent me from communicating directly with, cooperating with, or providing information to, any federal, state or local government regulator, including, but </w:t>
      </w:r>
      <w:r>
        <w:rPr>
          <w:rFonts w:ascii="Times New Roman" w:cs="Times New Roman" w:eastAsia="Times New Roman" w:hAnsi="Times New Roman"/>
          <w:sz w:val="20"/>
          <w:szCs w:val="20"/>
          <w:color w:val="050505"/>
        </w:rPr>
        <w:t>not limited</w:t>
      </w:r>
      <w:r>
        <w:rPr>
          <w:rFonts w:ascii="Times New Roman" w:cs="Times New Roman" w:eastAsia="Times New Roman" w:hAnsi="Times New Roman"/>
          <w:sz w:val="20"/>
          <w:szCs w:val="20"/>
          <w:color w:val="131313"/>
        </w:rPr>
        <w:t xml:space="preserve"> to, the U.S. Securities and Exchange Commission, the U.S. Commodity Futures Trading Commission, or the U.S. Department of Justice. </w:t>
      </w:r>
      <w:r>
        <w:rPr>
          <w:rFonts w:ascii="Times New Roman" w:cs="Times New Roman" w:eastAsia="Times New Roman" w:hAnsi="Times New Roman"/>
          <w:sz w:val="20"/>
          <w:szCs w:val="20"/>
          <w:color w:val="050505"/>
        </w:rPr>
        <w:t>I</w:t>
      </w:r>
      <w:r>
        <w:rPr>
          <w:rFonts w:ascii="Times New Roman" w:cs="Times New Roman" w:eastAsia="Times New Roman" w:hAnsi="Times New Roman"/>
          <w:sz w:val="20"/>
          <w:szCs w:val="20"/>
          <w:color w:val="131313"/>
        </w:rPr>
        <w:t xml:space="preserve"> shall promptly notify my supervisor or any officer of the Company if I </w:t>
      </w:r>
      <w:r>
        <w:rPr>
          <w:rFonts w:ascii="Times New Roman" w:cs="Times New Roman" w:eastAsia="Times New Roman" w:hAnsi="Times New Roman"/>
          <w:sz w:val="20"/>
          <w:szCs w:val="20"/>
          <w:color w:val="050505"/>
        </w:rPr>
        <w:t>learn</w:t>
      </w:r>
      <w:r>
        <w:rPr>
          <w:rFonts w:ascii="Times New Roman" w:cs="Times New Roman" w:eastAsia="Times New Roman" w:hAnsi="Times New Roman"/>
          <w:sz w:val="20"/>
          <w:szCs w:val="20"/>
          <w:color w:val="131313"/>
        </w:rPr>
        <w:t xml:space="preserve"> of any possible unauthorized use or disclosure of Proprietary Information and shall cooperate fully with the Company to enforce its rights </w:t>
      </w:r>
      <w:r>
        <w:rPr>
          <w:rFonts w:ascii="Times New Roman" w:cs="Times New Roman" w:eastAsia="Times New Roman" w:hAnsi="Times New Roman"/>
          <w:sz w:val="20"/>
          <w:szCs w:val="20"/>
          <w:color w:val="050505"/>
        </w:rPr>
        <w:t>in</w:t>
      </w:r>
      <w:r>
        <w:rPr>
          <w:rFonts w:ascii="Times New Roman" w:cs="Times New Roman" w:eastAsia="Times New Roman" w:hAnsi="Times New Roman"/>
          <w:sz w:val="20"/>
          <w:szCs w:val="20"/>
          <w:color w:val="131313"/>
        </w:rPr>
        <w:t xml:space="preserve"> such </w:t>
      </w:r>
      <w:r>
        <w:rPr>
          <w:rFonts w:ascii="Times New Roman" w:cs="Times New Roman" w:eastAsia="Times New Roman" w:hAnsi="Times New Roman"/>
          <w:sz w:val="20"/>
          <w:szCs w:val="20"/>
          <w:color w:val="050505"/>
        </w:rPr>
        <w:t>information.</w:t>
      </w:r>
    </w:p>
    <w:p>
      <w:pPr>
        <w:spacing w:after="0" w:line="177" w:lineRule="exact"/>
        <w:rPr>
          <w:sz w:val="20"/>
          <w:szCs w:val="20"/>
          <w:color w:val="auto"/>
        </w:rPr>
      </w:pPr>
    </w:p>
    <w:p>
      <w:pPr>
        <w:jc w:val="both"/>
        <w:ind w:left="60" w:firstLine="716"/>
        <w:spacing w:after="0" w:line="242" w:lineRule="auto"/>
        <w:tabs>
          <w:tab w:leader="none" w:pos="1008" w:val="left"/>
        </w:tabs>
        <w:numPr>
          <w:ilvl w:val="0"/>
          <w:numId w:val="72"/>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131313"/>
        </w:rPr>
        <w:t>Defend Trade Secrets Act Notice of Immunity Rights.</w:t>
      </w:r>
      <w:r>
        <w:rPr>
          <w:rFonts w:ascii="Times New Roman" w:cs="Times New Roman" w:eastAsia="Times New Roman" w:hAnsi="Times New Roman"/>
          <w:sz w:val="20"/>
          <w:szCs w:val="20"/>
          <w:color w:val="131313"/>
        </w:rPr>
        <w:t xml:space="preserve"> I acknowledge that the Company has provided me with the following notice of immunity rights in compliance with the requirements of the Defend Trade Secrets Act: (a) I shall not be held criminally or civilly liable under any Federal or State trade secret law for the disclosure of Proprietary Information that is made in confidence to a Federal, State, or </w:t>
      </w:r>
      <w:r>
        <w:rPr>
          <w:rFonts w:ascii="Times New Roman" w:cs="Times New Roman" w:eastAsia="Times New Roman" w:hAnsi="Times New Roman"/>
          <w:sz w:val="20"/>
          <w:szCs w:val="20"/>
          <w:color w:val="050505"/>
        </w:rPr>
        <w:t>local</w:t>
      </w:r>
      <w:r>
        <w:rPr>
          <w:rFonts w:ascii="Times New Roman" w:cs="Times New Roman" w:eastAsia="Times New Roman" w:hAnsi="Times New Roman"/>
          <w:sz w:val="20"/>
          <w:szCs w:val="20"/>
          <w:color w:val="131313"/>
        </w:rPr>
        <w:t xml:space="preserve"> government official or to an attorney solely for the purpose of reporting or investigating a suspected violation of law, (b) I shall not be </w:t>
      </w:r>
      <w:r>
        <w:rPr>
          <w:rFonts w:ascii="Times New Roman" w:cs="Times New Roman" w:eastAsia="Times New Roman" w:hAnsi="Times New Roman"/>
          <w:sz w:val="20"/>
          <w:szCs w:val="20"/>
          <w:color w:val="050505"/>
        </w:rPr>
        <w:t>held</w:t>
      </w:r>
      <w:r>
        <w:rPr>
          <w:rFonts w:ascii="Times New Roman" w:cs="Times New Roman" w:eastAsia="Times New Roman" w:hAnsi="Times New Roman"/>
          <w:sz w:val="20"/>
          <w:szCs w:val="20"/>
          <w:color w:val="131313"/>
        </w:rPr>
        <w:t xml:space="preserve"> criminally or civilly liable under any Federal or State trade secret law for the disclosure of Proprietary Information that is made in a complaint or other document filed in a </w:t>
      </w:r>
      <w:r>
        <w:rPr>
          <w:rFonts w:ascii="Times New Roman" w:cs="Times New Roman" w:eastAsia="Times New Roman" w:hAnsi="Times New Roman"/>
          <w:sz w:val="20"/>
          <w:szCs w:val="20"/>
          <w:color w:val="050505"/>
        </w:rPr>
        <w:t>lawsuit</w:t>
      </w:r>
      <w:r>
        <w:rPr>
          <w:rFonts w:ascii="Times New Roman" w:cs="Times New Roman" w:eastAsia="Times New Roman" w:hAnsi="Times New Roman"/>
          <w:sz w:val="20"/>
          <w:szCs w:val="20"/>
          <w:color w:val="131313"/>
        </w:rPr>
        <w:t xml:space="preserve"> or other proceeding, if such filing is made under seal and (c) if I file a lawsuit for retaliation by the Company for reporting a suspected violation of </w:t>
      </w:r>
      <w:r>
        <w:rPr>
          <w:rFonts w:ascii="Times New Roman" w:cs="Times New Roman" w:eastAsia="Times New Roman" w:hAnsi="Times New Roman"/>
          <w:sz w:val="20"/>
          <w:szCs w:val="20"/>
          <w:color w:val="050505"/>
        </w:rPr>
        <w:t>law,</w:t>
      </w:r>
      <w:r>
        <w:rPr>
          <w:rFonts w:ascii="Times New Roman" w:cs="Times New Roman" w:eastAsia="Times New Roman" w:hAnsi="Times New Roman"/>
          <w:sz w:val="20"/>
          <w:szCs w:val="20"/>
          <w:color w:val="131313"/>
        </w:rPr>
        <w:t xml:space="preserve"> I may disclose the Proprietary </w:t>
      </w:r>
      <w:r>
        <w:rPr>
          <w:rFonts w:ascii="Times New Roman" w:cs="Times New Roman" w:eastAsia="Times New Roman" w:hAnsi="Times New Roman"/>
          <w:sz w:val="20"/>
          <w:szCs w:val="20"/>
          <w:color w:val="050505"/>
        </w:rPr>
        <w:t>Information</w:t>
      </w:r>
      <w:r>
        <w:rPr>
          <w:rFonts w:ascii="Times New Roman" w:cs="Times New Roman" w:eastAsia="Times New Roman" w:hAnsi="Times New Roman"/>
          <w:sz w:val="20"/>
          <w:szCs w:val="20"/>
          <w:color w:val="131313"/>
        </w:rPr>
        <w:t xml:space="preserve"> to my attorney and use the Proprietary Information in the court proceeding, if I file any document containing the Proprietary Information under seal, and do not disclose the Proprietary Information, except pursuant to cou1t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40" w:firstLine="731"/>
        <w:spacing w:after="0" w:line="245" w:lineRule="auto"/>
        <w:tabs>
          <w:tab w:leader="none" w:pos="1003" w:val="left"/>
        </w:tabs>
        <w:numPr>
          <w:ilvl w:val="0"/>
          <w:numId w:val="73"/>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0E0E0E"/>
        </w:rPr>
        <w:t>Property of the Company.</w:t>
      </w:r>
      <w:r>
        <w:rPr>
          <w:rFonts w:ascii="Times New Roman" w:cs="Times New Roman" w:eastAsia="Times New Roman" w:hAnsi="Times New Roman"/>
          <w:sz w:val="20"/>
          <w:szCs w:val="20"/>
          <w:color w:val="0E0E0E"/>
        </w:rPr>
        <w:t xml:space="preserve"> I acknowledge and agree that </w:t>
      </w:r>
      <w:r>
        <w:rPr>
          <w:rFonts w:ascii="Times New Roman" w:cs="Times New Roman" w:eastAsia="Times New Roman" w:hAnsi="Times New Roman"/>
          <w:sz w:val="20"/>
          <w:szCs w:val="20"/>
          <w:color w:val="1D1D1D"/>
        </w:rPr>
        <w:t>all</w:t>
      </w:r>
      <w:r>
        <w:rPr>
          <w:rFonts w:ascii="Times New Roman" w:cs="Times New Roman" w:eastAsia="Times New Roman" w:hAnsi="Times New Roman"/>
          <w:sz w:val="20"/>
          <w:szCs w:val="20"/>
          <w:color w:val="0E0E0E"/>
        </w:rPr>
        <w:t xml:space="preserve"> notes, memoranda, reports, drawings, blueprints, manuals, materials, data, emails and other papers and records of every kind, or other tangible or intangible materials which </w:t>
      </w:r>
      <w:r>
        <w:rPr>
          <w:rFonts w:ascii="Times New Roman" w:cs="Times New Roman" w:eastAsia="Times New Roman" w:hAnsi="Times New Roman"/>
          <w:sz w:val="20"/>
          <w:szCs w:val="20"/>
          <w:color w:val="1D1D1D"/>
        </w:rPr>
        <w:t>shall</w:t>
      </w:r>
      <w:r>
        <w:rPr>
          <w:rFonts w:ascii="Times New Roman" w:cs="Times New Roman" w:eastAsia="Times New Roman" w:hAnsi="Times New Roman"/>
          <w:sz w:val="20"/>
          <w:szCs w:val="20"/>
          <w:color w:val="0E0E0E"/>
        </w:rPr>
        <w:t xml:space="preserve"> have or </w:t>
      </w:r>
      <w:r>
        <w:rPr>
          <w:rFonts w:ascii="Times New Roman" w:cs="Times New Roman" w:eastAsia="Times New Roman" w:hAnsi="Times New Roman"/>
          <w:sz w:val="20"/>
          <w:szCs w:val="20"/>
          <w:color w:val="1D1D1D"/>
        </w:rPr>
        <w:t>shall</w:t>
      </w:r>
      <w:r>
        <w:rPr>
          <w:rFonts w:ascii="Times New Roman" w:cs="Times New Roman" w:eastAsia="Times New Roman" w:hAnsi="Times New Roman"/>
          <w:sz w:val="20"/>
          <w:szCs w:val="20"/>
          <w:color w:val="0E0E0E"/>
        </w:rPr>
        <w:t xml:space="preserve"> come into my possession in the course of my employment or engagement with </w:t>
      </w:r>
      <w:r>
        <w:rPr>
          <w:rFonts w:ascii="Times New Roman" w:cs="Times New Roman" w:eastAsia="Times New Roman" w:hAnsi="Times New Roman"/>
          <w:sz w:val="20"/>
          <w:szCs w:val="20"/>
          <w:color w:val="1D1D1D"/>
        </w:rPr>
        <w:t>the</w:t>
      </w:r>
      <w:r>
        <w:rPr>
          <w:rFonts w:ascii="Times New Roman" w:cs="Times New Roman" w:eastAsia="Times New Roman" w:hAnsi="Times New Roman"/>
          <w:sz w:val="20"/>
          <w:szCs w:val="20"/>
          <w:color w:val="0E0E0E"/>
        </w:rPr>
        <w:t xml:space="preserve"> Company, relating to any Proprietary Information, shall be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570230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840" w:top="913" w:right="839" w:bottom="1440" w:gutter="0" w:footer="0" w:header="0"/>
        </w:sectPr>
      </w:pPr>
    </w:p>
    <w:bookmarkStart w:id="93" w:name="page94"/>
    <w:bookmarkEnd w:id="93"/>
    <w:p>
      <w:pPr>
        <w:jc w:val="both"/>
        <w:ind w:right="20"/>
        <w:spacing w:after="0" w:line="245" w:lineRule="auto"/>
        <w:rPr>
          <w:sz w:val="20"/>
          <w:szCs w:val="20"/>
          <w:color w:val="auto"/>
        </w:rPr>
      </w:pPr>
      <w:r>
        <w:rPr>
          <w:rFonts w:ascii="Times New Roman" w:cs="Times New Roman" w:eastAsia="Times New Roman" w:hAnsi="Times New Roman"/>
          <w:sz w:val="20"/>
          <w:szCs w:val="20"/>
          <w:color w:val="0E0E0E"/>
        </w:rPr>
        <w:t>the sole and exclusive property of the Company and I hereby assign any rights or interests I may have obtained or may in the future obtain in any of the foregoing. I agree to surrender this property to the Company immediately upon termination of my employment or engagement with the Company, or at any time upon request by the Company. I further agree that any property situated on the Company's data systems or on the Company's premises and owned by the Company, including without limitation electronic storage media, filing cabinets or other work areas, is subject to inspection by Company personnel at any time with or without notice.</w:t>
      </w:r>
    </w:p>
    <w:p>
      <w:pPr>
        <w:spacing w:after="0" w:line="171" w:lineRule="exact"/>
        <w:rPr>
          <w:sz w:val="20"/>
          <w:szCs w:val="20"/>
          <w:color w:val="auto"/>
        </w:rPr>
      </w:pPr>
    </w:p>
    <w:p>
      <w:pPr>
        <w:ind w:left="1460" w:hanging="729"/>
        <w:spacing w:after="0"/>
        <w:tabs>
          <w:tab w:leader="none" w:pos="1460" w:val="left"/>
        </w:tabs>
        <w:numPr>
          <w:ilvl w:val="0"/>
          <w:numId w:val="74"/>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0E0E0E"/>
        </w:rPr>
        <w:t>Inventions.</w:t>
      </w:r>
    </w:p>
    <w:p>
      <w:pPr>
        <w:spacing w:after="0" w:line="229" w:lineRule="exact"/>
        <w:rPr>
          <w:sz w:val="20"/>
          <w:szCs w:val="20"/>
          <w:color w:val="auto"/>
        </w:rPr>
      </w:pPr>
    </w:p>
    <w:p>
      <w:pPr>
        <w:jc w:val="both"/>
        <w:ind w:firstLine="1468"/>
        <w:spacing w:after="0" w:line="241" w:lineRule="auto"/>
        <w:rPr>
          <w:sz w:val="20"/>
          <w:szCs w:val="20"/>
          <w:color w:val="auto"/>
        </w:rPr>
      </w:pPr>
      <w:r>
        <w:rPr>
          <w:rFonts w:ascii="Times New Roman" w:cs="Times New Roman" w:eastAsia="Times New Roman" w:hAnsi="Times New Roman"/>
          <w:sz w:val="20"/>
          <w:szCs w:val="20"/>
          <w:color w:val="0E0E0E"/>
        </w:rPr>
        <w:t xml:space="preserve">5.1 </w:t>
      </w:r>
      <w:r>
        <w:rPr>
          <w:rFonts w:ascii="Times New Roman" w:cs="Times New Roman" w:eastAsia="Times New Roman" w:hAnsi="Times New Roman"/>
          <w:sz w:val="20"/>
          <w:szCs w:val="20"/>
          <w:u w:val="single" w:color="auto"/>
          <w:color w:val="0E0E0E"/>
        </w:rPr>
        <w:t>Disclosure and Assignment of lnventions.</w:t>
      </w:r>
      <w:r>
        <w:rPr>
          <w:rFonts w:ascii="Times New Roman" w:cs="Times New Roman" w:eastAsia="Times New Roman" w:hAnsi="Times New Roman"/>
          <w:sz w:val="20"/>
          <w:szCs w:val="20"/>
          <w:color w:val="0E0E0E"/>
        </w:rPr>
        <w:t xml:space="preserve"> For purposes of this Agreement, an "Invention" shall mean any idea, invention or work of authorship, including, without limitation, any documentation, formula, design, device, code, method, software, technique, process, discovery, concept, improvement, enhancement, development, machine or contribution, in each case whether or not patentable or copyrightable. </w:t>
      </w:r>
      <w:r>
        <w:rPr>
          <w:rFonts w:ascii="Times New Roman" w:cs="Times New Roman" w:eastAsia="Times New Roman" w:hAnsi="Times New Roman"/>
          <w:sz w:val="20"/>
          <w:szCs w:val="20"/>
          <w:color w:val="1D1D1D"/>
        </w:rPr>
        <w:t>I</w:t>
      </w:r>
      <w:r>
        <w:rPr>
          <w:rFonts w:ascii="Times New Roman" w:cs="Times New Roman" w:eastAsia="Times New Roman" w:hAnsi="Times New Roman"/>
          <w:sz w:val="20"/>
          <w:szCs w:val="20"/>
          <w:color w:val="0E0E0E"/>
        </w:rPr>
        <w:t xml:space="preserve"> will disclose all Inventions promptly in writing to an officer of the Company or to attorneys of the Company in accordance with the Company's policies and procedures. I will, and hereby do, assign to the Company, without requirement of further writing, without royalty or any other further consideration, my entire right, title and interest throughout the world in and to all Inventions created, conceived, made, developed, and/or reduced to practice by me at any time during the course of my employment or engagement by the Company and all intellectual property rights therein. I hereby waive, and agree to waive, any moral rights I may have in any copyrightable work I create or have created on behalf of the Company. I also hereby agree, that for a period of one year after my employment or engagement with the Company, I shall disclose to the Company any Inventions that I create, conceive, make, develop, reduce to practice or work on that relate to the work I performed for the Company. </w:t>
      </w:r>
      <w:r>
        <w:rPr>
          <w:rFonts w:ascii="Times New Roman" w:cs="Times New Roman" w:eastAsia="Times New Roman" w:hAnsi="Times New Roman"/>
          <w:sz w:val="20"/>
          <w:szCs w:val="20"/>
          <w:color w:val="1D1D1D"/>
        </w:rPr>
        <w:t>The</w:t>
      </w:r>
      <w:r>
        <w:rPr>
          <w:rFonts w:ascii="Times New Roman" w:cs="Times New Roman" w:eastAsia="Times New Roman" w:hAnsi="Times New Roman"/>
          <w:sz w:val="20"/>
          <w:szCs w:val="20"/>
          <w:color w:val="0E0E0E"/>
        </w:rPr>
        <w:t xml:space="preserve"> Company agrees that it will use commercially reasonable measures to keep Inventions disclosed to it pursuant to this Section 5.1 that do not constitute Inventions to be owned by the Company in confidence and shall not use any </w:t>
      </w:r>
      <w:r>
        <w:rPr>
          <w:rFonts w:ascii="Times New Roman" w:cs="Times New Roman" w:eastAsia="Times New Roman" w:hAnsi="Times New Roman"/>
          <w:sz w:val="20"/>
          <w:szCs w:val="20"/>
          <w:color w:val="1D1D1D"/>
        </w:rPr>
        <w:t>Inventions</w:t>
      </w:r>
      <w:r>
        <w:rPr>
          <w:rFonts w:ascii="Times New Roman" w:cs="Times New Roman" w:eastAsia="Times New Roman" w:hAnsi="Times New Roman"/>
          <w:sz w:val="20"/>
          <w:szCs w:val="20"/>
          <w:color w:val="0E0E0E"/>
        </w:rPr>
        <w:t xml:space="preserve"> for its own advantage, unless in either case those Inventions are assigned or assignable to the Company pursuant to this Section 5.1 or otherwise.</w:t>
      </w:r>
    </w:p>
    <w:p>
      <w:pPr>
        <w:spacing w:after="0" w:line="181" w:lineRule="exact"/>
        <w:rPr>
          <w:sz w:val="20"/>
          <w:szCs w:val="20"/>
          <w:color w:val="auto"/>
        </w:rPr>
      </w:pPr>
    </w:p>
    <w:p>
      <w:pPr>
        <w:jc w:val="both"/>
        <w:ind w:left="20" w:right="20" w:firstLine="1467"/>
        <w:spacing w:after="0" w:line="260" w:lineRule="auto"/>
        <w:rPr>
          <w:sz w:val="20"/>
          <w:szCs w:val="20"/>
          <w:color w:val="auto"/>
        </w:rPr>
      </w:pPr>
      <w:r>
        <w:rPr>
          <w:rFonts w:ascii="Times New Roman" w:cs="Times New Roman" w:eastAsia="Times New Roman" w:hAnsi="Times New Roman"/>
          <w:sz w:val="19"/>
          <w:szCs w:val="19"/>
          <w:color w:val="0E0E0E"/>
        </w:rPr>
        <w:t xml:space="preserve">5.2 </w:t>
      </w:r>
      <w:r>
        <w:rPr>
          <w:rFonts w:ascii="Times New Roman" w:cs="Times New Roman" w:eastAsia="Times New Roman" w:hAnsi="Times New Roman"/>
          <w:sz w:val="19"/>
          <w:szCs w:val="19"/>
          <w:u w:val="single" w:color="auto"/>
          <w:color w:val="0E0E0E"/>
        </w:rPr>
        <w:t>Certain Exemptions.</w:t>
      </w:r>
      <w:r>
        <w:rPr>
          <w:rFonts w:ascii="Times New Roman" w:cs="Times New Roman" w:eastAsia="Times New Roman" w:hAnsi="Times New Roman"/>
          <w:sz w:val="19"/>
          <w:szCs w:val="19"/>
          <w:color w:val="0E0E0E"/>
        </w:rPr>
        <w:t xml:space="preserve"> The obligations to assign Inventions set forth in Section 5.1 apply with respect to all Inventions (a) whether or not such Inventions are conceived, made, developed or worked on by me during my regular hours of employment or engagement with the Company; (b) whether or not the Invention was made at the suggestion of the Company;</w:t>
      </w:r>
    </w:p>
    <w:p>
      <w:pPr>
        <w:jc w:val="both"/>
        <w:ind w:firstLine="5"/>
        <w:spacing w:after="0"/>
        <w:tabs>
          <w:tab w:leader="none" w:pos="286" w:val="left"/>
        </w:tabs>
        <w:numPr>
          <w:ilvl w:val="0"/>
          <w:numId w:val="75"/>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 xml:space="preserve">whether or not the Invention was reduced to drawings, written description, documentation, models or other tangible form; and (d) whether or not the Invention is related to the general line of business engaged in by the Company, but do not apply to Inventions that (x) I develop entirely on my own time or after the date of this Agreement without using the Company's equipment, supplies, facilities or Proprietary Information; (y) do not relate to the Company's business, or actual or demonstrably anticipated research or development of the Company at the time of </w:t>
      </w:r>
      <w:r>
        <w:rPr>
          <w:rFonts w:ascii="Times New Roman" w:cs="Times New Roman" w:eastAsia="Times New Roman" w:hAnsi="Times New Roman"/>
          <w:sz w:val="20"/>
          <w:szCs w:val="20"/>
          <w:color w:val="131313"/>
        </w:rPr>
        <w:t>conception or reduction to practice of the Invention; and (z)</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 xml:space="preserve">do not result from and are not related to any work performed by me for the Company. I hereby acknowledge and agree that the Company has notified me that, if I reside in the state of California, assignments provided for in Section 5.1 do not apply to any Invention which qualifies fully for exemption from assignment under the provisions of Section 2870 of the California Labor Code </w:t>
      </w:r>
      <w:r>
        <w:rPr>
          <w:rFonts w:ascii="Times New Roman" w:cs="Times New Roman" w:eastAsia="Times New Roman" w:hAnsi="Times New Roman"/>
          <w:sz w:val="20"/>
          <w:szCs w:val="20"/>
          <w:u w:val="single" w:color="auto"/>
          <w:color w:val="131313"/>
        </w:rPr>
        <w:t>("Section 2870"),</w:t>
      </w:r>
      <w:r>
        <w:rPr>
          <w:rFonts w:ascii="Times New Roman" w:cs="Times New Roman" w:eastAsia="Times New Roman" w:hAnsi="Times New Roman"/>
          <w:sz w:val="20"/>
          <w:szCs w:val="20"/>
          <w:color w:val="131313"/>
        </w:rPr>
        <w:t xml:space="preserve"> a copy of which is attached as </w:t>
      </w:r>
      <w:r>
        <w:rPr>
          <w:rFonts w:ascii="Times New Roman" w:cs="Times New Roman" w:eastAsia="Times New Roman" w:hAnsi="Times New Roman"/>
          <w:sz w:val="20"/>
          <w:szCs w:val="20"/>
          <w:u w:val="single" w:color="auto"/>
          <w:color w:val="131313"/>
        </w:rPr>
        <w:t>Exhibit A.</w:t>
      </w:r>
      <w:r>
        <w:rPr>
          <w:rFonts w:ascii="Times New Roman" w:cs="Times New Roman" w:eastAsia="Times New Roman" w:hAnsi="Times New Roman"/>
          <w:sz w:val="20"/>
          <w:szCs w:val="20"/>
          <w:color w:val="131313"/>
        </w:rPr>
        <w:t xml:space="preserve"> If applicable, at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131313"/>
        </w:rPr>
        <w:t xml:space="preserve"> time of disclosure of an Invention that I believe qualifies under Section 2870, I shall provide to the Company, in writing, evidence to substantiate the belief that such Invention qualifies under Section 2870. I further understand that, to the extent this Agreement shall be construed in accordance with the laws of any state which precludes a requirement in an agreement such as this Agreement to assign certain classes of inventions made by an employee or consultant, Section 5.1 shall be interpreted not to apply to any Invention which a court rules and/or the Company agrees falls within such classes.</w:t>
      </w:r>
    </w:p>
    <w:p>
      <w:pPr>
        <w:spacing w:after="0" w:line="174" w:lineRule="exact"/>
        <w:rPr>
          <w:sz w:val="20"/>
          <w:szCs w:val="20"/>
          <w:color w:val="auto"/>
        </w:rPr>
      </w:pPr>
    </w:p>
    <w:p>
      <w:pPr>
        <w:jc w:val="both"/>
        <w:ind w:left="20" w:right="20" w:firstLine="1379"/>
        <w:spacing w:after="0" w:line="247" w:lineRule="auto"/>
        <w:rPr>
          <w:sz w:val="20"/>
          <w:szCs w:val="20"/>
          <w:color w:val="auto"/>
        </w:rPr>
      </w:pPr>
      <w:r>
        <w:rPr>
          <w:rFonts w:ascii="Times New Roman" w:cs="Times New Roman" w:eastAsia="Times New Roman" w:hAnsi="Times New Roman"/>
          <w:sz w:val="20"/>
          <w:szCs w:val="20"/>
          <w:color w:val="0E0E0E"/>
        </w:rPr>
        <w:t xml:space="preserve">5.3 </w:t>
      </w:r>
      <w:r>
        <w:rPr>
          <w:rFonts w:ascii="Times New Roman" w:cs="Times New Roman" w:eastAsia="Times New Roman" w:hAnsi="Times New Roman"/>
          <w:sz w:val="20"/>
          <w:szCs w:val="20"/>
          <w:u w:val="single" w:color="auto"/>
          <w:color w:val="131313"/>
        </w:rPr>
        <w:t>Records.</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I will make and maintain adequate and current written records of all Inventions covered by</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Section 5.1. These records may be in the form of notes, sketches, drawings, flow charts, electronic data or recordings, notebooks and any other format. These records shall be and</w:t>
      </w: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579120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840" w:top="508" w:right="8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color w:val="131313"/>
        </w:rPr>
        <w:t>remain the property of the Company at all times and shall be made available to the Company at all times.</w:t>
      </w:r>
    </w:p>
    <w:p>
      <w:pPr>
        <w:spacing w:after="0" w:line="229" w:lineRule="exact"/>
        <w:rPr>
          <w:sz w:val="20"/>
          <w:szCs w:val="20"/>
          <w:color w:val="auto"/>
        </w:rPr>
      </w:pPr>
    </w:p>
    <w:p>
      <w:pPr>
        <w:jc w:val="both"/>
        <w:ind w:right="20" w:firstLine="1379"/>
        <w:spacing w:after="0" w:line="241" w:lineRule="auto"/>
        <w:rPr>
          <w:sz w:val="20"/>
          <w:szCs w:val="20"/>
          <w:color w:val="auto"/>
        </w:rPr>
      </w:pPr>
      <w:r>
        <w:rPr>
          <w:rFonts w:ascii="Times New Roman" w:cs="Times New Roman" w:eastAsia="Times New Roman" w:hAnsi="Times New Roman"/>
          <w:sz w:val="20"/>
          <w:szCs w:val="20"/>
          <w:color w:val="0E0E0E"/>
        </w:rPr>
        <w:t xml:space="preserve">5.4 </w:t>
      </w:r>
      <w:r>
        <w:rPr>
          <w:rFonts w:ascii="Times New Roman" w:cs="Times New Roman" w:eastAsia="Times New Roman" w:hAnsi="Times New Roman"/>
          <w:sz w:val="20"/>
          <w:szCs w:val="20"/>
          <w:u w:val="single" w:color="auto"/>
          <w:color w:val="131313"/>
        </w:rPr>
        <w:t>Patents and Other Rights.</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I agree to assist the Company in obtaining, maintaining and enforcing</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patents, invention assignments and copyright assignments, and other proprietary rights in connection with any Invention covered by Section 5.1, and will otherwise assist the Company as reasonably required by the Company to perfect in the Company the rights, title and other interests in my work product granted to the Company under this Agreement (both in the United States and foreign countries). I further agree that my obligations under this Section 5.4 shall continue beyond the termination of my employment or engagement with the Company, but if I am requested by the Company to render such assistance after the termination of such employment or engagement, I shall be entitled to a fair and reasonable rate of compensation for such assistance, and to reimbursement of any expenses incurred at the request of the Company relating to such assistance. If the Company is unable for any reason, after reasonable effort, to secure my signature on any document needed in connection with the actions specified above,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this Section 5.4 with the same legal force and effect as if executed by me.</w:t>
      </w:r>
    </w:p>
    <w:p>
      <w:pPr>
        <w:spacing w:after="0" w:line="197" w:lineRule="exact"/>
        <w:rPr>
          <w:sz w:val="20"/>
          <w:szCs w:val="20"/>
          <w:color w:val="auto"/>
        </w:rPr>
      </w:pPr>
    </w:p>
    <w:p>
      <w:pPr>
        <w:jc w:val="both"/>
        <w:ind w:firstLine="1452"/>
        <w:spacing w:after="0"/>
        <w:rPr>
          <w:sz w:val="20"/>
          <w:szCs w:val="20"/>
          <w:color w:val="auto"/>
        </w:rPr>
      </w:pPr>
      <w:r>
        <w:rPr>
          <w:rFonts w:ascii="Times New Roman" w:cs="Times New Roman" w:eastAsia="Times New Roman" w:hAnsi="Times New Roman"/>
          <w:sz w:val="20"/>
          <w:szCs w:val="20"/>
          <w:color w:val="0E0E0E"/>
        </w:rPr>
        <w:t xml:space="preserve">5.5 </w:t>
      </w:r>
      <w:r>
        <w:rPr>
          <w:rFonts w:ascii="Times New Roman" w:cs="Times New Roman" w:eastAsia="Times New Roman" w:hAnsi="Times New Roman"/>
          <w:sz w:val="20"/>
          <w:szCs w:val="20"/>
          <w:u w:val="single" w:color="auto"/>
          <w:color w:val="131313"/>
        </w:rPr>
        <w:t>Prior Contracts and Inventions: Information Belonging to Third Parties.</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I represent and warrant that,</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 xml:space="preserve">except as set forth on </w:t>
      </w:r>
      <w:r>
        <w:rPr>
          <w:rFonts w:ascii="Times New Roman" w:cs="Times New Roman" w:eastAsia="Times New Roman" w:hAnsi="Times New Roman"/>
          <w:sz w:val="20"/>
          <w:szCs w:val="20"/>
          <w:color w:val="2B2B2B"/>
        </w:rPr>
        <w:t>Exhibit</w:t>
      </w:r>
      <w:r>
        <w:rPr>
          <w:rFonts w:ascii="Times New Roman" w:cs="Times New Roman" w:eastAsia="Times New Roman" w:hAnsi="Times New Roman"/>
          <w:sz w:val="20"/>
          <w:szCs w:val="20"/>
          <w:color w:val="131313"/>
        </w:rPr>
        <w:t xml:space="preserve"> B, I am not required, and I have not been required during the course of work for the Company or its predecessors, to assign Inventions under any other contracts that are now or were previously in existence between me and any other person or entity. I further represent that (a) I am not obligated under any consulting, employment or other agreement that would affect the Company's rights or my duties under this Agreement, and I shall not enter into any such agreement or obligation during the period of my employment or engagement by the Company, (b) there is no action, investigation, or proceeding pending or threatened, or any basis therefor known to me involving my prior employment or any consultancy or the use of any information or techniques alleged to be proprietary to any former employer, and (c) the performance of my duties as an employee or consultant of the Company do not and will not breach, or constitute a default under any agreement to which I am bound, including any agreement limiting the use or disclosure of proprietary info1mation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I have not and will not, in connection with my employment or engagement by the Company, use or disclose to the Company any confidential, trade secret or other proprietary information of any previous employer or other person to which I am not lawfully entitled. As a matter of record, I attach as </w:t>
      </w:r>
      <w:r>
        <w:rPr>
          <w:rFonts w:ascii="Times New Roman" w:cs="Times New Roman" w:eastAsia="Times New Roman" w:hAnsi="Times New Roman"/>
          <w:sz w:val="20"/>
          <w:szCs w:val="20"/>
          <w:u w:val="single" w:color="auto"/>
          <w:color w:val="131313"/>
        </w:rPr>
        <w:t>Exhibit B</w:t>
      </w:r>
      <w:r>
        <w:rPr>
          <w:rFonts w:ascii="Times New Roman" w:cs="Times New Roman" w:eastAsia="Times New Roman" w:hAnsi="Times New Roman"/>
          <w:sz w:val="20"/>
          <w:szCs w:val="20"/>
          <w:color w:val="131313"/>
        </w:rPr>
        <w:t xml:space="preserve"> a brief description of all Inventions made or conceived by me prior to my employment with the Company which I desire to be excluded from this Agreement (</w:t>
      </w:r>
      <w:r>
        <w:rPr>
          <w:rFonts w:ascii="Times New Roman" w:cs="Times New Roman" w:eastAsia="Times New Roman" w:hAnsi="Times New Roman"/>
          <w:sz w:val="20"/>
          <w:szCs w:val="20"/>
          <w:u w:val="single" w:color="auto"/>
          <w:color w:val="131313"/>
        </w:rPr>
        <w:t>"Background Technology</w:t>
      </w:r>
      <w:r>
        <w:rPr>
          <w:rFonts w:ascii="Times New Roman" w:cs="Times New Roman" w:eastAsia="Times New Roman" w:hAnsi="Times New Roman"/>
          <w:sz w:val="20"/>
          <w:szCs w:val="20"/>
          <w:color w:val="131313"/>
        </w:rPr>
        <w:t xml:space="preserve">"). If full disclosure of any Background Technology would breach 01· constitute a default under any agreement to which I am bound, including any agreement limiting the use or disclosure of proprietary information acquired in confidence prior to engagement by the Company, I understand that I am to describe such Background Technology in </w:t>
      </w:r>
      <w:r>
        <w:rPr>
          <w:rFonts w:ascii="Times New Roman" w:cs="Times New Roman" w:eastAsia="Times New Roman" w:hAnsi="Times New Roman"/>
          <w:sz w:val="20"/>
          <w:szCs w:val="20"/>
          <w:u w:val="single" w:color="auto"/>
          <w:color w:val="131313"/>
        </w:rPr>
        <w:t>Exhibit B</w:t>
      </w:r>
      <w:r>
        <w:rPr>
          <w:rFonts w:ascii="Times New Roman" w:cs="Times New Roman" w:eastAsia="Times New Roman" w:hAnsi="Times New Roman"/>
          <w:sz w:val="20"/>
          <w:szCs w:val="20"/>
          <w:color w:val="131313"/>
        </w:rPr>
        <w:t xml:space="preserve"> at the most specific level possible without violating any such prior agreement. Without limiting my obligations or representations under this Section 5.5, if I use any Background Technology in the course of my employment or engagement or incorporate any Background Technology in any product, service or other offering of the Company, I hereby grant the Company a non-exclusive, royalty-free, perpetual and irrevocable, worldwide right to use and sublicense the use of Background Technology for the purpose of developing, marketing, selling and supporting Company technology, products and services, either directly or through multiple tiers of distribution, but not for the purpose of marketing Background Technology separately from Company products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-3515995</wp:posOffset>
            </wp:positionV>
            <wp:extent cx="516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516255" cy="8890"/>
                    </a:xfrm>
                    <a:prstGeom prst="rect">
                      <a:avLst/>
                    </a:prstGeom>
                    <a:noFill/>
                  </pic:spPr>
                </pic:pic>
              </a:graphicData>
            </a:graphic>
          </wp:anchor>
        </w:drawing>
      </w:r>
    </w:p>
    <w:p>
      <w:pPr>
        <w:spacing w:after="0" w:line="184" w:lineRule="exact"/>
        <w:rPr>
          <w:sz w:val="20"/>
          <w:szCs w:val="20"/>
          <w:color w:val="auto"/>
        </w:rPr>
      </w:pPr>
    </w:p>
    <w:p>
      <w:pPr>
        <w:ind w:left="1440"/>
        <w:spacing w:after="0"/>
        <w:tabs>
          <w:tab w:leader="none" w:pos="1960" w:val="left"/>
        </w:tabs>
        <w:rPr>
          <w:sz w:val="20"/>
          <w:szCs w:val="20"/>
          <w:color w:val="auto"/>
        </w:rPr>
      </w:pPr>
      <w:r>
        <w:rPr>
          <w:rFonts w:ascii="Times New Roman" w:cs="Times New Roman" w:eastAsia="Times New Roman" w:hAnsi="Times New Roman"/>
          <w:sz w:val="20"/>
          <w:szCs w:val="20"/>
          <w:color w:val="0E0E0E"/>
        </w:rPr>
        <w:t>5.6</w:t>
      </w:r>
      <w:r>
        <w:rPr>
          <w:sz w:val="20"/>
          <w:szCs w:val="20"/>
          <w:color w:val="auto"/>
        </w:rPr>
        <w:tab/>
      </w:r>
      <w:r>
        <w:rPr>
          <w:rFonts w:ascii="Times New Roman" w:cs="Times New Roman" w:eastAsia="Times New Roman" w:hAnsi="Times New Roman"/>
          <w:sz w:val="19"/>
          <w:szCs w:val="19"/>
          <w:u w:val="single" w:color="auto"/>
          <w:color w:val="0C0C0C"/>
        </w:rPr>
        <w:t xml:space="preserve">Works Made for Hire. </w:t>
      </w:r>
      <w:r>
        <w:rPr>
          <w:rFonts w:ascii="Times New Roman" w:cs="Times New Roman" w:eastAsia="Times New Roman" w:hAnsi="Times New Roman"/>
          <w:sz w:val="19"/>
          <w:szCs w:val="19"/>
          <w:color w:val="0C0C0C"/>
        </w:rPr>
        <w:t>I acknowledge that all original works of authorship</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570230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860" w:top="711" w:right="859" w:bottom="1440" w:gutter="0" w:footer="0" w:header="0"/>
        </w:sectPr>
      </w:pPr>
    </w:p>
    <w:bookmarkStart w:id="95" w:name="page96"/>
    <w:bookmarkEnd w:id="95"/>
    <w:p>
      <w:pPr>
        <w:jc w:val="both"/>
        <w:ind w:right="40"/>
        <w:spacing w:after="0" w:line="254" w:lineRule="auto"/>
        <w:rPr>
          <w:sz w:val="20"/>
          <w:szCs w:val="20"/>
          <w:color w:val="auto"/>
        </w:rPr>
      </w:pPr>
      <w:r>
        <w:rPr>
          <w:rFonts w:ascii="Times New Roman" w:cs="Times New Roman" w:eastAsia="Times New Roman" w:hAnsi="Times New Roman"/>
          <w:sz w:val="20"/>
          <w:szCs w:val="20"/>
          <w:color w:val="0C0C0C"/>
        </w:rPr>
        <w:t>which were or are made by me (solely or jointly with others) within the scope of my employment or engagement with the Company and which are eligible for copyright protection are "works made for hire" as that term is defined in the United States Copyright Act (17 U.S.C., Section 101)</w:t>
      </w:r>
      <w:r>
        <w:rPr>
          <w:rFonts w:ascii="Times New Roman" w:cs="Times New Roman" w:eastAsia="Times New Roman" w:hAnsi="Times New Roman"/>
          <w:sz w:val="20"/>
          <w:szCs w:val="20"/>
          <w:color w:val="363636"/>
        </w:rPr>
        <w:t>.</w:t>
      </w:r>
    </w:p>
    <w:p>
      <w:pPr>
        <w:spacing w:after="0" w:line="161" w:lineRule="exact"/>
        <w:rPr>
          <w:sz w:val="20"/>
          <w:szCs w:val="20"/>
          <w:color w:val="auto"/>
        </w:rPr>
      </w:pPr>
    </w:p>
    <w:p>
      <w:pPr>
        <w:jc w:val="both"/>
        <w:ind w:right="20" w:firstLine="690"/>
        <w:spacing w:after="0" w:line="254" w:lineRule="auto"/>
        <w:tabs>
          <w:tab w:leader="none" w:pos="954" w:val="left"/>
        </w:tabs>
        <w:numPr>
          <w:ilvl w:val="0"/>
          <w:numId w:val="76"/>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0C0C0C"/>
        </w:rPr>
        <w:t>Restrictive Covenants.</w:t>
      </w:r>
      <w:r>
        <w:rPr>
          <w:rFonts w:ascii="Times New Roman" w:cs="Times New Roman" w:eastAsia="Times New Roman" w:hAnsi="Times New Roman"/>
          <w:sz w:val="20"/>
          <w:szCs w:val="20"/>
          <w:color w:val="0C0C0C"/>
        </w:rPr>
        <w:t xml:space="preserve"> I agree to fully comply with the covenants set forth in this Section 6 (the "Restrictive Covenants")</w:t>
      </w:r>
      <w:r>
        <w:rPr>
          <w:rFonts w:ascii="Times New Roman" w:cs="Times New Roman" w:eastAsia="Times New Roman" w:hAnsi="Times New Roman"/>
          <w:sz w:val="20"/>
          <w:szCs w:val="20"/>
          <w:color w:val="363636"/>
        </w:rPr>
        <w:t>.</w:t>
      </w:r>
      <w:r>
        <w:rPr>
          <w:rFonts w:ascii="Times New Roman" w:cs="Times New Roman" w:eastAsia="Times New Roman" w:hAnsi="Times New Roman"/>
          <w:sz w:val="20"/>
          <w:szCs w:val="20"/>
          <w:color w:val="0C0C0C"/>
        </w:rPr>
        <w:t xml:space="preserve"> I further acknowledge and agree that the Restrictive Covenants are reasonable and necessary to protect the Company's legitimate business interests, including its Proprietary Information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5863590</wp:posOffset>
            </wp:positionH>
            <wp:positionV relativeFrom="paragraph">
              <wp:posOffset>-328295</wp:posOffset>
            </wp:positionV>
            <wp:extent cx="5956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5956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-182880</wp:posOffset>
            </wp:positionV>
            <wp:extent cx="6235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154" w:lineRule="exact"/>
        <w:rPr>
          <w:sz w:val="20"/>
          <w:szCs w:val="20"/>
          <w:color w:val="auto"/>
        </w:rPr>
      </w:pPr>
    </w:p>
    <w:p>
      <w:pPr>
        <w:jc w:val="both"/>
        <w:ind w:right="20" w:firstLine="1396"/>
        <w:spacing w:after="0" w:line="258" w:lineRule="auto"/>
        <w:rPr>
          <w:sz w:val="20"/>
          <w:szCs w:val="20"/>
          <w:color w:val="auto"/>
        </w:rPr>
      </w:pPr>
      <w:r>
        <w:rPr>
          <w:rFonts w:ascii="Times New Roman" w:cs="Times New Roman" w:eastAsia="Times New Roman" w:hAnsi="Times New Roman"/>
          <w:sz w:val="19"/>
          <w:szCs w:val="19"/>
          <w:color w:val="0E0E0E"/>
        </w:rPr>
        <w:t xml:space="preserve">6.1 </w:t>
      </w:r>
      <w:r>
        <w:rPr>
          <w:rFonts w:ascii="Times New Roman" w:cs="Times New Roman" w:eastAsia="Times New Roman" w:hAnsi="Times New Roman"/>
          <w:sz w:val="19"/>
          <w:szCs w:val="19"/>
          <w:u w:val="single" w:color="auto"/>
          <w:color w:val="0C0C0C"/>
        </w:rPr>
        <w:t>Non-Solicitation of Company Personnel.</w:t>
      </w:r>
      <w:r>
        <w:rPr>
          <w:rFonts w:ascii="Times New Roman" w:cs="Times New Roman" w:eastAsia="Times New Roman" w:hAnsi="Times New Roman"/>
          <w:sz w:val="19"/>
          <w:szCs w:val="19"/>
          <w:color w:val="0E0E0E"/>
        </w:rPr>
        <w:t xml:space="preserve"> </w:t>
      </w:r>
      <w:r>
        <w:rPr>
          <w:rFonts w:ascii="Times New Roman" w:cs="Times New Roman" w:eastAsia="Times New Roman" w:hAnsi="Times New Roman"/>
          <w:sz w:val="19"/>
          <w:szCs w:val="19"/>
          <w:color w:val="0C0C0C"/>
        </w:rPr>
        <w:t>During</w:t>
      </w:r>
      <w:r>
        <w:rPr>
          <w:rFonts w:ascii="Times New Roman" w:cs="Times New Roman" w:eastAsia="Times New Roman" w:hAnsi="Times New Roman"/>
          <w:sz w:val="19"/>
          <w:szCs w:val="19"/>
          <w:color w:val="0E0E0E"/>
        </w:rPr>
        <w:t xml:space="preserve"> </w:t>
      </w:r>
      <w:r>
        <w:rPr>
          <w:rFonts w:ascii="Times New Roman" w:cs="Times New Roman" w:eastAsia="Times New Roman" w:hAnsi="Times New Roman"/>
          <w:sz w:val="19"/>
          <w:szCs w:val="19"/>
          <w:color w:val="1C1C1C"/>
        </w:rPr>
        <w:t>the</w:t>
      </w:r>
      <w:r>
        <w:rPr>
          <w:rFonts w:ascii="Times New Roman" w:cs="Times New Roman" w:eastAsia="Times New Roman" w:hAnsi="Times New Roman"/>
          <w:sz w:val="19"/>
          <w:szCs w:val="19"/>
          <w:color w:val="0E0E0E"/>
        </w:rPr>
        <w:t xml:space="preserve"> </w:t>
      </w:r>
      <w:r>
        <w:rPr>
          <w:rFonts w:ascii="Times New Roman" w:cs="Times New Roman" w:eastAsia="Times New Roman" w:hAnsi="Times New Roman"/>
          <w:sz w:val="19"/>
          <w:szCs w:val="19"/>
          <w:color w:val="0C0C0C"/>
        </w:rPr>
        <w:t>term of my employment or engagement with the</w:t>
      </w:r>
      <w:r>
        <w:rPr>
          <w:rFonts w:ascii="Times New Roman" w:cs="Times New Roman" w:eastAsia="Times New Roman" w:hAnsi="Times New Roman"/>
          <w:sz w:val="19"/>
          <w:szCs w:val="19"/>
          <w:color w:val="0E0E0E"/>
        </w:rPr>
        <w:t xml:space="preserve"> </w:t>
      </w:r>
      <w:r>
        <w:rPr>
          <w:rFonts w:ascii="Times New Roman" w:cs="Times New Roman" w:eastAsia="Times New Roman" w:hAnsi="Times New Roman"/>
          <w:sz w:val="19"/>
          <w:szCs w:val="19"/>
          <w:color w:val="0C0C0C"/>
        </w:rPr>
        <w:t xml:space="preserve">Company, and for a period of one year immediately following the termination of such employment or engagement for any reason, I will not, directly or indirectly, for my own benefit or for the benefit of any other </w:t>
      </w:r>
      <w:r>
        <w:rPr>
          <w:rFonts w:ascii="Times New Roman" w:cs="Times New Roman" w:eastAsia="Times New Roman" w:hAnsi="Times New Roman"/>
          <w:sz w:val="19"/>
          <w:szCs w:val="19"/>
          <w:color w:val="1C1C1C"/>
        </w:rPr>
        <w:t>individual</w:t>
      </w:r>
      <w:r>
        <w:rPr>
          <w:rFonts w:ascii="Times New Roman" w:cs="Times New Roman" w:eastAsia="Times New Roman" w:hAnsi="Times New Roman"/>
          <w:sz w:val="19"/>
          <w:szCs w:val="19"/>
          <w:color w:val="0C0C0C"/>
        </w:rPr>
        <w:t xml:space="preserve"> or entity: (a) employ or hire any Company Personnel in any capacity (whether as an employee, contractor, consultant or otherwise); (b) solicit </w:t>
      </w:r>
      <w:r>
        <w:rPr>
          <w:rFonts w:ascii="Times New Roman" w:cs="Times New Roman" w:eastAsia="Times New Roman" w:hAnsi="Times New Roman"/>
          <w:sz w:val="12"/>
          <w:szCs w:val="12"/>
          <w:color w:val="0C0C0C"/>
        </w:rPr>
        <w:t>01·</w:t>
      </w:r>
      <w:r>
        <w:rPr>
          <w:rFonts w:ascii="Times New Roman" w:cs="Times New Roman" w:eastAsia="Times New Roman" w:hAnsi="Times New Roman"/>
          <w:sz w:val="19"/>
          <w:szCs w:val="19"/>
          <w:color w:val="0C0C0C"/>
        </w:rPr>
        <w:t xml:space="preserve"> attempt to solicit for employment or hire any Company Personnel in any capacity; (c) entice or induce any Company Personnel to leave his or her or their employment with the Company; or (d) otherwise negatively interfere with the Company's relationship with any Company Personnel. Notwithstanding the foregoing, a general solicitation or advertisement for job opportunities that I may publish without targeting any Company Personnel shall not be considered a violation of Section 6.2(b).</w:t>
      </w:r>
    </w:p>
    <w:p>
      <w:pPr>
        <w:spacing w:after="0" w:line="173" w:lineRule="exact"/>
        <w:rPr>
          <w:sz w:val="20"/>
          <w:szCs w:val="20"/>
          <w:color w:val="auto"/>
        </w:rPr>
      </w:pPr>
    </w:p>
    <w:p>
      <w:pPr>
        <w:jc w:val="both"/>
        <w:ind w:right="20" w:firstLine="1453"/>
        <w:spacing w:after="0" w:line="248" w:lineRule="auto"/>
        <w:rPr>
          <w:sz w:val="20"/>
          <w:szCs w:val="20"/>
          <w:color w:val="auto"/>
        </w:rPr>
      </w:pPr>
      <w:r>
        <w:rPr>
          <w:rFonts w:ascii="Times New Roman" w:cs="Times New Roman" w:eastAsia="Times New Roman" w:hAnsi="Times New Roman"/>
          <w:sz w:val="20"/>
          <w:szCs w:val="20"/>
          <w:color w:val="0E0E0E"/>
        </w:rPr>
        <w:t xml:space="preserve">6.2 </w:t>
      </w:r>
      <w:r>
        <w:rPr>
          <w:rFonts w:ascii="Times New Roman" w:cs="Times New Roman" w:eastAsia="Times New Roman" w:hAnsi="Times New Roman"/>
          <w:sz w:val="20"/>
          <w:szCs w:val="20"/>
          <w:u w:val="single" w:color="auto"/>
          <w:color w:val="131313"/>
        </w:rPr>
        <w:t>Non-Solicitation of Company Customers.</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During the term of my employment or engagement with the</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 xml:space="preserve">Company, I will not, directly or indirectly, for my own benefit or for the benefit of any other individual or entity: (a) solicit business from, or offer to provide products or services that are similar to any product or service provided or that could be provided by the Company or that are otherwise competitive with the Business to, any Company Customer; (b) cause or encourage any Company Customer </w:t>
      </w:r>
      <w:r>
        <w:rPr>
          <w:rFonts w:ascii="Times New Roman" w:cs="Times New Roman" w:eastAsia="Times New Roman" w:hAnsi="Times New Roman"/>
          <w:sz w:val="20"/>
          <w:szCs w:val="20"/>
          <w:i w:val="1"/>
          <w:iCs w:val="1"/>
          <w:color w:val="131313"/>
        </w:rPr>
        <w:t>to</w:t>
      </w:r>
      <w:r>
        <w:rPr>
          <w:rFonts w:ascii="Times New Roman" w:cs="Times New Roman" w:eastAsia="Times New Roman" w:hAnsi="Times New Roman"/>
          <w:sz w:val="20"/>
          <w:szCs w:val="20"/>
          <w:color w:val="131313"/>
        </w:rPr>
        <w:t xml:space="preserve"> reduce or cease doing business with the Company, or (c) otherwise negatively interfere with the Company's relationships with any Company Customer.</w:t>
      </w:r>
    </w:p>
    <w:p>
      <w:pPr>
        <w:spacing w:after="0" w:line="181" w:lineRule="exact"/>
        <w:rPr>
          <w:sz w:val="20"/>
          <w:szCs w:val="20"/>
          <w:color w:val="auto"/>
        </w:rPr>
      </w:pPr>
    </w:p>
    <w:p>
      <w:pPr>
        <w:jc w:val="both"/>
        <w:ind w:left="20" w:right="20" w:firstLine="1453"/>
        <w:spacing w:after="0" w:line="249" w:lineRule="auto"/>
        <w:rPr>
          <w:sz w:val="20"/>
          <w:szCs w:val="20"/>
          <w:color w:val="auto"/>
        </w:rPr>
      </w:pPr>
      <w:r>
        <w:rPr>
          <w:rFonts w:ascii="Times New Roman" w:cs="Times New Roman" w:eastAsia="Times New Roman" w:hAnsi="Times New Roman"/>
          <w:sz w:val="20"/>
          <w:szCs w:val="20"/>
          <w:color w:val="0E0E0E"/>
        </w:rPr>
        <w:t xml:space="preserve">6.3 </w:t>
      </w:r>
      <w:r>
        <w:rPr>
          <w:rFonts w:ascii="Times New Roman" w:cs="Times New Roman" w:eastAsia="Times New Roman" w:hAnsi="Times New Roman"/>
          <w:sz w:val="20"/>
          <w:szCs w:val="20"/>
          <w:u w:val="single" w:color="auto"/>
          <w:color w:val="131313"/>
        </w:rPr>
        <w:t>Interpretation</w:t>
      </w:r>
      <w:r>
        <w:rPr>
          <w:rFonts w:ascii="Times New Roman" w:cs="Times New Roman" w:eastAsia="Times New Roman" w:hAnsi="Times New Roman"/>
          <w:sz w:val="20"/>
          <w:szCs w:val="20"/>
          <w:color w:val="131313"/>
        </w:rPr>
        <w:t>. If any restriction set forth in the Restrictive Covenants is found by any court of</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66" w:lineRule="exact"/>
        <w:rPr>
          <w:sz w:val="20"/>
          <w:szCs w:val="20"/>
          <w:color w:val="auto"/>
        </w:rPr>
      </w:pPr>
    </w:p>
    <w:p>
      <w:pPr>
        <w:jc w:val="both"/>
        <w:ind w:left="20" w:right="20" w:firstLine="1437"/>
        <w:spacing w:after="0" w:line="254" w:lineRule="auto"/>
        <w:rPr>
          <w:sz w:val="20"/>
          <w:szCs w:val="20"/>
          <w:color w:val="auto"/>
        </w:rPr>
      </w:pPr>
      <w:r>
        <w:rPr>
          <w:rFonts w:ascii="Times New Roman" w:cs="Times New Roman" w:eastAsia="Times New Roman" w:hAnsi="Times New Roman"/>
          <w:sz w:val="20"/>
          <w:szCs w:val="20"/>
          <w:color w:val="0E0E0E"/>
        </w:rPr>
        <w:t xml:space="preserve">6.4 </w:t>
      </w:r>
      <w:r>
        <w:rPr>
          <w:rFonts w:ascii="Times New Roman" w:cs="Times New Roman" w:eastAsia="Times New Roman" w:hAnsi="Times New Roman"/>
          <w:sz w:val="20"/>
          <w:szCs w:val="20"/>
          <w:u w:val="single" w:color="auto"/>
          <w:color w:val="131313"/>
        </w:rPr>
        <w:t>Waiver.</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At any time, the Company may in its sole discretion elect to waive any or part of the</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31313"/>
        </w:rPr>
        <w:t>Restrictive Covenants, provided any such waiver is expressly agreed to in writing by an executive officer of the Company, or, if I am an executive officer of the Company, by the Board of Directors of the Company,</w:t>
      </w:r>
    </w:p>
    <w:p>
      <w:pPr>
        <w:spacing w:after="0" w:line="174" w:lineRule="exact"/>
        <w:rPr>
          <w:sz w:val="20"/>
          <w:szCs w:val="20"/>
          <w:color w:val="auto"/>
        </w:rPr>
      </w:pPr>
    </w:p>
    <w:p>
      <w:pPr>
        <w:ind w:left="1480"/>
        <w:spacing w:after="0"/>
        <w:tabs>
          <w:tab w:leader="none" w:pos="2180" w:val="left"/>
        </w:tabs>
        <w:rPr>
          <w:sz w:val="20"/>
          <w:szCs w:val="20"/>
          <w:color w:val="auto"/>
        </w:rPr>
      </w:pPr>
      <w:r>
        <w:rPr>
          <w:rFonts w:ascii="Times New Roman" w:cs="Times New Roman" w:eastAsia="Times New Roman" w:hAnsi="Times New Roman"/>
          <w:sz w:val="20"/>
          <w:szCs w:val="20"/>
          <w:color w:val="0E0E0E"/>
        </w:rPr>
        <w:t>6.5</w:t>
      </w:r>
      <w:r>
        <w:rPr>
          <w:sz w:val="20"/>
          <w:szCs w:val="20"/>
          <w:color w:val="auto"/>
        </w:rPr>
        <w:tab/>
      </w:r>
      <w:r>
        <w:rPr>
          <w:rFonts w:ascii="Times New Roman" w:cs="Times New Roman" w:eastAsia="Times New Roman" w:hAnsi="Times New Roman"/>
          <w:sz w:val="19"/>
          <w:szCs w:val="19"/>
          <w:u w:val="single" w:color="auto"/>
          <w:color w:val="131313"/>
        </w:rPr>
        <w:t xml:space="preserve">Definitions. </w:t>
      </w:r>
      <w:r>
        <w:rPr>
          <w:rFonts w:ascii="Times New Roman" w:cs="Times New Roman" w:eastAsia="Times New Roman" w:hAnsi="Times New Roman"/>
          <w:sz w:val="19"/>
          <w:szCs w:val="19"/>
          <w:color w:val="131313"/>
        </w:rPr>
        <w:t>As used in the Restrictive Covenants:</w:t>
      </w:r>
    </w:p>
    <w:p>
      <w:pPr>
        <w:spacing w:after="0" w:line="216" w:lineRule="exact"/>
        <w:rPr>
          <w:sz w:val="20"/>
          <w:szCs w:val="20"/>
          <w:color w:val="auto"/>
        </w:rPr>
      </w:pPr>
    </w:p>
    <w:p>
      <w:pPr>
        <w:jc w:val="both"/>
        <w:ind w:left="20" w:firstLine="1455"/>
        <w:spacing w:after="0" w:line="249" w:lineRule="auto"/>
        <w:tabs>
          <w:tab w:leader="none" w:pos="1985" w:val="left"/>
        </w:tabs>
        <w:numPr>
          <w:ilvl w:val="0"/>
          <w:numId w:val="77"/>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131313"/>
        </w:rPr>
        <w:t xml:space="preserve">The term </w:t>
      </w:r>
      <w:r>
        <w:rPr>
          <w:rFonts w:ascii="Times New Roman" w:cs="Times New Roman" w:eastAsia="Times New Roman" w:hAnsi="Times New Roman"/>
          <w:sz w:val="20"/>
          <w:szCs w:val="20"/>
          <w:u w:val="single" w:color="auto"/>
          <w:color w:val="131313"/>
        </w:rPr>
        <w:t>"Business"</w:t>
      </w:r>
      <w:r>
        <w:rPr>
          <w:rFonts w:ascii="Times New Roman" w:cs="Times New Roman" w:eastAsia="Times New Roman" w:hAnsi="Times New Roman"/>
          <w:sz w:val="20"/>
          <w:szCs w:val="20"/>
          <w:color w:val="131313"/>
        </w:rPr>
        <w:t xml:space="preserve"> means any business or part thereof that develops, manufactures, markets, licenses, sells or provides any product or service that competes with any product or service developed, manufactured, marketed, licensed, sold or provided, or planned to be developed, manufactured, marketed, licensed, sold or provided, by the Company, in each case at any time during my employment or engagement with the Company.</w:t>
      </w:r>
    </w:p>
    <w:p>
      <w:pPr>
        <w:spacing w:after="0" w:line="166" w:lineRule="exact"/>
        <w:rPr>
          <w:rFonts w:ascii="Times New Roman" w:cs="Times New Roman" w:eastAsia="Times New Roman" w:hAnsi="Times New Roman"/>
          <w:sz w:val="20"/>
          <w:szCs w:val="20"/>
          <w:color w:val="0E0E0E"/>
        </w:rPr>
      </w:pPr>
    </w:p>
    <w:p>
      <w:pPr>
        <w:jc w:val="both"/>
        <w:ind w:left="20" w:firstLine="1455"/>
        <w:spacing w:after="0" w:line="258" w:lineRule="auto"/>
        <w:tabs>
          <w:tab w:leader="none" w:pos="1985" w:val="left"/>
        </w:tabs>
        <w:numPr>
          <w:ilvl w:val="0"/>
          <w:numId w:val="77"/>
        </w:numPr>
        <w:rPr>
          <w:rFonts w:ascii="Times New Roman" w:cs="Times New Roman" w:eastAsia="Times New Roman" w:hAnsi="Times New Roman"/>
          <w:sz w:val="19"/>
          <w:szCs w:val="19"/>
          <w:color w:val="0E0E0E"/>
        </w:rPr>
      </w:pPr>
      <w:r>
        <w:rPr>
          <w:rFonts w:ascii="Times New Roman" w:cs="Times New Roman" w:eastAsia="Times New Roman" w:hAnsi="Times New Roman"/>
          <w:sz w:val="19"/>
          <w:szCs w:val="19"/>
          <w:color w:val="131313"/>
        </w:rPr>
        <w:t xml:space="preserve">The term </w:t>
      </w:r>
      <w:r>
        <w:rPr>
          <w:rFonts w:ascii="Times New Roman" w:cs="Times New Roman" w:eastAsia="Times New Roman" w:hAnsi="Times New Roman"/>
          <w:sz w:val="19"/>
          <w:szCs w:val="19"/>
          <w:u w:val="single" w:color="auto"/>
          <w:color w:val="131313"/>
        </w:rPr>
        <w:t>"Company Customer"</w:t>
      </w:r>
      <w:r>
        <w:rPr>
          <w:rFonts w:ascii="Times New Roman" w:cs="Times New Roman" w:eastAsia="Times New Roman" w:hAnsi="Times New Roman"/>
          <w:sz w:val="19"/>
          <w:szCs w:val="19"/>
          <w:color w:val="131313"/>
        </w:rPr>
        <w:t xml:space="preserve"> means any individual or entity who (i) is, or was at any time during the one year period prior to my employment or engagement with the Company, a customer, supplier, or vendor of the Company of whom I learned, with whom I had business contact or about whom I obtained Proprietary Information at any time during my employment or engagement with the Company, or (ii) is a prospective customer, supplier, or vendor of the Company of whom I</w:t>
      </w:r>
    </w:p>
    <w:p>
      <w:pPr>
        <w:spacing w:after="0" w:line="1" w:lineRule="exact"/>
        <w:rPr>
          <w:sz w:val="20"/>
          <w:szCs w:val="20"/>
          <w:color w:val="auto"/>
        </w:rPr>
      </w:pPr>
    </w:p>
    <w:p>
      <w:pPr>
        <w:jc w:val="both"/>
        <w:ind w:left="20" w:right="20"/>
        <w:spacing w:after="0" w:line="239" w:lineRule="auto"/>
        <w:rPr>
          <w:sz w:val="20"/>
          <w:szCs w:val="20"/>
          <w:color w:val="auto"/>
        </w:rPr>
      </w:pPr>
      <w:r>
        <w:rPr>
          <w:rFonts w:ascii="Times New Roman" w:cs="Times New Roman" w:eastAsia="Times New Roman" w:hAnsi="Times New Roman"/>
          <w:sz w:val="20"/>
          <w:szCs w:val="20"/>
          <w:color w:val="050505"/>
        </w:rPr>
        <w:t xml:space="preserve">learned, </w:t>
      </w:r>
      <w:r>
        <w:rPr>
          <w:rFonts w:ascii="Times New Roman" w:cs="Times New Roman" w:eastAsia="Times New Roman" w:hAnsi="Times New Roman"/>
          <w:sz w:val="20"/>
          <w:szCs w:val="20"/>
          <w:color w:val="131313"/>
        </w:rPr>
        <w:t>with whom I had business contact, or about whom I obtained Proprietary Information as part of a solicitation of</w:t>
      </w:r>
      <w:r>
        <w:rPr>
          <w:rFonts w:ascii="Times New Roman" w:cs="Times New Roman" w:eastAsia="Times New Roman" w:hAnsi="Times New Roman"/>
          <w:sz w:val="20"/>
          <w:szCs w:val="20"/>
          <w:color w:val="050505"/>
        </w:rPr>
        <w:t xml:space="preserve"> </w:t>
      </w:r>
      <w:r>
        <w:rPr>
          <w:rFonts w:ascii="Times New Roman" w:cs="Times New Roman" w:eastAsia="Times New Roman" w:hAnsi="Times New Roman"/>
          <w:sz w:val="20"/>
          <w:szCs w:val="20"/>
          <w:color w:val="131313"/>
        </w:rPr>
        <w:t>business on behalf of the Company at any time during the one year period prior to my termination of employment or engagement with the Company.</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570230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860" w:top="724" w:right="839" w:bottom="1440" w:gutter="0" w:footer="0" w:header="0"/>
        </w:sectPr>
      </w:pPr>
    </w:p>
    <w:bookmarkStart w:id="96" w:name="page97"/>
    <w:bookmarkEnd w:id="96"/>
    <w:p>
      <w:pPr>
        <w:jc w:val="both"/>
        <w:ind w:left="560" w:right="500" w:firstLine="1455"/>
        <w:spacing w:after="0" w:line="254" w:lineRule="auto"/>
        <w:tabs>
          <w:tab w:leader="none" w:pos="2526" w:val="left"/>
        </w:tabs>
        <w:numPr>
          <w:ilvl w:val="2"/>
          <w:numId w:val="78"/>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131313"/>
        </w:rPr>
        <w:t xml:space="preserve">The term </w:t>
      </w:r>
      <w:r>
        <w:rPr>
          <w:rFonts w:ascii="Times New Roman" w:cs="Times New Roman" w:eastAsia="Times New Roman" w:hAnsi="Times New Roman"/>
          <w:sz w:val="20"/>
          <w:szCs w:val="20"/>
          <w:u w:val="single" w:color="auto"/>
          <w:color w:val="131313"/>
        </w:rPr>
        <w:t>"Company Personnel"</w:t>
      </w:r>
      <w:r>
        <w:rPr>
          <w:rFonts w:ascii="Times New Roman" w:cs="Times New Roman" w:eastAsia="Times New Roman" w:hAnsi="Times New Roman"/>
          <w:sz w:val="20"/>
          <w:szCs w:val="20"/>
          <w:color w:val="131313"/>
        </w:rPr>
        <w:t xml:space="preserve"> means any individual or entity who is or was at any time during the six months period prior to my solicitation or other activity prohibited by Section 6.2, employed or engaged (whether as an employee, consultant, independent contractor or in any other capacity) by the Company.</w:t>
      </w:r>
    </w:p>
    <w:p>
      <w:pPr>
        <w:spacing w:after="0" w:line="187" w:lineRule="exact"/>
        <w:rPr>
          <w:rFonts w:ascii="Times New Roman" w:cs="Times New Roman" w:eastAsia="Times New Roman" w:hAnsi="Times New Roman"/>
          <w:sz w:val="20"/>
          <w:szCs w:val="20"/>
          <w:color w:val="0E0E0E"/>
        </w:rPr>
      </w:pPr>
    </w:p>
    <w:p>
      <w:pPr>
        <w:jc w:val="both"/>
        <w:ind w:left="540" w:right="560" w:firstLine="1430"/>
        <w:spacing w:after="0" w:line="249" w:lineRule="auto"/>
        <w:tabs>
          <w:tab w:leader="none" w:pos="2898" w:val="left"/>
        </w:tabs>
        <w:numPr>
          <w:ilvl w:val="1"/>
          <w:numId w:val="79"/>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 xml:space="preserve">The term </w:t>
      </w:r>
      <w:r>
        <w:rPr>
          <w:rFonts w:ascii="Times New Roman" w:cs="Times New Roman" w:eastAsia="Times New Roman" w:hAnsi="Times New Roman"/>
          <w:sz w:val="20"/>
          <w:szCs w:val="20"/>
          <w:u w:val="single" w:color="auto"/>
          <w:color w:val="0E0E0E"/>
        </w:rPr>
        <w:t>"Restricted Territory"</w:t>
      </w:r>
      <w:r>
        <w:rPr>
          <w:rFonts w:ascii="Times New Roman" w:cs="Times New Roman" w:eastAsia="Times New Roman" w:hAnsi="Times New Roman"/>
          <w:sz w:val="20"/>
          <w:szCs w:val="20"/>
          <w:color w:val="0E0E0E"/>
        </w:rPr>
        <w:t xml:space="preserve"> means each city, county, state, territory and country in which (i) I provided services or had a material presence or influence at any time during the last two years of my employment or engagement with the Company or (ii) the Company is engaged in or has plans to engage in the Business as of the termination of my employment or engagement with the Company.</w:t>
      </w:r>
    </w:p>
    <w:p>
      <w:pPr>
        <w:spacing w:after="0" w:line="166" w:lineRule="exact"/>
        <w:rPr>
          <w:rFonts w:ascii="Times New Roman" w:cs="Times New Roman" w:eastAsia="Times New Roman" w:hAnsi="Times New Roman"/>
          <w:sz w:val="20"/>
          <w:szCs w:val="20"/>
          <w:color w:val="0E0E0E"/>
        </w:rPr>
      </w:pPr>
    </w:p>
    <w:p>
      <w:pPr>
        <w:jc w:val="both"/>
        <w:ind w:left="540" w:right="540" w:firstLine="711"/>
        <w:spacing w:after="0" w:line="254" w:lineRule="auto"/>
        <w:tabs>
          <w:tab w:leader="none" w:pos="1529" w:val="left"/>
        </w:tabs>
        <w:numPr>
          <w:ilvl w:val="0"/>
          <w:numId w:val="80"/>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0E0E0E"/>
        </w:rPr>
        <w:t>Notification to Other Parties.</w:t>
      </w:r>
      <w:r>
        <w:rPr>
          <w:rFonts w:ascii="Times New Roman" w:cs="Times New Roman" w:eastAsia="Times New Roman" w:hAnsi="Times New Roman"/>
          <w:sz w:val="20"/>
          <w:szCs w:val="20"/>
          <w:color w:val="0E0E0E"/>
        </w:rPr>
        <w:t xml:space="preserve"> In the event of termination of my employment or engagement with the Company for any reason, I hereby consent to notification by the Company to my new employer or other party for whom I work about my rights and obligations under this Agreement.</w:t>
      </w:r>
    </w:p>
    <w:p>
      <w:pPr>
        <w:spacing w:after="0" w:line="174" w:lineRule="exact"/>
        <w:rPr>
          <w:rFonts w:ascii="Times New Roman" w:cs="Times New Roman" w:eastAsia="Times New Roman" w:hAnsi="Times New Roman"/>
          <w:sz w:val="20"/>
          <w:szCs w:val="20"/>
          <w:color w:val="0E0E0E"/>
        </w:rPr>
      </w:pPr>
    </w:p>
    <w:p>
      <w:pPr>
        <w:jc w:val="both"/>
        <w:ind w:left="540" w:right="540" w:firstLine="711"/>
        <w:spacing w:after="0" w:line="243" w:lineRule="auto"/>
        <w:tabs>
          <w:tab w:leader="none" w:pos="1529" w:val="left"/>
        </w:tabs>
        <w:numPr>
          <w:ilvl w:val="0"/>
          <w:numId w:val="80"/>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0E0E0E"/>
        </w:rPr>
        <w:t>Employment at Will.</w:t>
      </w:r>
      <w:r>
        <w:rPr>
          <w:rFonts w:ascii="Times New Roman" w:cs="Times New Roman" w:eastAsia="Times New Roman" w:hAnsi="Times New Roman"/>
          <w:sz w:val="20"/>
          <w:szCs w:val="20"/>
          <w:color w:val="0E0E0E"/>
        </w:rPr>
        <w:t xml:space="preserve"> I understand and agree that my employment or engagement with the Company is at will. Accordingly, my employment or engagement can be terminated at any time, without cause or notice, at my option or the Company's option. The at-will nature of my employment or engagement also means that I can be transferred or demoted, and my job title, compensation, benefits and other terms and conditions of employment or engagement can be reduced, at any time with or without cause. I acknowledge that such changes shall not affect the enforceability of the Restrictive Covenants or other terms of this Agreement. This at-will status of my employment relationship or engagement with the Company shall remain in full force and effect throughout my employment or engagement with the Company, and the Restrictive Covenants shall remain in full force and effect pursuant to their terms. The at-will status of my employment or engagement can be modified only in a written agreement that expressly alters such status and which is signed by both an authorized officer of the Company and me.</w:t>
      </w:r>
    </w:p>
    <w:p>
      <w:pPr>
        <w:spacing w:after="0" w:line="172" w:lineRule="exact"/>
        <w:rPr>
          <w:rFonts w:ascii="Times New Roman" w:cs="Times New Roman" w:eastAsia="Times New Roman" w:hAnsi="Times New Roman"/>
          <w:sz w:val="20"/>
          <w:szCs w:val="20"/>
          <w:color w:val="0E0E0E"/>
        </w:rPr>
      </w:pPr>
    </w:p>
    <w:p>
      <w:pPr>
        <w:ind w:left="1980" w:hanging="729"/>
        <w:spacing w:after="0"/>
        <w:tabs>
          <w:tab w:leader="none" w:pos="1980" w:val="left"/>
        </w:tabs>
        <w:numPr>
          <w:ilvl w:val="0"/>
          <w:numId w:val="80"/>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0E0E0E"/>
        </w:rPr>
        <w:t>Miscellaneous.</w:t>
      </w:r>
    </w:p>
    <w:p>
      <w:pPr>
        <w:spacing w:after="0" w:line="216" w:lineRule="exact"/>
        <w:rPr>
          <w:sz w:val="20"/>
          <w:szCs w:val="20"/>
          <w:color w:val="auto"/>
        </w:rPr>
      </w:pPr>
    </w:p>
    <w:p>
      <w:pPr>
        <w:jc w:val="both"/>
        <w:ind w:left="540" w:right="520" w:firstLine="1381"/>
        <w:spacing w:after="0" w:line="245" w:lineRule="auto"/>
        <w:rPr>
          <w:sz w:val="20"/>
          <w:szCs w:val="20"/>
          <w:color w:val="auto"/>
        </w:rPr>
      </w:pPr>
      <w:r>
        <w:rPr>
          <w:rFonts w:ascii="Times New Roman" w:cs="Times New Roman" w:eastAsia="Times New Roman" w:hAnsi="Times New Roman"/>
          <w:sz w:val="20"/>
          <w:szCs w:val="20"/>
          <w:color w:val="0E0E0E"/>
        </w:rPr>
        <w:t>9.1 The parties' rights and obligations under this Agreement will bind and inure to the benefit of their respective successors, heirs, executors, and administrators and permitted assigns. I will not assign this Agreement or my obligations hereunder without the prior written consent of the Company, which consent may be withheld in the Company's sole discretion, and any such purpo1ted assignment without consent shall be null and void from the beginning. I agree that the Company may freely assign or otherwise transfer this Agreement to any affiliate or successor in interest (whether by way of merger, sale, acquisition or corporate re­organization or any substantially similar process) of the Company.</w:t>
      </w:r>
    </w:p>
    <w:p>
      <w:pPr>
        <w:spacing w:after="0" w:line="184" w:lineRule="exact"/>
        <w:rPr>
          <w:sz w:val="20"/>
          <w:szCs w:val="20"/>
          <w:color w:val="auto"/>
        </w:rPr>
      </w:pPr>
    </w:p>
    <w:p>
      <w:pPr>
        <w:jc w:val="both"/>
        <w:ind w:left="540" w:right="520" w:firstLine="1381"/>
        <w:spacing w:after="0" w:line="244" w:lineRule="auto"/>
        <w:rPr>
          <w:sz w:val="20"/>
          <w:szCs w:val="20"/>
          <w:color w:val="auto"/>
        </w:rPr>
      </w:pPr>
      <w:r>
        <w:rPr>
          <w:rFonts w:ascii="Times New Roman" w:cs="Times New Roman" w:eastAsia="Times New Roman" w:hAnsi="Times New Roman"/>
          <w:sz w:val="20"/>
          <w:szCs w:val="20"/>
          <w:color w:val="0E0E0E"/>
        </w:rPr>
        <w:t>9.2 This Agreement constitutes the parties' final, exclusive and complete understanding and agreement with respect to the subject matter hereof, and supersedes all prior and contemporaneous understandings and agreements, whether oral or written, relating to its subject matter. Notwithstanding the foregoing, this Agreement shall not supersede, limit or replace any restrictions or obligations contained in any prior proprietary information and inventions agreement by and between me and the Company or any of its affiliates to the extent such prior restrictions are more favorable to the Company than those set forth in this Agreement, and the Company shall be entitled to the full benefits of this Agreement and any such other restrictions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ind w:left="1920"/>
              <w:spacing w:after="0"/>
              <w:rPr>
                <w:sz w:val="20"/>
                <w:szCs w:val="20"/>
                <w:color w:val="auto"/>
              </w:rPr>
            </w:pPr>
            <w:r>
              <w:rPr>
                <w:rFonts w:ascii="Times New Roman" w:cs="Times New Roman" w:eastAsia="Times New Roman" w:hAnsi="Times New Roman"/>
                <w:sz w:val="20"/>
                <w:szCs w:val="20"/>
                <w:color w:val="0E0E0E"/>
              </w:rPr>
              <w:t>9.3   Any subsequent change</w:t>
            </w:r>
          </w:p>
        </w:tc>
        <w:tc>
          <w:tcPr>
            <w:tcW w:w="41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0E0E0E"/>
              </w:rPr>
              <w:t>or changes in my duties, obligations, rights or</w:t>
            </w:r>
          </w:p>
        </w:tc>
        <w:tc>
          <w:tcPr>
            <w:tcW w:w="254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0E0E0E"/>
              </w:rPr>
              <w:t>compensation</w:t>
            </w:r>
          </w:p>
        </w:tc>
      </w:tr>
      <w:tr>
        <w:trPr>
          <w:trHeight w:val="230"/>
        </w:trPr>
        <w:tc>
          <w:tcPr>
            <w:tcW w:w="87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0E0E0E"/>
              </w:rPr>
              <w:t>will not affect the validity or scope of this Agreement. This Agreement may not be</w:t>
            </w:r>
          </w:p>
        </w:tc>
        <w:tc>
          <w:tcPr>
            <w:tcW w:w="254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131313"/>
              </w:rPr>
              <w:t>waived, modified or</w:t>
            </w:r>
          </w:p>
        </w:tc>
      </w:tr>
      <w:tr>
        <w:trPr>
          <w:trHeight w:val="230"/>
        </w:trPr>
        <w:tc>
          <w:tcPr>
            <w:tcW w:w="87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131313"/>
              </w:rPr>
              <w:t>amended unless mutually agreed upon in writing by both parties. No delay or</w:t>
            </w:r>
          </w:p>
        </w:tc>
        <w:tc>
          <w:tcPr>
            <w:tcW w:w="2540" w:type="dxa"/>
            <w:vAlign w:val="bottom"/>
          </w:tcPr>
          <w:p>
            <w:pPr>
              <w:spacing w:after="0"/>
              <w:rPr>
                <w:sz w:val="19"/>
                <w:szCs w:val="19"/>
                <w:color w:val="auto"/>
              </w:rPr>
            </w:pPr>
          </w:p>
        </w:tc>
      </w:tr>
      <w:tr>
        <w:trPr>
          <w:trHeight w:val="258"/>
        </w:trPr>
        <w:tc>
          <w:tcPr>
            <w:tcW w:w="4520" w:type="dxa"/>
            <w:vAlign w:val="bottom"/>
          </w:tcPr>
          <w:p>
            <w:pPr>
              <w:spacing w:after="0"/>
              <w:rPr>
                <w:sz w:val="22"/>
                <w:szCs w:val="22"/>
                <w:color w:val="auto"/>
              </w:rPr>
            </w:pPr>
          </w:p>
        </w:tc>
        <w:tc>
          <w:tcPr>
            <w:tcW w:w="4180" w:type="dxa"/>
            <w:vAlign w:val="bottom"/>
          </w:tcPr>
          <w:p>
            <w:pPr>
              <w:jc w:val="right"/>
              <w:ind w:right="2881"/>
              <w:spacing w:after="0"/>
              <w:rPr>
                <w:sz w:val="20"/>
                <w:szCs w:val="20"/>
                <w:color w:val="auto"/>
              </w:rPr>
            </w:pPr>
            <w:r>
              <w:rPr>
                <w:rFonts w:ascii="Times New Roman" w:cs="Times New Roman" w:eastAsia="Times New Roman" w:hAnsi="Times New Roman"/>
                <w:sz w:val="20"/>
                <w:szCs w:val="20"/>
                <w:color w:val="auto"/>
              </w:rPr>
              <w:t>21</w:t>
            </w:r>
          </w:p>
        </w:tc>
        <w:tc>
          <w:tcPr>
            <w:tcW w:w="2540" w:type="dxa"/>
            <w:vAlign w:val="bottom"/>
          </w:tcPr>
          <w:p>
            <w:pPr>
              <w:spacing w:after="0"/>
              <w:rPr>
                <w:sz w:val="22"/>
                <w:szCs w:val="22"/>
                <w:color w:val="auto"/>
              </w:rPr>
            </w:pPr>
          </w:p>
        </w:tc>
      </w:tr>
      <w:tr>
        <w:trPr>
          <w:trHeight w:val="933"/>
        </w:trPr>
        <w:tc>
          <w:tcPr>
            <w:tcW w:w="45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97" w:name="page98"/>
    <w:bookmarkEnd w:id="97"/>
    <w:p>
      <w:pPr>
        <w:jc w:val="both"/>
        <w:ind w:right="20"/>
        <w:spacing w:after="0" w:line="254" w:lineRule="auto"/>
        <w:rPr>
          <w:sz w:val="20"/>
          <w:szCs w:val="20"/>
          <w:color w:val="auto"/>
        </w:rPr>
      </w:pPr>
      <w:r>
        <w:rPr>
          <w:rFonts w:ascii="Times New Roman" w:cs="Times New Roman" w:eastAsia="Times New Roman" w:hAnsi="Times New Roman"/>
          <w:sz w:val="20"/>
          <w:szCs w:val="20"/>
          <w:color w:val="131313"/>
        </w:rPr>
        <w:t>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61" w:lineRule="exact"/>
        <w:rPr>
          <w:sz w:val="20"/>
          <w:szCs w:val="20"/>
          <w:color w:val="auto"/>
        </w:rPr>
      </w:pPr>
    </w:p>
    <w:p>
      <w:pPr>
        <w:jc w:val="both"/>
        <w:ind w:left="20" w:right="20" w:firstLine="1453"/>
        <w:spacing w:after="0" w:line="246" w:lineRule="auto"/>
        <w:rPr>
          <w:sz w:val="20"/>
          <w:szCs w:val="20"/>
          <w:color w:val="auto"/>
        </w:rPr>
      </w:pPr>
      <w:r>
        <w:rPr>
          <w:rFonts w:ascii="Times New Roman" w:cs="Times New Roman" w:eastAsia="Times New Roman" w:hAnsi="Times New Roman"/>
          <w:sz w:val="20"/>
          <w:szCs w:val="20"/>
          <w:color w:val="131313"/>
        </w:rPr>
        <w:t>9.4 If any provision of this Agreement is found by a proper authority to be unenforceable or invalid such unenforceability or invalidity shall not render this Agreement unenforceable or invalid as a whole and in such event, such provision shall be changed and interpreted so as to best accomplish the objectives of such unenforceable or invalid provision within the limits of applicable law or applicable court decisions and the remainder of the terms, provisions, covenants and restrictions of this Agreement shall remain in full force and effect and shall in no way be affected, impaired or invalidated.</w:t>
      </w:r>
    </w:p>
    <w:p>
      <w:pPr>
        <w:spacing w:after="0" w:line="171" w:lineRule="exact"/>
        <w:rPr>
          <w:sz w:val="20"/>
          <w:szCs w:val="20"/>
          <w:color w:val="auto"/>
        </w:rPr>
      </w:pPr>
    </w:p>
    <w:p>
      <w:pPr>
        <w:jc w:val="both"/>
        <w:ind w:left="20" w:firstLine="1453"/>
        <w:spacing w:after="0" w:line="246" w:lineRule="auto"/>
        <w:rPr>
          <w:sz w:val="20"/>
          <w:szCs w:val="20"/>
          <w:color w:val="auto"/>
        </w:rPr>
      </w:pPr>
      <w:r>
        <w:rPr>
          <w:rFonts w:ascii="Times New Roman" w:cs="Times New Roman" w:eastAsia="Times New Roman" w:hAnsi="Times New Roman"/>
          <w:sz w:val="20"/>
          <w:szCs w:val="20"/>
          <w:color w:val="131313"/>
        </w:rPr>
        <w:t>9.5 I acknowledge that the Company will suffer substantial damages not readily ascertainable or compensable in terms of money in the event of the breach of any of my obligations under this Agreement. I therefore agree that the Company shall be entitled (without limitation of any other rights or remedies otherwise available to the Company) to obtain an injunction from any court of competent jurisdiction prohibiting the continuance or recurrence of any breach of this Agreement.</w:t>
      </w:r>
    </w:p>
    <w:p>
      <w:pPr>
        <w:spacing w:after="0" w:line="171" w:lineRule="exact"/>
        <w:rPr>
          <w:sz w:val="20"/>
          <w:szCs w:val="20"/>
          <w:color w:val="auto"/>
        </w:rPr>
      </w:pPr>
    </w:p>
    <w:p>
      <w:pPr>
        <w:jc w:val="both"/>
        <w:ind w:left="20" w:firstLine="1468"/>
        <w:spacing w:after="0" w:line="244" w:lineRule="auto"/>
        <w:rPr>
          <w:sz w:val="20"/>
          <w:szCs w:val="20"/>
          <w:color w:val="auto"/>
        </w:rPr>
      </w:pPr>
      <w:r>
        <w:rPr>
          <w:rFonts w:ascii="Times New Roman" w:cs="Times New Roman" w:eastAsia="Times New Roman" w:hAnsi="Times New Roman"/>
          <w:sz w:val="20"/>
          <w:szCs w:val="20"/>
          <w:color w:val="131313"/>
        </w:rPr>
        <w:t xml:space="preserve">9.6 The rights and obligations of the parties under this Agreement shall be governed in all respects by the laws of the state in which I reside as of the date of this Agreement exclusively, without reference to any conflict of laws rule that would result in the application of the laws of any other jurisdiction. The parties agree that all disputes arising under this Agreement shall be adjudicated </w:t>
      </w:r>
      <w:r>
        <w:rPr>
          <w:rFonts w:ascii="Times New Roman" w:cs="Times New Roman" w:eastAsia="Times New Roman" w:hAnsi="Times New Roman"/>
          <w:sz w:val="20"/>
          <w:szCs w:val="20"/>
          <w:color w:val="050505"/>
        </w:rPr>
        <w:t>in</w:t>
      </w:r>
      <w:r>
        <w:rPr>
          <w:rFonts w:ascii="Times New Roman" w:cs="Times New Roman" w:eastAsia="Times New Roman" w:hAnsi="Times New Roman"/>
          <w:sz w:val="20"/>
          <w:szCs w:val="20"/>
          <w:color w:val="131313"/>
        </w:rPr>
        <w:t xml:space="preserve"> the state and federal courts having jurisdiction over disputes arising in Morris County, New Jersey and I hereby agree to consent to the personal jurisdiction of such court. The Company and I each hereby irrevocably waive any right to a trial by jury in any action, suit or other legal proceeding arising under or relating to any provision of this Agreement.</w:t>
      </w:r>
    </w:p>
    <w:p>
      <w:pPr>
        <w:spacing w:after="0" w:line="172" w:lineRule="exact"/>
        <w:rPr>
          <w:sz w:val="20"/>
          <w:szCs w:val="20"/>
          <w:color w:val="auto"/>
        </w:rPr>
      </w:pPr>
    </w:p>
    <w:p>
      <w:pPr>
        <w:jc w:val="both"/>
        <w:ind w:left="40" w:firstLine="1453"/>
        <w:spacing w:after="0" w:line="249" w:lineRule="auto"/>
        <w:rPr>
          <w:sz w:val="20"/>
          <w:szCs w:val="20"/>
          <w:color w:val="auto"/>
        </w:rPr>
      </w:pPr>
      <w:r>
        <w:rPr>
          <w:rFonts w:ascii="Times New Roman" w:cs="Times New Roman" w:eastAsia="Times New Roman" w:hAnsi="Times New Roman"/>
          <w:sz w:val="20"/>
          <w:szCs w:val="20"/>
          <w:color w:val="131313"/>
        </w:rPr>
        <w:t xml:space="preserve">9.7 Any notices required or permitted hereunder shall be given to the appropriate party at </w:t>
      </w:r>
      <w:r>
        <w:rPr>
          <w:rFonts w:ascii="Times New Roman" w:cs="Times New Roman" w:eastAsia="Times New Roman" w:hAnsi="Times New Roman"/>
          <w:sz w:val="20"/>
          <w:szCs w:val="20"/>
          <w:color w:val="050505"/>
        </w:rPr>
        <w:t>the</w:t>
      </w:r>
      <w:r>
        <w:rPr>
          <w:rFonts w:ascii="Times New Roman" w:cs="Times New Roman" w:eastAsia="Times New Roman" w:hAnsi="Times New Roman"/>
          <w:sz w:val="20"/>
          <w:szCs w:val="20"/>
          <w:color w:val="131313"/>
        </w:rPr>
        <w:t xml:space="preserve"> address specified on the signature page to this Agreement or at such other address as the party shall specify in writing. Such notice shall be deemed given upon personal delivery, or sent by certified or registered mail, postage prepaid, three days after the date of mailing.</w:t>
      </w:r>
    </w:p>
    <w:p>
      <w:pPr>
        <w:spacing w:after="0" w:line="180" w:lineRule="exact"/>
        <w:rPr>
          <w:sz w:val="20"/>
          <w:szCs w:val="20"/>
          <w:color w:val="auto"/>
        </w:rPr>
      </w:pPr>
    </w:p>
    <w:p>
      <w:pPr>
        <w:jc w:val="both"/>
        <w:ind w:left="40" w:firstLine="1468"/>
        <w:spacing w:after="0" w:line="269" w:lineRule="auto"/>
        <w:rPr>
          <w:sz w:val="20"/>
          <w:szCs w:val="20"/>
          <w:color w:val="auto"/>
        </w:rPr>
      </w:pPr>
      <w:r>
        <w:rPr>
          <w:rFonts w:ascii="Times New Roman" w:cs="Times New Roman" w:eastAsia="Times New Roman" w:hAnsi="Times New Roman"/>
          <w:sz w:val="20"/>
          <w:szCs w:val="20"/>
          <w:color w:val="131313"/>
        </w:rPr>
        <w:t>9.8 Except as otherwise provided herein, the provisions of this Agreement shall survive the termination of my employment or engagement with the Company for any reason.</w:t>
      </w:r>
    </w:p>
    <w:p>
      <w:pPr>
        <w:spacing w:after="0" w:line="146" w:lineRule="exact"/>
        <w:rPr>
          <w:sz w:val="20"/>
          <w:szCs w:val="20"/>
          <w:color w:val="auto"/>
        </w:rPr>
      </w:pPr>
    </w:p>
    <w:p>
      <w:pPr>
        <w:jc w:val="both"/>
        <w:ind w:left="40" w:firstLine="1468"/>
        <w:spacing w:after="0" w:line="246" w:lineRule="auto"/>
        <w:rPr>
          <w:sz w:val="20"/>
          <w:szCs w:val="20"/>
          <w:color w:val="auto"/>
        </w:rPr>
      </w:pPr>
      <w:r>
        <w:rPr>
          <w:rFonts w:ascii="Times New Roman" w:cs="Times New Roman" w:eastAsia="Times New Roman" w:hAnsi="Times New Roman"/>
          <w:sz w:val="20"/>
          <w:szCs w:val="20"/>
          <w:color w:val="131313"/>
        </w:rPr>
        <w:t xml:space="preserve">9.9 This Agreement may be executed in any number of counterparts, each of which shall be deemed to be an original and all of which together shall be deemed to be one and the same instrument. A facsimile, PDF (or any electronic signature complying with the U.S. federal ESIGN Act of 2000, e.g., </w:t>
      </w:r>
      <w:r>
        <w:rPr>
          <w:rFonts w:ascii="Times New Roman" w:cs="Times New Roman" w:eastAsia="Times New Roman" w:hAnsi="Times New Roman"/>
          <w:sz w:val="20"/>
          <w:szCs w:val="20"/>
          <w:color w:val="000000"/>
        </w:rPr>
        <w:t>www.docusign.com)</w:t>
      </w:r>
      <w:r>
        <w:rPr>
          <w:rFonts w:ascii="Times New Roman" w:cs="Times New Roman" w:eastAsia="Times New Roman" w:hAnsi="Times New Roman"/>
          <w:sz w:val="20"/>
          <w:szCs w:val="20"/>
          <w:color w:val="131313"/>
        </w:rPr>
        <w:t xml:space="preserve"> or any other type of copy of an executed version of this Agreement signed by a party is binding upon the signing party to the same extent as </w:t>
      </w:r>
      <w:r>
        <w:rPr>
          <w:rFonts w:ascii="Times New Roman" w:cs="Times New Roman" w:eastAsia="Times New Roman" w:hAnsi="Times New Roman"/>
          <w:sz w:val="20"/>
          <w:szCs w:val="20"/>
          <w:color w:val="050505"/>
        </w:rPr>
        <w:t>the</w:t>
      </w:r>
      <w:r>
        <w:rPr>
          <w:rFonts w:ascii="Times New Roman" w:cs="Times New Roman" w:eastAsia="Times New Roman" w:hAnsi="Times New Roman"/>
          <w:sz w:val="20"/>
          <w:szCs w:val="20"/>
          <w:color w:val="131313"/>
        </w:rPr>
        <w:t xml:space="preserve"> original of the signed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593090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860" w:top="738" w:right="839" w:bottom="1440" w:gutter="0" w:footer="0" w:header="0"/>
        </w:sectPr>
      </w:pPr>
    </w:p>
    <w:bookmarkStart w:id="98" w:name="page99"/>
    <w:bookmarkEnd w:id="98"/>
    <w:p>
      <w:pPr>
        <w:jc w:val="both"/>
        <w:ind w:firstLine="3"/>
        <w:spacing w:after="0" w:line="245" w:lineRule="auto"/>
        <w:rPr>
          <w:sz w:val="20"/>
          <w:szCs w:val="20"/>
          <w:color w:val="auto"/>
        </w:rPr>
      </w:pPr>
      <w:r>
        <w:rPr>
          <w:rFonts w:ascii="Times New Roman" w:cs="Times New Roman" w:eastAsia="Times New Roman" w:hAnsi="Times New Roman"/>
          <w:sz w:val="21"/>
          <w:szCs w:val="21"/>
          <w:color w:val="0C0C0C"/>
        </w:rPr>
        <w:t xml:space="preserve">I ACKNOWLEDGE THAT I HAVE THE RIGHT TO CONSULT WITH INDEPENDENT LEGAL COUNSEL PRIOR TO SIGNING THIS AGREEMENT AND HAVE HAD A REASONABLE OPPORTUNITY TO DO SO, AND THAT I EITHER HAVE CONSULTED, OR ON MY OWN VOLITION CHOSEN NOT TO CONSULT, WITH SUCH COUNSEL. I FURTHER ACKNOWLEDGE THAT I HAVE READ THIS AGREEMENT CAREFULLY AND I UNDERSTAND AND ACCEPT THE OBLIGATIONS WHICH IT IMPOSES UPON ME WITHOUT RESERVATION. NO PROMISES OR REPRESENTATIONS HAVE BEEN MADE TO ME TO INDUCE ME TO SIGN THIS AGREEMENT. I SIGN THIS AGREEMENT VOLUNTARILY AND </w:t>
      </w:r>
      <w:r>
        <w:rPr>
          <w:rFonts w:ascii="Times New Roman" w:cs="Times New Roman" w:eastAsia="Times New Roman" w:hAnsi="Times New Roman"/>
          <w:sz w:val="21"/>
          <w:szCs w:val="21"/>
          <w:color w:val="1F1F1F"/>
        </w:rPr>
        <w:t>FREELY,</w:t>
      </w:r>
      <w:r>
        <w:rPr>
          <w:rFonts w:ascii="Times New Roman" w:cs="Times New Roman" w:eastAsia="Times New Roman" w:hAnsi="Times New Roman"/>
          <w:sz w:val="21"/>
          <w:szCs w:val="21"/>
          <w:color w:val="0C0C0C"/>
        </w:rPr>
        <w:t xml:space="preserve"> IN DUPLICATE, WITH THE UNDERSTANDING THAT THE COMPANY WILL RETAIN ONE COUNTERPART AND THE OTHER COUNTERPART WILL BE RETAINED BY ME.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0C0C0C"/>
        </w:rPr>
        <w:t xml:space="preserve">(Signature </w:t>
      </w:r>
      <w:r>
        <w:rPr>
          <w:rFonts w:ascii="Times New Roman" w:cs="Times New Roman" w:eastAsia="Times New Roman" w:hAnsi="Times New Roman"/>
          <w:sz w:val="20"/>
          <w:szCs w:val="20"/>
          <w:i w:val="1"/>
          <w:iCs w:val="1"/>
          <w:color w:val="1F1F1F"/>
        </w:rPr>
        <w:t>Page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593090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860" w:top="1011" w:right="859" w:bottom="1440" w:gutter="0" w:footer="0" w:header="0"/>
        </w:sectPr>
      </w:pPr>
    </w:p>
    <w:bookmarkStart w:id="99" w:name="page100"/>
    <w:bookmarkEnd w:id="99"/>
    <w:p>
      <w:pPr>
        <w:ind w:left="3960"/>
        <w:spacing w:after="0"/>
        <w:rPr>
          <w:sz w:val="20"/>
          <w:szCs w:val="20"/>
          <w:color w:val="auto"/>
        </w:rPr>
      </w:pPr>
      <w:r>
        <w:rPr>
          <w:rFonts w:ascii="Times New Roman" w:cs="Times New Roman" w:eastAsia="Times New Roman" w:hAnsi="Times New Roman"/>
          <w:sz w:val="20"/>
          <w:szCs w:val="20"/>
          <w:u w:val="single" w:color="auto"/>
          <w:color w:val="auto"/>
        </w:rPr>
        <w:t>/s/ Molly Henderson</w:t>
      </w:r>
    </w:p>
    <w:p>
      <w:pPr>
        <w:spacing w:after="0" w:line="4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Name: Molly Henderson</w:t>
      </w:r>
    </w:p>
    <w:p>
      <w:pPr>
        <w:spacing w:after="0" w:line="4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Date: April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E0E0E"/>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0E0E0E"/>
        </w:rPr>
        <w:t>PHATHOM PHARMACEUTICALS, INC.</w:t>
      </w:r>
    </w:p>
    <w:p>
      <w:pPr>
        <w:spacing w:after="0" w:line="200" w:lineRule="exact"/>
        <w:rPr>
          <w:sz w:val="20"/>
          <w:szCs w:val="20"/>
          <w:color w:val="auto"/>
        </w:rPr>
      </w:pPr>
    </w:p>
    <w:p>
      <w:pPr>
        <w:spacing w:after="0" w:line="25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0E0E0E"/>
        </w:rPr>
        <w:t xml:space="preserve">By: </w:t>
      </w:r>
      <w:r>
        <w:rPr>
          <w:rFonts w:ascii="Times New Roman" w:cs="Times New Roman" w:eastAsia="Times New Roman" w:hAnsi="Times New Roman"/>
          <w:sz w:val="20"/>
          <w:szCs w:val="20"/>
          <w:u w:val="single" w:color="auto"/>
          <w:color w:val="0E0E0E"/>
        </w:rPr>
        <w:t>/s/ Joe Hand</w:t>
      </w:r>
    </w:p>
    <w:p>
      <w:pPr>
        <w:spacing w:after="0" w:line="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0E0E0E"/>
        </w:rPr>
        <w:t>Name: Joe Hand</w:t>
      </w:r>
    </w:p>
    <w:p>
      <w:pPr>
        <w:spacing w:after="0" w:line="11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0E0E0E"/>
        </w:rPr>
        <w:t>Title: Chief Administrative Officer Address: 100 Campus</w:t>
      </w:r>
    </w:p>
    <w:p>
      <w:pPr>
        <w:spacing w:after="0" w:line="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0E0E0E"/>
        </w:rPr>
        <w:t>Drive, Suite 102</w:t>
      </w:r>
    </w:p>
    <w:p>
      <w:pPr>
        <w:ind w:left="4300"/>
        <w:spacing w:after="0"/>
        <w:rPr>
          <w:sz w:val="20"/>
          <w:szCs w:val="20"/>
          <w:color w:val="auto"/>
        </w:rPr>
      </w:pPr>
      <w:r>
        <w:rPr>
          <w:rFonts w:ascii="Times New Roman" w:cs="Times New Roman" w:eastAsia="Times New Roman" w:hAnsi="Times New Roman"/>
          <w:sz w:val="20"/>
          <w:szCs w:val="20"/>
          <w:color w:val="0E0E0E"/>
        </w:rPr>
        <w:t>Florham Park, NJ 07932</w:t>
      </w:r>
    </w:p>
    <w:p>
      <w:pPr>
        <w:spacing w:after="0" w:line="200" w:lineRule="exact"/>
        <w:rPr>
          <w:sz w:val="20"/>
          <w:szCs w:val="20"/>
          <w:color w:val="auto"/>
        </w:rPr>
      </w:pP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584200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99"/>
          </w:cols>
          <w:pgMar w:left="860" w:top="1278" w:right="1440" w:bottom="1440" w:gutter="0" w:footer="0" w:header="0"/>
        </w:sectPr>
      </w:pPr>
    </w:p>
    <w:bookmarkStart w:id="100" w:name="page101"/>
    <w:bookmarkEnd w:id="100"/>
    <w:p>
      <w:pPr>
        <w:spacing w:after="0" w:line="69" w:lineRule="exact"/>
        <w:rPr>
          <w:sz w:val="20"/>
          <w:szCs w:val="20"/>
          <w:color w:val="auto"/>
        </w:rPr>
      </w:pPr>
    </w:p>
    <w:p>
      <w:pPr>
        <w:jc w:val="center"/>
        <w:ind w:right="157"/>
        <w:spacing w:after="0"/>
        <w:rPr>
          <w:sz w:val="20"/>
          <w:szCs w:val="20"/>
          <w:color w:val="auto"/>
        </w:rPr>
      </w:pPr>
      <w:r>
        <w:rPr>
          <w:rFonts w:ascii="Arial" w:cs="Arial" w:eastAsia="Arial" w:hAnsi="Arial"/>
          <w:sz w:val="20"/>
          <w:szCs w:val="20"/>
          <w:color w:val="1C1C1C"/>
        </w:rPr>
        <w:t xml:space="preserve">EXHIBIT </w:t>
      </w:r>
      <w:r>
        <w:rPr>
          <w:rFonts w:ascii="Arial" w:cs="Arial" w:eastAsia="Arial" w:hAnsi="Arial"/>
          <w:sz w:val="20"/>
          <w:szCs w:val="20"/>
          <w:color w:val="0C0C0C"/>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-11430</wp:posOffset>
            </wp:positionV>
            <wp:extent cx="6070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607060" cy="8890"/>
                    </a:xfrm>
                    <a:prstGeom prst="rect">
                      <a:avLst/>
                    </a:prstGeom>
                    <a:noFill/>
                  </pic:spPr>
                </pic:pic>
              </a:graphicData>
            </a:graphic>
          </wp:anchor>
        </w:drawing>
      </w:r>
    </w:p>
    <w:p>
      <w:pPr>
        <w:spacing w:after="0" w:line="177" w:lineRule="exact"/>
        <w:rPr>
          <w:sz w:val="20"/>
          <w:szCs w:val="20"/>
          <w:color w:val="auto"/>
        </w:rPr>
      </w:pPr>
    </w:p>
    <w:p>
      <w:pPr>
        <w:jc w:val="center"/>
        <w:ind w:right="157"/>
        <w:spacing w:after="0"/>
        <w:rPr>
          <w:sz w:val="20"/>
          <w:szCs w:val="20"/>
          <w:color w:val="auto"/>
        </w:rPr>
      </w:pPr>
      <w:r>
        <w:rPr>
          <w:rFonts w:ascii="Times New Roman" w:cs="Times New Roman" w:eastAsia="Times New Roman" w:hAnsi="Times New Roman"/>
          <w:sz w:val="20"/>
          <w:szCs w:val="20"/>
          <w:b w:val="1"/>
          <w:bCs w:val="1"/>
          <w:color w:val="0C0C0C"/>
        </w:rPr>
        <w:t>CALIFORNIA LABOR CODE</w:t>
      </w:r>
    </w:p>
    <w:p>
      <w:pPr>
        <w:spacing w:after="0" w:line="223" w:lineRule="exact"/>
        <w:rPr>
          <w:sz w:val="20"/>
          <w:szCs w:val="20"/>
          <w:color w:val="auto"/>
        </w:rPr>
      </w:pPr>
    </w:p>
    <w:p>
      <w:pPr>
        <w:ind w:left="3" w:firstLine="729"/>
        <w:spacing w:after="0" w:line="279" w:lineRule="auto"/>
        <w:rPr>
          <w:sz w:val="20"/>
          <w:szCs w:val="20"/>
          <w:color w:val="auto"/>
        </w:rPr>
      </w:pPr>
      <w:r>
        <w:rPr>
          <w:rFonts w:ascii="Times New Roman" w:cs="Times New Roman" w:eastAsia="Times New Roman" w:hAnsi="Times New Roman"/>
          <w:sz w:val="20"/>
          <w:szCs w:val="20"/>
          <w:color w:val="1C1C1C"/>
        </w:rPr>
        <w:t xml:space="preserve">California </w:t>
      </w:r>
      <w:r>
        <w:rPr>
          <w:rFonts w:ascii="Times New Roman" w:cs="Times New Roman" w:eastAsia="Times New Roman" w:hAnsi="Times New Roman"/>
          <w:sz w:val="20"/>
          <w:szCs w:val="20"/>
          <w:color w:val="0C0C0C"/>
        </w:rPr>
        <w:t>Labor Code</w:t>
      </w:r>
      <w:r>
        <w:rPr>
          <w:rFonts w:ascii="Times New Roman" w:cs="Times New Roman" w:eastAsia="Times New Roman" w:hAnsi="Times New Roman"/>
          <w:sz w:val="20"/>
          <w:szCs w:val="20"/>
          <w:color w:val="1C1C1C"/>
        </w:rPr>
        <w:t xml:space="preserve"> </w:t>
      </w:r>
      <w:r>
        <w:rPr>
          <w:rFonts w:ascii="Times New Roman" w:cs="Times New Roman" w:eastAsia="Times New Roman" w:hAnsi="Times New Roman"/>
          <w:sz w:val="20"/>
          <w:szCs w:val="20"/>
          <w:color w:val="0C0C0C"/>
        </w:rPr>
        <w:t>§</w:t>
      </w:r>
      <w:r>
        <w:rPr>
          <w:rFonts w:ascii="Times New Roman" w:cs="Times New Roman" w:eastAsia="Times New Roman" w:hAnsi="Times New Roman"/>
          <w:sz w:val="20"/>
          <w:szCs w:val="20"/>
          <w:color w:val="1C1C1C"/>
        </w:rPr>
        <w:t xml:space="preserve"> </w:t>
      </w:r>
      <w:r>
        <w:rPr>
          <w:rFonts w:ascii="Times New Roman" w:cs="Times New Roman" w:eastAsia="Times New Roman" w:hAnsi="Times New Roman"/>
          <w:sz w:val="20"/>
          <w:szCs w:val="20"/>
          <w:color w:val="0C0C0C"/>
        </w:rPr>
        <w:t>2870. Application of provision providing that employee shall assign or offer to as</w:t>
      </w:r>
      <w:r>
        <w:rPr>
          <w:rFonts w:ascii="Arial" w:cs="Arial" w:eastAsia="Arial" w:hAnsi="Arial"/>
          <w:sz w:val="13"/>
          <w:szCs w:val="13"/>
          <w:color w:val="333333"/>
        </w:rPr>
        <w:t>,</w:t>
      </w:r>
      <w:r>
        <w:rPr>
          <w:rFonts w:ascii="Arial" w:cs="Arial" w:eastAsia="Arial" w:hAnsi="Arial"/>
          <w:sz w:val="13"/>
          <w:szCs w:val="13"/>
          <w:color w:val="666666"/>
        </w:rPr>
        <w:t>_</w:t>
      </w:r>
      <w:r>
        <w:rPr>
          <w:rFonts w:ascii="Times New Roman" w:cs="Times New Roman" w:eastAsia="Times New Roman" w:hAnsi="Times New Roman"/>
          <w:sz w:val="20"/>
          <w:szCs w:val="20"/>
          <w:color w:val="0C0C0C"/>
        </w:rPr>
        <w:t>sign rights in</w:t>
      </w:r>
      <w:r>
        <w:rPr>
          <w:rFonts w:ascii="Times New Roman" w:cs="Times New Roman" w:eastAsia="Times New Roman" w:hAnsi="Times New Roman"/>
          <w:sz w:val="20"/>
          <w:szCs w:val="20"/>
          <w:color w:val="1C1C1C"/>
        </w:rPr>
        <w:t xml:space="preserve"> </w:t>
      </w:r>
      <w:r>
        <w:rPr>
          <w:rFonts w:ascii="Times New Roman" w:cs="Times New Roman" w:eastAsia="Times New Roman" w:hAnsi="Times New Roman"/>
          <w:sz w:val="20"/>
          <w:szCs w:val="20"/>
          <w:color w:val="0C0C0C"/>
        </w:rPr>
        <w:t>invention to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-198120</wp:posOffset>
            </wp:positionV>
            <wp:extent cx="15500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spacing w:after="0" w:line="76" w:lineRule="exact"/>
        <w:rPr>
          <w:sz w:val="20"/>
          <w:szCs w:val="20"/>
          <w:color w:val="auto"/>
        </w:rPr>
      </w:pPr>
    </w:p>
    <w:p>
      <w:pPr>
        <w:jc w:val="both"/>
        <w:ind w:left="703" w:right="140" w:hanging="703"/>
        <w:spacing w:after="0" w:line="249" w:lineRule="auto"/>
        <w:tabs>
          <w:tab w:leader="none" w:pos="703" w:val="left"/>
        </w:tabs>
        <w:numPr>
          <w:ilvl w:val="0"/>
          <w:numId w:val="81"/>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color w:val="0C0C0C"/>
        </w:rPr>
        <w:t xml:space="preserve">Any provision in an employment agreement which provides that an employee shall assign, or </w:t>
      </w:r>
      <w:r>
        <w:rPr>
          <w:rFonts w:ascii="Times New Roman" w:cs="Times New Roman" w:eastAsia="Times New Roman" w:hAnsi="Times New Roman"/>
          <w:sz w:val="20"/>
          <w:szCs w:val="20"/>
          <w:color w:val="1C1C1C"/>
        </w:rPr>
        <w:t>offer</w:t>
      </w:r>
      <w:r>
        <w:rPr>
          <w:rFonts w:ascii="Times New Roman" w:cs="Times New Roman" w:eastAsia="Times New Roman" w:hAnsi="Times New Roman"/>
          <w:sz w:val="20"/>
          <w:szCs w:val="20"/>
          <w:color w:val="0C0C0C"/>
        </w:rPr>
        <w:t xml:space="preserve"> to assign, any of his or her rights in </w:t>
      </w:r>
      <w:r>
        <w:rPr>
          <w:rFonts w:ascii="Times New Roman" w:cs="Times New Roman" w:eastAsia="Times New Roman" w:hAnsi="Times New Roman"/>
          <w:sz w:val="20"/>
          <w:szCs w:val="20"/>
          <w:color w:val="1C1C1C"/>
        </w:rPr>
        <w:t>an</w:t>
      </w:r>
      <w:r>
        <w:rPr>
          <w:rFonts w:ascii="Times New Roman" w:cs="Times New Roman" w:eastAsia="Times New Roman" w:hAnsi="Times New Roman"/>
          <w:sz w:val="20"/>
          <w:szCs w:val="20"/>
          <w:color w:val="0C0C0C"/>
        </w:rPr>
        <w:t xml:space="preserve"> invention to his or her employer shall not apply to an </w:t>
      </w:r>
      <w:r>
        <w:rPr>
          <w:rFonts w:ascii="Times New Roman" w:cs="Times New Roman" w:eastAsia="Times New Roman" w:hAnsi="Times New Roman"/>
          <w:sz w:val="20"/>
          <w:szCs w:val="20"/>
          <w:color w:val="1C1C1C"/>
        </w:rPr>
        <w:t>invention</w:t>
      </w:r>
      <w:r>
        <w:rPr>
          <w:rFonts w:ascii="Times New Roman" w:cs="Times New Roman" w:eastAsia="Times New Roman" w:hAnsi="Times New Roman"/>
          <w:sz w:val="20"/>
          <w:szCs w:val="20"/>
          <w:color w:val="0C0C0C"/>
        </w:rPr>
        <w:t xml:space="preserve"> that the employee developed entirely on his or her own time without using the employer's equipment, supplies, facilities, or trade secret information except for those inventions that either:</w:t>
      </w:r>
    </w:p>
    <w:p>
      <w:pPr>
        <w:spacing w:after="0" w:line="179" w:lineRule="exact"/>
        <w:rPr>
          <w:rFonts w:ascii="Times New Roman" w:cs="Times New Roman" w:eastAsia="Times New Roman" w:hAnsi="Times New Roman"/>
          <w:sz w:val="20"/>
          <w:szCs w:val="20"/>
          <w:color w:val="0C0C0C"/>
        </w:rPr>
      </w:pPr>
    </w:p>
    <w:p>
      <w:pPr>
        <w:ind w:left="1423" w:right="160" w:hanging="689"/>
        <w:spacing w:after="0" w:line="269" w:lineRule="auto"/>
        <w:tabs>
          <w:tab w:leader="none" w:pos="1423" w:val="left"/>
        </w:tabs>
        <w:numPr>
          <w:ilvl w:val="2"/>
          <w:numId w:val="81"/>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color w:val="0C0C0C"/>
        </w:rPr>
        <w:t>Relate at the time of conception or reduction to practice of the invention to the employer's business, or actual or demonstrably anticipated research or development of the employer; or</w:t>
      </w:r>
    </w:p>
    <w:p>
      <w:pPr>
        <w:spacing w:after="0" w:line="159" w:lineRule="exact"/>
        <w:rPr>
          <w:rFonts w:ascii="Times New Roman" w:cs="Times New Roman" w:eastAsia="Times New Roman" w:hAnsi="Times New Roman"/>
          <w:sz w:val="20"/>
          <w:szCs w:val="20"/>
          <w:color w:val="0C0C0C"/>
        </w:rPr>
      </w:pPr>
    </w:p>
    <w:p>
      <w:pPr>
        <w:ind w:left="1463" w:hanging="729"/>
        <w:spacing w:after="0"/>
        <w:tabs>
          <w:tab w:leader="none" w:pos="1463" w:val="left"/>
        </w:tabs>
        <w:numPr>
          <w:ilvl w:val="2"/>
          <w:numId w:val="81"/>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color w:val="0C0C0C"/>
        </w:rPr>
        <w:t>Result from any work performed by the employee for the employer.</w:t>
      </w:r>
    </w:p>
    <w:p>
      <w:pPr>
        <w:spacing w:after="0" w:line="215" w:lineRule="exact"/>
        <w:rPr>
          <w:rFonts w:ascii="Times New Roman" w:cs="Times New Roman" w:eastAsia="Times New Roman" w:hAnsi="Times New Roman"/>
          <w:sz w:val="20"/>
          <w:szCs w:val="20"/>
          <w:color w:val="0C0C0C"/>
        </w:rPr>
      </w:pPr>
    </w:p>
    <w:p>
      <w:pPr>
        <w:jc w:val="both"/>
        <w:ind w:left="703" w:right="140" w:hanging="643"/>
        <w:spacing w:after="0" w:line="254" w:lineRule="auto"/>
        <w:tabs>
          <w:tab w:leader="none" w:pos="703" w:val="left"/>
        </w:tabs>
        <w:numPr>
          <w:ilvl w:val="1"/>
          <w:numId w:val="81"/>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color w:val="0C0C0C"/>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4" w:lineRule="exact"/>
        <w:rPr>
          <w:sz w:val="20"/>
          <w:szCs w:val="20"/>
          <w:color w:val="auto"/>
        </w:rPr>
      </w:pPr>
    </w:p>
    <w:p>
      <w:pPr>
        <w:jc w:val="center"/>
        <w:ind w:right="117"/>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593090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3"/>
          </w:cols>
          <w:pgMar w:left="837" w:top="1440" w:right="719" w:bottom="1440" w:gutter="0" w:footer="0" w:header="0"/>
        </w:sectPr>
      </w:pPr>
    </w:p>
    <w:bookmarkStart w:id="101" w:name="page102"/>
    <w:bookmarkEnd w:id="101"/>
    <w:p>
      <w:pPr>
        <w:jc w:val="center"/>
        <w:ind w:right="480"/>
        <w:spacing w:after="0"/>
        <w:rPr>
          <w:sz w:val="20"/>
          <w:szCs w:val="20"/>
          <w:color w:val="auto"/>
        </w:rPr>
      </w:pPr>
      <w:r>
        <w:rPr>
          <w:rFonts w:ascii="Times New Roman" w:cs="Times New Roman" w:eastAsia="Times New Roman" w:hAnsi="Times New Roman"/>
          <w:sz w:val="20"/>
          <w:szCs w:val="20"/>
          <w:u w:val="single" w:color="auto"/>
          <w:color w:val="131313"/>
        </w:rPr>
        <w:t>EXHIBITB</w:t>
      </w:r>
    </w:p>
    <w:p>
      <w:pPr>
        <w:spacing w:after="0" w:line="20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3"/>
          <w:szCs w:val="23"/>
          <w:b w:val="1"/>
          <w:bCs w:val="1"/>
          <w:color w:val="131313"/>
        </w:rPr>
        <w:t>BACKGROUND TECHNOLOGY</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131313"/>
        </w:rPr>
        <w:t>List here prior contracts to assign Inventions that are now in existence between any other person or entity and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60" w:hanging="739"/>
        <w:spacing w:after="0"/>
        <w:tabs>
          <w:tab w:leader="none" w:pos="1460" w:val="left"/>
        </w:tabs>
        <w:numPr>
          <w:ilvl w:val="0"/>
          <w:numId w:val="82"/>
        </w:numPr>
        <w:rPr>
          <w:rFonts w:ascii="Times New Roman" w:cs="Times New Roman" w:eastAsia="Times New Roman" w:hAnsi="Times New Roman"/>
          <w:sz w:val="31"/>
          <w:szCs w:val="31"/>
          <w:color w:val="131313"/>
        </w:rPr>
      </w:pPr>
      <w:r>
        <w:rPr>
          <w:rFonts w:ascii="Times New Roman" w:cs="Times New Roman" w:eastAsia="Times New Roman" w:hAnsi="Times New Roman"/>
          <w:sz w:val="20"/>
          <w:szCs w:val="20"/>
          <w:color w:val="131313"/>
        </w:rPr>
        <w:t>Check here if NONE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734"/>
        <w:spacing w:after="0" w:line="269" w:lineRule="auto"/>
        <w:rPr>
          <w:sz w:val="20"/>
          <w:szCs w:val="20"/>
          <w:color w:val="auto"/>
        </w:rPr>
      </w:pPr>
      <w:r>
        <w:rPr>
          <w:rFonts w:ascii="Times New Roman" w:cs="Times New Roman" w:eastAsia="Times New Roman" w:hAnsi="Times New Roman"/>
          <w:sz w:val="20"/>
          <w:szCs w:val="20"/>
          <w:color w:val="131313"/>
        </w:rPr>
        <w:t>List here previous Inventions which you desire to have specifically excluded from the operation of this Agreement. Continue on reverse side if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60" w:hanging="739"/>
        <w:spacing w:after="0"/>
        <w:tabs>
          <w:tab w:leader="none" w:pos="1460" w:val="left"/>
        </w:tabs>
        <w:numPr>
          <w:ilvl w:val="0"/>
          <w:numId w:val="83"/>
        </w:numPr>
        <w:rPr>
          <w:rFonts w:ascii="Times New Roman" w:cs="Times New Roman" w:eastAsia="Times New Roman" w:hAnsi="Times New Roman"/>
          <w:sz w:val="31"/>
          <w:szCs w:val="31"/>
          <w:color w:val="131313"/>
        </w:rPr>
      </w:pPr>
      <w:r>
        <w:rPr>
          <w:rFonts w:ascii="Times New Roman" w:cs="Times New Roman" w:eastAsia="Times New Roman" w:hAnsi="Times New Roman"/>
          <w:sz w:val="20"/>
          <w:szCs w:val="20"/>
          <w:color w:val="131313"/>
        </w:rPr>
        <w:t>Check here if NONE</w:t>
      </w:r>
    </w:p>
    <w:p>
      <w:pPr>
        <w:spacing w:after="0" w:line="2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570230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880" w:top="1359" w:right="39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654050</wp:posOffset>
            </wp:positionV>
            <wp:extent cx="1671320" cy="402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167132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June 4, 2025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 Marie Cook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Employment Offer Letter</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Dear Anne Marie,</w:t>
      </w:r>
    </w:p>
    <w:p>
      <w:pPr>
        <w:spacing w:after="0" w:line="212" w:lineRule="exact"/>
        <w:rPr>
          <w:sz w:val="20"/>
          <w:szCs w:val="20"/>
          <w:color w:val="auto"/>
        </w:rPr>
      </w:pPr>
    </w:p>
    <w:p>
      <w:pPr>
        <w:ind w:left="20" w:right="1120" w:firstLine="749"/>
        <w:spacing w:after="0" w:line="273" w:lineRule="auto"/>
        <w:rPr>
          <w:sz w:val="20"/>
          <w:szCs w:val="20"/>
          <w:color w:val="auto"/>
        </w:rPr>
      </w:pPr>
      <w:r>
        <w:rPr>
          <w:rFonts w:ascii="Times New Roman" w:cs="Times New Roman" w:eastAsia="Times New Roman" w:hAnsi="Times New Roman"/>
          <w:sz w:val="20"/>
          <w:szCs w:val="20"/>
          <w:color w:val="auto"/>
        </w:rPr>
        <w:t>Phathom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is pleased to offer you a position on the terms set forth in this letter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left="820" w:hanging="143"/>
        <w:spacing w:after="0"/>
        <w:tabs>
          <w:tab w:leader="none" w:pos="8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tart</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expect that your employment start date (the “</w:t>
      </w:r>
      <w:r>
        <w:rPr>
          <w:rFonts w:ascii="Times New Roman" w:cs="Times New Roman" w:eastAsia="Times New Roman" w:hAnsi="Times New Roman"/>
          <w:sz w:val="20"/>
          <w:szCs w:val="20"/>
          <w:b w:val="1"/>
          <w:bCs w:val="1"/>
          <w:i w:val="1"/>
          <w:iCs w:val="1"/>
          <w:color w:val="auto"/>
        </w:rPr>
        <w:t>Start Date</w:t>
      </w:r>
      <w:r>
        <w:rPr>
          <w:rFonts w:ascii="Times New Roman" w:cs="Times New Roman" w:eastAsia="Times New Roman" w:hAnsi="Times New Roman"/>
          <w:sz w:val="20"/>
          <w:szCs w:val="20"/>
          <w:color w:val="auto"/>
        </w:rPr>
        <w:t>”) will occur on or about June</w:t>
      </w:r>
    </w:p>
    <w:p>
      <w:pPr>
        <w:spacing w:after="0" w:line="25" w:lineRule="exact"/>
        <w:rPr>
          <w:rFonts w:ascii="Times New Roman" w:cs="Times New Roman" w:eastAsia="Times New Roman" w:hAnsi="Times New Roman"/>
          <w:sz w:val="20"/>
          <w:szCs w:val="20"/>
          <w:color w:val="auto"/>
        </w:rPr>
      </w:pP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23, 2025.</w:t>
      </w:r>
    </w:p>
    <w:p>
      <w:pPr>
        <w:spacing w:after="0" w:line="189" w:lineRule="exact"/>
        <w:rPr>
          <w:rFonts w:ascii="Times New Roman" w:cs="Times New Roman" w:eastAsia="Times New Roman" w:hAnsi="Times New Roman"/>
          <w:sz w:val="20"/>
          <w:szCs w:val="20"/>
          <w:color w:val="auto"/>
        </w:rPr>
      </w:pPr>
    </w:p>
    <w:p>
      <w:pPr>
        <w:ind w:left="1500" w:hanging="740"/>
        <w:spacing w:after="0"/>
        <w:tabs>
          <w:tab w:leader="none" w:pos="150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left="2160" w:right="1120" w:hanging="651"/>
        <w:spacing w:after="0" w:line="256" w:lineRule="auto"/>
        <w:tabs>
          <w:tab w:leader="none" w:pos="216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2"/>
          <w:szCs w:val="12"/>
          <w:b w:val="1"/>
          <w:bCs w:val="1"/>
          <w:color w:val="auto"/>
        </w:rPr>
        <w:t>uties</w:t>
      </w:r>
      <w:r>
        <w:rPr>
          <w:rFonts w:ascii="Times New Roman" w:cs="Times New Roman" w:eastAsia="Times New Roman" w:hAnsi="Times New Roman"/>
          <w:sz w:val="19"/>
          <w:szCs w:val="19"/>
          <w:b w:val="1"/>
          <w:bCs w:val="1"/>
          <w:color w:val="auto"/>
        </w:rPr>
        <w:t>; L</w:t>
      </w:r>
      <w:r>
        <w:rPr>
          <w:rFonts w:ascii="Times New Roman" w:cs="Times New Roman" w:eastAsia="Times New Roman" w:hAnsi="Times New Roman"/>
          <w:sz w:val="12"/>
          <w:szCs w:val="12"/>
          <w:b w:val="1"/>
          <w:bCs w:val="1"/>
          <w:color w:val="auto"/>
        </w:rPr>
        <w:t>ocation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the Start Date, you shall serve as the Company’s Chief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Legal Officer and Corporate Secretary. In such position, you shall report directly to the Chief Executive Officer of the Company (the “</w:t>
      </w:r>
      <w:r>
        <w:rPr>
          <w:rFonts w:ascii="Times New Roman" w:cs="Times New Roman" w:eastAsia="Times New Roman" w:hAnsi="Times New Roman"/>
          <w:sz w:val="19"/>
          <w:szCs w:val="19"/>
          <w:b w:val="1"/>
          <w:bCs w:val="1"/>
          <w:i w:val="1"/>
          <w:iCs w:val="1"/>
          <w:color w:val="auto"/>
        </w:rPr>
        <w:t>Supervising Officer</w:t>
      </w:r>
      <w:r>
        <w:rPr>
          <w:rFonts w:ascii="Times New Roman" w:cs="Times New Roman" w:eastAsia="Times New Roman" w:hAnsi="Times New Roman"/>
          <w:sz w:val="19"/>
          <w:szCs w:val="19"/>
          <w:color w:val="auto"/>
        </w:rPr>
        <w:t>”). You shall perform such duties as are customarily associated with such position, as well as such other duties as are assigned to you by your Supervising Officer; provided, however, such other duties shall be consistent with your role as Chief Legal Officer and Corporate Secretary. You shall perform your services on a full-time basis. The Company expects that you will perform your duties remotely from your home office in Braintree, Massachusetts, but expects that you will perform your duties on-site at the Company’s headquarters in Florham Park, New Jersey approximately one to two times per month with each visit being approximately two to three business days (or as otherwise agreed with the Chief Executive Officer), with additional travel as needed in connection with your duties at the Company’s expense. This is an exempt position.</w:t>
      </w:r>
    </w:p>
    <w:p>
      <w:pPr>
        <w:spacing w:after="0" w:line="156" w:lineRule="exact"/>
        <w:rPr>
          <w:rFonts w:ascii="Times New Roman" w:cs="Times New Roman" w:eastAsia="Times New Roman" w:hAnsi="Times New Roman"/>
          <w:sz w:val="19"/>
          <w:szCs w:val="19"/>
          <w:color w:val="auto"/>
        </w:rPr>
      </w:pPr>
    </w:p>
    <w:p>
      <w:pPr>
        <w:jc w:val="both"/>
        <w:ind w:left="2160" w:right="1120" w:hanging="651"/>
        <w:spacing w:after="0" w:line="254" w:lineRule="auto"/>
        <w:tabs>
          <w:tab w:leader="none" w:pos="216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2"/>
          <w:szCs w:val="12"/>
          <w:b w:val="1"/>
          <w:bCs w:val="1"/>
          <w:color w:val="auto"/>
        </w:rPr>
        <w:t>xclusive</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2"/>
          <w:szCs w:val="12"/>
          <w:b w:val="1"/>
          <w:bCs w:val="1"/>
          <w:color w:val="auto"/>
        </w:rPr>
        <w:t>ervices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During the term of your employment, you shall devote your full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working time and attention to the business affairs of the Company. Subject to the terms of the Company’s form of Proprietary Information and Inventions Assignment Agreement, as described below, this shall not preclude you from (a) devoting time to personal and family investments, (b) participating in industry associations, or (c) serving on community and civic boards, provided such activities do not interfere with your duties to the Company, as determined in good faith by the Supervising Officer. You agree that you will not join any boards, other than community and civic boards (which do not interfere with your duties to the Company), without the prior approval of the Supervising Officer, which approval shall not be unreasonably withheld, and that you shall be limited to service on two (2) outside boards, other than community</w:t>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and civic boards.</w:t>
      </w:r>
    </w:p>
    <w:p>
      <w:pPr>
        <w:spacing w:after="0" w:line="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626110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103" w:name="page104"/>
    <w:bookmarkEnd w:id="103"/>
    <w:p>
      <w:pPr>
        <w:spacing w:after="0" w:line="347" w:lineRule="exact"/>
        <w:rPr>
          <w:sz w:val="20"/>
          <w:szCs w:val="20"/>
          <w:color w:val="auto"/>
        </w:rPr>
      </w:pPr>
    </w:p>
    <w:p>
      <w:pPr>
        <w:ind w:left="1500" w:hanging="740"/>
        <w:spacing w:after="0"/>
        <w:tabs>
          <w:tab w:leader="none" w:pos="15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initial compensation will be as follows:</w:t>
      </w:r>
    </w:p>
    <w:p>
      <w:pPr>
        <w:spacing w:after="0" w:line="215" w:lineRule="exact"/>
        <w:rPr>
          <w:rFonts w:ascii="Times New Roman" w:cs="Times New Roman" w:eastAsia="Times New Roman" w:hAnsi="Times New Roman"/>
          <w:sz w:val="20"/>
          <w:szCs w:val="20"/>
          <w:color w:val="auto"/>
        </w:rPr>
      </w:pPr>
    </w:p>
    <w:p>
      <w:pPr>
        <w:ind w:left="2160" w:right="20" w:hanging="651"/>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ase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alary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receive an initial annual base salary of $500,000. You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paid in accordance with the Company’s customary payroll procedures as established and modified from time-to-time. Your base salary is subject to annual review for increases by and at the sole discretion of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or its designated committee.</w:t>
      </w:r>
    </w:p>
    <w:p>
      <w:pPr>
        <w:spacing w:after="0" w:line="166" w:lineRule="exact"/>
        <w:rPr>
          <w:rFonts w:ascii="Times New Roman" w:cs="Times New Roman" w:eastAsia="Times New Roman" w:hAnsi="Times New Roman"/>
          <w:sz w:val="20"/>
          <w:szCs w:val="20"/>
          <w:color w:val="auto"/>
        </w:rPr>
      </w:pPr>
    </w:p>
    <w:p>
      <w:pPr>
        <w:ind w:left="2160" w:hanging="653"/>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nnual</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onus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your base salary, you may be eligible to earn, for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fiscal year of the Company during the term of your employment with the Company, an annual cash performance bonus under the Company’s bonus plan, as approved from time to time by the Board. Your target annual bonus will be forty- five percent (45%) of your base salary actually paid for the year to which such annual bonus relates (your “</w:t>
      </w:r>
      <w:r>
        <w:rPr>
          <w:rFonts w:ascii="Times New Roman" w:cs="Times New Roman" w:eastAsia="Times New Roman" w:hAnsi="Times New Roman"/>
          <w:sz w:val="20"/>
          <w:szCs w:val="20"/>
          <w:b w:val="1"/>
          <w:bCs w:val="1"/>
          <w:i w:val="1"/>
          <w:iCs w:val="1"/>
          <w:color w:val="auto"/>
        </w:rPr>
        <w:t>Target Bonus</w:t>
      </w:r>
      <w:r>
        <w:rPr>
          <w:rFonts w:ascii="Times New Roman" w:cs="Times New Roman" w:eastAsia="Times New Roman" w:hAnsi="Times New Roman"/>
          <w:sz w:val="20"/>
          <w:szCs w:val="20"/>
          <w:color w:val="auto"/>
        </w:rPr>
        <w:t>”). Your actual annual bonus will be determined on the basis of your and/or the Company’s attainment of financial or other performance criteria established by the Board or its designated committee in accordance with the terms and conditions of such bonus plan. Except as provided herein, you must be employed by the Company on the date of payment of such annual bonus in order to be eligible to receive such annual bonus. You hereby acknowledge and agree that nothing contained herein confers upon you any right to an annual bonus in any year, and that whether the Company pays you an annual bonus and the amount of any such annual bonus will be determined by the Company in its sole discretion.</w:t>
      </w:r>
    </w:p>
    <w:p>
      <w:pPr>
        <w:spacing w:after="0" w:line="222" w:lineRule="exact"/>
        <w:rPr>
          <w:rFonts w:ascii="Times New Roman" w:cs="Times New Roman" w:eastAsia="Times New Roman" w:hAnsi="Times New Roman"/>
          <w:sz w:val="20"/>
          <w:szCs w:val="20"/>
          <w:color w:val="auto"/>
        </w:rPr>
      </w:pPr>
    </w:p>
    <w:p>
      <w:pPr>
        <w:ind w:left="2160" w:right="20" w:hanging="651"/>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shall be eligible to participate in all of the employee benefit plans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programs the Company generally makes available to similarly-situated employees, pursuant to the terms and conditions of such plans. You will also be entitled to vacation and/or paid time off each year in accordance with Company policy and all holidays observed by the Company each year. The Company reserves the right to change benefits provided to its employees from time to time in its discretion.</w:t>
      </w:r>
    </w:p>
    <w:p>
      <w:pPr>
        <w:spacing w:after="0" w:line="178" w:lineRule="exact"/>
        <w:rPr>
          <w:rFonts w:ascii="Times New Roman" w:cs="Times New Roman" w:eastAsia="Times New Roman" w:hAnsi="Times New Roman"/>
          <w:sz w:val="20"/>
          <w:szCs w:val="20"/>
          <w:color w:val="auto"/>
        </w:rPr>
      </w:pPr>
    </w:p>
    <w:p>
      <w:pPr>
        <w:jc w:val="right"/>
        <w:ind w:left="2160" w:right="20" w:hanging="651"/>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w:t>
      </w:r>
      <w:r>
        <w:rPr>
          <w:rFonts w:ascii="Times New Roman" w:cs="Times New Roman" w:eastAsia="Times New Roman" w:hAnsi="Times New Roman"/>
          <w:sz w:val="20"/>
          <w:szCs w:val="20"/>
          <w:color w:val="auto"/>
        </w:rPr>
        <w:t>. On your Start Date, you will be granted stock options to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210,000 shares of the Company’s common stock, at an exercise price per share equal to the fair market value per share of the Company’s common stock on the date of grant (the “</w:t>
      </w:r>
      <w:r>
        <w:rPr>
          <w:rFonts w:ascii="Times New Roman" w:cs="Times New Roman" w:eastAsia="Times New Roman" w:hAnsi="Times New Roman"/>
          <w:sz w:val="20"/>
          <w:szCs w:val="20"/>
          <w:b w:val="1"/>
          <w:bCs w:val="1"/>
          <w:i w:val="1"/>
          <w:iCs w:val="1"/>
          <w:color w:val="auto"/>
        </w:rPr>
        <w:t>Stock Options</w:t>
      </w:r>
      <w:r>
        <w:rPr>
          <w:rFonts w:ascii="Times New Roman" w:cs="Times New Roman" w:eastAsia="Times New Roman" w:hAnsi="Times New Roman"/>
          <w:sz w:val="20"/>
          <w:szCs w:val="20"/>
          <w:color w:val="auto"/>
        </w:rPr>
        <w:t>”). The Stock Options will vest over a four year vesting schedule, with twenty-five percent (25%) of the Stock Options vesting on the first anniversary of the Start Date and the remaining Stock Options vesting in thirty-six</w:t>
      </w:r>
    </w:p>
    <w:p>
      <w:pPr>
        <w:jc w:val="both"/>
        <w:ind w:left="2160" w:right="20"/>
        <w:spacing w:after="0"/>
        <w:tabs>
          <w:tab w:leader="none" w:pos="255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equal monthly installments thereafter, subject to your continued employment or service to the Company on each such vesting date, except as otherwise expressly provided herein. The Stock Options will be granted pursuant to the Company’s 2025 Employment Inducement Incentive Award Plan (the “</w:t>
      </w:r>
      <w:r>
        <w:rPr>
          <w:rFonts w:ascii="Times New Roman" w:cs="Times New Roman" w:eastAsia="Times New Roman" w:hAnsi="Times New Roman"/>
          <w:sz w:val="20"/>
          <w:szCs w:val="20"/>
          <w:b w:val="1"/>
          <w:bCs w:val="1"/>
          <w:i w:val="1"/>
          <w:iCs w:val="1"/>
          <w:color w:val="auto"/>
        </w:rPr>
        <w:t>Inducement Plan</w:t>
      </w:r>
      <w:r>
        <w:rPr>
          <w:rFonts w:ascii="Times New Roman" w:cs="Times New Roman" w:eastAsia="Times New Roman" w:hAnsi="Times New Roman"/>
          <w:sz w:val="20"/>
          <w:szCs w:val="20"/>
          <w:color w:val="auto"/>
        </w:rPr>
        <w:t>”), and will be subject to the terms and conditions of the Inducement Plan and the applicable award agreement.</w:t>
      </w:r>
    </w:p>
    <w:p>
      <w:pPr>
        <w:spacing w:after="0" w:line="201" w:lineRule="exact"/>
        <w:rPr>
          <w:sz w:val="20"/>
          <w:szCs w:val="20"/>
          <w:color w:val="auto"/>
        </w:rPr>
      </w:pPr>
    </w:p>
    <w:p>
      <w:pPr>
        <w:jc w:val="both"/>
        <w:ind w:left="2160" w:right="20" w:hanging="651"/>
        <w:spacing w:after="0" w:line="247" w:lineRule="auto"/>
        <w:tabs>
          <w:tab w:leader="none" w:pos="21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erformance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U</w:t>
      </w:r>
      <w:r>
        <w:rPr>
          <w:rFonts w:ascii="Times New Roman" w:cs="Times New Roman" w:eastAsia="Times New Roman" w:hAnsi="Times New Roman"/>
          <w:sz w:val="13"/>
          <w:szCs w:val="13"/>
          <w:b w:val="1"/>
          <w:bCs w:val="1"/>
          <w:color w:val="auto"/>
        </w:rPr>
        <w:t>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your Start Date, you will be granted 50,400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stock units at “target” performance levels (with up to 200% of the “target” award eligible to vest at “maximum” levels), the vesting of which will be tied to the achievement of revenue and operating expense metrics and service- based vesting over a three-year performance period ending December 31, 2027,</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627380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04" w:name="page105"/>
    <w:bookmarkEnd w:id="104"/>
    <w:p>
      <w:pPr>
        <w:spacing w:after="0" w:line="365" w:lineRule="exact"/>
        <w:rPr>
          <w:sz w:val="20"/>
          <w:szCs w:val="20"/>
          <w:color w:val="auto"/>
        </w:rPr>
      </w:pPr>
    </w:p>
    <w:p>
      <w:pPr>
        <w:jc w:val="both"/>
        <w:ind w:left="2260" w:right="20"/>
        <w:spacing w:after="0" w:line="246" w:lineRule="auto"/>
        <w:rPr>
          <w:sz w:val="20"/>
          <w:szCs w:val="20"/>
          <w:color w:val="auto"/>
        </w:rPr>
      </w:pPr>
      <w:r>
        <w:rPr>
          <w:rFonts w:ascii="Times New Roman" w:cs="Times New Roman" w:eastAsia="Times New Roman" w:hAnsi="Times New Roman"/>
          <w:sz w:val="20"/>
          <w:szCs w:val="20"/>
          <w:color w:val="auto"/>
        </w:rPr>
        <w:t>consistent with the terms of similar awards granted to the executive officers of the Company (the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Each PSU represents the right to receive one share of the Company’s common stock. The PSUs will be granted pursuant to the Inducement Plan and will be subject to the terms and conditions of the Inducement Plan and the applicable award agreement.</w:t>
      </w:r>
    </w:p>
    <w:p>
      <w:pPr>
        <w:spacing w:after="0" w:line="181" w:lineRule="exact"/>
        <w:rPr>
          <w:sz w:val="20"/>
          <w:szCs w:val="20"/>
          <w:color w:val="auto"/>
        </w:rPr>
      </w:pPr>
    </w:p>
    <w:p>
      <w:pPr>
        <w:ind w:left="2160" w:right="20" w:hanging="651"/>
        <w:spacing w:after="0" w:line="273" w:lineRule="auto"/>
        <w:tabs>
          <w:tab w:leader="none" w:pos="216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amounts payable to you will be subject to appropriate payroll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deductions and withholdings.</w:t>
      </w:r>
    </w:p>
    <w:p>
      <w:pPr>
        <w:spacing w:after="0" w:line="165" w:lineRule="exact"/>
        <w:rPr>
          <w:rFonts w:ascii="Times New Roman" w:cs="Times New Roman" w:eastAsia="Times New Roman" w:hAnsi="Times New Roman"/>
          <w:sz w:val="20"/>
          <w:szCs w:val="20"/>
          <w:color w:val="auto"/>
        </w:rPr>
      </w:pPr>
    </w:p>
    <w:p>
      <w:pPr>
        <w:jc w:val="both"/>
        <w:ind w:left="20" w:right="20" w:firstLine="657"/>
        <w:spacing w:after="0" w:line="256" w:lineRule="auto"/>
        <w:tabs>
          <w:tab w:leader="none" w:pos="83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be entitled to reimbursement for all ordinary and reasonable out-of- pocket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expenses which are reasonably incurred by you in furtherance of the Company’s business, with appropriate documentation and in accordance with the Company’s standard policies.</w:t>
      </w:r>
    </w:p>
    <w:p>
      <w:pPr>
        <w:spacing w:after="0" w:line="168" w:lineRule="exact"/>
        <w:rPr>
          <w:rFonts w:ascii="Times New Roman" w:cs="Times New Roman" w:eastAsia="Times New Roman" w:hAnsi="Times New Roman"/>
          <w:sz w:val="20"/>
          <w:szCs w:val="20"/>
          <w:color w:val="auto"/>
        </w:rPr>
      </w:pPr>
    </w:p>
    <w:p>
      <w:pPr>
        <w:ind w:left="1500" w:hanging="740"/>
        <w:spacing w:after="0"/>
        <w:tabs>
          <w:tab w:leader="none" w:pos="15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ermination of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S</w:t>
      </w:r>
      <w:r>
        <w:rPr>
          <w:rFonts w:ascii="Times New Roman" w:cs="Times New Roman" w:eastAsia="Times New Roman" w:hAnsi="Times New Roman"/>
          <w:sz w:val="13"/>
          <w:szCs w:val="13"/>
          <w:b w:val="1"/>
          <w:bCs w:val="1"/>
          <w:color w:val="auto"/>
        </w:rPr>
        <w:t>everance</w:t>
      </w:r>
      <w:r>
        <w:rPr>
          <w:rFonts w:ascii="Times New Roman" w:cs="Times New Roman" w:eastAsia="Times New Roman" w:hAnsi="Times New Roman"/>
          <w:sz w:val="20"/>
          <w:szCs w:val="20"/>
          <w:b w:val="1"/>
          <w:bCs w:val="1"/>
          <w:color w:val="auto"/>
        </w:rPr>
        <w:t>.</w:t>
      </w:r>
    </w:p>
    <w:p>
      <w:pPr>
        <w:spacing w:after="0" w:line="229" w:lineRule="exact"/>
        <w:rPr>
          <w:rFonts w:ascii="Times New Roman" w:cs="Times New Roman" w:eastAsia="Times New Roman" w:hAnsi="Times New Roman"/>
          <w:sz w:val="20"/>
          <w:szCs w:val="20"/>
          <w:color w:val="auto"/>
        </w:rPr>
      </w:pPr>
    </w:p>
    <w:p>
      <w:pPr>
        <w:jc w:val="both"/>
        <w:ind w:left="2160" w:right="20" w:hanging="651"/>
        <w:spacing w:after="0" w:line="243" w:lineRule="auto"/>
        <w:tabs>
          <w:tab w:leader="none" w:pos="216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ill</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employment with the Company will be “at-will” at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times, meaning that either you or the Company will be entitled to terminate your employment at any time and for any reason, with or without Cause (as defined below). Any contrary representations that may have been made to you are superseded by this Agreement. This Agreement in no way represents a fixed-term employment contract.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182" w:lineRule="exact"/>
        <w:rPr>
          <w:rFonts w:ascii="Times New Roman" w:cs="Times New Roman" w:eastAsia="Times New Roman" w:hAnsi="Times New Roman"/>
          <w:sz w:val="20"/>
          <w:szCs w:val="20"/>
          <w:color w:val="auto"/>
        </w:rPr>
      </w:pPr>
    </w:p>
    <w:p>
      <w:pPr>
        <w:jc w:val="both"/>
        <w:ind w:left="2160" w:right="20" w:hanging="651"/>
        <w:spacing w:after="0" w:line="243" w:lineRule="auto"/>
        <w:tabs>
          <w:tab w:leader="none" w:pos="216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 xml:space="preserve"> U</w:t>
      </w:r>
      <w:r>
        <w:rPr>
          <w:rFonts w:ascii="Times New Roman" w:cs="Times New Roman" w:eastAsia="Times New Roman" w:hAnsi="Times New Roman"/>
          <w:sz w:val="13"/>
          <w:szCs w:val="13"/>
          <w:b w:val="1"/>
          <w:bCs w:val="1"/>
          <w:color w:val="auto"/>
        </w:rPr>
        <w:t>pon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termination of your employment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 unless otherwise specified in a written agreement between you and the Company, you shall be deemed to have resigned from all offices, directorships, and other employment positions, if any, then held with or on behalf of the Company or its affiliates, and shall take all actions reasonably requested by the Company to effectuate the foregoing. In addition, in the event of your termination of employment for any reason, the Company shall have the right, at its option, to require you to vacate your offices prior to or on the effective date of termination and to cease all activities on the Company’s behalf.</w:t>
      </w:r>
    </w:p>
    <w:p>
      <w:pPr>
        <w:spacing w:after="0" w:line="199" w:lineRule="exact"/>
        <w:rPr>
          <w:rFonts w:ascii="Times New Roman" w:cs="Times New Roman" w:eastAsia="Times New Roman" w:hAnsi="Times New Roman"/>
          <w:sz w:val="20"/>
          <w:szCs w:val="20"/>
          <w:color w:val="auto"/>
        </w:rPr>
      </w:pPr>
    </w:p>
    <w:p>
      <w:pPr>
        <w:jc w:val="both"/>
        <w:ind w:left="2160" w:right="20" w:hanging="651"/>
        <w:spacing w:after="0" w:line="245" w:lineRule="auto"/>
        <w:tabs>
          <w:tab w:leader="none" w:pos="216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ccrued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your employment terminates for any reason, you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your fully earned but unpaid base salary, through the date such termination is effective at the rate then in effect, and all other amounts or benefits to which you are entitled under any compensation, retirement or benefit plan of the Company at the time of your termination of employment in accordance with the terms of such plans, including, without limitation, any accrued but unpaid paid time off and any continuation of benefits required by applicable law (the “</w:t>
      </w:r>
      <w:r>
        <w:rPr>
          <w:rFonts w:ascii="Times New Roman" w:cs="Times New Roman" w:eastAsia="Times New Roman" w:hAnsi="Times New Roman"/>
          <w:sz w:val="20"/>
          <w:szCs w:val="20"/>
          <w:b w:val="1"/>
          <w:bCs w:val="1"/>
          <w:i w:val="1"/>
          <w:iCs w:val="1"/>
          <w:color w:val="auto"/>
        </w:rPr>
        <w:t>Accrued Obligation</w:t>
      </w:r>
      <w:r>
        <w:rPr>
          <w:rFonts w:ascii="Times New Roman" w:cs="Times New Roman" w:eastAsia="Times New Roman" w:hAnsi="Times New Roman"/>
          <w:sz w:val="20"/>
          <w:szCs w:val="20"/>
          <w:color w:val="auto"/>
        </w:rPr>
        <w:t>s”).</w:t>
      </w:r>
    </w:p>
    <w:p>
      <w:pPr>
        <w:spacing w:after="0" w:line="179" w:lineRule="exact"/>
        <w:rPr>
          <w:rFonts w:ascii="Times New Roman" w:cs="Times New Roman" w:eastAsia="Times New Roman" w:hAnsi="Times New Roman"/>
          <w:sz w:val="20"/>
          <w:szCs w:val="20"/>
          <w:color w:val="auto"/>
        </w:rPr>
      </w:pPr>
    </w:p>
    <w:p>
      <w:pPr>
        <w:jc w:val="both"/>
        <w:ind w:left="2160" w:hanging="651"/>
        <w:spacing w:after="0" w:line="246" w:lineRule="auto"/>
        <w:tabs>
          <w:tab w:leader="none" w:pos="216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-CIC S</w:t>
      </w:r>
      <w:r>
        <w:rPr>
          <w:rFonts w:ascii="Times New Roman" w:cs="Times New Roman" w:eastAsia="Times New Roman" w:hAnsi="Times New Roman"/>
          <w:sz w:val="13"/>
          <w:szCs w:val="13"/>
          <w:b w:val="1"/>
          <w:bCs w:val="1"/>
          <w:color w:val="auto"/>
        </w:rPr>
        <w:t>everance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your Accrued Obligations,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continued compliance with the Proprietary Information and Inventions Assignment Agreement, as described below, and the effectiveness of your Release (as defined below), if your employment is involuntarily terminated by the Company without Cause (and other than by reason of your death or Disability (as defined below)) or you resign for Good Reason (as defined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627380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05" w:name="page106"/>
    <w:bookmarkEnd w:id="105"/>
    <w:p>
      <w:pPr>
        <w:spacing w:after="0" w:line="200" w:lineRule="exact"/>
        <w:rPr>
          <w:sz w:val="20"/>
          <w:szCs w:val="20"/>
          <w:color w:val="auto"/>
        </w:rPr>
      </w:pPr>
    </w:p>
    <w:p>
      <w:pPr>
        <w:spacing w:after="0" w:line="390" w:lineRule="exact"/>
        <w:rPr>
          <w:sz w:val="20"/>
          <w:szCs w:val="20"/>
          <w:color w:val="auto"/>
        </w:rPr>
      </w:pPr>
    </w:p>
    <w:p>
      <w:pPr>
        <w:jc w:val="both"/>
        <w:ind w:left="2260" w:right="20"/>
        <w:spacing w:after="0" w:line="250" w:lineRule="auto"/>
        <w:rPr>
          <w:sz w:val="20"/>
          <w:szCs w:val="20"/>
          <w:color w:val="auto"/>
        </w:rPr>
      </w:pPr>
      <w:r>
        <w:rPr>
          <w:rFonts w:ascii="Times New Roman" w:cs="Times New Roman" w:eastAsia="Times New Roman" w:hAnsi="Times New Roman"/>
          <w:sz w:val="20"/>
          <w:szCs w:val="20"/>
          <w:color w:val="auto"/>
        </w:rPr>
        <w:t>(either such termination, a “</w:t>
      </w:r>
      <w:r>
        <w:rPr>
          <w:rFonts w:ascii="Times New Roman" w:cs="Times New Roman" w:eastAsia="Times New Roman" w:hAnsi="Times New Roman"/>
          <w:sz w:val="20"/>
          <w:szCs w:val="20"/>
          <w:b w:val="1"/>
          <w:bCs w:val="1"/>
          <w:i w:val="1"/>
          <w:iCs w:val="1"/>
          <w:color w:val="auto"/>
        </w:rPr>
        <w:t>Qualifying Termination</w:t>
      </w:r>
      <w:r>
        <w:rPr>
          <w:rFonts w:ascii="Times New Roman" w:cs="Times New Roman" w:eastAsia="Times New Roman" w:hAnsi="Times New Roman"/>
          <w:sz w:val="20"/>
          <w:szCs w:val="20"/>
          <w:color w:val="auto"/>
        </w:rPr>
        <w:t>”), and such Qualifying Termination does not occur during the Change in Control Period (as defined below), you shall be entitled to receive, as the sole severance benefits to which you are entitled, the benefits provided below (the “</w:t>
      </w:r>
      <w:r>
        <w:rPr>
          <w:rFonts w:ascii="Times New Roman" w:cs="Times New Roman" w:eastAsia="Times New Roman" w:hAnsi="Times New Roman"/>
          <w:sz w:val="20"/>
          <w:szCs w:val="20"/>
          <w:b w:val="1"/>
          <w:bCs w:val="1"/>
          <w:i w:val="1"/>
          <w:iCs w:val="1"/>
          <w:color w:val="auto"/>
        </w:rPr>
        <w:t>Non-CIC Severance Benefits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2900" w:right="20" w:hanging="642"/>
        <w:spacing w:after="0" w:line="242" w:lineRule="auto"/>
        <w:tabs>
          <w:tab w:leader="none" w:pos="29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9 months’ base salary (at the rate in effect immediately prior to the date of your termination of employment, or in the case of a material diminution in your base salary which would give rise to Good Reason for your resignation, the base salary in effect prior to such material diminution), which amount will be paid over a period of 9 months following your termination of employment in accordance with the Company's standard payroll practices, with the first such installment occurring on the first regularly-scheduled payroll date following the date your Release becomes effective (which first installment will include any installments that would have occurred prior to such date but for the fact your Release was not yet effective);</w:t>
      </w:r>
    </w:p>
    <w:p>
      <w:pPr>
        <w:spacing w:after="0" w:line="203" w:lineRule="exact"/>
        <w:rPr>
          <w:rFonts w:ascii="Times New Roman" w:cs="Times New Roman" w:eastAsia="Times New Roman" w:hAnsi="Times New Roman"/>
          <w:sz w:val="20"/>
          <w:szCs w:val="20"/>
          <w:color w:val="auto"/>
        </w:rPr>
      </w:pPr>
    </w:p>
    <w:p>
      <w:pPr>
        <w:jc w:val="both"/>
        <w:ind w:left="2900" w:right="20" w:hanging="642"/>
        <w:spacing w:after="0" w:line="242" w:lineRule="auto"/>
        <w:tabs>
          <w:tab w:leader="none" w:pos="29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your Target Bonus for the calendar year in which your termination date occurs (at the rate in effect immediately prior to the date of your termination of employment, or in the case of a material diminution in your Target Bonus which would give rise to Good Reason for your resignation, the Target Bonus in effect prior to such material diminution), prorated for the portion of the calendar year in which your termination date occurs that has elapsed prior to such termination, which amount will be paid in a lump sum on the first regularly-scheduled payroll date following the date your Release becomes effective, but in no event more than 75 days following your termination date;</w:t>
      </w:r>
    </w:p>
    <w:p>
      <w:pPr>
        <w:spacing w:after="0" w:line="192" w:lineRule="exact"/>
        <w:rPr>
          <w:rFonts w:ascii="Times New Roman" w:cs="Times New Roman" w:eastAsia="Times New Roman" w:hAnsi="Times New Roman"/>
          <w:sz w:val="20"/>
          <w:szCs w:val="20"/>
          <w:color w:val="auto"/>
        </w:rPr>
      </w:pPr>
    </w:p>
    <w:p>
      <w:pPr>
        <w:jc w:val="both"/>
        <w:ind w:left="2900" w:hanging="642"/>
        <w:spacing w:after="0" w:line="245" w:lineRule="auto"/>
        <w:tabs>
          <w:tab w:leader="none" w:pos="29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any unpaid annual bonus for the calendar year prior to the year in which your Qualifying Termination occurs, to the extent you are entitled to such bonus and if such bonus has not already been paid, which amount will be paid in a lump sum on the first regularly-scheduled payroll date following the date your Release becomes effective, but in no event more than 75 days following your termination date;</w:t>
      </w:r>
    </w:p>
    <w:p>
      <w:pPr>
        <w:spacing w:after="0" w:line="197" w:lineRule="exact"/>
        <w:rPr>
          <w:rFonts w:ascii="Times New Roman" w:cs="Times New Roman" w:eastAsia="Times New Roman" w:hAnsi="Times New Roman"/>
          <w:sz w:val="20"/>
          <w:szCs w:val="20"/>
          <w:color w:val="auto"/>
        </w:rPr>
      </w:pPr>
    </w:p>
    <w:p>
      <w:pPr>
        <w:jc w:val="both"/>
        <w:ind w:left="2900" w:right="20" w:hanging="642"/>
        <w:spacing w:after="0" w:line="241" w:lineRule="auto"/>
        <w:tabs>
          <w:tab w:leader="none" w:pos="29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9 month period beginning on the date of your termination of employment (or, if earlier, (a) the date on which the applicable continuation period under the Consolidated Omnibus Budget Reconciliation Act of 1985, as amended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expires, or (b) the date on which you become eligible to receive the equivalent or increased healthcare coverage by means of subsequent employment or self- employment) (such period, the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Coverage Period</w:t>
      </w:r>
      <w:r>
        <w:rPr>
          <w:rFonts w:ascii="Times New Roman" w:cs="Times New Roman" w:eastAsia="Times New Roman" w:hAnsi="Times New Roman"/>
          <w:sz w:val="20"/>
          <w:szCs w:val="20"/>
          <w:color w:val="auto"/>
        </w:rPr>
        <w:t>”), if you and/or your eligible dependents who were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covered under the Company’s health insurance plans as of the date of your termination of employment elect to have COBRA coverage and are eligible for such coverage, the Company shall pay for or reimburse you on a monthly basis for an amount equal to the monthly premium you and/or your covered dependents, as applicable, are required to pay for continuation coverage pursuant to COBRA for you and/or your eligible dependents, as applicable, who were covered under the Company’s health plans as of the date of your termination of</w:t>
      </w:r>
    </w:p>
    <w:p>
      <w:pPr>
        <w:ind w:left="4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06" w:name="page107"/>
    <w:bookmarkEnd w:id="106"/>
    <w:p>
      <w:pPr>
        <w:jc w:val="both"/>
        <w:ind w:left="2900" w:right="20"/>
        <w:spacing w:after="0" w:line="241" w:lineRule="auto"/>
        <w:rPr>
          <w:sz w:val="20"/>
          <w:szCs w:val="20"/>
          <w:color w:val="auto"/>
        </w:rPr>
      </w:pPr>
      <w:r>
        <w:rPr>
          <w:rFonts w:ascii="Times New Roman" w:cs="Times New Roman" w:eastAsia="Times New Roman" w:hAnsi="Times New Roman"/>
          <w:sz w:val="20"/>
          <w:szCs w:val="20"/>
          <w:color w:val="auto"/>
        </w:rPr>
        <w:t>employment (calculated by reference to the premium as of the date of your termination of employment). If any of the Company’s health benefits are self-funded as of the date of your termination of employment, or if the Company cannot provide the foregoing benefits in a manner that is exempt from Section 409A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 and</w:t>
      </w:r>
    </w:p>
    <w:p>
      <w:pPr>
        <w:spacing w:after="0" w:line="180" w:lineRule="exact"/>
        <w:rPr>
          <w:sz w:val="20"/>
          <w:szCs w:val="20"/>
          <w:color w:val="auto"/>
        </w:rPr>
      </w:pPr>
    </w:p>
    <w:p>
      <w:pPr>
        <w:jc w:val="both"/>
        <w:ind w:left="2900" w:hanging="642"/>
        <w:spacing w:after="0" w:line="241" w:lineRule="auto"/>
        <w:tabs>
          <w:tab w:leader="none" w:pos="2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else set forth herein, in the Company’s Equity Plans or in any Stock Award agreement (as such terms are defined below), such number of the unvested Stock Awards then held by you that are solely subject to time-based vesting conditions will vest on the effective date of your Release as would have vested during the 9-month period following your Qualifying Termination had you remained employed by the Company during such period. Your outstanding Stock Awards granted under the Company’s Equity Plans that are subject in whole or in part to performance-based vesting conditions will be governed by the terms of the applicable Stock Award agreement and the Equity Plan under which such Stock Awards were granted. The foregoing provisions are hereby deemed to be a part of each Stock Award and to supersede any less favorable provision in any Stock Award agreement or Equity Plan regarding such Stock Award. Notwithstanding the foregoing, in the event the Stock Award agreement or the Equity Plan pursuant to which your Stock Awards were granted provides for more favorable treatment of such Stock Awards upon a Qualifying Termination, nothing in this Agreement is intended to limit your right to such more favorable treatment as provided in such Stock Award agreement or Equity Plan.</w:t>
      </w:r>
    </w:p>
    <w:p>
      <w:pPr>
        <w:spacing w:after="0" w:line="171" w:lineRule="exact"/>
        <w:rPr>
          <w:sz w:val="20"/>
          <w:szCs w:val="20"/>
          <w:color w:val="auto"/>
        </w:rPr>
      </w:pPr>
    </w:p>
    <w:p>
      <w:pPr>
        <w:jc w:val="both"/>
        <w:ind w:left="2160" w:right="20" w:hanging="651"/>
        <w:spacing w:after="0" w:line="255" w:lineRule="auto"/>
        <w:tabs>
          <w:tab w:leader="none" w:pos="216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CIC S</w:t>
      </w:r>
      <w:r>
        <w:rPr>
          <w:rFonts w:ascii="Times New Roman" w:cs="Times New Roman" w:eastAsia="Times New Roman" w:hAnsi="Times New Roman"/>
          <w:sz w:val="12"/>
          <w:szCs w:val="12"/>
          <w:b w:val="1"/>
          <w:bCs w:val="1"/>
          <w:color w:val="auto"/>
        </w:rPr>
        <w:t>everance</w:t>
      </w:r>
      <w:r>
        <w:rPr>
          <w:rFonts w:ascii="Times New Roman" w:cs="Times New Roman" w:eastAsia="Times New Roman" w:hAnsi="Times New Roman"/>
          <w:sz w:val="19"/>
          <w:szCs w:val="19"/>
          <w:b w:val="1"/>
          <w:bCs w:val="1"/>
          <w:color w:val="auto"/>
        </w:rPr>
        <w:t xml:space="preserve"> B</w:t>
      </w:r>
      <w:r>
        <w:rPr>
          <w:rFonts w:ascii="Times New Roman" w:cs="Times New Roman" w:eastAsia="Times New Roman" w:hAnsi="Times New Roman"/>
          <w:sz w:val="12"/>
          <w:szCs w:val="12"/>
          <w:b w:val="1"/>
          <w:bCs w:val="1"/>
          <w:color w:val="auto"/>
        </w:rPr>
        <w:t>enefits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addition to your Accrued Obligations, subject to your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continued compliance with the Proprietary Information and Inventions Assignment Agreement, as described below, and the effectiveness of your Release, if your Qualifying Termination occurs during the Change in Control Period, you shall be entitled to receive, as the sole severance benefits to which you are entitled and in lieu of any Non-CIC Severance Benefits, the benefits provided below (the “</w:t>
      </w:r>
      <w:r>
        <w:rPr>
          <w:rFonts w:ascii="Times New Roman" w:cs="Times New Roman" w:eastAsia="Times New Roman" w:hAnsi="Times New Roman"/>
          <w:sz w:val="19"/>
          <w:szCs w:val="19"/>
          <w:b w:val="1"/>
          <w:bCs w:val="1"/>
          <w:i w:val="1"/>
          <w:iCs w:val="1"/>
          <w:color w:val="auto"/>
        </w:rPr>
        <w:t>CIC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Severance Benefits</w:t>
      </w:r>
      <w:r>
        <w:rPr>
          <w:rFonts w:ascii="Times New Roman" w:cs="Times New Roman" w:eastAsia="Times New Roman" w:hAnsi="Times New Roman"/>
          <w:sz w:val="19"/>
          <w:szCs w:val="19"/>
          <w:color w:val="auto"/>
        </w:rPr>
        <w:t>”) (and for the avoidance of doubt: (a) in no event will you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entitled to both the Non-CIC Severance Benefits and the CIC Severance Benefits, and</w:t>
      </w:r>
    </w:p>
    <w:p>
      <w:pPr>
        <w:spacing w:after="0" w:line="4" w:lineRule="exact"/>
        <w:rPr>
          <w:rFonts w:ascii="Times New Roman" w:cs="Times New Roman" w:eastAsia="Times New Roman" w:hAnsi="Times New Roman"/>
          <w:sz w:val="19"/>
          <w:szCs w:val="19"/>
          <w:color w:val="auto"/>
        </w:rPr>
      </w:pPr>
    </w:p>
    <w:p>
      <w:pPr>
        <w:jc w:val="both"/>
        <w:ind w:left="2160" w:right="20"/>
        <w:spacing w:after="0" w:line="241" w:lineRule="auto"/>
        <w:tabs>
          <w:tab w:leader="none" w:pos="247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has commenced providing the Non-CIC Severance Benefits to you prior to the date that you become eligible to receive the CIC Severance Benefits, the Non-CIC Severance Benefits previously provided to you shall reduce the CIC Severance Benefits provided below by the amount of such Non-CIC Severance Benefits already provided to you):</w:t>
      </w:r>
    </w:p>
    <w:p>
      <w:pPr>
        <w:spacing w:after="0" w:line="200" w:lineRule="exact"/>
        <w:rPr>
          <w:sz w:val="20"/>
          <w:szCs w:val="20"/>
          <w:color w:val="auto"/>
        </w:rPr>
      </w:pPr>
    </w:p>
    <w:p>
      <w:pPr>
        <w:ind w:left="2900" w:right="40" w:hanging="642"/>
        <w:spacing w:after="0" w:line="250" w:lineRule="auto"/>
        <w:tabs>
          <w:tab w:leader="none" w:pos="29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18 months’ base salary (at the rate in effect immediately prior to the date of your termination of employment, or in the</w:t>
      </w:r>
    </w:p>
    <w:p>
      <w:pPr>
        <w:spacing w:after="0" w:line="1" w:lineRule="exact"/>
        <w:rPr>
          <w:rFonts w:ascii="Times New Roman" w:cs="Times New Roman" w:eastAsia="Times New Roman" w:hAnsi="Times New Roman"/>
          <w:sz w:val="20"/>
          <w:szCs w:val="20"/>
          <w:color w:val="auto"/>
        </w:rPr>
      </w:pPr>
    </w:p>
    <w:p>
      <w:pPr>
        <w:ind w:left="4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07" w:name="page108"/>
    <w:bookmarkEnd w:id="107"/>
    <w:p>
      <w:pPr>
        <w:spacing w:after="0" w:line="216" w:lineRule="exact"/>
        <w:rPr>
          <w:sz w:val="20"/>
          <w:szCs w:val="20"/>
          <w:color w:val="auto"/>
        </w:rPr>
      </w:pPr>
    </w:p>
    <w:p>
      <w:pPr>
        <w:jc w:val="both"/>
        <w:ind w:left="2900" w:right="19"/>
        <w:spacing w:after="0" w:line="243" w:lineRule="auto"/>
        <w:rPr>
          <w:sz w:val="20"/>
          <w:szCs w:val="20"/>
          <w:color w:val="auto"/>
        </w:rPr>
      </w:pPr>
      <w:r>
        <w:rPr>
          <w:rFonts w:ascii="Times New Roman" w:cs="Times New Roman" w:eastAsia="Times New Roman" w:hAnsi="Times New Roman"/>
          <w:sz w:val="20"/>
          <w:szCs w:val="20"/>
          <w:color w:val="auto"/>
        </w:rPr>
        <w:t>case of a material diminution in your base salary which would give rise to Good Reason for your resignation, the base salary in effect prior to such material diminution), which amount will be paid over a period of 18 months following your termination of employment in accordance with the Company's standard payroll practices, with the first such installment occurring on the first regularly-scheduled payroll date following the date your Release becomes effective (which first installment will include any installments that would have occurred prior to such date but for the fact your Release was not yet effective);</w:t>
      </w:r>
    </w:p>
    <w:p>
      <w:pPr>
        <w:spacing w:after="0" w:line="199" w:lineRule="exact"/>
        <w:rPr>
          <w:sz w:val="20"/>
          <w:szCs w:val="20"/>
          <w:color w:val="auto"/>
        </w:rPr>
      </w:pPr>
    </w:p>
    <w:p>
      <w:pPr>
        <w:jc w:val="both"/>
        <w:ind w:left="2900" w:right="19" w:hanging="642"/>
        <w:spacing w:after="0" w:line="241" w:lineRule="auto"/>
        <w:tabs>
          <w:tab w:leader="none" w:pos="29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1.5 times your Target Bonus for the calendar year in which your termination date occurs (at the rate in effect immediately prior to the date of your termination of employment, or in the case of a material diminution in your Target Bonus which would give rise to Good Reason for your resignation, the Target Bonus in effect prior to such material diminution), which amount will be paid as follows: (a) an amount equal to your Target Bonus for the calendar year in which your termination date occurs, prorated for the portion of the calendar year in which your termination date occurs that has elapsed prior to such termination, will be paid in a lump sum on the first regularly-scheduled payroll date following the date your Release becomes effective, but in no event more than 75 days following your termination date, and (b) any remaining amount payable pursuant to this paragraph will be paid on the first regularly-scheduled payroll date following the later of (i) the date your Release becomes effective or (ii) the date of the Change in Control;</w:t>
      </w:r>
    </w:p>
    <w:p>
      <w:pPr>
        <w:spacing w:after="0" w:line="207" w:lineRule="exact"/>
        <w:rPr>
          <w:rFonts w:ascii="Times New Roman" w:cs="Times New Roman" w:eastAsia="Times New Roman" w:hAnsi="Times New Roman"/>
          <w:sz w:val="20"/>
          <w:szCs w:val="20"/>
          <w:color w:val="auto"/>
        </w:rPr>
      </w:pPr>
    </w:p>
    <w:p>
      <w:pPr>
        <w:jc w:val="both"/>
        <w:ind w:left="2900" w:right="19" w:hanging="642"/>
        <w:spacing w:after="0" w:line="244" w:lineRule="auto"/>
        <w:tabs>
          <w:tab w:leader="none" w:pos="29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any unpaid annual bonus for the calendar year prior to the year in which your Qualifying Termination occurs, to the extent you are entitled to such bonus and if such bonus has not already been paid, which amount will be paid in a lump sum on the first regularly-scheduled payroll date following the later of (a) the date your Release becomes effective, but in no event more than 75 days following your termination date, or (b) the date of the Change in Control;</w:t>
      </w:r>
    </w:p>
    <w:p>
      <w:pPr>
        <w:spacing w:after="0" w:line="199" w:lineRule="exact"/>
        <w:rPr>
          <w:rFonts w:ascii="Times New Roman" w:cs="Times New Roman" w:eastAsia="Times New Roman" w:hAnsi="Times New Roman"/>
          <w:sz w:val="20"/>
          <w:szCs w:val="20"/>
          <w:color w:val="auto"/>
        </w:rPr>
      </w:pPr>
    </w:p>
    <w:p>
      <w:pPr>
        <w:jc w:val="both"/>
        <w:ind w:left="2900" w:right="19" w:hanging="642"/>
        <w:spacing w:after="0" w:line="241" w:lineRule="auto"/>
        <w:tabs>
          <w:tab w:leader="none" w:pos="29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(a)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multiplied by (b) 18 (less, in the case of your Qualifying Termination prior to a Change in Control but during the Change in Control Period, any number of months for which COBRA coverage was previously provided as a result of such termination at Company’s expense), paid in a lump sum on the first regularly-scheduled payroll date following the later of (i) the date your Release becomes effective, but in no event more than 75 days following your termination date, or (ii) the date of the Change in Control; and</w:t>
      </w:r>
    </w:p>
    <w:p>
      <w:pPr>
        <w:spacing w:after="0" w:line="183" w:lineRule="exact"/>
        <w:rPr>
          <w:rFonts w:ascii="Times New Roman" w:cs="Times New Roman" w:eastAsia="Times New Roman" w:hAnsi="Times New Roman"/>
          <w:sz w:val="20"/>
          <w:szCs w:val="20"/>
          <w:color w:val="auto"/>
        </w:rPr>
      </w:pPr>
    </w:p>
    <w:p>
      <w:pPr>
        <w:jc w:val="both"/>
        <w:ind w:left="2900" w:right="19" w:hanging="642"/>
        <w:spacing w:after="0" w:line="244" w:lineRule="auto"/>
        <w:tabs>
          <w:tab w:leader="none" w:pos="29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else set forth herein, in the Company’s Equity Plans or in any Stock Award agreement, any unvested Stock Awards then held by you that are solely subject to time-based vesting conditions will vest on the later of (i) the effective date of your Release or (ii) the date of the Change in Control. Your outstanding Stock Awards granted under the</w:t>
      </w:r>
    </w:p>
    <w:p>
      <w:pPr>
        <w:ind w:left="4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203" w:lineRule="exact"/>
        <w:rPr>
          <w:sz w:val="20"/>
          <w:szCs w:val="20"/>
          <w:color w:val="auto"/>
        </w:rPr>
      </w:pPr>
    </w:p>
    <w:p>
      <w:pPr>
        <w:jc w:val="both"/>
        <w:ind w:left="2900" w:right="19"/>
        <w:spacing w:after="0" w:line="242" w:lineRule="auto"/>
        <w:rPr>
          <w:sz w:val="20"/>
          <w:szCs w:val="20"/>
          <w:color w:val="auto"/>
        </w:rPr>
      </w:pPr>
      <w:r>
        <w:rPr>
          <w:rFonts w:ascii="Times New Roman" w:cs="Times New Roman" w:eastAsia="Times New Roman" w:hAnsi="Times New Roman"/>
          <w:sz w:val="20"/>
          <w:szCs w:val="20"/>
          <w:color w:val="auto"/>
        </w:rPr>
        <w:t>Company’s Equity Plans that are subject in whole or in part to performance-based vesting conditions will be governed by the terms of the applicable Stock Award agreement and the Equity Plan under which such Stock Awards were granted. The foregoing provisions are hereby deemed to be a part of each Stock Award and to supersede any less favorable provision in any Stock Award agreement or Equity Plan regarding such Stock Award. Notwithstanding the foregoing, in the event the Stock Award agreement or the Equity Plan pursuant to which your Stock Awards were granted provides for more favorable treatment of such Stock Awards upon a Change in Control or a Qualifying Termination, nothing in this Agreement is intended to limit your right to such more favorable treatment as provided in such Stock Award agreement or Equity Plan.</w:t>
      </w:r>
    </w:p>
    <w:p>
      <w:pPr>
        <w:spacing w:after="0" w:line="170" w:lineRule="exact"/>
        <w:rPr>
          <w:sz w:val="20"/>
          <w:szCs w:val="20"/>
          <w:color w:val="auto"/>
        </w:rPr>
      </w:pPr>
    </w:p>
    <w:p>
      <w:pPr>
        <w:jc w:val="both"/>
        <w:ind w:left="2160" w:right="19" w:hanging="651"/>
        <w:spacing w:after="0" w:line="241" w:lineRule="auto"/>
        <w:tabs>
          <w:tab w:leader="none" w:pos="21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eath and</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isability</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your Accrued Obligations, if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terminates by reason of your death or Disability, notwithstanding anything else set forth herein, in the Company’s Equity Plans or in any Stock Award agreement, all unvested Stock Awards then held by you that are solely subject to time-based vesting conditions will vest on the date of your termination of employment. Your outstanding Stock Awards granted under the Company’s Equity Plans that are subject in whole or in part to performance-based vesting conditions will be governed by the terms of the applicable Stock Award agreement and the Equity Plan under which such Stock Awards were granted. The foregoing provisions are hereby deemed to be a part of each Stock Award and to supersede any less favorable provision in any Stock Award agreement or Equity Plan regarding such Stock Award. Notwithstanding the foregoing, in the event the Stock Award agreement or the Equity Plan pursuant to which your Stock Awards were granted provides for more favorable treatment of Stock Awards upon a Change in Control or a Qualifying Termination, nothing in this Agreement is intended to limit your right to such more favorable treatment as provided in such Stock Award agreement or Equity Plan.</w:t>
      </w:r>
    </w:p>
    <w:p>
      <w:pPr>
        <w:spacing w:after="0" w:line="179" w:lineRule="exact"/>
        <w:rPr>
          <w:rFonts w:ascii="Times New Roman" w:cs="Times New Roman" w:eastAsia="Times New Roman" w:hAnsi="Times New Roman"/>
          <w:sz w:val="20"/>
          <w:szCs w:val="20"/>
          <w:color w:val="auto"/>
        </w:rPr>
      </w:pPr>
    </w:p>
    <w:p>
      <w:pPr>
        <w:jc w:val="both"/>
        <w:ind w:left="2160" w:right="19" w:hanging="651"/>
        <w:spacing w:after="0" w:line="245" w:lineRule="auto"/>
        <w:tabs>
          <w:tab w:leader="none" w:pos="21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elease</w:t>
      </w:r>
      <w:r>
        <w:rPr>
          <w:rFonts w:ascii="Times New Roman" w:cs="Times New Roman" w:eastAsia="Times New Roman" w:hAnsi="Times New Roman"/>
          <w:sz w:val="20"/>
          <w:szCs w:val="20"/>
          <w:color w:val="auto"/>
        </w:rPr>
        <w:t>. As a condition to your receipt of any post-termination payments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pursuant to the preceding paragraphs (other than in the case of your death), you shall execute and not revoke a general release of all claims in favor of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in a form reasonably acceptable to the Company in order to effectuate a valid general release of claims. In the event the Release does not become effective within the 60-day period following the date of your termination of employment, you will not be entitled to the aforesaid payments and benefits.</w:t>
      </w:r>
    </w:p>
    <w:p>
      <w:pPr>
        <w:spacing w:after="0" w:line="193" w:lineRule="exact"/>
        <w:rPr>
          <w:sz w:val="20"/>
          <w:szCs w:val="20"/>
          <w:color w:val="auto"/>
        </w:rPr>
      </w:pPr>
    </w:p>
    <w:p>
      <w:pPr>
        <w:jc w:val="both"/>
        <w:ind w:left="2180" w:right="19" w:hanging="582"/>
        <w:spacing w:after="0" w:line="246" w:lineRule="auto"/>
        <w:tabs>
          <w:tab w:leader="none" w:pos="21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3"/>
          <w:szCs w:val="13"/>
          <w:b w:val="1"/>
          <w:bCs w:val="1"/>
          <w:color w:val="auto"/>
        </w:rPr>
        <w:t>itigation</w:t>
      </w:r>
      <w:r>
        <w:rPr>
          <w:rFonts w:ascii="Times New Roman" w:cs="Times New Roman" w:eastAsia="Times New Roman" w:hAnsi="Times New Roman"/>
          <w:sz w:val="20"/>
          <w:szCs w:val="20"/>
          <w:color w:val="auto"/>
        </w:rPr>
        <w:t>. You shall not be required to mitigate, by seeking employment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the amount of any payment that the Company becomes obligated to make under this Agreement, and, except as expressly provided in this Agreement, amounts or other benefits to be paid or provided to you pursuant to this Agreement shall not be reduced by reason of your obtaining other employment or receiving similar payments or benefits from another employer.</w:t>
      </w:r>
    </w:p>
    <w:p>
      <w:pPr>
        <w:spacing w:after="0" w:line="178" w:lineRule="exact"/>
        <w:rPr>
          <w:rFonts w:ascii="Times New Roman" w:cs="Times New Roman" w:eastAsia="Times New Roman" w:hAnsi="Times New Roman"/>
          <w:sz w:val="20"/>
          <w:szCs w:val="20"/>
          <w:color w:val="auto"/>
        </w:rPr>
      </w:pPr>
    </w:p>
    <w:p>
      <w:pPr>
        <w:ind w:left="2260" w:hanging="662"/>
        <w:spacing w:after="0"/>
        <w:tabs>
          <w:tab w:leader="none" w:pos="22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right"/>
        <w:ind w:left="2580" w:right="19" w:hanging="321"/>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For purposes of this Agreement,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any of the following: (a) your commission of an act of fraud, embezzlement or dishonesty, or the commission of some other illegal act by you, that has a demonstrable adverse impact on the Company or any successor or affiliate thereof; (b) your conviction of, or plea of</w:t>
      </w:r>
    </w:p>
    <w:p>
      <w:pPr>
        <w:spacing w:after="0" w:line="1" w:lineRule="exact"/>
        <w:rPr>
          <w:sz w:val="20"/>
          <w:szCs w:val="20"/>
          <w:color w:val="auto"/>
        </w:rPr>
      </w:pPr>
    </w:p>
    <w:p>
      <w:pPr>
        <w:ind w:left="2580" w:right="39"/>
        <w:spacing w:after="0" w:line="239" w:lineRule="auto"/>
        <w:rPr>
          <w:sz w:val="20"/>
          <w:szCs w:val="20"/>
          <w:color w:val="auto"/>
        </w:rPr>
      </w:pPr>
      <w:r>
        <w:rPr>
          <w:rFonts w:ascii="Times New Roman" w:cs="Times New Roman" w:eastAsia="Times New Roman" w:hAnsi="Times New Roman"/>
          <w:sz w:val="20"/>
          <w:szCs w:val="20"/>
          <w:color w:val="auto"/>
        </w:rPr>
        <w:t>“guilty” or “no contest” to, a non-vehicular felony or any crime involving fraud, dishonesty or moral turpitude under the laws of the United States or any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9" w:name="page110"/>
    <w:bookmarkEnd w:id="109"/>
    <w:p>
      <w:pPr>
        <w:jc w:val="both"/>
        <w:ind w:left="2580" w:right="19"/>
        <w:spacing w:after="0" w:line="253" w:lineRule="auto"/>
        <w:rPr>
          <w:sz w:val="20"/>
          <w:szCs w:val="20"/>
          <w:color w:val="auto"/>
        </w:rPr>
      </w:pPr>
      <w:r>
        <w:rPr>
          <w:rFonts w:ascii="Times New Roman" w:cs="Times New Roman" w:eastAsia="Times New Roman" w:hAnsi="Times New Roman"/>
          <w:sz w:val="19"/>
          <w:szCs w:val="19"/>
          <w:color w:val="auto"/>
        </w:rPr>
        <w:t>state thereof; (c) any intentional, unauthorized use or disclosure by you of confidential information or trade secrets of the Company or any successor or affiliate thereof; (d) your gross negligence, insubordination or material violation of any duty of loyalty to the Company or any successor or affiliate thereof, or any other demonstrable material misconduct on your part; (e) your ongoing and repeated failure or refusal to perform or neglect of your duties as required by this Agreement or your ongoing and repeated failure or refusal to comply with the lawful instructions given to you by the Board, which failure, refusal or neglect continues for 15 days following your receipt of written notice from the Board stating with specificity the nature of such failure, refusal or neglect; provided that it is understood that this clause (e) shall not permit the Company to terminate your employment for Cause solely because of (i) your failure to meet specified performance objectives or achieve a specific result or outcome, or (ii) Company’s dissatisfaction with the quality of services provided by you in the good faith performance of your duties to the Company; or (f) your willful, material breach of any material Company policy or any material provision of this Agreement or the Proprietary Information and Inventions Assignment Agreement. Prior to the determination that “Cause” under clauses (d), (e) or (f) has occurred, the Company shall (i) provide to you in writing, in reasonable detail, the reasons for the determination that such “Cause” exists, (ii) other than with respect to clause (e) above which specifies the applicable period of time for you to remedy your breach, afford you a reasonable opportunity to remedy any such breach, (iii) provide you an opportunity to be heard prior to the final decision to terminate your employment hereunder for such “Cause” and (iv) make any decision that such “Cause” exists in good faith. The foregoing definition shall not in any way preclude or restrict the right of the Company or any successor or affiliate thereof to discharge or dismiss you for any other acts or omissions, but such other acts or omissions shall not be deemed, for purposes of this Agreement, to constitute grounds for termination for Cause.</w:t>
      </w:r>
    </w:p>
    <w:p>
      <w:pPr>
        <w:spacing w:after="0" w:line="189" w:lineRule="exact"/>
        <w:rPr>
          <w:sz w:val="20"/>
          <w:szCs w:val="20"/>
          <w:color w:val="auto"/>
        </w:rPr>
      </w:pPr>
    </w:p>
    <w:p>
      <w:pPr>
        <w:jc w:val="both"/>
        <w:ind w:left="2580" w:right="19" w:hanging="322"/>
        <w:spacing w:after="0" w:line="244" w:lineRule="auto"/>
        <w:tabs>
          <w:tab w:leader="none" w:pos="25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Company’s 2019 Incentive Award Plan. If a Change in Control would give rise to a payment or settlement event with respect to any payment or benefit that constitutes “nonqualified deferred compensation,” the transaction or event constituting the Change in Control must also constitute a “change in control event” (as defined in Treasury Regulation §1.409A-3(i)(5)) in order to give rise to the payment or settlement event for such payment or benefit, to the extent required by Section 409A.</w:t>
      </w:r>
    </w:p>
    <w:p>
      <w:pPr>
        <w:spacing w:after="0" w:line="181" w:lineRule="exact"/>
        <w:rPr>
          <w:rFonts w:ascii="Times New Roman" w:cs="Times New Roman" w:eastAsia="Times New Roman" w:hAnsi="Times New Roman"/>
          <w:sz w:val="20"/>
          <w:szCs w:val="20"/>
          <w:color w:val="auto"/>
        </w:rPr>
      </w:pPr>
    </w:p>
    <w:p>
      <w:pPr>
        <w:ind w:left="2580" w:right="19" w:hanging="322"/>
        <w:spacing w:after="0" w:line="273" w:lineRule="auto"/>
        <w:tabs>
          <w:tab w:leader="none" w:pos="25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Change in Control Period</w:t>
      </w:r>
      <w:r>
        <w:rPr>
          <w:rFonts w:ascii="Times New Roman" w:cs="Times New Roman" w:eastAsia="Times New Roman" w:hAnsi="Times New Roman"/>
          <w:sz w:val="20"/>
          <w:szCs w:val="20"/>
          <w:color w:val="auto"/>
        </w:rPr>
        <w:t>” means the three months prior to or 24 months following a Change in Control.</w:t>
      </w:r>
    </w:p>
    <w:p>
      <w:pPr>
        <w:spacing w:after="0" w:line="151" w:lineRule="exact"/>
        <w:rPr>
          <w:rFonts w:ascii="Times New Roman" w:cs="Times New Roman" w:eastAsia="Times New Roman" w:hAnsi="Times New Roman"/>
          <w:sz w:val="20"/>
          <w:szCs w:val="20"/>
          <w:color w:val="auto"/>
        </w:rPr>
      </w:pPr>
    </w:p>
    <w:p>
      <w:pPr>
        <w:jc w:val="both"/>
        <w:ind w:left="2580" w:right="19" w:hanging="322"/>
        <w:spacing w:after="0" w:line="247" w:lineRule="auto"/>
        <w:tabs>
          <w:tab w:leader="none" w:pos="25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a permanent and total disability under Section 22(e)(3) of the Code, as amended. If your Disability would give rise to a payment or settlement event with respect to any payment or benefit that constitutes “nonqualified deferred compensation,” your Disability must also constitute a “disability” (as defined in Section 409A of the Code).</w:t>
      </w:r>
    </w:p>
    <w:p>
      <w:pPr>
        <w:spacing w:after="0" w:line="342" w:lineRule="exact"/>
        <w:rPr>
          <w:rFonts w:ascii="Times New Roman" w:cs="Times New Roman" w:eastAsia="Times New Roman" w:hAnsi="Times New Roman"/>
          <w:sz w:val="20"/>
          <w:szCs w:val="20"/>
          <w:color w:val="auto"/>
        </w:rPr>
      </w:pPr>
    </w:p>
    <w:p>
      <w:pPr>
        <w:ind w:left="2580" w:hanging="322"/>
        <w:spacing w:after="0"/>
        <w:tabs>
          <w:tab w:leader="none" w:pos="25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means an equity incentive plan</w:t>
      </w:r>
    </w:p>
    <w:p>
      <w:pPr>
        <w:spacing w:after="0" w:line="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maintained by the Company, including the Inducement Plan.</w:t>
      </w:r>
    </w:p>
    <w:p>
      <w:pPr>
        <w:ind w:left="446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212" w:lineRule="exact"/>
        <w:rPr>
          <w:sz w:val="20"/>
          <w:szCs w:val="20"/>
          <w:color w:val="auto"/>
        </w:rPr>
      </w:pPr>
    </w:p>
    <w:p>
      <w:pPr>
        <w:jc w:val="both"/>
        <w:ind w:left="2580" w:hanging="322"/>
        <w:spacing w:after="0"/>
        <w:tabs>
          <w:tab w:leader="none" w:pos="258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means any of the following without your written consent: (a) a material diminution in your authority, duties or responsibilities, including, without limitation, following a Change in Control, your ceasing to report to the chief executive officer of the ultimate parent entity of the Company (or its successor), and/or your ceasing to serve as the chief legal officer, or similar position, of such ultimate parent entity; (b) a material diminution in your base salary or Target Bonus compensation (and you and the Company agree that any diminution of 10% or more shall be considered material for this purpose, regardless of whether such diminution occurs due to a single reduction or a series of reductions in your base compensation), unless such a reduction is imposed across-the-board to senior management of the Company (and for the avoidance of doubt, following a Change in Control, the reference to senior management of the Company shall include, without limitation, the senior management of the ultimate parent entity of the Company (or its successor)); (c) a material change in the geographic location at which you must perform your duties (and a relocation of the geographic location at which you must perform your duties to a location that increases your one-way commute from your residence by more than 25 miles as compared to your principal place of employment prior to such relocation shall be considered material for this purpose); provided that your obligation to work from the Company’s offices to the extent provided in this Agreement shall not constitute Good Reason for purposes of this Agreement or any other agreement between you and the Company; or (d) any other action or inaction that constitutes a material breach by the Company or any successor or affiliate of its obligations to you under this Agreement. You must provide written notice to the Company of the occurrence of any of the foregoing events or conditions without your written consent within 90 days of the occurrence of such event. The Company or any successor or affiliate shall have a period of 30 days to cure such event or condition after receipt of written notice of such event from you. Your termination of employment by reason of resignation from employment with the Company for Good Reason must occur within 90 days following the expiration of the foregoing 30-day cure period.</w:t>
      </w:r>
    </w:p>
    <w:p>
      <w:pPr>
        <w:spacing w:after="0" w:line="173" w:lineRule="exact"/>
        <w:rPr>
          <w:rFonts w:ascii="Times New Roman" w:cs="Times New Roman" w:eastAsia="Times New Roman" w:hAnsi="Times New Roman"/>
          <w:sz w:val="20"/>
          <w:szCs w:val="20"/>
          <w:color w:val="auto"/>
        </w:rPr>
      </w:pPr>
    </w:p>
    <w:p>
      <w:pPr>
        <w:jc w:val="both"/>
        <w:ind w:left="2580" w:right="20" w:hanging="322"/>
        <w:spacing w:after="0" w:line="244" w:lineRule="auto"/>
        <w:tabs>
          <w:tab w:leader="none" w:pos="258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Stock Awards</w:t>
      </w:r>
      <w:r>
        <w:rPr>
          <w:rFonts w:ascii="Times New Roman" w:cs="Times New Roman" w:eastAsia="Times New Roman" w:hAnsi="Times New Roman"/>
          <w:sz w:val="20"/>
          <w:szCs w:val="20"/>
          <w:color w:val="auto"/>
        </w:rPr>
        <w:t>” means all stock options, restricted stock and such other awards granted pursuant to the Company’s stock option and equity incentive award plans or agreements and any shares of stock issued upon exercise thereof; provided, however, that, for the avoidance of doubt, any performance-based equity awards granted to Executive, including the PSUs, shall not be eligible for any accelerated vesting as provided herein and the vesting of such awards shall be solely governed by the Equity Plans and the applicable Stock Award agreements.</w:t>
      </w:r>
    </w:p>
    <w:p>
      <w:pPr>
        <w:spacing w:after="0" w:line="181" w:lineRule="exact"/>
        <w:rPr>
          <w:rFonts w:ascii="Times New Roman" w:cs="Times New Roman" w:eastAsia="Times New Roman" w:hAnsi="Times New Roman"/>
          <w:sz w:val="20"/>
          <w:szCs w:val="20"/>
          <w:color w:val="auto"/>
        </w:rPr>
      </w:pPr>
    </w:p>
    <w:p>
      <w:pPr>
        <w:jc w:val="both"/>
        <w:ind w:left="2160" w:hanging="651"/>
        <w:spacing w:after="0" w:line="241" w:lineRule="auto"/>
        <w:tabs>
          <w:tab w:leader="none" w:pos="21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20"/>
          <w:szCs w:val="20"/>
          <w:b w:val="1"/>
          <w:bCs w:val="1"/>
          <w:color w:val="auto"/>
        </w:rPr>
        <w:t xml:space="preserve"> 409A</w:t>
      </w:r>
      <w:r>
        <w:rPr>
          <w:rFonts w:ascii="Times New Roman" w:cs="Times New Roman" w:eastAsia="Times New Roman" w:hAnsi="Times New Roman"/>
          <w:sz w:val="20"/>
          <w:szCs w:val="20"/>
          <w:color w:val="auto"/>
        </w:rPr>
        <w:t>. To the extent applicable, this Agreement shall be interpreted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409A of the Code and Department of Treasury regulations and other interpretive guidance issued thereunder. 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For purposes of Section 409A of the Code, any right to a series of installment payments under this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11" w:name="page112"/>
    <w:bookmarkEnd w:id="111"/>
    <w:p>
      <w:pPr>
        <w:spacing w:after="0" w:line="216" w:lineRule="exact"/>
        <w:rPr>
          <w:sz w:val="20"/>
          <w:szCs w:val="20"/>
          <w:color w:val="auto"/>
        </w:rPr>
      </w:pPr>
    </w:p>
    <w:p>
      <w:pPr>
        <w:jc w:val="both"/>
        <w:ind w:left="2160"/>
        <w:spacing w:after="0" w:line="241" w:lineRule="auto"/>
        <w:rPr>
          <w:sz w:val="20"/>
          <w:szCs w:val="20"/>
          <w:color w:val="auto"/>
        </w:rPr>
      </w:pPr>
      <w:r>
        <w:rPr>
          <w:rFonts w:ascii="Times New Roman" w:cs="Times New Roman" w:eastAsia="Times New Roman" w:hAnsi="Times New Roman"/>
          <w:sz w:val="20"/>
          <w:szCs w:val="20"/>
          <w:color w:val="auto"/>
        </w:rPr>
        <w:t>Agreement shall be treated as a right to a series of separate payments. For purposes of this Agreement, all references to your “termination of employment” shall mean your “separation from service” (as defined in Treasury Regulation Section 1.409A- 1(h))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If you are a “specified employee” (as defined in Section 409A of the Code), as determined by the Company in accordance with Section 409A of the Code, on the date of your Separation from Service, to the extent that the payments or benefits under this Agreement are “non-qualified deferred compensation” subject to Section 409A of the Code and the delayed payment or distribution of all or any portion of such amounts to which you are entitled under this Agreement is required in order to avoid a prohibited distribution under Section 409A(a)(2)(B)(i) of the Code, then such portion deferred pursuant to this paragraph shall be paid or distributed to you in a lump sum on the earlier of</w:t>
      </w:r>
    </w:p>
    <w:p>
      <w:pPr>
        <w:spacing w:after="0" w:line="2" w:lineRule="exact"/>
        <w:rPr>
          <w:sz w:val="20"/>
          <w:szCs w:val="20"/>
          <w:color w:val="auto"/>
        </w:rPr>
      </w:pPr>
    </w:p>
    <w:p>
      <w:pPr>
        <w:ind w:left="2260" w:right="20" w:hanging="2"/>
        <w:spacing w:after="0" w:line="247" w:lineRule="auto"/>
        <w:tabs>
          <w:tab w:leader="none" w:pos="257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date that is 6 months and one day following your Separation from Service, </w:t>
      </w:r>
      <w:r>
        <w:rPr>
          <w:rFonts w:ascii="Times New Roman" w:cs="Times New Roman" w:eastAsia="Times New Roman" w:hAnsi="Times New Roman"/>
          <w:sz w:val="21"/>
          <w:szCs w:val="21"/>
          <w:color w:val="auto"/>
        </w:rPr>
        <w:t>b.</w:t>
      </w:r>
      <w:r>
        <w:rPr>
          <w:rFonts w:ascii="Times New Roman" w:cs="Times New Roman" w:eastAsia="Times New Roman" w:hAnsi="Times New Roman"/>
          <w:sz w:val="19"/>
          <w:szCs w:val="19"/>
          <w:color w:val="auto"/>
        </w:rPr>
        <w:t>the date of your death or (c) the earliest date as is permitted under Section 409A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Code. Any remaining payments due under this Agreement shall be paid as otherwise provided herein.</w:t>
      </w:r>
    </w:p>
    <w:p>
      <w:pPr>
        <w:spacing w:after="0" w:line="170" w:lineRule="exact"/>
        <w:rPr>
          <w:sz w:val="20"/>
          <w:szCs w:val="20"/>
          <w:color w:val="auto"/>
        </w:rPr>
      </w:pPr>
    </w:p>
    <w:p>
      <w:pPr>
        <w:jc w:val="both"/>
        <w:ind w:left="2260" w:right="20"/>
        <w:spacing w:after="0" w:line="258" w:lineRule="auto"/>
        <w:rPr>
          <w:sz w:val="20"/>
          <w:szCs w:val="20"/>
          <w:color w:val="auto"/>
        </w:rPr>
      </w:pPr>
      <w:r>
        <w:rPr>
          <w:rFonts w:ascii="Times New Roman" w:cs="Times New Roman" w:eastAsia="Times New Roman" w:hAnsi="Times New Roman"/>
          <w:sz w:val="19"/>
          <w:szCs w:val="19"/>
          <w:color w:val="auto"/>
        </w:rPr>
        <w:t>To the extent that the payments or benefits under this Agreement are “non- qualified deferred compensation” subject to Section 409A of the Code, if the period during which you may deliver the Release required hereunder spans two calendar years, the payment of your post-termination benefits shall occur (or commence) on the later of</w:t>
      </w:r>
    </w:p>
    <w:p>
      <w:pPr>
        <w:spacing w:after="0" w:line="1" w:lineRule="exact"/>
        <w:rPr>
          <w:sz w:val="20"/>
          <w:szCs w:val="20"/>
          <w:color w:val="auto"/>
        </w:rPr>
      </w:pPr>
    </w:p>
    <w:p>
      <w:pPr>
        <w:ind w:left="2260" w:right="20" w:hanging="2"/>
        <w:spacing w:after="0" w:line="246" w:lineRule="auto"/>
        <w:tabs>
          <w:tab w:leader="none" w:pos="253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January 1 of the second calendar year, or (b) the first regularly-scheduled payroll date following the date your Release becomes effective.</w:t>
      </w:r>
    </w:p>
    <w:p>
      <w:pPr>
        <w:spacing w:after="0" w:line="182" w:lineRule="exact"/>
        <w:rPr>
          <w:sz w:val="20"/>
          <w:szCs w:val="20"/>
          <w:color w:val="auto"/>
        </w:rPr>
      </w:pPr>
    </w:p>
    <w:p>
      <w:pPr>
        <w:jc w:val="both"/>
        <w:ind w:left="2260" w:right="20"/>
        <w:spacing w:after="0" w:line="243" w:lineRule="auto"/>
        <w:rPr>
          <w:sz w:val="20"/>
          <w:szCs w:val="20"/>
          <w:color w:val="auto"/>
        </w:rPr>
      </w:pPr>
      <w:r>
        <w:rPr>
          <w:rFonts w:ascii="Times New Roman" w:cs="Times New Roman" w:eastAsia="Times New Roman" w:hAnsi="Times New Roman"/>
          <w:sz w:val="20"/>
          <w:szCs w:val="20"/>
          <w:color w:val="auto"/>
        </w:rPr>
        <w:t>Any reimbursement of expenses or in-kind benefits payable under this Agreement 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w:t>
      </w:r>
    </w:p>
    <w:p>
      <w:pPr>
        <w:spacing w:after="0" w:line="185" w:lineRule="exact"/>
        <w:rPr>
          <w:sz w:val="20"/>
          <w:szCs w:val="20"/>
          <w:color w:val="auto"/>
        </w:rPr>
      </w:pPr>
    </w:p>
    <w:p>
      <w:pPr>
        <w:ind w:left="1500" w:hanging="740"/>
        <w:spacing w:after="0"/>
        <w:tabs>
          <w:tab w:leader="none" w:pos="15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olicies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roprietary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  and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nventions</w:t>
      </w:r>
    </w:p>
    <w:p>
      <w:pPr>
        <w:spacing w:after="0" w:line="26"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ssignment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an employee of the Company, you shall be expected to abide by all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Company’s policies and procedures and the Company’s employee handbook, if any. As a condition of your commencement of employment hereunder, you agree to execute and abide by the terms of the Company’s form of Proprietary Information and Inventions Assignment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shall survive termination of your employment with the Company and the termination of the Proprietary Information and Inventions Assignment Agreement. You acknowledge that a remedy at law for any breach or threatened breach by you of the provisions of the Proprietary Information and Inventions Assignment Agreement would be inadequate, and you therefore agree that the Company shall be entitled to injunctive relief in case of any such breach or threatened breach. The Company may modify, revoke, suspend or terminate any of the terms, plans, policies and/or procedures described in the employee handbook, if any, or as otherwise communicated to you, in whole or part, at any time, with or without notice; provided that any such action does not affect your rights under this Agreement.</w:t>
      </w:r>
    </w:p>
    <w:p>
      <w:pPr>
        <w:spacing w:after="0" w:line="200" w:lineRule="exact"/>
        <w:rPr>
          <w:sz w:val="20"/>
          <w:szCs w:val="20"/>
          <w:color w:val="auto"/>
        </w:rPr>
      </w:pPr>
    </w:p>
    <w:p>
      <w:pPr>
        <w:spacing w:after="0" w:line="254" w:lineRule="exact"/>
        <w:rPr>
          <w:sz w:val="20"/>
          <w:szCs w:val="20"/>
          <w:color w:val="auto"/>
        </w:rPr>
      </w:pPr>
    </w:p>
    <w:p>
      <w:pPr>
        <w:ind w:left="1500" w:hanging="740"/>
        <w:spacing w:after="0"/>
        <w:tabs>
          <w:tab w:leader="none" w:pos="15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est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rovision</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2160" w:hanging="651"/>
        <w:spacing w:after="0"/>
        <w:tabs>
          <w:tab w:leader="none" w:pos="21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payment or benefit received or to be received by you pursuant to</w:t>
      </w:r>
    </w:p>
    <w:p>
      <w:pPr>
        <w:spacing w:after="0" w:line="22" w:lineRule="exact"/>
        <w:rPr>
          <w:sz w:val="20"/>
          <w:szCs w:val="20"/>
          <w:color w:val="auto"/>
        </w:rPr>
      </w:pPr>
    </w:p>
    <w:p>
      <w:pPr>
        <w:ind w:left="4400" w:right="880" w:hanging="2243"/>
        <w:spacing w:after="0" w:line="246" w:lineRule="auto"/>
        <w:rPr>
          <w:sz w:val="20"/>
          <w:szCs w:val="20"/>
          <w:color w:val="auto"/>
        </w:rPr>
      </w:pPr>
      <w:r>
        <w:rPr>
          <w:rFonts w:ascii="Times New Roman" w:cs="Times New Roman" w:eastAsia="Times New Roman" w:hAnsi="Times New Roman"/>
          <w:sz w:val="20"/>
          <w:szCs w:val="20"/>
          <w:color w:val="auto"/>
        </w:rPr>
        <w:t>the terms of any plan, arrangement or agreement (including any payment or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605790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12" w:name="page113"/>
    <w:bookmarkEnd w:id="112"/>
    <w:p>
      <w:pPr>
        <w:jc w:val="both"/>
        <w:ind w:left="2160"/>
        <w:spacing w:after="0"/>
        <w:rPr>
          <w:sz w:val="20"/>
          <w:szCs w:val="20"/>
          <w:color w:val="auto"/>
        </w:rPr>
      </w:pPr>
      <w:r>
        <w:rPr>
          <w:rFonts w:ascii="Times New Roman" w:cs="Times New Roman" w:eastAsia="Times New Roman" w:hAnsi="Times New Roman"/>
          <w:sz w:val="20"/>
          <w:szCs w:val="20"/>
          <w:color w:val="auto"/>
        </w:rPr>
        <w:t>benefit received in connection with a change in ownership or control or the termination of your employment) (all such payments and benefits being hereinafter referred to as the “</w:t>
      </w:r>
      <w:r>
        <w:rPr>
          <w:rFonts w:ascii="Times New Roman" w:cs="Times New Roman" w:eastAsia="Times New Roman" w:hAnsi="Times New Roman"/>
          <w:sz w:val="20"/>
          <w:szCs w:val="20"/>
          <w:b w:val="1"/>
          <w:bCs w:val="1"/>
          <w:i w:val="1"/>
          <w:iCs w:val="1"/>
          <w:color w:val="auto"/>
        </w:rPr>
        <w:t>Total Payments</w:t>
      </w:r>
      <w:r>
        <w:rPr>
          <w:rFonts w:ascii="Times New Roman" w:cs="Times New Roman" w:eastAsia="Times New Roman" w:hAnsi="Times New Roman"/>
          <w:sz w:val="20"/>
          <w:szCs w:val="20"/>
          <w:color w:val="auto"/>
        </w:rPr>
        <w:t>”) would be subject (in whole or part) to the excise tax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imposed under Section 4999 of the Code, then the Total Payments shall be reduced to the extent necessary so that no portion of the Total Payments is subject to the Excise Tax but only if (i)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you would be subject in respect of such unreduced Total Payments and after taking into account the phase out of itemized deductions and personal exemptions attributable to such unreduced Total Payments). Except to the extent that an alternative reduction order would result in a greater economic benefit to you on an after-tax basis, the parties intend that the Total Payments shall be reduced in the following order: (w) reduction of any cash severance payments otherwise payable to you that are exempt from Section 409A of the Code, (x) reduction of any other cash payments or benefits otherwise payable to you that are exempt from Section 409A of the Code, but excluding any payment attributable to the acceleration of vesting or payment with respect to any equity award that is exempt from Section 409A of the Code, (y) reduction of any other payments or benefits otherwise payable to you on a pro-rata basis or such other manner that complies with 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provided, in case of clauses (x), (y) and (z), that reduction of any payments or benefits attributable to the acceleration of vesting of Company equity awards shall be first applied to equity awards with later vesting dates; provided, further, that, notwithstanding the foregoing, any such reduction shall be undertaken in a manner that complies with and does not result in the imposition of additional taxes on you under Section 409A of the Code. The foregoing reductions shall be made in a manner that results in the maximum economic benefit to you on an after-tax basis and, to the extent economically equivalent payments or benefits are subject to reduction, in a pro rata manner.</w:t>
      </w:r>
    </w:p>
    <w:p>
      <w:pPr>
        <w:spacing w:after="0" w:line="171" w:lineRule="exact"/>
        <w:rPr>
          <w:sz w:val="20"/>
          <w:szCs w:val="20"/>
          <w:color w:val="auto"/>
        </w:rPr>
      </w:pPr>
    </w:p>
    <w:p>
      <w:pPr>
        <w:jc w:val="both"/>
        <w:ind w:left="2160" w:right="20" w:hanging="651"/>
        <w:spacing w:after="0" w:line="241" w:lineRule="auto"/>
        <w:tabs>
          <w:tab w:leader="none" w:pos="21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determinations regarding the application of the paragraph above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cs="Times New Roman" w:eastAsia="Times New Roman" w:hAnsi="Times New Roman"/>
          <w:sz w:val="20"/>
          <w:szCs w:val="20"/>
          <w:b w:val="1"/>
          <w:bCs w:val="1"/>
          <w:i w:val="1"/>
          <w:iCs w:val="1"/>
          <w:color w:val="auto"/>
        </w:rPr>
        <w:t>280G Firm</w:t>
      </w:r>
      <w:r>
        <w:rPr>
          <w:rFonts w:ascii="Times New Roman" w:cs="Times New Roman" w:eastAsia="Times New Roman" w:hAnsi="Times New Roman"/>
          <w:sz w:val="20"/>
          <w:szCs w:val="20"/>
          <w:color w:val="auto"/>
        </w:rPr>
        <w:t>”). For purposes of determining whether and the extent to which the Total Payments will be subject to the Excise Tax, (i)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w:t>
      </w:r>
    </w:p>
    <w:p>
      <w:pPr>
        <w:spacing w:after="0" w:line="3" w:lineRule="exact"/>
        <w:rPr>
          <w:sz w:val="20"/>
          <w:szCs w:val="20"/>
          <w:color w:val="auto"/>
        </w:rPr>
      </w:pPr>
    </w:p>
    <w:p>
      <w:pPr>
        <w:ind w:left="4400" w:right="1660" w:hanging="2244"/>
        <w:spacing w:after="0" w:line="246" w:lineRule="auto"/>
        <w:rPr>
          <w:sz w:val="20"/>
          <w:szCs w:val="20"/>
          <w:color w:val="auto"/>
        </w:rPr>
      </w:pPr>
      <w:r>
        <w:rPr>
          <w:rFonts w:ascii="Times New Roman" w:cs="Times New Roman" w:eastAsia="Times New Roman" w:hAnsi="Times New Roman"/>
          <w:sz w:val="20"/>
          <w:szCs w:val="20"/>
          <w:color w:val="auto"/>
        </w:rPr>
        <w:t>compensation, (ii) no portion of the Total Payments the receipt or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605790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13" w:name="page114"/>
    <w:bookmarkEnd w:id="113"/>
    <w:p>
      <w:pPr>
        <w:spacing w:after="0" w:line="189" w:lineRule="exact"/>
        <w:rPr>
          <w:sz w:val="20"/>
          <w:szCs w:val="20"/>
          <w:color w:val="auto"/>
        </w:rPr>
      </w:pPr>
    </w:p>
    <w:p>
      <w:pPr>
        <w:jc w:val="both"/>
        <w:ind w:left="2160" w:right="20"/>
        <w:spacing w:after="0" w:line="241" w:lineRule="auto"/>
        <w:rPr>
          <w:sz w:val="20"/>
          <w:szCs w:val="20"/>
          <w:color w:val="auto"/>
        </w:rPr>
      </w:pPr>
      <w:r>
        <w:rPr>
          <w:rFonts w:ascii="Times New Roman" w:cs="Times New Roman" w:eastAsia="Times New Roman" w:hAnsi="Times New Roman"/>
          <w:sz w:val="20"/>
          <w:szCs w:val="20"/>
          <w:color w:val="auto"/>
        </w:rPr>
        <w:t>enjoyment of which you shall have waived at such time and in such manner as not to constitute a “payment” within the meaning of Section 280G(b) of the Code shall be taken into account, and (iii)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“Best Pay Provision” section shall be done by the 280G Firm. The 280G Firm will be directed to submit its determination and detailed supporting calculations to both you and the Company within fifteen (15) days after notification from either the Company or you that you may receive payments which may be “parachute payments.” You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188" w:lineRule="exact"/>
        <w:rPr>
          <w:sz w:val="20"/>
          <w:szCs w:val="20"/>
          <w:color w:val="auto"/>
        </w:rPr>
      </w:pPr>
    </w:p>
    <w:p>
      <w:pPr>
        <w:jc w:val="both"/>
        <w:ind w:left="20" w:firstLine="740"/>
        <w:spacing w:after="0" w:line="242" w:lineRule="auto"/>
        <w:tabs>
          <w:tab w:leader="none" w:pos="915"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represent and agree that your performance of your duties for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 not violate any agreements, obligations or understandings that you may have with any third party or prior employer. Without limiting the foregoing, you represent and agree that you are not bound by any non-compete or non-solicitation agreement or any other type of agreement that would prohibit your employment with the Company.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 While employed by the Company, you will not engage in any business activity in competition with the Company nor make preparations to do so. In the event that you wish to undertake a business activity outside the scope of your employment by the Company, which activity you believe entails no conflict with the Company’s activities, you agree to inform the Company of your intentions before the initiation of such outside business activity, and you furthermore agree to abide by the Company’s decision as to whether or not there is no conflict. If, in the Company’s reasonable determination, a conflict exists or is likely to develop, you agree not to undertake such outside business activity.</w:t>
      </w:r>
    </w:p>
    <w:p>
      <w:pPr>
        <w:spacing w:after="0" w:line="182" w:lineRule="exact"/>
        <w:rPr>
          <w:rFonts w:ascii="Times New Roman" w:cs="Times New Roman" w:eastAsia="Times New Roman" w:hAnsi="Times New Roman"/>
          <w:sz w:val="20"/>
          <w:szCs w:val="20"/>
          <w:color w:val="auto"/>
        </w:rPr>
      </w:pPr>
    </w:p>
    <w:p>
      <w:pPr>
        <w:jc w:val="both"/>
        <w:ind w:left="20" w:right="20" w:firstLine="657"/>
        <w:spacing w:after="0" w:line="242" w:lineRule="auto"/>
        <w:tabs>
          <w:tab w:leader="none" w:pos="8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nterference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While employed by the Company, and for one year immediately following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on which you terminate employment or otherwise cease providing services to the Company, you agree not to interfere with the business of the Company by (a) soliciting or attempting to solicit any employee or consultant of the Company to terminate such employee’s or consultant’s employment or service in order to become an employee, consultant or independent contractor to or for any other person or entity or (b)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 The foregoing restrictions shall not apply with respect to the bona fide hiring and firing of Company personnel to the extent such acts are part of your duties for Company. Your duties under this paragraph shall survive termination of your employment with the Company and the termination of this Agreement.</w:t>
      </w:r>
    </w:p>
    <w:p>
      <w:pPr>
        <w:spacing w:after="0" w:line="203" w:lineRule="exact"/>
        <w:rPr>
          <w:rFonts w:ascii="Times New Roman" w:cs="Times New Roman" w:eastAsia="Times New Roman" w:hAnsi="Times New Roman"/>
          <w:sz w:val="20"/>
          <w:szCs w:val="20"/>
          <w:color w:val="auto"/>
        </w:rPr>
      </w:pPr>
    </w:p>
    <w:p>
      <w:pPr>
        <w:jc w:val="both"/>
        <w:ind w:left="20" w:right="20" w:firstLine="657"/>
        <w:spacing w:after="0" w:line="244" w:lineRule="auto"/>
        <w:tabs>
          <w:tab w:leader="none" w:pos="8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easonableness of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agree that the terms contained in the “Other Agreements” and “Non-Interference” paragraphs above are reasonable in all respects and that the restrictions contained therein are designed to protect the Company against unfair competition. In the event a court determines that any of the terms or provisions of this Agreement are unreasonable, the court may limit the application of any provision or term, or modify any provision or term, and proceed to enforce this Agreement as so limited or modified.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14" w:name="page115"/>
    <w:bookmarkEnd w:id="114"/>
    <w:p>
      <w:pPr>
        <w:spacing w:after="0" w:line="199" w:lineRule="exact"/>
        <w:rPr>
          <w:sz w:val="20"/>
          <w:szCs w:val="20"/>
          <w:color w:val="auto"/>
        </w:rPr>
      </w:pPr>
    </w:p>
    <w:p>
      <w:pPr>
        <w:jc w:val="both"/>
        <w:ind w:left="20" w:right="20" w:firstLine="657"/>
        <w:spacing w:after="0" w:line="246" w:lineRule="auto"/>
        <w:tabs>
          <w:tab w:leader="none" w:pos="8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urisdiction and</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3"/>
          <w:szCs w:val="13"/>
          <w:b w:val="1"/>
          <w:bCs w:val="1"/>
          <w:color w:val="auto"/>
        </w:rPr>
        <w:t>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for all purposes, shall be construed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laws of the Commonwealth of Massachusetts without regard to conflicts-of-law principles. Any action or proceeding by either party to enforce this Agreement shall be brought only in any state or federal court located in Norfolk County, Massachusetts. The parties hereby irrevocably submit to the exclusive jurisdiction of such courts and waive the defense of inconvenient forum to the maintenance of any such action or proceeding in such venue.</w:t>
      </w:r>
    </w:p>
    <w:p>
      <w:pPr>
        <w:spacing w:after="0" w:line="178" w:lineRule="exact"/>
        <w:rPr>
          <w:rFonts w:ascii="Times New Roman" w:cs="Times New Roman" w:eastAsia="Times New Roman" w:hAnsi="Times New Roman"/>
          <w:sz w:val="20"/>
          <w:szCs w:val="20"/>
          <w:color w:val="auto"/>
        </w:rPr>
      </w:pPr>
    </w:p>
    <w:p>
      <w:pPr>
        <w:jc w:val="both"/>
        <w:ind w:left="20" w:firstLine="740"/>
        <w:spacing w:after="0"/>
        <w:tabs>
          <w:tab w:leader="none" w:pos="915"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rbitration</w:t>
      </w:r>
      <w:r>
        <w:rPr>
          <w:rFonts w:ascii="Times New Roman" w:cs="Times New Roman" w:eastAsia="Times New Roman" w:hAnsi="Times New Roman"/>
          <w:sz w:val="20"/>
          <w:szCs w:val="20"/>
          <w:color w:val="auto"/>
        </w:rPr>
        <w:t>. Unless otherwise prohibited by law or specified below, any dispute, claim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controversy based on, arising out of or relating to this Agreement or your employment with the Company shall be settled by final and binding arbitration in Norfolk County, Massachusetts, before a single neutral arbitrator in accordance with the JAMS Employment Arbitration Rules and Procedures (the “</w:t>
      </w:r>
      <w:r>
        <w:rPr>
          <w:rFonts w:ascii="Times New Roman" w:cs="Times New Roman" w:eastAsia="Times New Roman" w:hAnsi="Times New Roman"/>
          <w:sz w:val="20"/>
          <w:szCs w:val="20"/>
          <w:b w:val="1"/>
          <w:bCs w:val="1"/>
          <w:i w:val="1"/>
          <w:iCs w:val="1"/>
          <w:color w:val="auto"/>
        </w:rPr>
        <w:t>Rules</w:t>
      </w:r>
      <w:r>
        <w:rPr>
          <w:rFonts w:ascii="Times New Roman" w:cs="Times New Roman" w:eastAsia="Times New Roman" w:hAnsi="Times New Roman"/>
          <w:sz w:val="20"/>
          <w:szCs w:val="20"/>
          <w:color w:val="auto"/>
        </w:rPr>
        <w:t>”), and judgment on the award rendered by the arbitrator may be entered in any court having jurisdiction. The Rules may be found online at www.jamsadr.com and will be provided to you upon written request. Arbitration may be compelled pursuant to the Federal Arbitration Act, 9 U.S.C. §1-16, or if inapplicable, any similar statute of an applicable jurisdiction. If the parties are unable to agree upon an arbitrator, one shall be appointed by JAMS in accordance with its Rules. Each party shall pay the fees of its own attorneys, the expenses of its witnesses and all other expenses connected with presenting its case. Other costs of the arbitration, including the cost of any record or transcripts of the arbitration, JAMS administrative fees, the fee of the arbitrator, and all other fees and costs, shall be borne by the Company. This paragraph is intended to be the exclusive method for resolving any and all claims by the parties against each other for payment of damages under this Agreement or related to your employment; provided, however, that you shall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claims for unpaid wages or waiting time penalties brought before any federal or state agency); provided, however, that any appeal from an award or from denial of an award of wages and/or waiting time penalties shall be arbitrated pursuant to the terms of this Agreement; and (c) claims for administrative relief from the United States Equal Employment Opportunity Commission and/or any similar state agency in any applicable jurisdiction. This Agreement shall not limit either party’s right to obtain any provisional remedy, including, without limitation, injunctive or similar relief, from any court of competent jurisdiction as may be necessary to protect their rights and interests pending the outcome of arbitration, including without limitation injunctive relief, in any court of competent jurisdiction. Seeking any such relief shall not be deemed to be a waiver of such party’s right to compel arbitration. Each party warrants that it has had the opportunity to be represented by counsel in the negotiation and execution of this Agreement, including the attorneys’ fees provision herein. Both you and the Company expressly waive your right to a jury trial. Unless otherwise prohibited by law, you further waive your right to pursue claims against the Company on a class basis; provided, however, that you do not waive your right, to the extent preserved by law, to pursue representative claims against the Company under the California Private Attorney General Act.</w:t>
      </w:r>
    </w:p>
    <w:p>
      <w:pPr>
        <w:spacing w:after="0" w:line="201" w:lineRule="exact"/>
        <w:rPr>
          <w:rFonts w:ascii="Times New Roman" w:cs="Times New Roman" w:eastAsia="Times New Roman" w:hAnsi="Times New Roman"/>
          <w:sz w:val="20"/>
          <w:szCs w:val="20"/>
          <w:color w:val="auto"/>
        </w:rPr>
      </w:pPr>
    </w:p>
    <w:p>
      <w:pPr>
        <w:jc w:val="both"/>
        <w:ind w:left="20" w:right="20" w:firstLine="657"/>
        <w:spacing w:after="0" w:line="246" w:lineRule="auto"/>
        <w:tabs>
          <w:tab w:leader="none" w:pos="8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Whenever possible, each provision of this Agreement will be interpreted in such manner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92" w:lineRule="exact"/>
        <w:rPr>
          <w:rFonts w:ascii="Times New Roman" w:cs="Times New Roman" w:eastAsia="Times New Roman" w:hAnsi="Times New Roman"/>
          <w:sz w:val="20"/>
          <w:szCs w:val="20"/>
          <w:color w:val="auto"/>
        </w:rPr>
      </w:pPr>
    </w:p>
    <w:p>
      <w:pPr>
        <w:jc w:val="both"/>
        <w:ind w:left="20" w:right="40" w:firstLine="657"/>
        <w:spacing w:after="0" w:line="250" w:lineRule="auto"/>
        <w:tabs>
          <w:tab w:leader="none" w:pos="8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 and</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ssigns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is intended to bind and inure to the benefit of and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enforceable by you and the 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175" w:lineRule="exact"/>
        <w:rPr>
          <w:rFonts w:ascii="Times New Roman" w:cs="Times New Roman" w:eastAsia="Times New Roman" w:hAnsi="Times New Roman"/>
          <w:sz w:val="20"/>
          <w:szCs w:val="20"/>
          <w:color w:val="auto"/>
        </w:rPr>
      </w:pPr>
    </w:p>
    <w:p>
      <w:pPr>
        <w:ind w:left="820" w:hanging="143"/>
        <w:spacing w:after="0"/>
        <w:tabs>
          <w:tab w:leader="none" w:pos="8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ntire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the Proprietary Information and Inventions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15" w:name="page116"/>
    <w:bookmarkEnd w:id="115"/>
    <w:p>
      <w:pPr>
        <w:spacing w:after="0" w:line="203" w:lineRule="exact"/>
        <w:rPr>
          <w:sz w:val="20"/>
          <w:szCs w:val="20"/>
          <w:color w:val="auto"/>
        </w:rPr>
      </w:pPr>
    </w:p>
    <w:p>
      <w:pPr>
        <w:jc w:val="both"/>
        <w:ind w:left="20" w:right="19"/>
        <w:spacing w:after="0" w:line="244" w:lineRule="auto"/>
        <w:rPr>
          <w:sz w:val="20"/>
          <w:szCs w:val="20"/>
          <w:color w:val="auto"/>
        </w:rPr>
      </w:pPr>
      <w:r>
        <w:rPr>
          <w:rFonts w:ascii="Times New Roman" w:cs="Times New Roman" w:eastAsia="Times New Roman" w:hAnsi="Times New Roman"/>
          <w:sz w:val="20"/>
          <w:szCs w:val="20"/>
          <w:color w:val="auto"/>
        </w:rPr>
        <w:t>Assignment Agreement constitute the complete, final and exclusive embodiment of the entire agreement between you and the Company with respect to the terms and conditions of your employment specified herein and therein. This Agreement and the Proprietary Information and Inventions Assignment Agreement supersede any other such promises, obligations, warranties, representations or agreements between you and the Company, and you agree that any and all such prior promises, obligations, warranties, representations and agreements are hereby terminated. This Agreement may not be amended or modified except by a written instrument signed by you and a duly authorized officer of the Company.</w:t>
      </w:r>
    </w:p>
    <w:p>
      <w:pPr>
        <w:spacing w:after="0" w:line="182" w:lineRule="exact"/>
        <w:rPr>
          <w:sz w:val="20"/>
          <w:szCs w:val="20"/>
          <w:color w:val="auto"/>
        </w:rPr>
      </w:pPr>
    </w:p>
    <w:p>
      <w:pPr>
        <w:jc w:val="both"/>
        <w:ind w:left="20" w:right="19" w:firstLine="657"/>
        <w:spacing w:after="0" w:line="247" w:lineRule="auto"/>
        <w:tabs>
          <w:tab w:leader="none" w:pos="83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onditions</w:t>
      </w:r>
      <w:r>
        <w:rPr>
          <w:rFonts w:ascii="Times New Roman" w:cs="Times New Roman" w:eastAsia="Times New Roman" w:hAnsi="Times New Roman"/>
          <w:sz w:val="20"/>
          <w:szCs w:val="20"/>
          <w:color w:val="auto"/>
        </w:rPr>
        <w:t>. As a condition to your employment with the Company on the Start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are required to (a) sign and return a satisfactory I-9 Immigration form providing sufficient documentation establishing your employment eligibility in the United States, and (b) provide satisfactory proof of your identity as required by United States law. Your commencement of employment is also subject to a satisfactory background check, the forms for which were provided to you under separate cover.</w:t>
      </w:r>
    </w:p>
    <w:p>
      <w:pPr>
        <w:spacing w:after="0" w:line="184" w:lineRule="exact"/>
        <w:rPr>
          <w:sz w:val="20"/>
          <w:szCs w:val="20"/>
          <w:color w:val="auto"/>
        </w:rPr>
      </w:pPr>
    </w:p>
    <w:p>
      <w:pPr>
        <w:jc w:val="both"/>
        <w:ind w:left="20" w:right="19" w:firstLine="749"/>
        <w:spacing w:after="0" w:line="254" w:lineRule="auto"/>
        <w:rPr>
          <w:sz w:val="20"/>
          <w:szCs w:val="20"/>
          <w:color w:val="auto"/>
        </w:rPr>
      </w:pPr>
      <w:r>
        <w:rPr>
          <w:rFonts w:ascii="Times New Roman" w:cs="Times New Roman" w:eastAsia="Times New Roman" w:hAnsi="Times New Roman"/>
          <w:sz w:val="20"/>
          <w:szCs w:val="20"/>
          <w:color w:val="auto"/>
        </w:rPr>
        <w:t>If you choose to accept this Agreement under the terms described above, please acknowledge your acceptance of our offer by returning a signed copy of this Agreement and the Proprietary Information and Inventions Assignment Agreement to our attention.</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Sincerely,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Phathom Pharmaceuticals, Inc.</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/s/ Steven Basta</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Steve Basta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Agreed and Accepted:</w:t>
      </w:r>
    </w:p>
    <w:p>
      <w:pPr>
        <w:spacing w:after="0" w:line="233" w:lineRule="exact"/>
        <w:rPr>
          <w:sz w:val="20"/>
          <w:szCs w:val="20"/>
          <w:color w:val="auto"/>
        </w:rPr>
      </w:pPr>
    </w:p>
    <w:p>
      <w:pPr>
        <w:jc w:val="both"/>
        <w:ind w:left="20" w:right="19" w:firstLine="749"/>
        <w:spacing w:after="0" w:line="254" w:lineRule="auto"/>
        <w:rPr>
          <w:sz w:val="20"/>
          <w:szCs w:val="20"/>
          <w:color w:val="auto"/>
        </w:rPr>
      </w:pPr>
      <w:r>
        <w:rPr>
          <w:rFonts w:ascii="Times New Roman" w:cs="Times New Roman" w:eastAsia="Times New Roman" w:hAnsi="Times New Roman"/>
          <w:sz w:val="20"/>
          <w:szCs w:val="20"/>
          <w:color w:val="auto"/>
        </w:rPr>
        <w:t>I have read and understood this Agreement and hereby acknowledge, accept and agree to the terms as set forth above and further acknowledge and agree that no other commitments were made to me as part of my employment offer except as specifically set forth herein.</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/s/ Anne Marie Cook</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Anne Marie Cook</w:t>
      </w:r>
    </w:p>
    <w:p>
      <w:pPr>
        <w:ind w:left="20"/>
        <w:spacing w:after="0"/>
        <w:rPr>
          <w:sz w:val="20"/>
          <w:szCs w:val="20"/>
          <w:color w:val="auto"/>
        </w:rPr>
      </w:pPr>
      <w:r>
        <w:rPr>
          <w:rFonts w:ascii="Times New Roman" w:cs="Times New Roman" w:eastAsia="Times New Roman" w:hAnsi="Times New Roman"/>
          <w:sz w:val="20"/>
          <w:szCs w:val="20"/>
          <w:color w:val="auto"/>
        </w:rPr>
        <w:t>Date: 04-Jun-2025</w:t>
      </w: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Proprietary Information and Inventions Assignment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PHATHOM PHARMACEUTICALS, INC.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PROPRIETARY INFORMATION AND INVENTIONS ASSIGNMENT AGREEMENT</w:t>
      </w:r>
    </w:p>
    <w:p>
      <w:pPr>
        <w:spacing w:after="0" w:line="210" w:lineRule="exact"/>
        <w:rPr>
          <w:sz w:val="20"/>
          <w:szCs w:val="20"/>
          <w:color w:val="auto"/>
        </w:rPr>
      </w:pPr>
    </w:p>
    <w:p>
      <w:pPr>
        <w:jc w:val="both"/>
        <w:ind w:left="20" w:firstLine="749"/>
        <w:spacing w:after="0" w:line="235" w:lineRule="auto"/>
        <w:rPr>
          <w:sz w:val="20"/>
          <w:szCs w:val="20"/>
          <w:color w:val="auto"/>
        </w:rPr>
      </w:pPr>
      <w:r>
        <w:rPr>
          <w:rFonts w:ascii="Times New Roman" w:cs="Times New Roman" w:eastAsia="Times New Roman" w:hAnsi="Times New Roman"/>
          <w:sz w:val="22"/>
          <w:szCs w:val="22"/>
          <w:color w:val="auto"/>
        </w:rPr>
        <w:t>In consideration and as a condition of my employment or engagement or continued employment or engagement by Phathom Pharmaceuticals, Inc., a Delaware corporation (together with any of its subsidiaries or parent companies, and any of their successors or assigns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my receipt of the compensation paid to me by the Company in the context of that employment or engagement, including the stock award provided to me by the Company, and for other good and valuable consideration, the receipt and sufficiency of which is hereby acknowledged, effective as of the date of my signature below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 the undersigned, agree as follows:</w:t>
      </w:r>
    </w:p>
    <w:p>
      <w:pPr>
        <w:spacing w:after="0" w:line="165" w:lineRule="exact"/>
        <w:rPr>
          <w:sz w:val="20"/>
          <w:szCs w:val="20"/>
          <w:color w:val="auto"/>
        </w:rPr>
      </w:pPr>
    </w:p>
    <w:p>
      <w:pPr>
        <w:jc w:val="both"/>
        <w:ind w:left="20" w:firstLine="749"/>
        <w:spacing w:after="0" w:line="243" w:lineRule="auto"/>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21"/>
          <w:szCs w:val="21"/>
          <w:u w:val="single" w:color="auto"/>
          <w:color w:val="auto"/>
        </w:rPr>
        <w:t>Proprietary Information</w:t>
      </w:r>
      <w:r>
        <w:rPr>
          <w:rFonts w:ascii="Times New Roman" w:cs="Times New Roman" w:eastAsia="Times New Roman" w:hAnsi="Times New Roman"/>
          <w:sz w:val="21"/>
          <w:szCs w:val="21"/>
          <w:color w:val="auto"/>
        </w:rPr>
        <w:t>. During the term of my employment or engagement, I may have or may in the future receive and otherwise be exposed, directly or indirectly, to confidential and proprietary information of the Company whether in graphic, written, electronic or oral form, including without limitation information relating to the Company’s business, strategies, designs, products, services and technologies and any derivatives, improvements and enhancements relating to any of the foregoing, or to the Company’s suppliers, customers or business partners (collectively “</w:t>
      </w:r>
      <w:r>
        <w:rPr>
          <w:rFonts w:ascii="Times New Roman" w:cs="Times New Roman" w:eastAsia="Times New Roman" w:hAnsi="Times New Roman"/>
          <w:sz w:val="21"/>
          <w:szCs w:val="21"/>
          <w:u w:val="single" w:color="auto"/>
          <w:color w:val="auto"/>
        </w:rPr>
        <w:t>Proprietary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Proprietary Information may be identified at the time of disclosure as confidential or proprietary or information which by its context would reasonably be deemed to be confidential or proprietary. “Proprietary Information” may also include without limitation (a)(i) unpublished patent disclosures and patent applications and other filings, know-how, trade secrets, works of authorship and other intellectual property, as well as any information regarding ideas, Inventions (as defined in Section 5), technology, and processes, including without limitation assays, sketches, schematics, techniques, drawings, designs, descriptions, specifications and technical documentation, (ii) specifications, protocols, models, designs, equipment, engineering, algorithms, software programs, software source documents, formulae, (iii) information concerning or resulting from any research and development or other project, including without limitation, experimental work, product development plans, regulatory compliance information, and research, development and regulatory strategies, and (iv) business and financial information, including without limitation purchasing, procurement, manufacturing, customer lists, information relating to investors, employees, business and contractual relationships, business forecasts, sales and merchandising, business and marketing plans, product plans, and business strategies, including without limitation information the Company provides regarding third parties, such as, but not limited to, suppliers, customers, employees, investors, or vendors; and (b) any other information, to the extent such information contains, reflects or is based upon any of the foregoing Proprietary Information. The Proprietary Information may also include information of a third party that is disclosed to you by the Company or such third party at the Company’s direction.</w:t>
      </w:r>
    </w:p>
    <w:p>
      <w:pPr>
        <w:spacing w:after="0" w:line="192" w:lineRule="exact"/>
        <w:rPr>
          <w:sz w:val="20"/>
          <w:szCs w:val="20"/>
          <w:color w:val="auto"/>
        </w:rPr>
      </w:pPr>
    </w:p>
    <w:p>
      <w:pPr>
        <w:jc w:val="both"/>
        <w:ind w:left="20" w:firstLine="749"/>
        <w:spacing w:after="0" w:line="235" w:lineRule="auto"/>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Obligations of Non-Use and Nondisclosure</w:t>
      </w:r>
      <w:r>
        <w:rPr>
          <w:rFonts w:ascii="Times New Roman" w:cs="Times New Roman" w:eastAsia="Times New Roman" w:hAnsi="Times New Roman"/>
          <w:sz w:val="22"/>
          <w:szCs w:val="22"/>
          <w:color w:val="auto"/>
        </w:rPr>
        <w:t>. I acknowledge the confidential and secret character of the Proprietary Information, and agree that the Proprietary Information is the sole, exclusive and valuable property of the Company. Accordingly, I agree not to use the Proprietary Information except in the performance of my authorized duties as an employee or consultant of the Company, and not to disclose all or any part of the Proprietary Information in any form to any third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17" w:name="page118"/>
    <w:bookmarkEnd w:id="117"/>
    <w:p>
      <w:pPr>
        <w:spacing w:after="0" w:line="212" w:lineRule="exact"/>
        <w:rPr>
          <w:sz w:val="20"/>
          <w:szCs w:val="20"/>
          <w:color w:val="auto"/>
        </w:rPr>
      </w:pPr>
    </w:p>
    <w:p>
      <w:pPr>
        <w:jc w:val="both"/>
        <w:ind w:left="20" w:right="20"/>
        <w:spacing w:after="0" w:line="235" w:lineRule="auto"/>
        <w:rPr>
          <w:sz w:val="20"/>
          <w:szCs w:val="20"/>
          <w:color w:val="auto"/>
        </w:rPr>
      </w:pPr>
      <w:r>
        <w:rPr>
          <w:rFonts w:ascii="Times New Roman" w:cs="Times New Roman" w:eastAsia="Times New Roman" w:hAnsi="Times New Roman"/>
          <w:sz w:val="22"/>
          <w:szCs w:val="22"/>
          <w:color w:val="auto"/>
        </w:rPr>
        <w:t xml:space="preserve">party, either during or after the term of my employment or </w:t>
      </w:r>
      <w:r>
        <w:rPr>
          <w:rFonts w:ascii="Times New Roman" w:cs="Times New Roman" w:eastAsia="Times New Roman" w:hAnsi="Times New Roman"/>
          <w:sz w:val="19"/>
          <w:szCs w:val="19"/>
          <w:color w:val="auto"/>
        </w:rPr>
        <w:t>engagement</w:t>
      </w:r>
      <w:r>
        <w:rPr>
          <w:rFonts w:ascii="Times New Roman" w:cs="Times New Roman" w:eastAsia="Times New Roman" w:hAnsi="Times New Roman"/>
          <w:sz w:val="22"/>
          <w:szCs w:val="22"/>
          <w:color w:val="auto"/>
        </w:rPr>
        <w:t>, without the prior written consent of the Company on a case-by-case basis. Upon termination of my employment or engagement, I agree to cease using and to return to the Company all whole and partial copies and derivatives of the Proprietary Information, whether in my possession or under my direct or indirect control, provided that I am entitled to retain my personal copies of</w:t>
      </w:r>
    </w:p>
    <w:p>
      <w:pPr>
        <w:jc w:val="both"/>
        <w:ind w:firstLine="10"/>
        <w:spacing w:after="0" w:line="242" w:lineRule="auto"/>
        <w:tabs>
          <w:tab w:leader="none" w:pos="377"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my compensation records, (b) materials distributed to stockholders generally, and (c) this Proprietary Information and Inventions Assignment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 understand that my obligations of nondisclosure with respect to Proprietary Information shall not apply to information that I can establish by competent proof (x) was actually in the public domain at the time of disclosure or enters the public domain following disclosure other than as a result of a breach of this Agreement, (y) is already in my possession without breach of any obligations of confidentiality at the time of disclosure by the Company as shown by my files and records immediately prior to the time of disclosure, or (z) is obtained by me from a third party not under confidentiality obligations and without a breach of any obligations of confidentiality. If I become compelled by law, regulation (including without limitation the rules of any applicable securities exchange), court order, or other governmental authority to disclose the Proprietary Information, I shall, to the extent possible and permissible under applicable law, first give the Company prompt notice. I agree to cooperate reasonably with the Company in any proceeding to obtain a protective order or other remedy. If such protective order or other remedy is not obtained, I shall only disclose that portion of such Proprietary Information required to be disclosed, in the opinion of my legal counsel. I shall request that confidential treatment be accorded such Proprietary Information, where available. Compulsory disclosures made pursuant to this section shall not relieve me of my obligations of confidentiality and non-use with respect to non-compulsory disclosures. I understand that nothing herein is intended to or shall prevent me from communicating directly with, cooperating with, or providing information to, any federal, state or local government regulator, including, but not limited to, the U.S. Securities and Exchange Commission, the U.S. Commodity Futures Trading Commission, or the U.S. Department of Justice. I shall promptly notify my supervisor or any officer of the Company if I learn of any possible unauthorized use or disclosure of Proprietary Information and shall cooperate fully with the Company to enforce its rights in such information.</w:t>
      </w:r>
    </w:p>
    <w:p>
      <w:pPr>
        <w:spacing w:after="0" w:line="167" w:lineRule="exact"/>
        <w:rPr>
          <w:sz w:val="20"/>
          <w:szCs w:val="20"/>
          <w:color w:val="auto"/>
        </w:rPr>
      </w:pPr>
    </w:p>
    <w:p>
      <w:pPr>
        <w:jc w:val="both"/>
        <w:ind w:left="20" w:firstLine="749"/>
        <w:spacing w:after="0" w:line="233" w:lineRule="auto"/>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Defend Trade Secrets Act Notice of Immunity Rights</w:t>
      </w:r>
      <w:r>
        <w:rPr>
          <w:rFonts w:ascii="Times New Roman" w:cs="Times New Roman" w:eastAsia="Times New Roman" w:hAnsi="Times New Roman"/>
          <w:sz w:val="22"/>
          <w:szCs w:val="22"/>
          <w:color w:val="auto"/>
        </w:rPr>
        <w:t>. I acknowledge that the Company has provided me with the following notice of immunity rights in compliance with the requirements of the Defend Trade Secrets Act: (a) I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(b) I shall not be held criminally or civilly liable under any Federal or State trade secret law for the disclosure of Proprietary Information that is made in a complaint or other document filed in a lawsuit or other proceeding, if such filing is made under seal and (c) if I file a lawsuit for retaliation by the Company for reporting a suspected violation of law, I may disclose the Proprietary Information to my attorney and use the Proprietary Information in the court proceeding, if I file any document containing the Proprietary Information under seal, and do not disclose the Proprietary Information, except pursuant to court order.</w:t>
      </w:r>
    </w:p>
    <w:p>
      <w:pPr>
        <w:spacing w:after="0" w:line="212" w:lineRule="exact"/>
        <w:rPr>
          <w:sz w:val="20"/>
          <w:szCs w:val="20"/>
          <w:color w:val="auto"/>
        </w:rPr>
      </w:pPr>
    </w:p>
    <w:p>
      <w:pPr>
        <w:jc w:val="both"/>
        <w:ind w:left="20" w:firstLine="749"/>
        <w:spacing w:after="0" w:line="234" w:lineRule="auto"/>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Property of the Company</w:t>
      </w:r>
      <w:r>
        <w:rPr>
          <w:rFonts w:ascii="Times New Roman" w:cs="Times New Roman" w:eastAsia="Times New Roman" w:hAnsi="Times New Roman"/>
          <w:sz w:val="22"/>
          <w:szCs w:val="22"/>
          <w:color w:val="auto"/>
        </w:rPr>
        <w:t>. I acknowledge and agree that all notes, memoranda, reports, drawings, blueprints, manuals, materials, data, emails and other papers and records of every kind, or other tangible or intangible materials which shall have or shall come into my possession in the course of my employment or engagement with the Company, relating to any Proprietary Information, shall be the sole and exclusive property of the Company and I hereby assign any rights or interests I may have obtained or may in the future obtain in any of the foregoing. I agree to surrender this property to the Company immediately upon termination of my employment or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18" w:name="page119"/>
    <w:bookmarkEnd w:id="118"/>
    <w:p>
      <w:pPr>
        <w:jc w:val="both"/>
        <w:ind w:left="20" w:right="20"/>
        <w:spacing w:after="0" w:line="239" w:lineRule="auto"/>
        <w:rPr>
          <w:sz w:val="20"/>
          <w:szCs w:val="20"/>
          <w:color w:val="auto"/>
        </w:rPr>
      </w:pPr>
      <w:r>
        <w:rPr>
          <w:rFonts w:ascii="Times New Roman" w:cs="Times New Roman" w:eastAsia="Times New Roman" w:hAnsi="Times New Roman"/>
          <w:sz w:val="22"/>
          <w:szCs w:val="22"/>
          <w:color w:val="auto"/>
        </w:rPr>
        <w:t>engagement with the Company, or at any time upon request by the Company. I further agree that any property situated on the Company’s data systems or on the Company’s premises and owned by the Company, including without limitation electronic storage media, filing cabinets or other work areas, is subject to inspection by Company personnel at any time with or without notice.</w:t>
      </w:r>
    </w:p>
    <w:p>
      <w:pPr>
        <w:spacing w:after="0" w:line="180" w:lineRule="exact"/>
        <w:rPr>
          <w:sz w:val="20"/>
          <w:szCs w:val="20"/>
          <w:color w:val="auto"/>
        </w:rPr>
      </w:pPr>
    </w:p>
    <w:p>
      <w:pPr>
        <w:ind w:left="1500" w:hanging="740"/>
        <w:spacing w:after="0"/>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 w:firstLine="1498"/>
        <w:spacing w:after="0" w:line="243"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Disclosure and Assignment of Inventions</w:t>
      </w:r>
      <w:r>
        <w:rPr>
          <w:rFonts w:ascii="Times New Roman" w:cs="Times New Roman" w:eastAsia="Times New Roman" w:hAnsi="Times New Roman"/>
          <w:sz w:val="21"/>
          <w:szCs w:val="21"/>
          <w:color w:val="auto"/>
        </w:rPr>
        <w:t>. For purposes of this Agreement, an “Invention” shall mean any idea, invention or work of authorship, including, without limitation, any documentation, formula, design, device, code, method, software, technique, process, discovery, concept, improvement, enhancement, development, machine or contribution, in each case whether or not patentable or copyrightable. I will disclose all Inventions promptly in writing to an officer of the Company or to attorneys of the Company in accordance with the Company’s policies and procedures. I will, and hereby do, assign to the Company, without requirement of further writing, without royalty or any other further consideration, my entire right, title and interest throughout the world in and to all Inventions created, conceived, made, developed, and/or reduced to practice by me at any time during the course of my employment or engagement by the Company and all intellectual property rights therein. I hereby waive, and agree to waive, any moral rights I may have in any copyrightable work I create or have created on behalf of the Company. I also hereby agree, that for a period of one year after my employment or engagement with the Company, I shall disclose to the Company any Inventions that I create, conceive, make, develop, reduce to practice or work on that relate to the work I performed for the Company. The Company agrees that it will use commercially reasonable measures to keep Inventions disclosed to it pursuant to this Section 5.1 that do not constitute Inventions to be owned by the Company in confidence and shall not use any Inventions for its own advantage, unless in either case those Inventions are assigned or assignable to the Company pursuant to this Section 5.1 or otherwise.</w:t>
      </w:r>
    </w:p>
    <w:p>
      <w:pPr>
        <w:spacing w:after="0" w:line="189" w:lineRule="exact"/>
        <w:rPr>
          <w:sz w:val="20"/>
          <w:szCs w:val="20"/>
          <w:color w:val="auto"/>
        </w:rPr>
      </w:pPr>
    </w:p>
    <w:p>
      <w:pPr>
        <w:jc w:val="both"/>
        <w:ind w:left="20" w:right="20" w:firstLine="1498"/>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Certain Exemptions</w:t>
      </w:r>
      <w:r>
        <w:rPr>
          <w:rFonts w:ascii="Times New Roman" w:cs="Times New Roman" w:eastAsia="Times New Roman" w:hAnsi="Times New Roman"/>
          <w:sz w:val="22"/>
          <w:szCs w:val="22"/>
          <w:color w:val="auto"/>
        </w:rPr>
        <w:t>. The obligations to assign Inventions set forth in Section 5.1 apply with respect to all Inventions (a) whether or not such Inventions are conceived, made, developed or worked on by me during my regular hours of employment or engagement with the Company; (b) whether or not the Invention was made at the suggestion of the Company;</w:t>
      </w:r>
    </w:p>
    <w:p>
      <w:pPr>
        <w:spacing w:after="0" w:line="1" w:lineRule="exact"/>
        <w:rPr>
          <w:sz w:val="20"/>
          <w:szCs w:val="20"/>
          <w:color w:val="auto"/>
        </w:rPr>
      </w:pPr>
    </w:p>
    <w:p>
      <w:pPr>
        <w:jc w:val="both"/>
        <w:ind w:left="20" w:hanging="9"/>
        <w:spacing w:after="0" w:line="242" w:lineRule="auto"/>
        <w:tabs>
          <w:tab w:leader="none" w:pos="38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or not the Invention was reduced to drawings, written description, documentation, models or other tangible form; and (d) whether or not the Invention is related to the general line of business engaged in by the Company, but do not apply to Inventions that (x) I develop entirely on my own time or after the date of this Agreement without using the Company’s equipment, supplies, facilities or Proprietary Information; (y) do not relate to the Company’s business, or actual or demonstrably anticipated research or development of the Company at the time of conception or reduction to practice of the Invention; and (z) do not result from and are not related to any work performed by me for the Company. I hereby acknowledge and agree that the Company has notified me that, if I reside in the state of California, assignments provided for in Section 5.1 do not apply to any Invention which qualifies fully for exemption from assignment under the provisions of Section 2870 of the California Labor Code (“</w:t>
      </w:r>
      <w:r>
        <w:rPr>
          <w:rFonts w:ascii="Times New Roman" w:cs="Times New Roman" w:eastAsia="Times New Roman" w:hAnsi="Times New Roman"/>
          <w:sz w:val="21"/>
          <w:szCs w:val="21"/>
          <w:u w:val="single" w:color="auto"/>
          <w:color w:val="auto"/>
        </w:rPr>
        <w:t>Section 2870</w:t>
      </w:r>
      <w:r>
        <w:rPr>
          <w:rFonts w:ascii="Times New Roman" w:cs="Times New Roman" w:eastAsia="Times New Roman" w:hAnsi="Times New Roman"/>
          <w:sz w:val="21"/>
          <w:szCs w:val="21"/>
          <w:color w:val="auto"/>
        </w:rPr>
        <w:t xml:space="preserve">”), a copy of which is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If applicable, at the time of disclosure of an Invention that I believe qualifies under Section 2870, I shall provide to the Company, in writing, evidence to substantiate the belief that such Invention qualifies under Section 2870. I further understand that, to the extent this Agreement shall be construed in accordance with the laws of any state which precludes a requirement in an agreement such as this Agreement to assign certain classes of inventions made by an employee or consultant, Section 5.1 shall be interpreted not to apply to any Invention which a court rules and/or the Company agrees falls within such classes.</w:t>
      </w:r>
    </w:p>
    <w:p>
      <w:pPr>
        <w:spacing w:after="0" w:line="184" w:lineRule="exact"/>
        <w:rPr>
          <w:sz w:val="20"/>
          <w:szCs w:val="20"/>
          <w:color w:val="auto"/>
        </w:rPr>
      </w:pPr>
    </w:p>
    <w:p>
      <w:pPr>
        <w:ind w:left="20" w:right="20" w:firstLine="1498"/>
        <w:spacing w:after="0" w:line="243"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I will make and maintain adequate and current written records of all Inventions covered by Section 5.1. These records may be in the form of notes, sketches, drawings,</w:t>
      </w: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22" w:right="1439" w:bottom="1440" w:gutter="0" w:footer="0" w:header="0"/>
        </w:sectPr>
      </w:pPr>
    </w:p>
    <w:bookmarkStart w:id="119" w:name="page120"/>
    <w:bookmarkEnd w:id="119"/>
    <w:p>
      <w:pPr>
        <w:spacing w:after="0" w:line="198" w:lineRule="exact"/>
        <w:rPr>
          <w:sz w:val="20"/>
          <w:szCs w:val="20"/>
          <w:color w:val="auto"/>
        </w:rPr>
      </w:pPr>
    </w:p>
    <w:p>
      <w:pPr>
        <w:jc w:val="both"/>
        <w:ind w:left="20" w:right="20"/>
        <w:spacing w:after="0" w:line="244" w:lineRule="auto"/>
        <w:rPr>
          <w:sz w:val="20"/>
          <w:szCs w:val="20"/>
          <w:color w:val="auto"/>
        </w:rPr>
      </w:pPr>
      <w:r>
        <w:rPr>
          <w:rFonts w:ascii="Times New Roman" w:cs="Times New Roman" w:eastAsia="Times New Roman" w:hAnsi="Times New Roman"/>
          <w:sz w:val="22"/>
          <w:szCs w:val="22"/>
          <w:color w:val="auto"/>
        </w:rPr>
        <w:t>flow charts, electronic data or recordings, notebooks and any other format. These records shall be and remain the property of the Company at all times and shall be made available to the Company at all times.</w:t>
      </w:r>
    </w:p>
    <w:p>
      <w:pPr>
        <w:spacing w:after="0" w:line="173" w:lineRule="exact"/>
        <w:rPr>
          <w:sz w:val="20"/>
          <w:szCs w:val="20"/>
          <w:color w:val="auto"/>
        </w:rPr>
      </w:pPr>
    </w:p>
    <w:p>
      <w:pPr>
        <w:jc w:val="both"/>
        <w:ind w:left="20" w:firstLine="1498"/>
        <w:spacing w:after="0" w:line="234"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Patents and Other Rights</w:t>
      </w:r>
      <w:r>
        <w:rPr>
          <w:rFonts w:ascii="Times New Roman" w:cs="Times New Roman" w:eastAsia="Times New Roman" w:hAnsi="Times New Roman"/>
          <w:sz w:val="22"/>
          <w:szCs w:val="22"/>
          <w:color w:val="auto"/>
        </w:rPr>
        <w:t>. I agree to assist the Company in obtaining, maintaining and enforcing patents, invention assignments and copyright assignments, and other proprietary rights in connection with any Invention covered by Section 5.1, and will otherwise assist the Company as reasonably required by the Company to perfect in the Company the rights, title and other interests in my work product granted to the Company under this Agreement (both in the United States and foreign countries). I further agree that my obligations under this Section</w:t>
      </w:r>
    </w:p>
    <w:p>
      <w:pPr>
        <w:spacing w:after="0" w:line="2"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22"/>
          <w:szCs w:val="22"/>
          <w:color w:val="auto"/>
        </w:rPr>
        <w:t>5.4 shall continue beyond the termination of my employment or engagement with the Company, but if I am requested by the Company to render such assistance after the termination of such employment or engagement, I shall be entitled to a fair and reasonable rate of compensation for such assistance, and to reimbursement of any expenses incurred at the request of the Company relating to such assistance. If the Company is unable for any reason, after reasonable effort, to secure my signature on any document needed in connection with the actions specified above,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this Section 5.4 with the same legal force and effect as if executed by me.</w:t>
      </w:r>
    </w:p>
    <w:p>
      <w:pPr>
        <w:spacing w:after="0" w:line="177" w:lineRule="exact"/>
        <w:rPr>
          <w:sz w:val="20"/>
          <w:szCs w:val="20"/>
          <w:color w:val="auto"/>
        </w:rPr>
      </w:pPr>
    </w:p>
    <w:p>
      <w:pPr>
        <w:jc w:val="both"/>
        <w:ind w:left="20" w:firstLine="1498"/>
        <w:spacing w:after="0" w:line="231"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Prior Contracts and Inventions; Information Belonging to Third Parties</w:t>
      </w:r>
      <w:r>
        <w:rPr>
          <w:rFonts w:ascii="Times New Roman" w:cs="Times New Roman" w:eastAsia="Times New Roman" w:hAnsi="Times New Roman"/>
          <w:sz w:val="22"/>
          <w:szCs w:val="22"/>
          <w:color w:val="auto"/>
        </w:rPr>
        <w:t xml:space="preserve">. I represent and warrant that, except as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I am not required, and I have not been required during the course of work for the Company or its predecessors, to assign Inventions under any other contracts that are now or were previously in existence between me and any other person or entity. I further represent that (a) I am not obligated under any consulting, employment or other agreement that would affect the Company’s rights or my duties under this Agreement, and I shall not enter into any such agreement or obligation during the period of my employment or engagement by the Company, (b) there is no action, investigation, or proceeding pending or threatened, or any basis therefor known to me involving my prior employment or any consultancy or the use of any information or techniques alleged to be proprietary to any former employer, and (c) the performance of my duties as an employee or consultant of the Company do not and will not breach, or constitute a default under any agreement to which I am bound, including any agreement limiting the use or disclosure of proprietary information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I have not and will not, in connection with my employment or engagement by the Company, use or disclose to the Company any confidential, trade secret or other proprietary information of any previous employer or other person to which I am not lawfully entitled. As a matter of record, I attach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 brief description of all Inventions made or conceived by me prior to my employment with the Company which I desire to be excluded from this Agreement (“</w:t>
      </w:r>
      <w:r>
        <w:rPr>
          <w:rFonts w:ascii="Times New Roman" w:cs="Times New Roman" w:eastAsia="Times New Roman" w:hAnsi="Times New Roman"/>
          <w:sz w:val="22"/>
          <w:szCs w:val="22"/>
          <w:u w:val="single" w:color="auto"/>
          <w:color w:val="auto"/>
        </w:rPr>
        <w:t>Background Technology</w:t>
      </w:r>
      <w:r>
        <w:rPr>
          <w:rFonts w:ascii="Times New Roman" w:cs="Times New Roman" w:eastAsia="Times New Roman" w:hAnsi="Times New Roman"/>
          <w:sz w:val="22"/>
          <w:szCs w:val="22"/>
          <w:color w:val="auto"/>
        </w:rPr>
        <w:t xml:space="preserve">”). If full disclosure of any Background Technology would breach or constitute a default under any agreement to which I am bound, including any agreement limiting the use or disclosure of proprietary information acquired in confidence prior to engagement by the Company, I understand that I am to describe such Background Technology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 the most specific level possible without violating any such prior agreement. Without limiting my obligations or representations under this Section 5.5, if I use any Background Technology in the course of my employment or engagement or incorporate any Background Technology in any product, service or other offering of the Company, I hereby grant the Company a non-exclusive, royalty-free, perpetual and irrevocable, worldwide right to use and sublicense the use of Background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20" w:name="page121"/>
    <w:bookmarkEnd w:id="120"/>
    <w:p>
      <w:pPr>
        <w:spacing w:after="0" w:line="198" w:lineRule="exact"/>
        <w:rPr>
          <w:sz w:val="20"/>
          <w:szCs w:val="20"/>
          <w:color w:val="auto"/>
        </w:rPr>
      </w:pPr>
    </w:p>
    <w:p>
      <w:pPr>
        <w:jc w:val="both"/>
        <w:ind w:left="20" w:right="20"/>
        <w:spacing w:after="0" w:line="244" w:lineRule="auto"/>
        <w:rPr>
          <w:sz w:val="20"/>
          <w:szCs w:val="20"/>
          <w:color w:val="auto"/>
        </w:rPr>
      </w:pPr>
      <w:r>
        <w:rPr>
          <w:rFonts w:ascii="Times New Roman" w:cs="Times New Roman" w:eastAsia="Times New Roman" w:hAnsi="Times New Roman"/>
          <w:sz w:val="22"/>
          <w:szCs w:val="22"/>
          <w:color w:val="auto"/>
        </w:rPr>
        <w:t>Technology for the purpose of developing, marketing, selling and supporting Company technology, products and services, either directly or through multiple tiers of distribution, but not for the purpose of marketing Background Technology separately from Company products or services.</w:t>
      </w:r>
    </w:p>
    <w:p>
      <w:pPr>
        <w:spacing w:after="0" w:line="173" w:lineRule="exact"/>
        <w:rPr>
          <w:sz w:val="20"/>
          <w:szCs w:val="20"/>
          <w:color w:val="auto"/>
        </w:rPr>
      </w:pPr>
    </w:p>
    <w:p>
      <w:pPr>
        <w:jc w:val="both"/>
        <w:ind w:left="20" w:firstLine="1498"/>
        <w:spacing w:after="0" w:line="239"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Works Made for Hire</w:t>
      </w:r>
      <w:r>
        <w:rPr>
          <w:rFonts w:ascii="Times New Roman" w:cs="Times New Roman" w:eastAsia="Times New Roman" w:hAnsi="Times New Roman"/>
          <w:sz w:val="22"/>
          <w:szCs w:val="22"/>
          <w:color w:val="auto"/>
        </w:rPr>
        <w:t>. I acknowledge that all original works of authorship which were or are made by me (solely or jointly with others) within the scope of my employment or engagement with the Company and which are eligible for copyright protection are “works made for hire” as that term is defined in the United States Copyright Act (17 U.S.C., Section 101).</w:t>
      </w:r>
    </w:p>
    <w:p>
      <w:pPr>
        <w:spacing w:after="0" w:line="180" w:lineRule="exact"/>
        <w:rPr>
          <w:sz w:val="20"/>
          <w:szCs w:val="20"/>
          <w:color w:val="auto"/>
        </w:rPr>
      </w:pPr>
    </w:p>
    <w:p>
      <w:pPr>
        <w:jc w:val="both"/>
        <w:ind w:left="20" w:right="20" w:firstLine="749"/>
        <w:spacing w:after="0" w:line="239"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I agree to fully comply with the covenants set forth in this Section 6 (the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I further acknowledge and agree that the Restrictive Covenants are reasonable and necessary to protect the Company’s legitimate business interests, including its Proprietary Information and goodwill.</w:t>
      </w:r>
    </w:p>
    <w:p>
      <w:pPr>
        <w:spacing w:after="0" w:line="180" w:lineRule="exact"/>
        <w:rPr>
          <w:sz w:val="20"/>
          <w:szCs w:val="20"/>
          <w:color w:val="auto"/>
        </w:rPr>
      </w:pPr>
    </w:p>
    <w:p>
      <w:pPr>
        <w:jc w:val="both"/>
        <w:ind w:left="20" w:right="20" w:firstLine="1498"/>
        <w:spacing w:after="0" w:line="23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Non-Solicitation of Company Personnel</w:t>
      </w:r>
      <w:r>
        <w:rPr>
          <w:rFonts w:ascii="Times New Roman" w:cs="Times New Roman" w:eastAsia="Times New Roman" w:hAnsi="Times New Roman"/>
          <w:sz w:val="22"/>
          <w:szCs w:val="22"/>
          <w:color w:val="auto"/>
        </w:rPr>
        <w:t>. During the term of my employment or engagement with the Company, and for a period of one year immediately following the termination of such employment or engagement for any reason, I will not, directly or indirectly, for my own benefit or for the benefit of any other individual or entity: (a) employ or hire any Company Personnel in any capacity (whether as an employee, contractor, consultant or otherwise); (b) solicit or attempt to solicit for employment or hire any Company Personnel in any capacity; (c) entice or induce any Company Personnel to leave his or her or their employment with the Company; or (d) otherwise negatively interfere with the Company’s relationship with any Company Personnel. Notwithstanding the foregoing, a general solicitation or advertisement for job opportunities that I may publish without targeting any Company Personnel shall not be considered a violation of Section 6.2(b).</w:t>
      </w:r>
    </w:p>
    <w:p>
      <w:pPr>
        <w:spacing w:after="0" w:line="179" w:lineRule="exact"/>
        <w:rPr>
          <w:sz w:val="20"/>
          <w:szCs w:val="20"/>
          <w:color w:val="auto"/>
        </w:rPr>
      </w:pPr>
    </w:p>
    <w:p>
      <w:pPr>
        <w:jc w:val="both"/>
        <w:ind w:left="20" w:right="20" w:firstLine="1498"/>
        <w:spacing w:after="0" w:line="235"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Non-Solicitation of Company Customers</w:t>
      </w:r>
      <w:r>
        <w:rPr>
          <w:rFonts w:ascii="Times New Roman" w:cs="Times New Roman" w:eastAsia="Times New Roman" w:hAnsi="Times New Roman"/>
          <w:sz w:val="22"/>
          <w:szCs w:val="22"/>
          <w:color w:val="auto"/>
        </w:rPr>
        <w:t>. During the term of my employment or engagement with the Company and for a period of one year immediately following the termination of such employment or engagement for any reason, I will not, directly or indirectly, for my own benefit or for the benefit of any other individual or entity: (a) solicit business from, or offer to provide products or services that are similar to any product or service provided or that could be provided by the Company or that are otherwise competitive with the Business to, any Company Customer; (b) cause or encourage any Company Customer to reduce or cease doing business with the Company, or (c) otherwise negatively interfere with the Company’s relationships with any Company Customer.</w:t>
      </w:r>
    </w:p>
    <w:p>
      <w:pPr>
        <w:spacing w:after="0" w:line="178" w:lineRule="exact"/>
        <w:rPr>
          <w:sz w:val="20"/>
          <w:szCs w:val="20"/>
          <w:color w:val="auto"/>
        </w:rPr>
      </w:pPr>
    </w:p>
    <w:p>
      <w:pPr>
        <w:jc w:val="both"/>
        <w:ind w:left="20" w:firstLine="1498"/>
        <w:spacing w:after="0" w:line="238"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If any restriction set forth in the Restrictive Covenants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77" w:lineRule="exact"/>
        <w:rPr>
          <w:sz w:val="20"/>
          <w:szCs w:val="20"/>
          <w:color w:val="auto"/>
        </w:rPr>
      </w:pPr>
    </w:p>
    <w:p>
      <w:pPr>
        <w:jc w:val="both"/>
        <w:ind w:left="20" w:right="20" w:firstLine="1498"/>
        <w:spacing w:after="0" w:line="239"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At any time, the Company may in its sole discretion elect to waive any or part of the Restrictive Covenants, provided any such waiver is expressly agreed to in writing by an executive officer of the Company, or, if I am an executive officer of the Company, by the Board of Directors of the Company.</w:t>
      </w:r>
    </w:p>
    <w:p>
      <w:pPr>
        <w:spacing w:after="0" w:line="180"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the Restrictive Covenants:</w:t>
      </w:r>
    </w:p>
    <w:p>
      <w:pPr>
        <w:spacing w:after="0" w:line="206" w:lineRule="exact"/>
        <w:rPr>
          <w:sz w:val="20"/>
          <w:szCs w:val="20"/>
          <w:color w:val="auto"/>
        </w:rPr>
      </w:pPr>
    </w:p>
    <w:p>
      <w:pPr>
        <w:ind w:left="20" w:right="20" w:firstLine="1489"/>
        <w:spacing w:after="0" w:line="243" w:lineRule="auto"/>
        <w:tabs>
          <w:tab w:leader="none" w:pos="190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any business or part thereof that develops, manufactures, markets, licenses, sells or provides any product or service that competes with any</w:t>
      </w: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21" w:name="page122"/>
    <w:bookmarkEnd w:id="121"/>
    <w:p>
      <w:pPr>
        <w:spacing w:after="0" w:line="198" w:lineRule="exact"/>
        <w:rPr>
          <w:sz w:val="20"/>
          <w:szCs w:val="20"/>
          <w:color w:val="auto"/>
        </w:rPr>
      </w:pPr>
    </w:p>
    <w:p>
      <w:pPr>
        <w:jc w:val="both"/>
        <w:ind w:left="20" w:right="20"/>
        <w:spacing w:after="0" w:line="244" w:lineRule="auto"/>
        <w:rPr>
          <w:sz w:val="20"/>
          <w:szCs w:val="20"/>
          <w:color w:val="auto"/>
        </w:rPr>
      </w:pPr>
      <w:r>
        <w:rPr>
          <w:rFonts w:ascii="Times New Roman" w:cs="Times New Roman" w:eastAsia="Times New Roman" w:hAnsi="Times New Roman"/>
          <w:sz w:val="22"/>
          <w:szCs w:val="22"/>
          <w:color w:val="auto"/>
        </w:rPr>
        <w:t>product or service developed, manufactured, marketed, licensed, sold or provided, or planned to be developed, manufactured, marketed, licensed, sold or provided, by the Company, in each case at any time during my employment or engagement with the Company.</w:t>
      </w:r>
    </w:p>
    <w:p>
      <w:pPr>
        <w:spacing w:after="0" w:line="173" w:lineRule="exact"/>
        <w:rPr>
          <w:sz w:val="20"/>
          <w:szCs w:val="20"/>
          <w:color w:val="auto"/>
        </w:rPr>
      </w:pPr>
    </w:p>
    <w:p>
      <w:pPr>
        <w:jc w:val="both"/>
        <w:ind w:left="20" w:firstLine="1489"/>
        <w:spacing w:after="0" w:line="235" w:lineRule="auto"/>
        <w:tabs>
          <w:tab w:leader="none" w:pos="190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Company Customer</w:t>
      </w:r>
      <w:r>
        <w:rPr>
          <w:rFonts w:ascii="Times New Roman" w:cs="Times New Roman" w:eastAsia="Times New Roman" w:hAnsi="Times New Roman"/>
          <w:sz w:val="22"/>
          <w:szCs w:val="22"/>
          <w:color w:val="auto"/>
        </w:rPr>
        <w:t>” means any individual or entity who (i) is, or was at any time during the one year period prior to my employment or engagement with the Company, a customer, supplier, or vendor of the Company of whom I learned, with whom I had business contact or about whom I obtained Proprietary Information at any time during my employment or engagement with the Company, or (ii) is a prospective customer, supplier, or vendor of the Company of whom I learned, with whom I had business contact, or about whom I obtained Proprietary Information as part of a solicitation of business on behalf of the Company at any time during the one year period prior to my termination of employment or engagement with the Company.</w:t>
      </w:r>
    </w:p>
    <w:p>
      <w:pPr>
        <w:spacing w:after="0" w:line="178" w:lineRule="exact"/>
        <w:rPr>
          <w:rFonts w:ascii="Times New Roman" w:cs="Times New Roman" w:eastAsia="Times New Roman" w:hAnsi="Times New Roman"/>
          <w:sz w:val="22"/>
          <w:szCs w:val="22"/>
          <w:color w:val="auto"/>
        </w:rPr>
      </w:pPr>
    </w:p>
    <w:p>
      <w:pPr>
        <w:jc w:val="both"/>
        <w:ind w:left="20" w:right="20" w:firstLine="1489"/>
        <w:spacing w:after="0" w:line="239" w:lineRule="auto"/>
        <w:tabs>
          <w:tab w:leader="none" w:pos="190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Company Personnel</w:t>
      </w:r>
      <w:r>
        <w:rPr>
          <w:rFonts w:ascii="Times New Roman" w:cs="Times New Roman" w:eastAsia="Times New Roman" w:hAnsi="Times New Roman"/>
          <w:sz w:val="22"/>
          <w:szCs w:val="22"/>
          <w:color w:val="auto"/>
        </w:rPr>
        <w:t>” means any individual or entity who is or was at any time during the six months period prior to my solicitation or other activity prohibited by Section 6.2, employed or engaged (whether as an employee, consultant, independent contractor or in any other capacity) by the Company.</w:t>
      </w:r>
    </w:p>
    <w:p>
      <w:pPr>
        <w:spacing w:after="0" w:line="207" w:lineRule="exact"/>
        <w:rPr>
          <w:rFonts w:ascii="Times New Roman" w:cs="Times New Roman" w:eastAsia="Times New Roman" w:hAnsi="Times New Roman"/>
          <w:sz w:val="22"/>
          <w:szCs w:val="22"/>
          <w:color w:val="auto"/>
        </w:rPr>
      </w:pPr>
    </w:p>
    <w:p>
      <w:pPr>
        <w:jc w:val="both"/>
        <w:ind w:left="20" w:firstLine="1489"/>
        <w:spacing w:after="0" w:line="238" w:lineRule="auto"/>
        <w:tabs>
          <w:tab w:leader="none" w:pos="190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means each city, county, state, territory and country in which (i) I provided services or had a material presence or influence at any time during the last two years of my employment or engagement with the Company or (ii) the Company is engaged in or has plans to engage in the Business as of the termination of my employment or engagement with the Company.</w:t>
      </w:r>
    </w:p>
    <w:p>
      <w:pPr>
        <w:spacing w:after="0" w:line="177" w:lineRule="exact"/>
        <w:rPr>
          <w:sz w:val="20"/>
          <w:szCs w:val="20"/>
          <w:color w:val="auto"/>
        </w:rPr>
      </w:pPr>
    </w:p>
    <w:p>
      <w:pPr>
        <w:jc w:val="both"/>
        <w:ind w:left="20" w:right="20" w:firstLine="749"/>
        <w:spacing w:after="0" w:line="244"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Notification to Other Parties</w:t>
      </w:r>
      <w:r>
        <w:rPr>
          <w:rFonts w:ascii="Times New Roman" w:cs="Times New Roman" w:eastAsia="Times New Roman" w:hAnsi="Times New Roman"/>
          <w:sz w:val="22"/>
          <w:szCs w:val="22"/>
          <w:color w:val="auto"/>
        </w:rPr>
        <w:t>. In the event of termination of my employment or engagement with the Company for any reason, I hereby consent to notification by the Company to my new employer or other party for whom I work about my rights and obligations under this Agreement.</w:t>
      </w:r>
    </w:p>
    <w:p>
      <w:pPr>
        <w:spacing w:after="0" w:line="173" w:lineRule="exact"/>
        <w:rPr>
          <w:sz w:val="20"/>
          <w:szCs w:val="20"/>
          <w:color w:val="auto"/>
        </w:rPr>
      </w:pPr>
    </w:p>
    <w:p>
      <w:pPr>
        <w:jc w:val="both"/>
        <w:ind w:left="20" w:firstLine="749"/>
        <w:spacing w:after="0" w:line="233"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I understand and agree that my employment or engagement with the Company is at will. Accordingly, my employment or engagement can be terminated at any time, without cause or notice, at my option or the Company’s option. The at-will nature of my employment or engagement also means that I can be transferred or demoted, and my job title, compensation, benefits and other terms and conditions of employment or engagement can be reduced, at any time with or without cause. I acknowledge that such changes shall not affect the enforceability of the Restrictive Covenants or other terms of this Agreement. This at-will status of my employment relationship or engagement with the Company shall remain in full force and effect throughout my employment or engagement with the Company, and the Restrictive Covenants shall remain in full force and effect pursuant to their terms. The at-will status of my employment or engagement can be modified only in a written agreement that expressly alters such status and which is signed by both an authorized officer of the Company and me.</w:t>
      </w:r>
    </w:p>
    <w:p>
      <w:pPr>
        <w:spacing w:after="0" w:line="185" w:lineRule="exact"/>
        <w:rPr>
          <w:sz w:val="20"/>
          <w:szCs w:val="20"/>
          <w:color w:val="auto"/>
        </w:rPr>
      </w:pPr>
    </w:p>
    <w:p>
      <w:pPr>
        <w:ind w:left="1500" w:hanging="740"/>
        <w:spacing w:after="0"/>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 w:right="20" w:firstLine="1498"/>
        <w:spacing w:after="0" w:line="234" w:lineRule="auto"/>
        <w:rPr>
          <w:sz w:val="20"/>
          <w:szCs w:val="20"/>
          <w:color w:val="auto"/>
        </w:rPr>
      </w:pPr>
      <w:r>
        <w:rPr>
          <w:rFonts w:ascii="Times New Roman" w:cs="Times New Roman" w:eastAsia="Times New Roman" w:hAnsi="Times New Roman"/>
          <w:sz w:val="22"/>
          <w:szCs w:val="22"/>
          <w:color w:val="auto"/>
        </w:rPr>
        <w:t>9.1 The parties’ rights and obligations under this Agreement will bind and inure to the benefit of their respective successors, heirs, executors, and administrators and permitted assigns. I will not assign this Agreement or my obligations hereunder without the prior written consent of the Company, which consent may be withheld in the Company’s sole discretion, and any such purported assignment without consent shall be null and void from the beginning. I agree that the Company may freely assign or otherwise transfer this Agreement to any affiliate or successor in interest (whether by way of merger, sale, acquisition or corporate re- organization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22" w:name="page123"/>
    <w:bookmarkEnd w:id="122"/>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any substantially similar process) of the Company.</w:t>
      </w:r>
    </w:p>
    <w:p>
      <w:pPr>
        <w:spacing w:after="0" w:line="206" w:lineRule="exact"/>
        <w:rPr>
          <w:sz w:val="20"/>
          <w:szCs w:val="20"/>
          <w:color w:val="auto"/>
        </w:rPr>
      </w:pPr>
    </w:p>
    <w:p>
      <w:pPr>
        <w:jc w:val="both"/>
        <w:ind w:left="20" w:firstLine="1498"/>
        <w:spacing w:after="0" w:line="235" w:lineRule="auto"/>
        <w:rPr>
          <w:sz w:val="20"/>
          <w:szCs w:val="20"/>
          <w:color w:val="auto"/>
        </w:rPr>
      </w:pPr>
      <w:r>
        <w:rPr>
          <w:rFonts w:ascii="Times New Roman" w:cs="Times New Roman" w:eastAsia="Times New Roman" w:hAnsi="Times New Roman"/>
          <w:sz w:val="22"/>
          <w:szCs w:val="22"/>
          <w:color w:val="auto"/>
        </w:rPr>
        <w:t>9.2 This Agreement constitutes the parties’ final, exclusive and complete understanding and agreement with respect to the subject matter hereof, and supersedes all prior and contemporaneous understandings and agreements, whether oral or written, relating to its subject matter. Notwithstanding the foregoing, this Agreement shall not supersede, limit or replace any restrictions or obligations contained in any prior proprietary information and inventions agreement by and between me and the Company or any of its affiliates to the extent such prior restrictions are more favorable to the Company than those set forth in this Agreement, and the Company shall be entitled to the full benefits of this Agreement and any such other restrictions and obligations.</w:t>
      </w:r>
    </w:p>
    <w:p>
      <w:pPr>
        <w:spacing w:after="0" w:line="178" w:lineRule="exact"/>
        <w:rPr>
          <w:sz w:val="20"/>
          <w:szCs w:val="20"/>
          <w:color w:val="auto"/>
        </w:rPr>
      </w:pPr>
    </w:p>
    <w:p>
      <w:pPr>
        <w:jc w:val="both"/>
        <w:ind w:left="20" w:right="20" w:firstLine="1498"/>
        <w:spacing w:after="0" w:line="249" w:lineRule="auto"/>
        <w:rPr>
          <w:sz w:val="20"/>
          <w:szCs w:val="20"/>
          <w:color w:val="auto"/>
        </w:rPr>
      </w:pPr>
      <w:r>
        <w:rPr>
          <w:rFonts w:ascii="Times New Roman" w:cs="Times New Roman" w:eastAsia="Times New Roman" w:hAnsi="Times New Roman"/>
          <w:sz w:val="21"/>
          <w:szCs w:val="21"/>
          <w:color w:val="auto"/>
        </w:rPr>
        <w:t>9.3 Any subsequent change or changes in my duties, obligations, rights or compensation will not affect the validity or scope of this Agreement. This Agreement may not be waived, modified or amended unless mutually agreed upon in writing by both parties.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71" w:lineRule="exact"/>
        <w:rPr>
          <w:sz w:val="20"/>
          <w:szCs w:val="20"/>
          <w:color w:val="auto"/>
        </w:rPr>
      </w:pPr>
    </w:p>
    <w:p>
      <w:pPr>
        <w:jc w:val="both"/>
        <w:ind w:left="20" w:right="20" w:firstLine="1498"/>
        <w:spacing w:after="0" w:line="235" w:lineRule="auto"/>
        <w:rPr>
          <w:sz w:val="20"/>
          <w:szCs w:val="20"/>
          <w:color w:val="auto"/>
        </w:rPr>
      </w:pPr>
      <w:r>
        <w:rPr>
          <w:rFonts w:ascii="Times New Roman" w:cs="Times New Roman" w:eastAsia="Times New Roman" w:hAnsi="Times New Roman"/>
          <w:sz w:val="22"/>
          <w:szCs w:val="22"/>
          <w:color w:val="auto"/>
        </w:rPr>
        <w:t>9.4 If any provision of this Agreement is found by a proper authority to be unenforceable or invalid such unenforceability or invalidity shall not render this Agreement unenforceable or invalid as a whole and in such event, such provision shall be changed and interpreted so as to best accomplish the objectives of such unenforceable or invalid provision within the limits of applicable law or applicable court decisions and the remainder of the terms, provisions, covenants and restrictions of this Agreement shall remain in full force and effect and shall in no way be affected, impaired or invalidated.</w:t>
      </w:r>
    </w:p>
    <w:p>
      <w:pPr>
        <w:spacing w:after="0" w:line="183" w:lineRule="exact"/>
        <w:rPr>
          <w:sz w:val="20"/>
          <w:szCs w:val="20"/>
          <w:color w:val="auto"/>
        </w:rPr>
      </w:pPr>
    </w:p>
    <w:p>
      <w:pPr>
        <w:jc w:val="both"/>
        <w:ind w:left="20" w:firstLine="1498"/>
        <w:spacing w:after="0" w:line="238" w:lineRule="auto"/>
        <w:rPr>
          <w:sz w:val="20"/>
          <w:szCs w:val="20"/>
          <w:color w:val="auto"/>
        </w:rPr>
      </w:pPr>
      <w:r>
        <w:rPr>
          <w:rFonts w:ascii="Times New Roman" w:cs="Times New Roman" w:eastAsia="Times New Roman" w:hAnsi="Times New Roman"/>
          <w:sz w:val="22"/>
          <w:szCs w:val="22"/>
          <w:color w:val="auto"/>
        </w:rPr>
        <w:t>9.5 I acknowledge that the Company will suffer substantial damages not readily ascertainable or compensable in terms of money in the event of the breach of any of my obligations under this Agreement. I therefore agree that the Company shall be entitled (without limitation of any other rights or remedies otherwise available to the Company) to obtain an injunction from any court of competent jurisdiction prohibiting the continuance or recurrence of any breach of this Agreement.</w:t>
      </w:r>
    </w:p>
    <w:p>
      <w:pPr>
        <w:spacing w:after="0" w:line="177" w:lineRule="exact"/>
        <w:rPr>
          <w:sz w:val="20"/>
          <w:szCs w:val="20"/>
          <w:color w:val="auto"/>
        </w:rPr>
      </w:pPr>
    </w:p>
    <w:p>
      <w:pPr>
        <w:jc w:val="both"/>
        <w:ind w:left="20" w:firstLine="1498"/>
        <w:spacing w:after="0" w:line="235" w:lineRule="auto"/>
        <w:rPr>
          <w:sz w:val="20"/>
          <w:szCs w:val="20"/>
          <w:color w:val="auto"/>
        </w:rPr>
      </w:pPr>
      <w:r>
        <w:rPr>
          <w:rFonts w:ascii="Times New Roman" w:cs="Times New Roman" w:eastAsia="Times New Roman" w:hAnsi="Times New Roman"/>
          <w:sz w:val="22"/>
          <w:szCs w:val="22"/>
          <w:color w:val="auto"/>
        </w:rPr>
        <w:t>9.6 The rights and obligations of the parties under this Agreement shall be governed in all respects by the laws of the state in which I reside as of the date of this Agreement exclusively, without reference to any conflict of laws rule that would result in the application of the laws of any other jurisdiction. The parties agree that all disputes arising under this Agreement shall be adjudicated in the state and federal courts having jurisdiction over disputes arising in Morris County, New Jersey and I hereby agree to consent to the personal jurisdiction of such court. The Company and I each hereby irrevocably waive any right to a trial by jury in any action, suit or other legal proceeding arising under or relating to any provision of this Agreement.</w:t>
      </w:r>
    </w:p>
    <w:p>
      <w:pPr>
        <w:spacing w:after="0" w:line="178" w:lineRule="exact"/>
        <w:rPr>
          <w:sz w:val="20"/>
          <w:szCs w:val="20"/>
          <w:color w:val="auto"/>
        </w:rPr>
      </w:pPr>
    </w:p>
    <w:p>
      <w:pPr>
        <w:jc w:val="both"/>
        <w:ind w:left="20" w:firstLine="1498"/>
        <w:spacing w:after="0" w:line="239" w:lineRule="auto"/>
        <w:rPr>
          <w:sz w:val="20"/>
          <w:szCs w:val="20"/>
          <w:color w:val="auto"/>
        </w:rPr>
      </w:pPr>
      <w:r>
        <w:rPr>
          <w:rFonts w:ascii="Times New Roman" w:cs="Times New Roman" w:eastAsia="Times New Roman" w:hAnsi="Times New Roman"/>
          <w:sz w:val="22"/>
          <w:szCs w:val="22"/>
          <w:color w:val="auto"/>
        </w:rPr>
        <w:t>9.7 Any notices required or permitted hereunder shall be given to the appropriate party at the address specified on the signature page to this Agreement or at such other address as the party shall specify in writing. Such notice shall be deemed given upon personal delivery, or sent by certified or registered mail, postage prepaid, three days after the date of mailing.</w:t>
      </w:r>
    </w:p>
    <w:p>
      <w:pPr>
        <w:spacing w:after="0" w:line="180" w:lineRule="exact"/>
        <w:rPr>
          <w:sz w:val="20"/>
          <w:szCs w:val="20"/>
          <w:color w:val="auto"/>
        </w:rPr>
      </w:pPr>
    </w:p>
    <w:p>
      <w:pPr>
        <w:ind w:left="20" w:right="40" w:firstLine="1331"/>
        <w:spacing w:after="0" w:line="243" w:lineRule="auto"/>
        <w:rPr>
          <w:sz w:val="20"/>
          <w:szCs w:val="20"/>
          <w:color w:val="auto"/>
        </w:rPr>
      </w:pPr>
      <w:r>
        <w:rPr>
          <w:rFonts w:ascii="Times New Roman" w:cs="Times New Roman" w:eastAsia="Times New Roman" w:hAnsi="Times New Roman"/>
          <w:sz w:val="22"/>
          <w:szCs w:val="22"/>
          <w:color w:val="auto"/>
        </w:rPr>
        <w:t>9.8 Except as otherwise provided herein, the provisions of this Agreement shall survive the termination of my employment or engagement with the Company for any reason.</w:t>
      </w: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23" w:name="page124"/>
    <w:bookmarkEnd w:id="123"/>
    <w:p>
      <w:pPr>
        <w:spacing w:after="0" w:line="198" w:lineRule="exact"/>
        <w:rPr>
          <w:sz w:val="20"/>
          <w:szCs w:val="20"/>
          <w:color w:val="auto"/>
        </w:rPr>
      </w:pPr>
    </w:p>
    <w:p>
      <w:pPr>
        <w:jc w:val="both"/>
        <w:ind w:left="20" w:firstLine="1498"/>
        <w:spacing w:after="0" w:line="236" w:lineRule="auto"/>
        <w:rPr>
          <w:sz w:val="20"/>
          <w:szCs w:val="20"/>
          <w:color w:val="auto"/>
        </w:rPr>
      </w:pPr>
      <w:r>
        <w:rPr>
          <w:rFonts w:ascii="Times New Roman" w:cs="Times New Roman" w:eastAsia="Times New Roman" w:hAnsi="Times New Roman"/>
          <w:sz w:val="22"/>
          <w:szCs w:val="22"/>
          <w:color w:val="auto"/>
        </w:rPr>
        <w:t>9.9 This Agreement may be executed in any number of counterparts, each of which shall be deemed to be an original and all of which together shall be deemed to be one and the same instrument. A facsimile, PDF (or any electronic signature complying with the U.S. federal ESIGN Act of 2000, e.g., www.docusign.com) or any other type of copy of an executed version of this Agreement signed by a party is binding upon the signing party to the same extent as the original of the signed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I ACKNOWLEDGE THAT I HAVE THE RIGHT TO CONSULT WITH INDEPENDENT LEGAL COUNSEL PRIOR TO SIGNING THIS AGREEMENT AND HAVE HAD A REASONABLE OPPORTUNITY TO DO SO, AND THAT I EITHER HAVE CONSULTED, OR ON MY OWN VOLITION CHOSEN NOT TO CONSULT, WITH SUCH COUNSEL. I FURTHER ACKNOWLEDGE THAT I HAVE READ THIS AGREEMENT CAREFULLY AND I UNDERSTAND AND ACCEPT THE OBLIGATIONS WHICH IT IMPOSES UPON ME WITHOUT RESERVATION. NO PROMISES OR REPRESENTATIONS HAVE BEEN MADE TO ME TO INDUCE ME TO SIGN THIS AGREEMENT. I SIGN THIS AGREEMENT VOLUNTARILY AND FREELY, IN DUPLICATE, WITH THE UNDERSTANDING THAT THE COMPANY WILL RETAIN ONE COUNTERPART AND THE OTHER COUNTERPART WILL BE RETAINED BY ME.</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627380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Anne Marie Cook</w:t>
      </w:r>
    </w:p>
    <w:p>
      <w:pPr>
        <w:spacing w:after="0" w:line="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Anne Marie Cook</w:t>
      </w:r>
    </w:p>
    <w:p>
      <w:pPr>
        <w:spacing w:after="0" w:line="15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Date: 04-Jun-2025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2"/>
          <w:szCs w:val="22"/>
          <w:color w:val="auto"/>
        </w:rPr>
        <w:t>PHATHOM PHARMACEUTICALS,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Paul Cocja</w:t>
      </w: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Paul Cocja</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Chief People Officer</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100 Campus Drive, Suite 102</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Florham Park, NJ 07932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627380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CALIFORNIA LABOR CODE</w:t>
      </w:r>
    </w:p>
    <w:p>
      <w:pPr>
        <w:spacing w:after="0" w:line="210" w:lineRule="exact"/>
        <w:rPr>
          <w:sz w:val="20"/>
          <w:szCs w:val="20"/>
          <w:color w:val="auto"/>
        </w:rPr>
      </w:pPr>
    </w:p>
    <w:p>
      <w:pPr>
        <w:ind w:lef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California Labor Code § 2870</w:t>
      </w:r>
      <w:r>
        <w:rPr>
          <w:rFonts w:ascii="Times New Roman" w:cs="Times New Roman" w:eastAsia="Times New Roman" w:hAnsi="Times New Roman"/>
          <w:sz w:val="22"/>
          <w:szCs w:val="22"/>
          <w:color w:val="auto"/>
        </w:rPr>
        <w:t>. Application of provision providing that employee shall assign or offer to assign rights in invention to employer.</w:t>
      </w:r>
    </w:p>
    <w:p>
      <w:pPr>
        <w:spacing w:after="0" w:line="158" w:lineRule="exact"/>
        <w:rPr>
          <w:sz w:val="20"/>
          <w:szCs w:val="20"/>
          <w:color w:val="auto"/>
        </w:rPr>
      </w:pPr>
    </w:p>
    <w:p>
      <w:pPr>
        <w:jc w:val="both"/>
        <w:ind w:left="680" w:right="60" w:hanging="669"/>
        <w:spacing w:after="0" w:line="238" w:lineRule="auto"/>
        <w:tabs>
          <w:tab w:leader="none" w:pos="6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76" w:lineRule="exact"/>
        <w:rPr>
          <w:rFonts w:ascii="Times New Roman" w:cs="Times New Roman" w:eastAsia="Times New Roman" w:hAnsi="Times New Roman"/>
          <w:sz w:val="22"/>
          <w:szCs w:val="22"/>
          <w:color w:val="auto"/>
        </w:rPr>
      </w:pPr>
    </w:p>
    <w:p>
      <w:pPr>
        <w:jc w:val="both"/>
        <w:ind w:left="1420" w:right="60" w:hanging="660"/>
        <w:spacing w:after="0" w:line="244" w:lineRule="auto"/>
        <w:tabs>
          <w:tab w:leader="none" w:pos="142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 at the time of conception or reduction to practice of the invention to the employer’s business, or actual or demonstrably anticipated research or development of the employer; or</w:t>
      </w:r>
    </w:p>
    <w:p>
      <w:pPr>
        <w:spacing w:after="0" w:line="173" w:lineRule="exact"/>
        <w:rPr>
          <w:rFonts w:ascii="Times New Roman" w:cs="Times New Roman" w:eastAsia="Times New Roman" w:hAnsi="Times New Roman"/>
          <w:sz w:val="22"/>
          <w:szCs w:val="22"/>
          <w:color w:val="auto"/>
        </w:rPr>
      </w:pPr>
    </w:p>
    <w:p>
      <w:pPr>
        <w:ind w:left="1500" w:hanging="740"/>
        <w:spacing w:after="0"/>
        <w:tabs>
          <w:tab w:leader="none" w:pos="150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from any work performed by the employee for the employer.</w:t>
      </w:r>
    </w:p>
    <w:p>
      <w:pPr>
        <w:spacing w:after="0" w:line="206" w:lineRule="exact"/>
        <w:rPr>
          <w:rFonts w:ascii="Times New Roman" w:cs="Times New Roman" w:eastAsia="Times New Roman" w:hAnsi="Times New Roman"/>
          <w:sz w:val="22"/>
          <w:szCs w:val="22"/>
          <w:color w:val="auto"/>
        </w:rPr>
      </w:pPr>
    </w:p>
    <w:p>
      <w:pPr>
        <w:jc w:val="both"/>
        <w:ind w:left="680" w:right="60" w:hanging="609"/>
        <w:spacing w:after="0" w:line="244" w:lineRule="auto"/>
        <w:tabs>
          <w:tab w:leader="none" w:pos="68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627380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60"/>
          </w:cols>
          <w:pgMar w:left="1440" w:top="1440" w:right="1399" w:bottom="1440" w:gutter="0" w:footer="0" w:header="0"/>
        </w:sectPr>
      </w:pPr>
    </w:p>
    <w:bookmarkStart w:id="126" w:name="page127"/>
    <w:bookmarkEnd w:id="126"/>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BACKGROUND TECHNOLOGY</w:t>
      </w:r>
    </w:p>
    <w:p>
      <w:pPr>
        <w:spacing w:after="0" w:line="210" w:lineRule="exact"/>
        <w:rPr>
          <w:sz w:val="20"/>
          <w:szCs w:val="20"/>
          <w:color w:val="auto"/>
        </w:rPr>
      </w:pPr>
    </w:p>
    <w:p>
      <w:pPr>
        <w:ind w:right="600" w:firstLine="749"/>
        <w:spacing w:after="0" w:line="258" w:lineRule="auto"/>
        <w:rPr>
          <w:sz w:val="20"/>
          <w:szCs w:val="20"/>
          <w:color w:val="auto"/>
        </w:rPr>
      </w:pPr>
      <w:r>
        <w:rPr>
          <w:rFonts w:ascii="Times New Roman" w:cs="Times New Roman" w:eastAsia="Times New Roman" w:hAnsi="Times New Roman"/>
          <w:sz w:val="22"/>
          <w:szCs w:val="22"/>
          <w:color w:val="auto"/>
        </w:rPr>
        <w:t>List here prior contracts to assign Inventions that are now in existence between any other person or entity and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00" w:hanging="545"/>
        <w:spacing w:after="0"/>
        <w:tabs>
          <w:tab w:leader="none" w:pos="1500" w:val="left"/>
        </w:tabs>
        <w:numPr>
          <w:ilvl w:val="0"/>
          <w:numId w:val="114"/>
        </w:numPr>
        <w:rPr>
          <w:rFonts w:ascii="MS PGothic" w:cs="MS PGothic" w:eastAsia="MS PGothic" w:hAnsi="MS PGothic"/>
          <w:sz w:val="32"/>
          <w:szCs w:val="32"/>
          <w:u w:val="single" w:color="auto"/>
          <w:color w:val="auto"/>
        </w:rPr>
      </w:pPr>
      <w:r>
        <w:rPr>
          <w:rFonts w:ascii="Times New Roman" w:cs="Times New Roman" w:eastAsia="Times New Roman" w:hAnsi="Times New Roman"/>
          <w:sz w:val="22"/>
          <w:szCs w:val="22"/>
          <w:color w:val="auto"/>
        </w:rPr>
        <w:t>Check here if NONE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firstLine="749"/>
        <w:spacing w:after="0" w:line="258" w:lineRule="auto"/>
        <w:rPr>
          <w:sz w:val="20"/>
          <w:szCs w:val="20"/>
          <w:color w:val="auto"/>
        </w:rPr>
      </w:pPr>
      <w:r>
        <w:rPr>
          <w:rFonts w:ascii="Times New Roman" w:cs="Times New Roman" w:eastAsia="Times New Roman" w:hAnsi="Times New Roman"/>
          <w:sz w:val="22"/>
          <w:szCs w:val="22"/>
          <w:color w:val="auto"/>
        </w:rPr>
        <w:t>List here previous Inventions which you desire to have specifically excluded from the operation of this Agreement. Continue on reverse side if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hanging="375"/>
        <w:spacing w:after="0"/>
        <w:tabs>
          <w:tab w:leader="none" w:pos="1420" w:val="left"/>
        </w:tabs>
        <w:numPr>
          <w:ilvl w:val="0"/>
          <w:numId w:val="115"/>
        </w:numPr>
        <w:rPr>
          <w:rFonts w:ascii="MS PGothic" w:cs="MS PGothic" w:eastAsia="MS PGothic" w:hAnsi="MS PGothic"/>
          <w:sz w:val="32"/>
          <w:szCs w:val="32"/>
          <w:u w:val="single" w:color="auto"/>
          <w:color w:val="auto"/>
        </w:rPr>
      </w:pPr>
      <w:r>
        <w:rPr>
          <w:rFonts w:ascii="Times New Roman" w:cs="Times New Roman" w:eastAsia="Times New Roman" w:hAnsi="Times New Roman"/>
          <w:sz w:val="22"/>
          <w:szCs w:val="22"/>
          <w:color w:val="auto"/>
        </w:rPr>
        <w:t>Check here if NONE</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635635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Basta, certify that:</w:t>
      </w:r>
    </w:p>
    <w:p>
      <w:pPr>
        <w:spacing w:after="0" w:line="223" w:lineRule="exact"/>
        <w:rPr>
          <w:sz w:val="20"/>
          <w:szCs w:val="20"/>
          <w:color w:val="auto"/>
        </w:rPr>
      </w:pPr>
    </w:p>
    <w:p>
      <w:pPr>
        <w:ind w:left="520" w:hanging="512"/>
        <w:spacing w:after="0"/>
        <w:tabs>
          <w:tab w:leader="none" w:pos="5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223" w:lineRule="exact"/>
        <w:rPr>
          <w:rFonts w:ascii="Times New Roman" w:cs="Times New Roman" w:eastAsia="Times New Roman" w:hAnsi="Times New Roman"/>
          <w:sz w:val="17"/>
          <w:szCs w:val="17"/>
          <w:color w:val="auto"/>
        </w:rPr>
      </w:pPr>
    </w:p>
    <w:p>
      <w:pPr>
        <w:ind w:left="520" w:right="20" w:hanging="512"/>
        <w:spacing w:after="0" w:line="281" w:lineRule="auto"/>
        <w:tabs>
          <w:tab w:leader="none" w:pos="5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520" w:right="100" w:hanging="512"/>
        <w:spacing w:after="0" w:line="281" w:lineRule="auto"/>
        <w:tabs>
          <w:tab w:leader="none" w:pos="5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520" w:right="240" w:hanging="512"/>
        <w:spacing w:after="0" w:line="265" w:lineRule="auto"/>
        <w:tabs>
          <w:tab w:leader="none" w:pos="5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left="1020" w:right="20" w:hanging="503"/>
        <w:spacing w:after="0" w:line="265" w:lineRule="auto"/>
        <w:tabs>
          <w:tab w:leader="none" w:pos="10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75" w:lineRule="exact"/>
        <w:rPr>
          <w:rFonts w:ascii="Times New Roman" w:cs="Times New Roman" w:eastAsia="Times New Roman" w:hAnsi="Times New Roman"/>
          <w:sz w:val="17"/>
          <w:szCs w:val="17"/>
          <w:color w:val="auto"/>
        </w:rPr>
      </w:pPr>
    </w:p>
    <w:p>
      <w:pPr>
        <w:ind w:left="1020" w:right="60" w:hanging="503"/>
        <w:spacing w:after="0" w:line="281" w:lineRule="auto"/>
        <w:tabs>
          <w:tab w:leader="none" w:pos="10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020" w:right="80" w:hanging="503"/>
        <w:spacing w:after="0" w:line="265" w:lineRule="auto"/>
        <w:tabs>
          <w:tab w:leader="none" w:pos="10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520" w:right="660" w:hanging="512"/>
        <w:spacing w:after="0" w:line="281" w:lineRule="auto"/>
        <w:tabs>
          <w:tab w:leader="none" w:pos="5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020" w:right="420" w:hanging="503"/>
        <w:spacing w:after="0" w:line="281" w:lineRule="auto"/>
        <w:tabs>
          <w:tab w:leader="none" w:pos="10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020" w:right="40" w:hanging="503"/>
        <w:spacing w:after="0" w:line="281" w:lineRule="auto"/>
        <w:tabs>
          <w:tab w:leader="none" w:pos="10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August 7,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Steven Basta</w:t>
            </w:r>
          </w:p>
        </w:tc>
      </w:tr>
      <w:tr>
        <w:trPr>
          <w:trHeight w:val="175"/>
        </w:trPr>
        <w:tc>
          <w:tcPr>
            <w:tcW w:w="676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Steven Basta</w:t>
            </w:r>
          </w:p>
        </w:tc>
      </w:tr>
      <w:tr>
        <w:trPr>
          <w:trHeight w:val="203"/>
        </w:trPr>
        <w:tc>
          <w:tcPr>
            <w:tcW w:w="67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President</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162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Breedlove, certify that:</w:t>
      </w:r>
    </w:p>
    <w:p>
      <w:pPr>
        <w:spacing w:after="0" w:line="223" w:lineRule="exact"/>
        <w:rPr>
          <w:sz w:val="20"/>
          <w:szCs w:val="20"/>
          <w:color w:val="auto"/>
        </w:rPr>
      </w:pPr>
    </w:p>
    <w:p>
      <w:pPr>
        <w:ind w:left="520" w:hanging="512"/>
        <w:spacing w:after="0"/>
        <w:tabs>
          <w:tab w:leader="none" w:pos="5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223" w:lineRule="exact"/>
        <w:rPr>
          <w:rFonts w:ascii="Times New Roman" w:cs="Times New Roman" w:eastAsia="Times New Roman" w:hAnsi="Times New Roman"/>
          <w:sz w:val="17"/>
          <w:szCs w:val="17"/>
          <w:color w:val="auto"/>
        </w:rPr>
      </w:pPr>
    </w:p>
    <w:p>
      <w:pPr>
        <w:ind w:left="520" w:right="20" w:hanging="512"/>
        <w:spacing w:after="0" w:line="281" w:lineRule="auto"/>
        <w:tabs>
          <w:tab w:leader="none" w:pos="5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520" w:right="100" w:hanging="512"/>
        <w:spacing w:after="0" w:line="281" w:lineRule="auto"/>
        <w:tabs>
          <w:tab w:leader="none" w:pos="5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520" w:right="240" w:hanging="512"/>
        <w:spacing w:after="0" w:line="265" w:lineRule="auto"/>
        <w:tabs>
          <w:tab w:leader="none" w:pos="5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left="1020" w:right="20" w:hanging="503"/>
        <w:spacing w:after="0" w:line="265" w:lineRule="auto"/>
        <w:tabs>
          <w:tab w:leader="none" w:pos="10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75" w:lineRule="exact"/>
        <w:rPr>
          <w:rFonts w:ascii="Times New Roman" w:cs="Times New Roman" w:eastAsia="Times New Roman" w:hAnsi="Times New Roman"/>
          <w:sz w:val="17"/>
          <w:szCs w:val="17"/>
          <w:color w:val="auto"/>
        </w:rPr>
      </w:pPr>
    </w:p>
    <w:p>
      <w:pPr>
        <w:ind w:left="1020" w:right="60" w:hanging="503"/>
        <w:spacing w:after="0" w:line="281" w:lineRule="auto"/>
        <w:tabs>
          <w:tab w:leader="none" w:pos="10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020" w:right="80" w:hanging="503"/>
        <w:spacing w:after="0" w:line="265" w:lineRule="auto"/>
        <w:tabs>
          <w:tab w:leader="none" w:pos="10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520" w:right="660" w:hanging="512"/>
        <w:spacing w:after="0" w:line="281" w:lineRule="auto"/>
        <w:tabs>
          <w:tab w:leader="none" w:pos="5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020" w:right="420" w:hanging="503"/>
        <w:spacing w:after="0" w:line="281" w:lineRule="auto"/>
        <w:tabs>
          <w:tab w:leader="none" w:pos="10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020" w:right="40" w:hanging="503"/>
        <w:spacing w:after="0" w:line="281" w:lineRule="auto"/>
        <w:tabs>
          <w:tab w:leader="none" w:pos="10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August 7,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Robert Breedlove</w:t>
            </w:r>
          </w:p>
        </w:tc>
      </w:tr>
      <w:tr>
        <w:trPr>
          <w:trHeight w:val="175"/>
        </w:trPr>
        <w:tc>
          <w:tcPr>
            <w:tcW w:w="676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Robert Breedlove</w:t>
            </w:r>
          </w:p>
        </w:tc>
      </w:tr>
      <w:tr>
        <w:trPr>
          <w:trHeight w:val="203"/>
        </w:trPr>
        <w:tc>
          <w:tcPr>
            <w:tcW w:w="67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of Finance</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162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8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June 30, 2025 as filed with the Securities and Exchange Commission on the date hereof (the “Report”), I, Steven Basta, as Chief Executive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Basta</w:t>
            </w:r>
          </w:p>
        </w:tc>
      </w:tr>
      <w:tr>
        <w:trPr>
          <w:trHeight w:val="191"/>
        </w:trPr>
        <w:tc>
          <w:tcPr>
            <w:tcW w:w="4000" w:type="dxa"/>
            <w:vAlign w:val="bottom"/>
          </w:tcPr>
          <w:p>
            <w:pPr>
              <w:spacing w:after="0"/>
              <w:rPr>
                <w:sz w:val="16"/>
                <w:szCs w:val="16"/>
                <w:color w:val="auto"/>
              </w:rPr>
            </w:pPr>
          </w:p>
        </w:tc>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Basta</w:t>
            </w:r>
          </w:p>
        </w:tc>
      </w:tr>
      <w:tr>
        <w:trPr>
          <w:trHeight w:val="216"/>
        </w:trPr>
        <w:tc>
          <w:tcPr>
            <w:tcW w:w="40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0" w:name="page131"/>
    <w:bookmarkEnd w:id="130"/>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8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June 30, 2025 as filed with the Securities and Exchange Commission on the date hereof (the “Report”), I, Robert Breedlove, as Vice President of Finance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Breedlove</w:t>
            </w:r>
          </w:p>
        </w:tc>
      </w:tr>
      <w:tr>
        <w:trPr>
          <w:trHeight w:val="191"/>
        </w:trPr>
        <w:tc>
          <w:tcPr>
            <w:tcW w:w="400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Breedlove</w:t>
            </w:r>
          </w:p>
        </w:tc>
      </w:tr>
      <w:tr>
        <w:trPr>
          <w:trHeight w:val="216"/>
        </w:trPr>
        <w:tc>
          <w:tcPr>
            <w:tcW w:w="40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w:t>
            </w:r>
          </w:p>
        </w:tc>
      </w:tr>
      <w:tr>
        <w:trPr>
          <w:trHeight w:val="234"/>
        </w:trPr>
        <w:tc>
          <w:tcPr>
            <w:tcW w:w="4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1" w:name="page132"/>
    <w:bookmarkEnd w:id="1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1)"/>
      <w:numFmt w:val="lowerLetter"/>
      <w:start w:val="2"/>
    </w:lvl>
  </w:abstractNum>
  <w:abstractNum w:abstractNumId="3">
    <w:nsid w:val="3F6AB60F"/>
    <w:multiLevelType w:val="hybridMultilevel"/>
    <w:lvl w:ilvl="0">
      <w:lvlJc w:val="left"/>
      <w:lvlText w:val="(%1)"/>
      <w:numFmt w:val="lowerRoman"/>
      <w:start w:val="1"/>
    </w:lvl>
    <w:lvl w:ilvl="1">
      <w:lvlJc w:val="left"/>
      <w:lvlText w:val="%2."/>
      <w:numFmt w:val="lowerLetter"/>
      <w:start w:val="1"/>
    </w:lvl>
  </w:abstractNum>
  <w:abstractNum w:abstractNumId="4">
    <w:nsid w:val="61574095"/>
    <w:multiLevelType w:val="hybridMultilevel"/>
    <w:lvl w:ilvl="0">
      <w:lvlJc w:val="left"/>
      <w:lvlText w:val="%1."/>
      <w:numFmt w:val="lowerLetter"/>
      <w:start w:val="3"/>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1)"/>
      <w:numFmt w:val="lowerLetter"/>
      <w:start w:val="2"/>
    </w:lvl>
  </w:abstractNum>
  <w:abstractNum w:abstractNumId="7">
    <w:nsid w:val="579BE4F1"/>
    <w:multiLevelType w:val="hybridMultilevel"/>
    <w:lvl w:ilvl="0">
      <w:lvlJc w:val="left"/>
      <w:lvlText w:val="(%1)"/>
      <w:numFmt w:val="lowerRoman"/>
      <w:start w:val="1"/>
    </w:lvl>
    <w:lvl w:ilvl="1">
      <w:lvlJc w:val="left"/>
      <w:lvlText w:val="%2."/>
      <w:numFmt w:val="lowerLetter"/>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lvl w:ilvl="1">
      <w:lvlJc w:val="left"/>
      <w:lvlText w:val="%2"/>
      <w:numFmt w:val="decimal"/>
      <w:start w:val="104"/>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1."/>
      <w:numFmt w:val="decimal"/>
      <w:start w:val="1"/>
    </w:lvl>
    <w:lvl w:ilvl="1">
      <w:lvlJc w:val="left"/>
      <w:lvlText w:val="%2."/>
      <w:numFmt w:val="decimal"/>
      <w:start w:val="2"/>
    </w:lvl>
  </w:abstractNum>
  <w:abstractNum w:abstractNumId="12">
    <w:nsid w:val="1DBABF00"/>
    <w:multiLevelType w:val="hybridMultilevel"/>
    <w:lvl w:ilvl="0">
      <w:lvlJc w:val="left"/>
      <w:lvlText w:val="%1."/>
      <w:numFmt w:val="decimal"/>
      <w:start w:val="3"/>
    </w:lvl>
  </w:abstractNum>
  <w:abstractNum w:abstractNumId="13">
    <w:nsid w:val="4AD084E9"/>
    <w:multiLevelType w:val="hybridMultilevel"/>
    <w:lvl w:ilvl="0">
      <w:lvlJc w:val="left"/>
      <w:lvlText w:val="(%1)"/>
      <w:numFmt w:val="lowerRoman"/>
      <w:start w:val="2"/>
    </w:lvl>
  </w:abstractNum>
  <w:abstractNum w:abstractNumId="14">
    <w:nsid w:val="1F48EAA1"/>
    <w:multiLevelType w:val="hybridMultilevel"/>
    <w:lvl w:ilvl="0">
      <w:lvlJc w:val="left"/>
      <w:lvlText w:val="%1."/>
      <w:numFmt w:val="decimal"/>
      <w:start w:val="4"/>
    </w:lvl>
  </w:abstractNum>
  <w:abstractNum w:abstractNumId="15">
    <w:nsid w:val="1381823A"/>
    <w:multiLevelType w:val="hybridMultilevel"/>
    <w:lvl w:ilvl="0">
      <w:lvlJc w:val="left"/>
      <w:lvlText w:val="(%1)"/>
      <w:numFmt w:val="lowerRoman"/>
      <w:start w:val="1"/>
    </w:lvl>
  </w:abstractNum>
  <w:abstractNum w:abstractNumId="16">
    <w:nsid w:val="5DB70AE5"/>
    <w:multiLevelType w:val="hybridMultilevel"/>
    <w:lvl w:ilvl="0">
      <w:lvlJc w:val="left"/>
      <w:lvlText w:val="(%1)"/>
      <w:numFmt w:val="lowerRoman"/>
      <w:start w:val="2"/>
    </w:lvl>
  </w:abstractNum>
  <w:abstractNum w:abstractNumId="17">
    <w:nsid w:val="100F8FCA"/>
    <w:multiLevelType w:val="hybridMultilevel"/>
    <w:lvl w:ilvl="0">
      <w:lvlJc w:val="left"/>
      <w:lvlText w:val="%1."/>
      <w:numFmt w:val="decimal"/>
      <w:start w:val="5"/>
    </w:lvl>
  </w:abstractNum>
  <w:abstractNum w:abstractNumId="18">
    <w:nsid w:val="6590700B"/>
    <w:multiLevelType w:val="hybridMultilevel"/>
    <w:lvl w:ilvl="0">
      <w:lvlJc w:val="left"/>
      <w:lvlText w:val="(%1)"/>
      <w:numFmt w:val="lowerRoman"/>
      <w:start w:val="2"/>
    </w:lvl>
  </w:abstractNum>
  <w:abstractNum w:abstractNumId="19">
    <w:nsid w:val="15014ACB"/>
    <w:multiLevelType w:val="hybridMultilevel"/>
    <w:lvl w:ilvl="0">
      <w:lvlJc w:val="left"/>
      <w:lvlText w:val="%1"/>
      <w:numFmt w:val="decimal"/>
      <w:start w:val="1"/>
    </w:lvl>
    <w:lvl w:ilvl="1">
      <w:lvlJc w:val="left"/>
      <w:lvlText w:val="%2."/>
      <w:numFmt w:val="decimal"/>
      <w:start w:val="6"/>
    </w:lvl>
  </w:abstractNum>
  <w:abstractNum w:abstractNumId="20">
    <w:nsid w:val="5F5E7FD0"/>
    <w:multiLevelType w:val="hybridMultilevel"/>
    <w:lvl w:ilvl="0">
      <w:lvlJc w:val="left"/>
      <w:lvlText w:val="%1."/>
      <w:numFmt w:val="decimal"/>
      <w:start w:val="7"/>
    </w:lvl>
    <w:lvl w:ilvl="1">
      <w:lvlJc w:val="left"/>
      <w:lvlText w:val="%2"/>
      <w:numFmt w:val="decimal"/>
      <w:start w:val="1"/>
    </w:lvl>
  </w:abstractNum>
  <w:abstractNum w:abstractNumId="21">
    <w:nsid w:val="98A3148"/>
    <w:multiLevelType w:val="hybridMultilevel"/>
    <w:lvl w:ilvl="0">
      <w:lvlJc w:val="left"/>
      <w:lvlText w:val="%1"/>
      <w:numFmt w:val="decimal"/>
      <w:start w:val="1"/>
    </w:lvl>
    <w:lvl w:ilvl="1">
      <w:lvlJc w:val="left"/>
      <w:lvlText w:val="%2."/>
      <w:numFmt w:val="decimal"/>
      <w:start w:val="8"/>
    </w:lvl>
  </w:abstractNum>
  <w:abstractNum w:abstractNumId="22">
    <w:nsid w:val="799D0247"/>
    <w:multiLevelType w:val="hybridMultilevel"/>
    <w:lvl w:ilvl="0">
      <w:lvlJc w:val="left"/>
      <w:lvlText w:val="%1."/>
      <w:numFmt w:val="decimal"/>
      <w:start w:val="9"/>
    </w:lvl>
    <w:lvl w:ilvl="1">
      <w:lvlJc w:val="left"/>
      <w:lvlText w:val="%2"/>
      <w:numFmt w:val="decimal"/>
      <w:start w:val="1"/>
    </w:lvl>
  </w:abstractNum>
  <w:abstractNum w:abstractNumId="23">
    <w:nsid w:val="6B94764"/>
    <w:multiLevelType w:val="hybridMultilevel"/>
    <w:lvl w:ilvl="0">
      <w:lvlJc w:val="left"/>
      <w:lvlText w:val="%1."/>
      <w:numFmt w:val="decimal"/>
      <w:start w:val="12"/>
    </w:lvl>
  </w:abstractNum>
  <w:abstractNum w:abstractNumId="24">
    <w:nsid w:val="42C296BD"/>
    <w:multiLevelType w:val="hybridMultilevel"/>
    <w:lvl w:ilvl="0">
      <w:lvlJc w:val="left"/>
      <w:lvlText w:val="%1."/>
      <w:numFmt w:val="decimal"/>
      <w:start w:val="18"/>
    </w:lvl>
  </w:abstractNum>
  <w:abstractNum w:abstractNumId="25">
    <w:nsid w:val="168E121F"/>
    <w:multiLevelType w:val="hybridMultilevel"/>
    <w:lvl w:ilvl="0">
      <w:lvlJc w:val="left"/>
      <w:lvlText w:val="%1."/>
      <w:numFmt w:val="decimal"/>
      <w:start w:val="1"/>
    </w:lvl>
  </w:abstractNum>
  <w:abstractNum w:abstractNumId="26">
    <w:nsid w:val="1EBA5D23"/>
    <w:multiLevelType w:val="hybridMultilevel"/>
    <w:lvl w:ilvl="0">
      <w:lvlJc w:val="left"/>
      <w:lvlText w:val="(%1)"/>
      <w:numFmt w:val="lowerRoman"/>
      <w:start w:val="2"/>
    </w:lvl>
    <w:lvl w:ilvl="1">
      <w:lvlJc w:val="left"/>
      <w:lvlText w:val="%2."/>
      <w:numFmt w:val="decimal"/>
      <w:start w:val="4"/>
    </w:lvl>
  </w:abstractNum>
  <w:abstractNum w:abstractNumId="27">
    <w:nsid w:val="661E3F1E"/>
    <w:multiLevelType w:val="hybridMultilevel"/>
    <w:lvl w:ilvl="0">
      <w:lvlJc w:val="left"/>
      <w:lvlText w:val="%1"/>
      <w:numFmt w:val="lowerLetter"/>
      <w:start w:val="1"/>
    </w:lvl>
    <w:lvl w:ilvl="1">
      <w:lvlJc w:val="left"/>
      <w:lvlText w:val="%2."/>
      <w:numFmt w:val="decimal"/>
      <w:start w:val="7"/>
    </w:lvl>
  </w:abstractNum>
  <w:abstractNum w:abstractNumId="28">
    <w:nsid w:val="5DC79EA8"/>
    <w:multiLevelType w:val="hybridMultilevel"/>
    <w:lvl w:ilvl="0">
      <w:lvlJc w:val="left"/>
      <w:lvlText w:val="(%1)"/>
      <w:numFmt w:val="lowerLetter"/>
      <w:start w:val="2"/>
    </w:lvl>
    <w:lvl w:ilvl="1">
      <w:lvlJc w:val="left"/>
      <w:lvlText w:val="%2"/>
      <w:numFmt w:val="decimal"/>
      <w:start w:val="1"/>
    </w:lvl>
  </w:abstractNum>
  <w:abstractNum w:abstractNumId="29">
    <w:nsid w:val="540A471C"/>
    <w:multiLevelType w:val="hybridMultilevel"/>
    <w:lvl w:ilvl="0">
      <w:lvlJc w:val="left"/>
      <w:lvlText w:val="%1"/>
      <w:numFmt w:val="lowerLetter"/>
      <w:start w:val="1"/>
    </w:lvl>
    <w:lvl w:ilvl="1">
      <w:lvlJc w:val="left"/>
      <w:lvlText w:val="%2."/>
      <w:numFmt w:val="decimal"/>
      <w:start w:val="11"/>
    </w:lvl>
  </w:abstractNum>
  <w:abstractNum w:abstractNumId="30">
    <w:nsid w:val="7BD3EE7B"/>
    <w:multiLevelType w:val="hybridMultilevel"/>
    <w:lvl w:ilvl="0">
      <w:lvlJc w:val="left"/>
      <w:lvlText w:val="%1."/>
      <w:numFmt w:val="lowerLetter"/>
      <w:start w:val="1"/>
    </w:lvl>
    <w:lvl w:ilvl="1">
      <w:lvlJc w:val="left"/>
      <w:lvlText w:val="%2"/>
      <w:numFmt w:val="decimal"/>
      <w:start w:val="1"/>
    </w:lvl>
  </w:abstractNum>
  <w:abstractNum w:abstractNumId="31">
    <w:nsid w:val="51D9C564"/>
    <w:multiLevelType w:val="hybridMultilevel"/>
    <w:lvl w:ilvl="0">
      <w:lvlJc w:val="left"/>
      <w:lvlText w:val="d"/>
      <w:numFmt w:val="bullet"/>
      <w:start w:val="1"/>
    </w:lvl>
  </w:abstractNum>
  <w:abstractNum w:abstractNumId="32">
    <w:nsid w:val="613EFDC5"/>
    <w:multiLevelType w:val="hybridMultilevel"/>
    <w:lvl w:ilvl="0">
      <w:lvlJc w:val="left"/>
      <w:lvlText w:val="%1."/>
      <w:numFmt w:val="lowerLetter"/>
      <w:start w:val="5"/>
    </w:lvl>
  </w:abstractNum>
  <w:abstractNum w:abstractNumId="33">
    <w:nsid w:val="BF72B14"/>
    <w:multiLevelType w:val="hybridMultilevel"/>
    <w:lvl w:ilvl="0">
      <w:lvlJc w:val="left"/>
      <w:lvlText w:val="%1."/>
      <w:numFmt w:val="lowerRoman"/>
      <w:start w:val="1"/>
    </w:lvl>
  </w:abstractNum>
  <w:abstractNum w:abstractNumId="34">
    <w:nsid w:val="11447B73"/>
    <w:multiLevelType w:val="hybridMultilevel"/>
    <w:lvl w:ilvl="0">
      <w:lvlJc w:val="left"/>
      <w:lvlText w:val="%1."/>
      <w:numFmt w:val="decimal"/>
      <w:start w:val="12"/>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o"/>
      <w:numFmt w:val="bullet"/>
      <w:start w:val="1"/>
    </w:lvl>
    <w:lvl w:ilvl="1">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o"/>
      <w:numFmt w:val="bullet"/>
      <w:start w:val="1"/>
    </w:lvl>
    <w:lvl w:ilvl="1">
      <w:lvlJc w:val="left"/>
      <w:lvlText w:val="•"/>
      <w:numFmt w:val="bullet"/>
      <w:start w:val="1"/>
    </w:lvl>
  </w:abstractNum>
  <w:abstractNum w:abstractNumId="39">
    <w:nsid w:val="3B0FD379"/>
    <w:multiLevelType w:val="hybridMultilevel"/>
    <w:lvl w:ilvl="0">
      <w:lvlJc w:val="left"/>
      <w:lvlText w:val="•"/>
      <w:numFmt w:val="bullet"/>
      <w:start w:val="1"/>
    </w:lvl>
    <w:lvl w:ilvl="1">
      <w:lvlJc w:val="left"/>
      <w:lvlText w:val="(%2)"/>
      <w:numFmt w:val="lowerLetter"/>
      <w:start w:val="2"/>
    </w:lvl>
  </w:abstractNum>
  <w:abstractNum w:abstractNumId="40">
    <w:nsid w:val="68EB2F63"/>
    <w:multiLevelType w:val="hybridMultilevel"/>
    <w:lvl w:ilvl="0">
      <w:lvlJc w:val="left"/>
      <w:lvlText w:val="o"/>
      <w:numFmt w:val="bullet"/>
      <w:start w:val="1"/>
    </w:lvl>
  </w:abstractNum>
  <w:abstractNum w:abstractNumId="41">
    <w:nsid w:val="4962813B"/>
    <w:multiLevelType w:val="hybridMultilevel"/>
    <w:lvl w:ilvl="0">
      <w:lvlJc w:val="left"/>
      <w:lvlText w:val="%1."/>
      <w:numFmt w:val="decimal"/>
      <w:start w:val="1"/>
    </w:lvl>
  </w:abstractNum>
  <w:abstractNum w:abstractNumId="42">
    <w:nsid w:val="60B6DF70"/>
    <w:multiLevelType w:val="hybridMultilevel"/>
    <w:lvl w:ilvl="0">
      <w:lvlJc w:val="left"/>
      <w:lvlText w:val="(%1)"/>
      <w:numFmt w:val="lowerLetter"/>
      <w:start w:val="1"/>
    </w:lvl>
    <w:lvl w:ilvl="1">
      <w:lvlJc w:val="left"/>
      <w:lvlText w:val="%2."/>
      <w:numFmt w:val="decimal"/>
      <w:start w:val="3"/>
    </w:lvl>
  </w:abstractNum>
  <w:abstractNum w:abstractNumId="43">
    <w:nsid w:val="6A5EE64"/>
    <w:multiLevelType w:val="hybridMultilevel"/>
    <w:lvl w:ilvl="0">
      <w:lvlJc w:val="left"/>
      <w:lvlText w:val="%1."/>
      <w:numFmt w:val="decimal"/>
      <w:start w:val="4"/>
    </w:lvl>
    <w:lvl w:ilvl="1">
      <w:lvlJc w:val="left"/>
      <w:lvlText w:val="%2."/>
      <w:numFmt w:val="decimal"/>
      <w:start w:val="5"/>
    </w:lvl>
  </w:abstractNum>
  <w:abstractNum w:abstractNumId="44">
    <w:nsid w:val="14330624"/>
    <w:multiLevelType w:val="hybridMultilevel"/>
    <w:lvl w:ilvl="0">
      <w:lvlJc w:val="left"/>
      <w:lvlText w:val="(%1)"/>
      <w:numFmt w:val="lowerLetter"/>
      <w:start w:val="3"/>
    </w:lvl>
  </w:abstractNum>
  <w:abstractNum w:abstractNumId="45">
    <w:nsid w:val="7FFFCA11"/>
    <w:multiLevelType w:val="hybridMultilevel"/>
    <w:lvl w:ilvl="0">
      <w:lvlJc w:val="left"/>
      <w:lvlText w:val="%1."/>
      <w:numFmt w:val="decimal"/>
      <w:start w:val="6"/>
    </w:lvl>
  </w:abstractNum>
  <w:abstractNum w:abstractNumId="46">
    <w:nsid w:val="1A27709E"/>
    <w:multiLevelType w:val="hybridMultilevel"/>
    <w:lvl w:ilvl="0">
      <w:lvlJc w:val="left"/>
      <w:lvlText w:val="(%1)"/>
      <w:numFmt w:val="lowerLetter"/>
      <w:start w:val="2"/>
    </w:lvl>
  </w:abstractNum>
  <w:abstractNum w:abstractNumId="47">
    <w:nsid w:val="71EA1109"/>
    <w:multiLevelType w:val="hybridMultilevel"/>
    <w:lvl w:ilvl="0">
      <w:lvlJc w:val="left"/>
      <w:lvlText w:val="%1"/>
      <w:numFmt w:val="decimal"/>
      <w:start w:val="1"/>
    </w:lvl>
    <w:lvl w:ilvl="1">
      <w:lvlJc w:val="left"/>
      <w:lvlText w:val="%2."/>
      <w:numFmt w:val="decimal"/>
      <w:start w:val="7"/>
    </w:lvl>
  </w:abstractNum>
  <w:abstractNum w:abstractNumId="48">
    <w:nsid w:val="100F59DC"/>
    <w:multiLevelType w:val="hybridMultilevel"/>
    <w:lvl w:ilvl="0">
      <w:lvlJc w:val="left"/>
      <w:lvlText w:val="%1."/>
      <w:numFmt w:val="decimal"/>
      <w:start w:val="8"/>
    </w:lvl>
    <w:lvl w:ilvl="1">
      <w:lvlJc w:val="left"/>
      <w:lvlText w:val="%2."/>
      <w:numFmt w:val="decimal"/>
      <w:start w:val="9"/>
    </w:lvl>
  </w:abstractNum>
  <w:abstractNum w:abstractNumId="49">
    <w:nsid w:val="7FB7E0A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1."/>
      <w:numFmt w:val="decimal"/>
      <w:start w:val="1"/>
    </w:lvl>
    <w:lvl w:ilvl="1">
      <w:lvlJc w:val="left"/>
      <w:lvlText w:val="(%2)"/>
      <w:numFmt w:val="lowerLetter"/>
      <w:start w:val="1"/>
    </w:lvl>
  </w:abstractNum>
  <w:abstractNum w:abstractNumId="53">
    <w:nsid w:val="885E1B"/>
    <w:multiLevelType w:val="hybridMultilevel"/>
    <w:lvl w:ilvl="0">
      <w:lvlJc w:val="left"/>
      <w:lvlText w:val="%1"/>
      <w:numFmt w:val="decimal"/>
      <w:start w:val="1"/>
    </w:lvl>
    <w:lvl w:ilvl="1">
      <w:lvlJc w:val="left"/>
      <w:lvlText w:val="(%2)"/>
      <w:numFmt w:val="lowerLetter"/>
      <w:start w:val="2"/>
    </w:lvl>
  </w:abstractNum>
  <w:abstractNum w:abstractNumId="54">
    <w:nsid w:val="76272110"/>
    <w:multiLevelType w:val="hybridMultilevel"/>
    <w:lvl w:ilvl="0">
      <w:lvlJc w:val="left"/>
      <w:lvlText w:val="%1."/>
      <w:numFmt w:val="decimal"/>
      <w:start w:val="3"/>
    </w:lvl>
    <w:lvl w:ilvl="1">
      <w:lvlJc w:val="left"/>
      <w:lvlText w:val="(%2)"/>
      <w:numFmt w:val="lowerLetter"/>
      <w:start w:val="1"/>
    </w:lvl>
  </w:abstractNum>
  <w:abstractNum w:abstractNumId="55">
    <w:nsid w:val="4C04A8AF"/>
    <w:multiLevelType w:val="hybridMultilevel"/>
    <w:lvl w:ilvl="0">
      <w:lvlJc w:val="left"/>
      <w:lvlText w:val="(%1)"/>
      <w:numFmt w:val="lowerLetter"/>
      <w:start w:val="4"/>
    </w:lvl>
  </w:abstractNum>
  <w:abstractNum w:abstractNumId="56">
    <w:nsid w:val="1716703B"/>
    <w:multiLevelType w:val="hybridMultilevel"/>
    <w:lvl w:ilvl="0">
      <w:lvlJc w:val="left"/>
      <w:lvlText w:val="%1."/>
      <w:numFmt w:val="decimal"/>
      <w:start w:val="4"/>
    </w:lvl>
  </w:abstractNum>
  <w:abstractNum w:abstractNumId="57">
    <w:nsid w:val="14E17E3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58">
    <w:nsid w:val="3222E7C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59">
    <w:nsid w:val="74DE0EE3"/>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60">
    <w:nsid w:val="68EBC550"/>
    <w:multiLevelType w:val="hybridMultilevel"/>
    <w:lvl w:ilvl="0">
      <w:lvlJc w:val="left"/>
      <w:lvlText w:val="(%1)"/>
      <w:numFmt w:val="lowerLetter"/>
      <w:start w:val="2"/>
    </w:lvl>
  </w:abstractNum>
  <w:abstractNum w:abstractNumId="61">
    <w:nsid w:val="2DF6D648"/>
    <w:multiLevelType w:val="hybridMultilevel"/>
    <w:lvl w:ilvl="0">
      <w:lvlJc w:val="left"/>
      <w:lvlText w:val="%1"/>
      <w:numFmt w:val="decimal"/>
      <w:start w:val="1"/>
    </w:lvl>
    <w:lvl w:ilvl="1">
      <w:lvlJc w:val="left"/>
      <w:lvlText w:val="(%2)"/>
      <w:numFmt w:val="lowerLetter"/>
      <w:start w:val="5"/>
    </w:lvl>
  </w:abstractNum>
  <w:abstractNum w:abstractNumId="62">
    <w:nsid w:val="46B7D447"/>
    <w:multiLevelType w:val="hybridMultilevel"/>
    <w:lvl w:ilvl="0">
      <w:lvlJc w:val="left"/>
      <w:lvlText w:val="%1."/>
      <w:numFmt w:val="decimal"/>
      <w:start w:val="5"/>
    </w:lvl>
    <w:lvl w:ilvl="1">
      <w:lvlJc w:val="left"/>
      <w:lvlText w:val="(%2)"/>
      <w:numFmt w:val="lowerLetter"/>
      <w:start w:val="1"/>
    </w:lvl>
  </w:abstractNum>
  <w:abstractNum w:abstractNumId="63">
    <w:nsid w:val="4A2AC315"/>
    <w:multiLevelType w:val="hybridMultilevel"/>
    <w:lvl w:ilvl="0">
      <w:lvlJc w:val="left"/>
      <w:lvlText w:val="%1"/>
      <w:numFmt w:val="decimal"/>
      <w:start w:val="1"/>
    </w:lvl>
    <w:lvl w:ilvl="1">
      <w:lvlJc w:val="left"/>
      <w:lvlText w:val="(%2)"/>
      <w:numFmt w:val="lowerLetter"/>
      <w:start w:val="5"/>
    </w:lvl>
  </w:abstractNum>
  <w:abstractNum w:abstractNumId="64">
    <w:nsid w:val="39EE015C"/>
    <w:multiLevelType w:val="hybridMultilevel"/>
    <w:lvl w:ilvl="0">
      <w:lvlJc w:val="left"/>
      <w:lvlText w:val="%1."/>
      <w:numFmt w:val="decimal"/>
      <w:start w:val="6"/>
    </w:lvl>
    <w:lvl w:ilvl="1">
      <w:lvlJc w:val="left"/>
      <w:lvlText w:val="%2"/>
      <w:numFmt w:val="lowerLetter"/>
      <w:start w:val="1"/>
    </w:lvl>
  </w:abstractNum>
  <w:abstractNum w:abstractNumId="65">
    <w:nsid w:val="57FC4FBB"/>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66">
    <w:nsid w:val="CC1016F"/>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4"/>
    </w:lvl>
  </w:abstractNum>
  <w:abstractNum w:abstractNumId="67">
    <w:nsid w:val="43F18422"/>
    <w:multiLevelType w:val="hybridMultilevel"/>
    <w:lvl w:ilvl="0">
      <w:lvlJc w:val="left"/>
      <w:lvlText w:val="%1."/>
      <w:numFmt w:val="decimal"/>
      <w:start w:val="10"/>
    </w:lvl>
  </w:abstractNum>
  <w:abstractNum w:abstractNumId="68">
    <w:nsid w:val="60EF0119"/>
    <w:multiLevelType w:val="hybridMultilevel"/>
    <w:lvl w:ilvl="0">
      <w:lvlJc w:val="left"/>
      <w:lvlText w:val="%1."/>
      <w:numFmt w:val="decimal"/>
      <w:start w:val="14"/>
    </w:lvl>
  </w:abstractNum>
  <w:abstractNum w:abstractNumId="69">
    <w:nsid w:val="26F324BA"/>
    <w:multiLevelType w:val="hybridMultilevel"/>
    <w:lvl w:ilvl="0">
      <w:lvlJc w:val="left"/>
      <w:lvlText w:val="%1."/>
      <w:numFmt w:val="lowerLetter"/>
      <w:start w:val="12"/>
    </w:lvl>
  </w:abstractNum>
  <w:abstractNum w:abstractNumId="70">
    <w:nsid w:val="7F01579B"/>
    <w:multiLevelType w:val="hybridMultilevel"/>
    <w:lvl w:ilvl="0">
      <w:lvlJc w:val="left"/>
      <w:lvlText w:val="%1."/>
      <w:numFmt w:val="decimal"/>
      <w:start w:val="2"/>
    </w:lvl>
  </w:abstractNum>
  <w:abstractNum w:abstractNumId="71">
    <w:nsid w:val="49DA307D"/>
    <w:multiLevelType w:val="hybridMultilevel"/>
    <w:lvl w:ilvl="0">
      <w:lvlJc w:val="left"/>
      <w:lvlText w:val="%1."/>
      <w:numFmt w:val="decimal"/>
      <w:start w:val="3"/>
    </w:lvl>
  </w:abstractNum>
  <w:abstractNum w:abstractNumId="72">
    <w:nsid w:val="7055A5F5"/>
    <w:multiLevelType w:val="hybridMultilevel"/>
    <w:lvl w:ilvl="0">
      <w:lvlJc w:val="left"/>
      <w:lvlText w:val="%1."/>
      <w:numFmt w:val="decimal"/>
      <w:start w:val="4"/>
    </w:lvl>
  </w:abstractNum>
  <w:abstractNum w:abstractNumId="73">
    <w:nsid w:val="5FB8370B"/>
    <w:multiLevelType w:val="hybridMultilevel"/>
    <w:lvl w:ilvl="0">
      <w:lvlJc w:val="left"/>
      <w:lvlText w:val="%1."/>
      <w:numFmt w:val="decimal"/>
      <w:start w:val="5"/>
    </w:lvl>
  </w:abstractNum>
  <w:abstractNum w:abstractNumId="74">
    <w:nsid w:val="50801EE1"/>
    <w:multiLevelType w:val="hybridMultilevel"/>
    <w:lvl w:ilvl="0">
      <w:lvlJc w:val="left"/>
      <w:lvlText w:val="(%1)"/>
      <w:numFmt w:val="lowerLetter"/>
      <w:start w:val="3"/>
    </w:lvl>
  </w:abstractNum>
  <w:abstractNum w:abstractNumId="75">
    <w:nsid w:val="488AC1A"/>
    <w:multiLevelType w:val="hybridMultilevel"/>
    <w:lvl w:ilvl="0">
      <w:lvlJc w:val="left"/>
      <w:lvlText w:val="%1."/>
      <w:numFmt w:val="decimal"/>
      <w:start w:val="6"/>
    </w:lvl>
  </w:abstractNum>
  <w:abstractNum w:abstractNumId="76">
    <w:nsid w:val="5FB8011C"/>
    <w:multiLevelType w:val="hybridMultilevel"/>
    <w:lvl w:ilvl="0">
      <w:lvlJc w:val="left"/>
      <w:lvlText w:val="(%1)"/>
      <w:numFmt w:val="lowerLetter"/>
      <w:start w:val="1"/>
    </w:lvl>
  </w:abstractNum>
  <w:abstractNum w:abstractNumId="77">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8">
    <w:nsid w:val="7672BD2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9">
    <w:nsid w:val="6FC75AF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80">
    <w:nsid w:val="6A5F702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
      <w:numFmt w:val="bullet"/>
      <w:start w:val="1"/>
    </w:lvl>
  </w:abstractNum>
  <w:abstractNum w:abstractNumId="83">
    <w:nsid w:val="73A1821B"/>
    <w:multiLevelType w:val="hybridMultilevel"/>
    <w:lvl w:ilvl="0">
      <w:lvlJc w:val="left"/>
      <w:lvlText w:val="•"/>
      <w:numFmt w:val="bullet"/>
      <w:start w:val="1"/>
    </w:lvl>
    <w:lvl w:ilvl="1">
      <w:lvlJc w:val="left"/>
      <w:lvlText w:val="•"/>
      <w:numFmt w:val="bullet"/>
      <w:start w:val="1"/>
    </w:lvl>
  </w:abstractNum>
  <w:abstractNum w:abstractNumId="84">
    <w:nsid w:val="7DE67713"/>
    <w:multiLevelType w:val="hybridMultilevel"/>
    <w:lvl w:ilvl="0">
      <w:lvlJc w:val="left"/>
      <w:lvlText w:val="o"/>
      <w:numFmt w:val="bullet"/>
      <w:start w:val="1"/>
    </w:lvl>
  </w:abstractNum>
  <w:abstractNum w:abstractNumId="85">
    <w:nsid w:val="555C55B5"/>
    <w:multiLevelType w:val="hybridMultilevel"/>
    <w:lvl w:ilvl="0">
      <w:lvlJc w:val="left"/>
      <w:lvlText w:val="•"/>
      <w:numFmt w:val="bullet"/>
      <w:start w:val="1"/>
    </w:lvl>
    <w:lvl w:ilvl="1">
      <w:lvlJc w:val="left"/>
      <w:lvlText w:val="(%2)"/>
      <w:numFmt w:val="decimal"/>
      <w:start w:val="36"/>
    </w:lvl>
  </w:abstractNum>
  <w:abstractNum w:abstractNumId="86">
    <w:nsid w:val="3FA62ACA"/>
    <w:multiLevelType w:val="hybridMultilevel"/>
    <w:lvl w:ilvl="0">
      <w:lvlJc w:val="left"/>
      <w:lvlText w:val="o"/>
      <w:numFmt w:val="bullet"/>
      <w:start w:val="1"/>
    </w:lvl>
  </w:abstractNum>
  <w:abstractNum w:abstractNumId="87">
    <w:nsid w:val="14FCE74E"/>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88">
    <w:nsid w:val="6A3DD3E8"/>
    <w:multiLevelType w:val="hybridMultilevel"/>
    <w:lvl w:ilvl="0">
      <w:lvlJc w:val="left"/>
      <w:lvlText w:val="▪"/>
      <w:numFmt w:val="bullet"/>
      <w:start w:val="1"/>
    </w:lvl>
  </w:abstractNum>
  <w:abstractNum w:abstractNumId="89">
    <w:nsid w:val="71C91298"/>
    <w:multiLevelType w:val="hybridMultilevel"/>
    <w:lvl w:ilvl="0">
      <w:lvlJc w:val="left"/>
      <w:lvlText w:val="▪"/>
      <w:numFmt w:val="bullet"/>
      <w:start w:val="1"/>
    </w:lvl>
  </w:abstractNum>
  <w:abstractNum w:abstractNumId="90">
    <w:nsid w:val="9DAF632"/>
    <w:multiLevelType w:val="hybridMultilevel"/>
    <w:lvl w:ilvl="0">
      <w:lvlJc w:val="left"/>
      <w:lvlText w:val="o"/>
      <w:numFmt w:val="bullet"/>
      <w:start w:val="1"/>
    </w:lvl>
    <w:lvl w:ilvl="1">
      <w:lvlJc w:val="left"/>
      <w:lvlText w:val="(%2)"/>
      <w:numFmt w:val="lowerLetter"/>
      <w:start w:val="2"/>
    </w:lvl>
  </w:abstractNum>
  <w:abstractNum w:abstractNumId="91">
    <w:nsid w:val="53299938"/>
    <w:multiLevelType w:val="hybridMultilevel"/>
    <w:lvl w:ilvl="0">
      <w:lvlJc w:val="left"/>
      <w:lvlText w:val="▪"/>
      <w:numFmt w:val="bullet"/>
      <w:start w:val="1"/>
    </w:lvl>
  </w:abstractNum>
  <w:abstractNum w:abstractNumId="92">
    <w:nsid w:val="1FBFE8E0"/>
    <w:multiLevelType w:val="hybridMultilevel"/>
    <w:lvl w:ilvl="0">
      <w:lvlJc w:val="left"/>
      <w:lvlText w:val="▪"/>
      <w:numFmt w:val="bullet"/>
      <w:start w:val="1"/>
    </w:lvl>
  </w:abstractNum>
  <w:abstractNum w:abstractNumId="93">
    <w:nsid w:val="5092CA79"/>
    <w:multiLevelType w:val="hybridMultilevel"/>
    <w:lvl w:ilvl="0">
      <w:lvlJc w:val="left"/>
      <w:lvlText w:val="o"/>
      <w:numFmt w:val="bullet"/>
      <w:start w:val="1"/>
    </w:lvl>
  </w:abstractNum>
  <w:abstractNum w:abstractNumId="94">
    <w:nsid w:val="1D545C4D"/>
    <w:multiLevelType w:val="hybridMultilevel"/>
    <w:lvl w:ilvl="0">
      <w:lvlJc w:val="left"/>
      <w:lvlText w:val="o"/>
      <w:numFmt w:val="bullet"/>
      <w:start w:val="1"/>
    </w:lvl>
  </w:abstractNum>
  <w:abstractNum w:abstractNumId="95">
    <w:nsid w:val="59ADEA3D"/>
    <w:multiLevelType w:val="hybridMultilevel"/>
    <w:lvl w:ilvl="0">
      <w:lvlJc w:val="left"/>
      <w:lvlText w:val="o"/>
      <w:numFmt w:val="bullet"/>
      <w:start w:val="1"/>
    </w:lvl>
  </w:abstractNum>
  <w:abstractNum w:abstractNumId="96">
    <w:nsid w:val="288F1A34"/>
    <w:multiLevelType w:val="hybridMultilevel"/>
    <w:lvl w:ilvl="0">
      <w:lvlJc w:val="left"/>
      <w:lvlText w:val="%1."/>
      <w:numFmt w:val="decimal"/>
    </w:lvl>
    <w:lvl w:ilvl="1">
      <w:lvlJc w:val="left"/>
      <w:lvlText w:val="o"/>
      <w:numFmt w:val="bullet"/>
      <w:start w:val="1"/>
    </w:lvl>
  </w:abstractNum>
  <w:abstractNum w:abstractNumId="97">
    <w:nsid w:val="2A155DBC"/>
    <w:multiLevelType w:val="hybridMultilevel"/>
    <w:lvl w:ilvl="0">
      <w:lvlJc w:val="left"/>
      <w:lvlText w:val="%1."/>
      <w:numFmt w:val="lowerLetter"/>
      <w:start w:val="1"/>
    </w:lvl>
  </w:abstractNum>
  <w:abstractNum w:abstractNumId="98">
    <w:nsid w:val="1D9F6E5F"/>
    <w:multiLevelType w:val="hybridMultilevel"/>
    <w:lvl w:ilvl="0">
      <w:lvlJc w:val="left"/>
      <w:lvlText w:val="(%1)"/>
      <w:numFmt w:val="lowerLetter"/>
      <w:start w:val="1"/>
    </w:lvl>
  </w:abstractNum>
  <w:abstractNum w:abstractNumId="99">
    <w:nsid w:val="97E1B4E"/>
    <w:multiLevelType w:val="hybridMultilevel"/>
    <w:lvl w:ilvl="0">
      <w:lvlJc w:val="left"/>
      <w:lvlText w:val="•"/>
      <w:numFmt w:val="bullet"/>
      <w:start w:val="1"/>
    </w:lvl>
  </w:abstractNum>
  <w:abstractNum w:abstractNumId="100">
    <w:nsid w:val="51088277"/>
    <w:multiLevelType w:val="hybridMultilevel"/>
    <w:lvl w:ilvl="0">
      <w:lvlJc w:val="left"/>
      <w:lvlText w:val="•"/>
      <w:numFmt w:val="bullet"/>
      <w:start w:val="1"/>
    </w:lvl>
  </w:abstractNum>
  <w:abstractNum w:abstractNumId="101">
    <w:nsid w:val="1CA0C5FA"/>
    <w:multiLevelType w:val="hybridMultilevel"/>
    <w:lvl w:ilvl="0">
      <w:lvlJc w:val="left"/>
      <w:lvlText w:val="o"/>
      <w:numFmt w:val="bullet"/>
      <w:start w:val="1"/>
    </w:lvl>
  </w:abstractNum>
  <w:abstractNum w:abstractNumId="102">
    <w:nsid w:val="53584BCB"/>
    <w:multiLevelType w:val="hybridMultilevel"/>
    <w:lvl w:ilvl="0">
      <w:lvlJc w:val="left"/>
      <w:lvlText w:val="o"/>
      <w:numFmt w:val="bullet"/>
      <w:start w:val="1"/>
    </w:lvl>
  </w:abstractNum>
  <w:abstractNum w:abstractNumId="103">
    <w:nsid w:val="415E286C"/>
    <w:multiLevelType w:val="hybridMultilevel"/>
    <w:lvl w:ilvl="0">
      <w:lvlJc w:val="left"/>
      <w:lvlText w:val="•"/>
      <w:numFmt w:val="bullet"/>
      <w:start w:val="1"/>
    </w:lvl>
    <w:lvl w:ilvl="1">
      <w:lvlJc w:val="left"/>
      <w:lvlText w:val="•"/>
      <w:numFmt w:val="bullet"/>
      <w:start w:val="1"/>
    </w:lvl>
  </w:abstractNum>
  <w:abstractNum w:abstractNumId="104">
    <w:nsid w:val="7C58FD05"/>
    <w:multiLevelType w:val="hybridMultilevel"/>
    <w:lvl w:ilvl="0">
      <w:lvlJc w:val="left"/>
      <w:lvlText w:val="•"/>
      <w:numFmt w:val="bullet"/>
      <w:start w:val="1"/>
    </w:lvl>
    <w:lvl w:ilvl="1">
      <w:lvlJc w:val="left"/>
      <w:lvlText w:val="•"/>
      <w:numFmt w:val="bullet"/>
      <w:start w:val="1"/>
    </w:lvl>
  </w:abstractNum>
  <w:abstractNum w:abstractNumId="105">
    <w:nsid w:val="23D86AAC"/>
    <w:multiLevelType w:val="hybridMultilevel"/>
    <w:lvl w:ilvl="0">
      <w:lvlJc w:val="left"/>
      <w:lvlText w:val="•"/>
      <w:numFmt w:val="bullet"/>
      <w:start w:val="1"/>
    </w:lvl>
  </w:abstractNum>
  <w:abstractNum w:abstractNumId="106">
    <w:nsid w:val="45E6D486"/>
    <w:multiLevelType w:val="hybridMultilevel"/>
    <w:lvl w:ilvl="0">
      <w:lvlJc w:val="left"/>
      <w:lvlText w:val="(%1)"/>
      <w:numFmt w:val="lowerLetter"/>
      <w:start w:val="1"/>
    </w:lvl>
  </w:abstractNum>
  <w:abstractNum w:abstractNumId="107">
    <w:nsid w:val="5C10FE21"/>
    <w:multiLevelType w:val="hybridMultilevel"/>
    <w:lvl w:ilvl="0">
      <w:lvlJc w:val="left"/>
      <w:lvlText w:val="%1."/>
      <w:numFmt w:val="decimal"/>
      <w:start w:val="5"/>
    </w:lvl>
  </w:abstractNum>
  <w:abstractNum w:abstractNumId="108">
    <w:nsid w:val="E7FFA2B"/>
    <w:multiLevelType w:val="hybridMultilevel"/>
    <w:lvl w:ilvl="0">
      <w:lvlJc w:val="left"/>
      <w:lvlText w:val="%1."/>
      <w:numFmt w:val="lowerLetter"/>
      <w:start w:val="3"/>
    </w:lvl>
  </w:abstractNum>
  <w:abstractNum w:abstractNumId="109">
    <w:nsid w:val="3C5991AA"/>
    <w:multiLevelType w:val="hybridMultilevel"/>
    <w:lvl w:ilvl="0">
      <w:lvlJc w:val="left"/>
      <w:lvlText w:val="(%1)"/>
      <w:numFmt w:val="lowerLetter"/>
      <w:start w:val="1"/>
    </w:lvl>
  </w:abstractNum>
  <w:abstractNum w:abstractNumId="110">
    <w:nsid w:val="4BD8591A"/>
    <w:multiLevelType w:val="hybridMultilevel"/>
    <w:lvl w:ilvl="0">
      <w:lvlJc w:val="left"/>
      <w:lvlText w:val="(%1)"/>
      <w:numFmt w:val="lowerLetter"/>
      <w:start w:val="2"/>
    </w:lvl>
  </w:abstractNum>
  <w:abstractNum w:abstractNumId="111">
    <w:nsid w:val="78DF6A55"/>
    <w:multiLevelType w:val="hybridMultilevel"/>
    <w:lvl w:ilvl="0">
      <w:lvlJc w:val="left"/>
      <w:lvlText w:val="%1."/>
      <w:numFmt w:val="decimal"/>
      <w:start w:val="9"/>
    </w:lvl>
  </w:abstractNum>
  <w:abstractNum w:abstractNumId="112">
    <w:nsid w:val="39B7AAA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13">
    <w:nsid w:val="2B0D8DBE"/>
    <w:multiLevelType w:val="hybridMultilevel"/>
    <w:lvl w:ilvl="0">
      <w:lvlJc w:val="left"/>
      <w:lvlText w:val="✓"/>
      <w:numFmt w:val="bullet"/>
      <w:start w:val="1"/>
    </w:lvl>
  </w:abstractNum>
  <w:abstractNum w:abstractNumId="114">
    <w:nsid w:val="6C80EC70"/>
    <w:multiLevelType w:val="hybridMultilevel"/>
    <w:lvl w:ilvl="0">
      <w:lvlJc w:val="left"/>
      <w:lvlText w:val="✓"/>
      <w:numFmt w:val="bullet"/>
      <w:start w:val="1"/>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jpe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151" Type="http://schemas.openxmlformats.org/officeDocument/2006/relationships/hyperlink" Target="https://www.sec.gov/Archives/edgar/data/1783183/000119312519277761/d795888dex31.htm" TargetMode="External"/><Relationship Id="rId152" Type="http://schemas.openxmlformats.org/officeDocument/2006/relationships/hyperlink" Target="https://www.sec.gov/Archives/edgar/data/1783183/000119312523156713/d487635dex31.htm" TargetMode="External"/><Relationship Id="rId153" Type="http://schemas.openxmlformats.org/officeDocument/2006/relationships/hyperlink" Target="https://www.sec.gov/ix?doc=/Archives/edgar/data/0001783183/000119312523296630/d602391d8k.htm" TargetMode="External"/><Relationship Id="rId154" Type="http://schemas.openxmlformats.org/officeDocument/2006/relationships/hyperlink" Target="https://www.sec.gov/Archives/edgar/data/1783183/000119312519267053/d63338dex41.htm" TargetMode="External"/><Relationship Id="rId155" Type="http://schemas.openxmlformats.org/officeDocument/2006/relationships/hyperlink" Target="https://www.sec.gov/Archives/edgar/data/1783183/000119312519258922/d63338dex43.htm" TargetMode="External"/><Relationship Id="rId156" Type="http://schemas.openxmlformats.org/officeDocument/2006/relationships/hyperlink" Target="https://www.sec.gov/Archives/edgar/data/1783183/000119312519258922/d63338dex44.htm" TargetMode="External"/><Relationship Id="rId157" Type="http://schemas.openxmlformats.org/officeDocument/2006/relationships/hyperlink" Target="https://www.sec.gov/Archives/edgar/data/1783183/000156459021055073/phat-ex102_212.htm" TargetMode="External"/><Relationship Id="rId158" Type="http://schemas.openxmlformats.org/officeDocument/2006/relationships/hyperlink" Target="https://www.sec.gov/Archives/edgar/data/1783183/000095017023020109/phat-ex4_5.htm" TargetMode="External"/><Relationship Id="rId159" Type="http://schemas.openxmlformats.org/officeDocument/2006/relationships/hyperlink" Target="https://www.sec.gov/Archives/edgar/data/1783183/000095017023020109/phat-ex4_6.htm" TargetMode="External"/><Relationship Id="rId160" Type="http://schemas.openxmlformats.org/officeDocument/2006/relationships/hyperlink" Target="https://www.sec.gov/Archives/edgar/data/1783183/000119312519267053/d63338dex45.htm" TargetMode="External"/><Relationship Id="rId161" Type="http://schemas.openxmlformats.org/officeDocument/2006/relationships/hyperlink" Target="https://www.sec.gov/Archives/edgar/data/1783183/000119312524202879/d81626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2025-08-07T06:12:22Z</dcterms:created>
  <dcterms:modified xsi:type="dcterms:W3CDTF">2025-08-07T06:12:22Z</dcterms:modified>
</cp:coreProperties>
</file>