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386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PHATHOM PHARMACEUTICALS,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tcPr>
          <w:p>
            <w:pPr>
              <w:jc w:val="right"/>
              <w:ind w:right="2330"/>
              <w:spacing w:after="0"/>
              <w:rPr>
                <w:sz w:val="20"/>
                <w:szCs w:val="20"/>
                <w:color w:val="auto"/>
              </w:rPr>
            </w:pPr>
            <w:r>
              <w:rPr>
                <w:rFonts w:ascii="Times New Roman" w:cs="Times New Roman" w:eastAsia="Times New Roman" w:hAnsi="Times New Roman"/>
                <w:sz w:val="14"/>
                <w:szCs w:val="14"/>
                <w:b w:val="1"/>
                <w:bCs w:val="1"/>
                <w:color w:val="auto"/>
              </w:rPr>
              <w:t>82-4151574</w:t>
            </w:r>
          </w:p>
        </w:tc>
        <w:tc>
          <w:tcPr>
            <w:tcW w:w="0" w:type="dxa"/>
            <w:vAlign w:val="bottom"/>
          </w:tcPr>
          <w:p>
            <w:pPr>
              <w:spacing w:after="0"/>
              <w:rPr>
                <w:sz w:val="1"/>
                <w:szCs w:val="1"/>
                <w:color w:val="auto"/>
              </w:rPr>
            </w:pPr>
          </w:p>
        </w:tc>
      </w:tr>
      <w:tr>
        <w:trPr>
          <w:trHeight w:val="148"/>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80" w:type="dxa"/>
            <w:vAlign w:val="bottom"/>
          </w:tcPr>
          <w:p>
            <w:pPr>
              <w:jc w:val="center"/>
              <w:ind w:right="215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tcPr>
          <w:p>
            <w:pPr>
              <w:jc w:val="center"/>
              <w:ind w:right="215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32"/>
        </w:trPr>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100 Campus Drive, Suite 102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4"/>
                <w:szCs w:val="14"/>
                <w:b w:val="1"/>
                <w:bCs w:val="1"/>
                <w:color w:val="auto"/>
              </w:rPr>
              <w:t>Florham Park, New Jersey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jc w:val="right"/>
              <w:ind w:right="2490"/>
              <w:spacing w:after="0"/>
              <w:rPr>
                <w:sz w:val="20"/>
                <w:szCs w:val="20"/>
                <w:color w:val="auto"/>
              </w:rPr>
            </w:pPr>
            <w:r>
              <w:rPr>
                <w:rFonts w:ascii="Times New Roman" w:cs="Times New Roman" w:eastAsia="Times New Roman" w:hAnsi="Times New Roman"/>
                <w:sz w:val="14"/>
                <w:szCs w:val="14"/>
                <w:b w:val="1"/>
                <w:bCs w:val="1"/>
                <w:color w:val="auto"/>
              </w:rPr>
              <w:t>07932</w:t>
            </w:r>
          </w:p>
        </w:tc>
        <w:tc>
          <w:tcPr>
            <w:tcW w:w="0" w:type="dxa"/>
            <w:vAlign w:val="bottom"/>
          </w:tcPr>
          <w:p>
            <w:pPr>
              <w:spacing w:after="0"/>
              <w:rPr>
                <w:sz w:val="1"/>
                <w:szCs w:val="1"/>
                <w:color w:val="auto"/>
              </w:rPr>
            </w:pPr>
          </w:p>
        </w:tc>
      </w:tr>
      <w:tr>
        <w:trPr>
          <w:trHeight w:val="178"/>
        </w:trPr>
        <w:tc>
          <w:tcPr>
            <w:tcW w:w="7400" w:type="dxa"/>
            <w:vAlign w:val="bottom"/>
            <w:gridSpan w:val="8"/>
          </w:tcPr>
          <w:p>
            <w:pPr>
              <w:jc w:val="center"/>
              <w:ind w:right="18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5"/>
                <w:szCs w:val="15"/>
                <w:color w:val="auto"/>
              </w:rPr>
            </w:pPr>
          </w:p>
        </w:tc>
        <w:tc>
          <w:tcPr>
            <w:tcW w:w="3280" w:type="dxa"/>
            <w:vAlign w:val="bottom"/>
          </w:tcPr>
          <w:p>
            <w:pPr>
              <w:jc w:val="center"/>
              <w:ind w:right="215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20"/>
        </w:trPr>
        <w:tc>
          <w:tcPr>
            <w:tcW w:w="7960" w:type="dxa"/>
            <w:vAlign w:val="bottom"/>
            <w:gridSpan w:val="9"/>
          </w:tcPr>
          <w:p>
            <w:pPr>
              <w:jc w:val="center"/>
              <w:ind w:left="321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(877) 742-8466</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6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80" w:type="dxa"/>
            <w:vAlign w:val="bottom"/>
          </w:tcPr>
          <w:p>
            <w:pPr>
              <w:jc w:val="center"/>
              <w:ind w:left="6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3680" w:type="dxa"/>
            <w:vAlign w:val="bottom"/>
            <w:tcBorders>
              <w:top w:val="single" w:sz="8" w:color="auto"/>
            </w:tcBorders>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PHAT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4280" w:type="dxa"/>
            <w:vAlign w:val="bottom"/>
            <w:gridSpan w:val="8"/>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500" w:type="dxa"/>
            <w:vAlign w:val="bottom"/>
            <w:gridSpan w:val="3"/>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660" w:type="dxa"/>
            <w:vAlign w:val="bottom"/>
            <w:gridSpan w:val="3"/>
          </w:tcPr>
          <w:p>
            <w:pPr>
              <w:spacing w:after="0"/>
              <w:rPr>
                <w:sz w:val="2"/>
                <w:szCs w:val="2"/>
                <w:color w:val="auto"/>
              </w:rPr>
            </w:pPr>
          </w:p>
        </w:tc>
        <w:tc>
          <w:tcPr>
            <w:tcW w:w="5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8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0"/>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jc w:val="both"/>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320" w:firstLine="545"/>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ind w:left="520"/>
        <w:spacing w:after="0" w:line="161" w:lineRule="exact"/>
        <w:tabs>
          <w:tab w:leader="none" w:pos="70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80" w:firstLine="509"/>
        <w:spacing w:after="0" w:line="245" w:lineRule="auto"/>
        <w:rPr>
          <w:sz w:val="20"/>
          <w:szCs w:val="20"/>
          <w:color w:val="auto"/>
        </w:rPr>
      </w:pPr>
      <w:r>
        <w:rPr>
          <w:rFonts w:ascii="Times New Roman" w:cs="Times New Roman" w:eastAsia="Times New Roman" w:hAnsi="Times New Roman"/>
          <w:sz w:val="14"/>
          <w:szCs w:val="14"/>
          <w:color w:val="auto"/>
        </w:rPr>
        <w:t>As of June 30, 2023, the aggregate market value of the registrant’s common stock held by non-affiliates of the registrant was approximately $526.0 million, based on the closing price of the registrant’s common stock on the Nasdaq Global Select Market of $14.32 per share.</w:t>
      </w:r>
    </w:p>
    <w:p>
      <w:pPr>
        <w:ind w:left="520"/>
        <w:spacing w:after="0"/>
        <w:rPr>
          <w:sz w:val="20"/>
          <w:szCs w:val="20"/>
          <w:color w:val="auto"/>
        </w:rPr>
      </w:pPr>
      <w:r>
        <w:rPr>
          <w:rFonts w:ascii="Times New Roman" w:cs="Times New Roman" w:eastAsia="Times New Roman" w:hAnsi="Times New Roman"/>
          <w:sz w:val="14"/>
          <w:szCs w:val="14"/>
          <w:color w:val="auto"/>
        </w:rPr>
        <w:t>As of March 4, 2024, the registrant had 58,477,351 shares of common stock ($0.0001 par value) outstanding.</w:t>
      </w:r>
    </w:p>
    <w:p>
      <w:pPr>
        <w:spacing w:after="0" w:line="1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620" w:firstLine="509"/>
        <w:spacing w:after="0" w:line="261"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for the 2024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gridSpan w:val="11"/>
          </w:tcPr>
          <w:p>
            <w:pPr>
              <w:jc w:val="center"/>
              <w:ind w:right="2460"/>
              <w:spacing w:after="0"/>
              <w:rPr>
                <w:sz w:val="20"/>
                <w:szCs w:val="20"/>
                <w:color w:val="auto"/>
              </w:rPr>
            </w:pPr>
            <w:r>
              <w:rPr>
                <w:rFonts w:ascii="Calibri" w:cs="Calibri" w:eastAsia="Calibri" w:hAnsi="Calibri"/>
                <w:sz w:val="18"/>
                <w:szCs w:val="18"/>
                <w:b w:val="1"/>
                <w:bCs w:val="1"/>
                <w:color w:val="auto"/>
                <w:w w:val="96"/>
              </w:rPr>
              <w:t>PHATHOM PHARMACEUTICALS, INC.</w:t>
            </w:r>
          </w:p>
        </w:tc>
        <w:tc>
          <w:tcPr>
            <w:tcW w:w="1840" w:type="dxa"/>
            <w:vAlign w:val="bottom"/>
          </w:tcPr>
          <w:p>
            <w:pPr>
              <w:spacing w:after="0"/>
              <w:rPr>
                <w:sz w:val="19"/>
                <w:szCs w:val="19"/>
                <w:color w:val="auto"/>
              </w:rPr>
            </w:pPr>
          </w:p>
        </w:tc>
      </w:tr>
      <w:tr>
        <w:trPr>
          <w:trHeight w:val="391"/>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11"/>
          </w:tcPr>
          <w:p>
            <w:pPr>
              <w:jc w:val="center"/>
              <w:ind w:right="2440"/>
              <w:spacing w:after="0"/>
              <w:rPr>
                <w:sz w:val="20"/>
                <w:szCs w:val="20"/>
                <w:color w:val="auto"/>
              </w:rPr>
            </w:pPr>
            <w:r>
              <w:rPr>
                <w:rFonts w:ascii="Calibri" w:cs="Calibri" w:eastAsia="Calibri" w:hAnsi="Calibri"/>
                <w:sz w:val="18"/>
                <w:szCs w:val="18"/>
                <w:b w:val="1"/>
                <w:bCs w:val="1"/>
                <w:color w:val="auto"/>
                <w:w w:val="96"/>
              </w:rPr>
              <w:t>TABLE OF CONTENTS</w:t>
            </w:r>
          </w:p>
        </w:tc>
        <w:tc>
          <w:tcPr>
            <w:tcW w:w="1840" w:type="dxa"/>
            <w:vAlign w:val="bottom"/>
          </w:tcPr>
          <w:p>
            <w:pPr>
              <w:spacing w:after="0"/>
              <w:rPr>
                <w:sz w:val="24"/>
                <w:szCs w:val="24"/>
                <w:color w:val="auto"/>
              </w:rPr>
            </w:pPr>
          </w:p>
        </w:tc>
      </w:tr>
      <w:tr>
        <w:trPr>
          <w:trHeight w:val="405"/>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9"/>
          </w:tcPr>
          <w:p>
            <w:pPr>
              <w:jc w:val="center"/>
              <w:ind w:right="3260"/>
              <w:spacing w:after="0"/>
              <w:rPr>
                <w:sz w:val="20"/>
                <w:szCs w:val="20"/>
                <w:color w:val="auto"/>
              </w:rPr>
            </w:pPr>
            <w:r>
              <w:rPr>
                <w:rFonts w:ascii="Calibri" w:cs="Calibri" w:eastAsia="Calibri" w:hAnsi="Calibri"/>
                <w:sz w:val="18"/>
                <w:szCs w:val="18"/>
                <w:b w:val="1"/>
                <w:bCs w:val="1"/>
                <w:color w:val="auto"/>
                <w:w w:val="97"/>
              </w:rPr>
              <w:t>FORM 10-K</w:t>
            </w:r>
          </w:p>
        </w:tc>
        <w:tc>
          <w:tcPr>
            <w:tcW w:w="18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60" w:type="dxa"/>
            <w:vAlign w:val="bottom"/>
            <w:gridSpan w:val="12"/>
          </w:tcPr>
          <w:p>
            <w:pPr>
              <w:jc w:val="center"/>
              <w:ind w:right="2220"/>
              <w:spacing w:after="0" w:line="216" w:lineRule="exact"/>
              <w:rPr>
                <w:sz w:val="20"/>
                <w:szCs w:val="20"/>
                <w:color w:val="auto"/>
              </w:rPr>
            </w:pPr>
            <w:r>
              <w:rPr>
                <w:rFonts w:ascii="Calibri" w:cs="Calibri" w:eastAsia="Calibri" w:hAnsi="Calibri"/>
                <w:sz w:val="18"/>
                <w:szCs w:val="18"/>
                <w:b w:val="1"/>
                <w:bCs w:val="1"/>
                <w:color w:val="auto"/>
                <w:w w:val="97"/>
              </w:rPr>
              <w:t>For the Year Ended December 31, 2023</w:t>
            </w:r>
          </w:p>
        </w:tc>
        <w:tc>
          <w:tcPr>
            <w:tcW w:w="1840" w:type="dxa"/>
            <w:vAlign w:val="bottom"/>
          </w:tcPr>
          <w:p>
            <w:pPr>
              <w:spacing w:after="0"/>
              <w:rPr>
                <w:sz w:val="18"/>
                <w:szCs w:val="18"/>
                <w:color w:val="auto"/>
              </w:rPr>
            </w:pPr>
          </w:p>
        </w:tc>
      </w:tr>
      <w:tr>
        <w:trPr>
          <w:trHeight w:val="391"/>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9"/>
          </w:tcPr>
          <w:p>
            <w:pPr>
              <w:jc w:val="center"/>
              <w:ind w:right="3220"/>
              <w:spacing w:after="0"/>
              <w:rPr>
                <w:sz w:val="20"/>
                <w:szCs w:val="20"/>
                <w:color w:val="auto"/>
              </w:rPr>
            </w:pPr>
            <w:r>
              <w:rPr>
                <w:rFonts w:ascii="Calibri" w:cs="Calibri" w:eastAsia="Calibri" w:hAnsi="Calibri"/>
                <w:sz w:val="18"/>
                <w:szCs w:val="18"/>
                <w:b w:val="1"/>
                <w:bCs w:val="1"/>
                <w:color w:val="auto"/>
                <w:w w:val="98"/>
              </w:rPr>
              <w:t>INDEX</w:t>
            </w:r>
          </w:p>
        </w:tc>
        <w:tc>
          <w:tcPr>
            <w:tcW w:w="1840" w:type="dxa"/>
            <w:vAlign w:val="bottom"/>
          </w:tcPr>
          <w:p>
            <w:pPr>
              <w:spacing w:after="0"/>
              <w:rPr>
                <w:sz w:val="24"/>
                <w:szCs w:val="24"/>
                <w:color w:val="auto"/>
              </w:rPr>
            </w:pPr>
          </w:p>
        </w:tc>
      </w:tr>
      <w:tr>
        <w:trPr>
          <w:trHeight w:val="469"/>
        </w:trPr>
        <w:tc>
          <w:tcPr>
            <w:tcW w:w="104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Calibri" w:cs="Calibri" w:eastAsia="Calibri" w:hAnsi="Calibri"/>
                <w:sz w:val="18"/>
                <w:szCs w:val="18"/>
                <w:b w:val="1"/>
                <w:bCs w:val="1"/>
                <w:color w:val="0000FF"/>
                <w:w w:val="90"/>
              </w:rPr>
              <w:t>PART I</w:t>
            </w:r>
          </w:p>
        </w:tc>
        <w:tc>
          <w:tcPr>
            <w:tcW w:w="20" w:type="dxa"/>
            <w:vAlign w:val="bottom"/>
            <w:tcBorders>
              <w:bottom w:val="single" w:sz="8" w:color="0000EE"/>
            </w:tcBorders>
          </w:tcPr>
          <w:p>
            <w:pPr>
              <w:spacing w:after="0"/>
              <w:rPr>
                <w:sz w:val="24"/>
                <w:szCs w:val="24"/>
                <w:color w:val="auto"/>
              </w:rPr>
            </w:pPr>
          </w:p>
        </w:tc>
        <w:tc>
          <w:tcPr>
            <w:tcW w:w="7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Business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1A.</w:t>
            </w:r>
          </w:p>
        </w:tc>
        <w:tc>
          <w:tcPr>
            <w:tcW w:w="840" w:type="dxa"/>
            <w:vAlign w:val="bottom"/>
            <w:tcBorders>
              <w:bottom w:val="single" w:sz="8" w:color="0000FF"/>
            </w:tcBorders>
            <w:gridSpan w:val="5"/>
          </w:tcPr>
          <w:p>
            <w:pPr>
              <w:spacing w:after="0"/>
              <w:rPr>
                <w:sz w:val="20"/>
                <w:szCs w:val="20"/>
                <w:color w:val="auto"/>
              </w:rPr>
            </w:pPr>
            <w:r>
              <w:rPr>
                <w:rFonts w:ascii="Calibri" w:cs="Calibri" w:eastAsia="Calibri" w:hAnsi="Calibri"/>
                <w:sz w:val="18"/>
                <w:szCs w:val="18"/>
                <w:color w:val="0000FF"/>
                <w:w w:val="94"/>
              </w:rPr>
              <w:t>Risk Factors</w:t>
            </w:r>
          </w:p>
        </w:tc>
        <w:tc>
          <w:tcPr>
            <w:tcW w:w="6280" w:type="dxa"/>
            <w:vAlign w:val="bottom"/>
            <w:gridSpan w:val="19"/>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53</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1B.</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Unresolved Staf Comments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109</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1C.</w:t>
            </w:r>
          </w:p>
        </w:tc>
        <w:tc>
          <w:tcPr>
            <w:tcW w:w="1980" w:type="dxa"/>
            <w:vAlign w:val="bottom"/>
            <w:tcBorders>
              <w:top w:val="single" w:sz="8" w:color="0000FF"/>
            </w:tcBorders>
            <w:gridSpan w:val="13"/>
          </w:tcPr>
          <w:p>
            <w:pPr>
              <w:spacing w:after="0"/>
              <w:rPr>
                <w:sz w:val="20"/>
                <w:szCs w:val="20"/>
                <w:color w:val="auto"/>
              </w:rPr>
            </w:pPr>
            <w:r>
              <w:rPr>
                <w:rFonts w:ascii="Calibri" w:cs="Calibri" w:eastAsia="Calibri" w:hAnsi="Calibri"/>
                <w:sz w:val="18"/>
                <w:szCs w:val="18"/>
                <w:color w:val="0000FF"/>
              </w:rPr>
              <w:t>Cybersecurity</w:t>
            </w:r>
          </w:p>
        </w:tc>
        <w:tc>
          <w:tcPr>
            <w:tcW w:w="5140" w:type="dxa"/>
            <w:vAlign w:val="bottom"/>
            <w:gridSpan w:val="11"/>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109</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2.</w:t>
            </w:r>
          </w:p>
        </w:tc>
        <w:tc>
          <w:tcPr>
            <w:tcW w:w="740" w:type="dxa"/>
            <w:vAlign w:val="bottom"/>
            <w:tcBorders>
              <w:top w:val="single" w:sz="8" w:color="0000FF"/>
              <w:bottom w:val="single" w:sz="8" w:color="0000FF"/>
            </w:tcBorders>
            <w:gridSpan w:val="3"/>
          </w:tcPr>
          <w:p>
            <w:pPr>
              <w:spacing w:after="0"/>
              <w:rPr>
                <w:sz w:val="20"/>
                <w:szCs w:val="20"/>
                <w:color w:val="auto"/>
              </w:rPr>
            </w:pPr>
            <w:r>
              <w:rPr>
                <w:rFonts w:ascii="Calibri" w:cs="Calibri" w:eastAsia="Calibri" w:hAnsi="Calibri"/>
                <w:sz w:val="18"/>
                <w:szCs w:val="18"/>
                <w:color w:val="0000FF"/>
              </w:rPr>
              <w:t>Propertes</w:t>
            </w:r>
          </w:p>
        </w:tc>
        <w:tc>
          <w:tcPr>
            <w:tcW w:w="40" w:type="dxa"/>
            <w:vAlign w:val="bottom"/>
            <w:tcBorders>
              <w:top w:val="single" w:sz="8" w:color="0000FF"/>
              <w:bottom w:val="single" w:sz="8" w:color="0000EE"/>
            </w:tcBorders>
          </w:tcPr>
          <w:p>
            <w:pPr>
              <w:spacing w:after="0"/>
              <w:rPr>
                <w:sz w:val="19"/>
                <w:szCs w:val="19"/>
                <w:color w:val="auto"/>
              </w:rPr>
            </w:pPr>
          </w:p>
        </w:tc>
        <w:tc>
          <w:tcPr>
            <w:tcW w:w="180" w:type="dxa"/>
            <w:vAlign w:val="bottom"/>
            <w:tcBorders>
              <w:top w:val="single" w:sz="8" w:color="0000FF"/>
            </w:tcBorders>
            <w:gridSpan w:val="2"/>
          </w:tcPr>
          <w:p>
            <w:pPr>
              <w:spacing w:after="0"/>
              <w:rPr>
                <w:sz w:val="19"/>
                <w:szCs w:val="19"/>
                <w:color w:val="auto"/>
              </w:rPr>
            </w:pPr>
          </w:p>
        </w:tc>
        <w:tc>
          <w:tcPr>
            <w:tcW w:w="6160" w:type="dxa"/>
            <w:vAlign w:val="bottom"/>
            <w:gridSpan w:val="18"/>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110</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3.</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Legal Proceedings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110</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4.</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Mine Safety Disclosures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110</w:t>
            </w:r>
          </w:p>
        </w:tc>
      </w:tr>
      <w:tr>
        <w:trPr>
          <w:trHeight w:val="466"/>
        </w:trPr>
        <w:tc>
          <w:tcPr>
            <w:tcW w:w="104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b w:val="1"/>
                <w:bCs w:val="1"/>
                <w:color w:val="0000FF"/>
                <w:w w:val="90"/>
              </w:rPr>
              <w:t>PART II</w:t>
            </w:r>
          </w:p>
        </w:tc>
        <w:tc>
          <w:tcPr>
            <w:tcW w:w="740" w:type="dxa"/>
            <w:vAlign w:val="bottom"/>
            <w:gridSpan w:val="3"/>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5.</w:t>
            </w:r>
          </w:p>
        </w:tc>
        <w:tc>
          <w:tcPr>
            <w:tcW w:w="7120" w:type="dxa"/>
            <w:vAlign w:val="bottom"/>
            <w:tcBorders>
              <w:bottom w:val="single" w:sz="8" w:color="0000FF"/>
            </w:tcBorders>
            <w:gridSpan w:val="24"/>
          </w:tcPr>
          <w:p>
            <w:pPr>
              <w:spacing w:after="0"/>
              <w:rPr>
                <w:sz w:val="20"/>
                <w:szCs w:val="20"/>
                <w:color w:val="auto"/>
              </w:rPr>
            </w:pPr>
            <w:r>
              <w:rPr>
                <w:rFonts w:ascii="Calibri" w:cs="Calibri" w:eastAsia="Calibri" w:hAnsi="Calibri"/>
                <w:sz w:val="18"/>
                <w:szCs w:val="18"/>
                <w:color w:val="0000FF"/>
                <w:w w:val="97"/>
              </w:rPr>
              <w:t>Market for Registrant’s Common Equity, Related Stockholder Maters and Issuer Purchases of Equity</w:t>
            </w:r>
          </w:p>
        </w:tc>
        <w:tc>
          <w:tcPr>
            <w:tcW w:w="1840" w:type="dxa"/>
            <w:vAlign w:val="bottom"/>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120" w:type="dxa"/>
            <w:vAlign w:val="bottom"/>
            <w:gridSpan w:val="24"/>
          </w:tcPr>
          <w:p>
            <w:pPr>
              <w:spacing w:after="0" w:line="196" w:lineRule="exact"/>
              <w:rPr>
                <w:sz w:val="20"/>
                <w:szCs w:val="20"/>
                <w:color w:val="auto"/>
              </w:rPr>
            </w:pPr>
            <w:r>
              <w:rPr>
                <w:rFonts w:ascii="Calibri" w:cs="Calibri" w:eastAsia="Calibri" w:hAnsi="Calibri"/>
                <w:sz w:val="18"/>
                <w:szCs w:val="18"/>
                <w:color w:val="0000FF"/>
              </w:rPr>
              <w:t>Securites</w:t>
            </w:r>
          </w:p>
        </w:tc>
        <w:tc>
          <w:tcPr>
            <w:tcW w:w="184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111</w:t>
            </w:r>
          </w:p>
        </w:tc>
      </w:tr>
      <w:tr>
        <w:trPr>
          <w:trHeight w:val="20"/>
        </w:trPr>
        <w:tc>
          <w:tcPr>
            <w:tcW w:w="10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6.</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[Reserved]</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111</w:t>
            </w:r>
          </w:p>
        </w:tc>
      </w:tr>
      <w:tr>
        <w:trPr>
          <w:trHeight w:val="20"/>
        </w:trPr>
        <w:tc>
          <w:tcPr>
            <w:tcW w:w="10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7.</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112</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7A.</w:t>
            </w:r>
          </w:p>
        </w:tc>
        <w:tc>
          <w:tcPr>
            <w:tcW w:w="6220" w:type="dxa"/>
            <w:vAlign w:val="bottom"/>
            <w:tcBorders>
              <w:top w:val="single" w:sz="8" w:color="0000FF"/>
            </w:tcBorders>
            <w:gridSpan w:val="22"/>
          </w:tcPr>
          <w:p>
            <w:pPr>
              <w:spacing w:after="0"/>
              <w:rPr>
                <w:sz w:val="20"/>
                <w:szCs w:val="20"/>
                <w:color w:val="auto"/>
              </w:rPr>
            </w:pPr>
            <w:r>
              <w:rPr>
                <w:rFonts w:ascii="Calibri" w:cs="Calibri" w:eastAsia="Calibri" w:hAnsi="Calibri"/>
                <w:sz w:val="18"/>
                <w:szCs w:val="18"/>
                <w:color w:val="0000FF"/>
              </w:rPr>
              <w:t>Quanttatve and Qualitatve Disclosures About Market Risk</w:t>
            </w:r>
          </w:p>
        </w:tc>
        <w:tc>
          <w:tcPr>
            <w:tcW w:w="900" w:type="dxa"/>
            <w:vAlign w:val="bottom"/>
            <w:gridSpan w:val="2"/>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125</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8.</w:t>
            </w:r>
          </w:p>
        </w:tc>
        <w:tc>
          <w:tcPr>
            <w:tcW w:w="3280" w:type="dxa"/>
            <w:vAlign w:val="bottom"/>
            <w:tcBorders>
              <w:top w:val="single" w:sz="8" w:color="0000FF"/>
              <w:bottom w:val="single" w:sz="8" w:color="0000FF"/>
            </w:tcBorders>
            <w:gridSpan w:val="16"/>
          </w:tcPr>
          <w:p>
            <w:pPr>
              <w:spacing w:after="0"/>
              <w:rPr>
                <w:sz w:val="20"/>
                <w:szCs w:val="20"/>
                <w:color w:val="auto"/>
              </w:rPr>
            </w:pPr>
            <w:r>
              <w:rPr>
                <w:rFonts w:ascii="Calibri" w:cs="Calibri" w:eastAsia="Calibri" w:hAnsi="Calibri"/>
                <w:sz w:val="18"/>
                <w:szCs w:val="18"/>
                <w:color w:val="0000FF"/>
                <w:w w:val="96"/>
              </w:rPr>
              <w:t>Financial Statements and Supplementary Data</w:t>
            </w:r>
          </w:p>
        </w:tc>
        <w:tc>
          <w:tcPr>
            <w:tcW w:w="20" w:type="dxa"/>
            <w:vAlign w:val="bottom"/>
            <w:tcBorders>
              <w:top w:val="single" w:sz="8" w:color="0000FF"/>
              <w:bottom w:val="single" w:sz="8" w:color="0000EE"/>
            </w:tcBorders>
          </w:tcPr>
          <w:p>
            <w:pPr>
              <w:spacing w:after="0"/>
              <w:rPr>
                <w:sz w:val="19"/>
                <w:szCs w:val="19"/>
                <w:color w:val="auto"/>
              </w:rPr>
            </w:pPr>
          </w:p>
        </w:tc>
        <w:tc>
          <w:tcPr>
            <w:tcW w:w="900" w:type="dxa"/>
            <w:vAlign w:val="bottom"/>
            <w:tcBorders>
              <w:top w:val="single" w:sz="8" w:color="0000FF"/>
            </w:tcBorders>
            <w:gridSpan w:val="2"/>
          </w:tcPr>
          <w:p>
            <w:pPr>
              <w:spacing w:after="0"/>
              <w:rPr>
                <w:sz w:val="19"/>
                <w:szCs w:val="19"/>
                <w:color w:val="auto"/>
              </w:rPr>
            </w:pPr>
          </w:p>
        </w:tc>
        <w:tc>
          <w:tcPr>
            <w:tcW w:w="2920" w:type="dxa"/>
            <w:vAlign w:val="bottom"/>
            <w:gridSpan w:val="5"/>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125</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125</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9A.</w:t>
            </w:r>
          </w:p>
        </w:tc>
        <w:tc>
          <w:tcPr>
            <w:tcW w:w="1760" w:type="dxa"/>
            <w:vAlign w:val="bottom"/>
            <w:tcBorders>
              <w:top w:val="single" w:sz="8" w:color="0000FF"/>
              <w:bottom w:val="single" w:sz="8" w:color="0000FF"/>
            </w:tcBorders>
            <w:gridSpan w:val="12"/>
          </w:tcPr>
          <w:p>
            <w:pPr>
              <w:spacing w:after="0"/>
              <w:rPr>
                <w:sz w:val="20"/>
                <w:szCs w:val="20"/>
                <w:color w:val="auto"/>
              </w:rPr>
            </w:pPr>
            <w:r>
              <w:rPr>
                <w:rFonts w:ascii="Calibri" w:cs="Calibri" w:eastAsia="Calibri" w:hAnsi="Calibri"/>
                <w:sz w:val="18"/>
                <w:szCs w:val="18"/>
                <w:color w:val="0000FF"/>
                <w:w w:val="95"/>
              </w:rPr>
              <w:t>Controls and Procedures</w:t>
            </w:r>
          </w:p>
        </w:tc>
        <w:tc>
          <w:tcPr>
            <w:tcW w:w="4500" w:type="dxa"/>
            <w:vAlign w:val="bottom"/>
            <w:tcBorders>
              <w:top w:val="single" w:sz="8" w:color="0000FF"/>
            </w:tcBorders>
            <w:gridSpan w:val="11"/>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126</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9B.</w:t>
            </w:r>
          </w:p>
        </w:tc>
        <w:tc>
          <w:tcPr>
            <w:tcW w:w="1300" w:type="dxa"/>
            <w:vAlign w:val="bottom"/>
            <w:tcBorders>
              <w:bottom w:val="single" w:sz="8" w:color="0000FF"/>
            </w:tcBorders>
            <w:gridSpan w:val="8"/>
          </w:tcPr>
          <w:p>
            <w:pPr>
              <w:spacing w:after="0"/>
              <w:rPr>
                <w:sz w:val="20"/>
                <w:szCs w:val="20"/>
                <w:color w:val="auto"/>
              </w:rPr>
            </w:pPr>
            <w:r>
              <w:rPr>
                <w:rFonts w:ascii="Calibri" w:cs="Calibri" w:eastAsia="Calibri" w:hAnsi="Calibri"/>
                <w:sz w:val="18"/>
                <w:szCs w:val="18"/>
                <w:color w:val="0000FF"/>
                <w:w w:val="98"/>
              </w:rPr>
              <w:t>Other Informaton</w:t>
            </w:r>
          </w:p>
        </w:tc>
        <w:tc>
          <w:tcPr>
            <w:tcW w:w="20" w:type="dxa"/>
            <w:vAlign w:val="bottom"/>
            <w:tcBorders>
              <w:bottom w:val="single" w:sz="8" w:color="0000EE"/>
            </w:tcBorders>
          </w:tcPr>
          <w:p>
            <w:pPr>
              <w:spacing w:after="0"/>
              <w:rPr>
                <w:sz w:val="19"/>
                <w:szCs w:val="19"/>
                <w:color w:val="auto"/>
              </w:rPr>
            </w:pPr>
          </w:p>
        </w:tc>
        <w:tc>
          <w:tcPr>
            <w:tcW w:w="5800" w:type="dxa"/>
            <w:vAlign w:val="bottom"/>
            <w:gridSpan w:val="15"/>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126</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9C.</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Disclosure Regarding Foreign Jurisdictons that Prevent Inspectons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231F20"/>
              </w:rPr>
              <w:t>126</w:t>
            </w:r>
          </w:p>
        </w:tc>
      </w:tr>
      <w:tr>
        <w:trPr>
          <w:trHeight w:val="466"/>
        </w:trPr>
        <w:tc>
          <w:tcPr>
            <w:tcW w:w="10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b w:val="1"/>
                <w:bCs w:val="1"/>
                <w:color w:val="0000FF"/>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10.</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Directors, Executve Ofcers and Corporate Governance</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127</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11.</w:t>
            </w:r>
          </w:p>
        </w:tc>
        <w:tc>
          <w:tcPr>
            <w:tcW w:w="3940" w:type="dxa"/>
            <w:vAlign w:val="bottom"/>
            <w:tcBorders>
              <w:top w:val="single" w:sz="8" w:color="0000FF"/>
            </w:tcBorders>
            <w:gridSpan w:val="18"/>
          </w:tcPr>
          <w:p>
            <w:pPr>
              <w:spacing w:after="0"/>
              <w:rPr>
                <w:sz w:val="20"/>
                <w:szCs w:val="20"/>
                <w:color w:val="auto"/>
              </w:rPr>
            </w:pPr>
            <w:r>
              <w:rPr>
                <w:rFonts w:ascii="Calibri" w:cs="Calibri" w:eastAsia="Calibri" w:hAnsi="Calibri"/>
                <w:sz w:val="18"/>
                <w:szCs w:val="18"/>
                <w:color w:val="0000FF"/>
              </w:rPr>
              <w:t>Executve Compensaton</w:t>
            </w:r>
          </w:p>
        </w:tc>
        <w:tc>
          <w:tcPr>
            <w:tcW w:w="3180" w:type="dxa"/>
            <w:vAlign w:val="bottom"/>
            <w:gridSpan w:val="6"/>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127</w:t>
            </w:r>
          </w:p>
        </w:tc>
      </w:tr>
      <w:tr>
        <w:trPr>
          <w:trHeight w:val="20"/>
        </w:trPr>
        <w:tc>
          <w:tcPr>
            <w:tcW w:w="10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12.</w:t>
            </w:r>
          </w:p>
        </w:tc>
        <w:tc>
          <w:tcPr>
            <w:tcW w:w="7120" w:type="dxa"/>
            <w:vAlign w:val="bottom"/>
            <w:tcBorders>
              <w:bottom w:val="single" w:sz="8" w:color="0000FF"/>
            </w:tcBorders>
            <w:gridSpan w:val="24"/>
          </w:tcPr>
          <w:p>
            <w:pPr>
              <w:spacing w:after="0"/>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127</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13.</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Certain Relatonships and Related Transactons, and Director Independence</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127</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14.</w:t>
            </w:r>
          </w:p>
        </w:tc>
        <w:tc>
          <w:tcPr>
            <w:tcW w:w="5340" w:type="dxa"/>
            <w:vAlign w:val="bottom"/>
            <w:tcBorders>
              <w:top w:val="single" w:sz="8" w:color="0000FF"/>
            </w:tcBorders>
            <w:gridSpan w:val="21"/>
          </w:tcPr>
          <w:p>
            <w:pPr>
              <w:spacing w:after="0"/>
              <w:rPr>
                <w:sz w:val="20"/>
                <w:szCs w:val="20"/>
                <w:color w:val="auto"/>
              </w:rPr>
            </w:pPr>
            <w:r>
              <w:rPr>
                <w:rFonts w:ascii="Calibri" w:cs="Calibri" w:eastAsia="Calibri" w:hAnsi="Calibri"/>
                <w:sz w:val="18"/>
                <w:szCs w:val="18"/>
                <w:color w:val="0000FF"/>
              </w:rPr>
              <w:t>Principal Accountant Fees and Services</w:t>
            </w:r>
          </w:p>
        </w:tc>
        <w:tc>
          <w:tcPr>
            <w:tcW w:w="1780" w:type="dxa"/>
            <w:vAlign w:val="bottom"/>
            <w:gridSpan w:val="3"/>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127</w:t>
            </w:r>
          </w:p>
        </w:tc>
      </w:tr>
      <w:tr>
        <w:trPr>
          <w:trHeight w:val="466"/>
        </w:trPr>
        <w:tc>
          <w:tcPr>
            <w:tcW w:w="1040" w:type="dxa"/>
            <w:vAlign w:val="bottom"/>
          </w:tcPr>
          <w:p>
            <w:pPr>
              <w:spacing w:after="0"/>
              <w:rPr>
                <w:sz w:val="24"/>
                <w:szCs w:val="24"/>
                <w:color w:val="auto"/>
              </w:rPr>
            </w:pPr>
          </w:p>
        </w:tc>
        <w:tc>
          <w:tcPr>
            <w:tcW w:w="560" w:type="dxa"/>
            <w:vAlign w:val="bottom"/>
            <w:tcBorders>
              <w:bottom w:val="single" w:sz="8" w:color="0000FF"/>
            </w:tcBorders>
            <w:gridSpan w:val="4"/>
          </w:tcPr>
          <w:p>
            <w:pPr>
              <w:spacing w:after="0"/>
              <w:rPr>
                <w:sz w:val="20"/>
                <w:szCs w:val="20"/>
                <w:color w:val="auto"/>
              </w:rPr>
            </w:pPr>
            <w:r>
              <w:rPr>
                <w:rFonts w:ascii="Calibri" w:cs="Calibri" w:eastAsia="Calibri" w:hAnsi="Calibri"/>
                <w:sz w:val="18"/>
                <w:szCs w:val="18"/>
                <w:b w:val="1"/>
                <w:bCs w:val="1"/>
                <w:color w:val="0000FF"/>
                <w:w w:val="87"/>
              </w:rPr>
              <w:t>PART IV</w:t>
            </w:r>
          </w:p>
        </w:tc>
        <w:tc>
          <w:tcPr>
            <w:tcW w:w="20" w:type="dxa"/>
            <w:vAlign w:val="bottom"/>
            <w:tcBorders>
              <w:bottom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15.</w:t>
            </w:r>
          </w:p>
        </w:tc>
        <w:tc>
          <w:tcPr>
            <w:tcW w:w="2800" w:type="dxa"/>
            <w:vAlign w:val="bottom"/>
            <w:tcBorders>
              <w:bottom w:val="single" w:sz="8" w:color="0000FF"/>
            </w:tcBorders>
            <w:gridSpan w:val="15"/>
          </w:tcPr>
          <w:p>
            <w:pPr>
              <w:spacing w:after="0"/>
              <w:rPr>
                <w:sz w:val="20"/>
                <w:szCs w:val="20"/>
                <w:color w:val="auto"/>
              </w:rPr>
            </w:pPr>
            <w:r>
              <w:rPr>
                <w:rFonts w:ascii="Calibri" w:cs="Calibri" w:eastAsia="Calibri" w:hAnsi="Calibri"/>
                <w:sz w:val="18"/>
                <w:szCs w:val="18"/>
                <w:color w:val="0000FF"/>
                <w:w w:val="96"/>
              </w:rPr>
              <w:t>Exhibits, Financial Statement Schedules</w:t>
            </w:r>
          </w:p>
        </w:tc>
        <w:tc>
          <w:tcPr>
            <w:tcW w:w="4320" w:type="dxa"/>
            <w:vAlign w:val="bottom"/>
            <w:gridSpan w:val="9"/>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128</w:t>
            </w:r>
          </w:p>
        </w:tc>
      </w:tr>
      <w:tr>
        <w:trPr>
          <w:trHeight w:val="223"/>
        </w:trPr>
        <w:tc>
          <w:tcPr>
            <w:tcW w:w="104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Calibri" w:cs="Calibri" w:eastAsia="Calibri" w:hAnsi="Calibri"/>
                <w:sz w:val="18"/>
                <w:szCs w:val="18"/>
                <w:color w:val="auto"/>
              </w:rPr>
              <w:t>Item 16.</w:t>
            </w:r>
          </w:p>
        </w:tc>
        <w:tc>
          <w:tcPr>
            <w:tcW w:w="7120" w:type="dxa"/>
            <w:vAlign w:val="bottom"/>
            <w:gridSpan w:val="24"/>
          </w:tcPr>
          <w:p>
            <w:pPr>
              <w:spacing w:after="0"/>
              <w:rPr>
                <w:sz w:val="20"/>
                <w:szCs w:val="20"/>
                <w:color w:val="auto"/>
              </w:rPr>
            </w:pPr>
            <w:r>
              <w:rPr>
                <w:rFonts w:ascii="Calibri" w:cs="Calibri" w:eastAsia="Calibri" w:hAnsi="Calibri"/>
                <w:sz w:val="18"/>
                <w:szCs w:val="18"/>
                <w:color w:val="0000FF"/>
              </w:rPr>
              <w:t>Form 10-K Summary</w:t>
            </w: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128</w:t>
            </w:r>
          </w:p>
        </w:tc>
      </w:tr>
      <w:tr>
        <w:trPr>
          <w:trHeight w:val="223"/>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8"/>
                <w:szCs w:val="18"/>
                <w:color w:val="0000FF"/>
                <w:w w:val="96"/>
              </w:rPr>
              <w:t>Signatures</w:t>
            </w:r>
          </w:p>
        </w:tc>
        <w:tc>
          <w:tcPr>
            <w:tcW w:w="660" w:type="dxa"/>
            <w:vAlign w:val="bottom"/>
            <w:tcBorders>
              <w:top w:val="single" w:sz="8" w:color="0000FF"/>
            </w:tcBorders>
            <w:gridSpan w:val="6"/>
          </w:tcPr>
          <w:p>
            <w:pPr>
              <w:spacing w:after="0"/>
              <w:rPr>
                <w:sz w:val="19"/>
                <w:szCs w:val="19"/>
                <w:color w:val="auto"/>
              </w:rPr>
            </w:pPr>
          </w:p>
        </w:tc>
        <w:tc>
          <w:tcPr>
            <w:tcW w:w="5680" w:type="dxa"/>
            <w:vAlign w:val="bottom"/>
            <w:gridSpan w:val="14"/>
          </w:tcPr>
          <w:p>
            <w:pPr>
              <w:spacing w:after="0"/>
              <w:rPr>
                <w:sz w:val="19"/>
                <w:szCs w:val="19"/>
                <w:color w:val="auto"/>
              </w:rPr>
            </w:pPr>
          </w:p>
        </w:tc>
        <w:tc>
          <w:tcPr>
            <w:tcW w:w="1840" w:type="dxa"/>
            <w:vAlign w:val="bottom"/>
          </w:tcPr>
          <w:p>
            <w:pPr>
              <w:jc w:val="right"/>
              <w:ind w:right="930"/>
              <w:spacing w:after="0"/>
              <w:rPr>
                <w:sz w:val="20"/>
                <w:szCs w:val="20"/>
                <w:color w:val="auto"/>
              </w:rPr>
            </w:pPr>
            <w:r>
              <w:rPr>
                <w:rFonts w:ascii="Calibri" w:cs="Calibri" w:eastAsia="Calibri" w:hAnsi="Calibri"/>
                <w:sz w:val="18"/>
                <w:szCs w:val="18"/>
                <w:color w:val="auto"/>
              </w:rPr>
              <w:t>169</w:t>
            </w:r>
          </w:p>
        </w:tc>
      </w:tr>
      <w:tr>
        <w:trPr>
          <w:trHeight w:val="911"/>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18"/>
          </w:tcPr>
          <w:p>
            <w:pPr>
              <w:jc w:val="center"/>
              <w:ind w:left="265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 w:name="page3"/>
    <w:bookmarkEnd w:id="2"/>
    <w:p>
      <w:pPr>
        <w:jc w:val="center"/>
        <w:ind w:right="20"/>
        <w:spacing w:after="0"/>
        <w:rPr>
          <w:sz w:val="20"/>
          <w:szCs w:val="20"/>
          <w:color w:val="auto"/>
        </w:rPr>
      </w:pPr>
      <w:r>
        <w:rPr>
          <w:rFonts w:ascii="Calibri" w:cs="Calibri" w:eastAsia="Calibri" w:hAnsi="Calibri"/>
          <w:sz w:val="18"/>
          <w:szCs w:val="18"/>
          <w:b w:val="1"/>
          <w:bCs w:val="1"/>
          <w:color w:val="auto"/>
        </w:rPr>
        <w:t>PART I</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annual report on Form 10-K contains forward-looking statements within the meaning of Secton 21E of the Securites Exchange Act of 1934, as amended, or the Exchange Act. All statements other than statements of historical facts contained in this annual report, including statements regarding our future results of operatons and fnancial positon, business strategy, research and development plans and costs,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involve known and unknown risks, uncertaintes and other important factors that may cause our actual results, performance or achievements to be materially diferent from any future results, performance or achievements expressed or implied by the forward-looking statements. This annual report on Form 10-K also contains estmates and other statstcal data made by independent partes and by us relatng to market size and growth and other data about our industry. This data involves a number of assumptons and limitatons, and you are cautoned not to give undue weight to such estmates. In additon, projectons, assumptons and estmates of our future performance and the future performance of the markets in which we operate are necessarily subject to a high degree of uncertainty and risk.</w:t>
      </w:r>
    </w:p>
    <w:p>
      <w:pPr>
        <w:spacing w:after="0" w:line="198" w:lineRule="exact"/>
        <w:rPr>
          <w:sz w:val="20"/>
          <w:szCs w:val="20"/>
          <w:color w:val="auto"/>
        </w:rPr>
      </w:pPr>
    </w:p>
    <w:p>
      <w:pPr>
        <w:ind w:right="100" w:firstLine="509"/>
        <w:spacing w:after="0" w:line="250" w:lineRule="auto"/>
        <w:rPr>
          <w:sz w:val="20"/>
          <w:szCs w:val="20"/>
          <w:color w:val="auto"/>
        </w:rPr>
      </w:pPr>
      <w:r>
        <w:rPr>
          <w:rFonts w:ascii="Calibri" w:cs="Calibri" w:eastAsia="Calibri" w:hAnsi="Calibri"/>
          <w:sz w:val="17"/>
          <w:szCs w:val="17"/>
          <w:color w:val="auto"/>
        </w:rPr>
        <w:t>In some cases, you can identfy forward-looking statements by terms such as “may,” “will,” “should,” “expect,” “plan,” “antcipate,” “could,” “intend,” “target,” “project,” “contemplates,” “believes,” “estmates,” “predicts,” “potental” or “contnue” or the negatve of these terms or other similar expressions. The forward-looking statements in this annual report are only predictons. We have based these forward-looking statements largely on our current expectatons and projectons about future events and fnancial trends that we believe may afect our fnancial conditon, operatng results, business strategy, and short term and long term business operatons and objectves. These forward-looking statements speak only as of the date of this annual report and are subject to a number of risks, uncertaintes and assumptons, including those described in Part I, Item 1A, “Risk Factors.” The events and circumstances refected in our forward-looking statements may not be achieved or occur and actual results could difer materially from those projected in the forward-looking statements. Moreover, we operate in an evolving environment. New risk factors and uncertaintes may emerge from tme to tme, and it is not possible for management to predict all risk factors and uncertaintes. Except as required by applicable law, we do not plan to publicly update or revise any forward-looking statements contained herein, whether as a result of any new informaton, future events, changed circumstances or otherwise.</w:t>
      </w:r>
    </w:p>
    <w:p>
      <w:pPr>
        <w:spacing w:after="0" w:line="17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This annual report includes trademarks, tradenames and service marks that are the property of other organizatons.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We maintain a website at www.phathompharma.com, to which we regularly post copies of our press releases as well as additonal informaton about us. Our flings with the Securites and Exchange Commission, or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 w:name="page4"/>
    <w:bookmarkEnd w:id="3"/>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approved products, VOQUEZNA®, VOQUEZNA® TRIPLE PAK® and VOQUEZNA® DUAL PAK®, contain vonoprazan, an oral small molecule potassium-compettve acid blocker, or PCAB. PCABs are a novel class of medicines that block acid secreton in the stomach. Vonoprazan is the frst gastric ant-secretory agent from a novel class approved in the United States, Europe, or Canada in over 30 years, and has shown rapid, potent, and durable ant-secretory efects. Vonoprazan has also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infecton. Takeda Pharmaceutcal Company Limited, or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2021 we reported positve topline data from two pivotal Phase 3 clinical trials for vonoprazan: one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or PHALCON-HP, and a second for the treatment of Erosive GERD, or PHALCON-EE. These data are supplemented by the extensive existng clinical data generated by Takeda as part of its development program for vonoprazan in Japan and other markets. In September 2021, we submited two new drug applicatons, or NDAs, for combinaton packs that contain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one in combinaton with amoxicillin and clarithromycin (vonoprazan triple therapy) and the other in combinaton with amoxicillin alone (vonoprazan dual therapy). In May 2022, the U.S. Food and Drug Administraton, or FDA, approved the NDAs for vonoprazan triple therapy, under the brand name VOQUEZNA TRIPLE PAK, and vonoprazan dual therapy, under the brand name VOQUEZNA DUAL PAK. Based on our qualifed infectous disease product, or QIDP, designatons for VOQUEZNA TRIPLE PAK and VOQUEZNA DUAL PAK, we received an extension of the fve years of the new chemical entty, or NCE, exclusivity based on the vonoprazan component in those NDAs. We believe the extended NCE exclusivity should apply to any other approved or future products containing vonoprazan we develop and for which we obtain FDA approval.</w:t>
      </w:r>
    </w:p>
    <w:p>
      <w:pPr>
        <w:spacing w:after="0" w:line="19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While the NDAs for VOQUEZNA TRIPLE PAK and VOQUEZNA DUAL PAK were stll under review by the FDA, in March 2022, we submited an additonal NDA for vonoprazan, under the brand name VOQUEZNA, as a treatment for adults for the healing of all grades of Erosive GERD, maintenance of healing of all grades of Erosive GERD, and relief of heartburn associated with Erosive GERD. In August 2022, following approval of VOQUEZNA TRIPLE PAK and VOQUEZNA DUAL PAK but before launch, and while the NDA for VOQUEZNA for Erosive GERD was stll under review, we announced that trace levels of a nitrosamine impurity, </w:t>
      </w:r>
      <w:r>
        <w:rPr>
          <w:rFonts w:ascii="Calibri" w:cs="Calibri" w:eastAsia="Calibri" w:hAnsi="Calibri"/>
          <w:sz w:val="18"/>
          <w:szCs w:val="18"/>
          <w:i w:val="1"/>
          <w:iCs w:val="1"/>
          <w:color w:val="auto"/>
        </w:rPr>
        <w:t>N</w:t>
      </w:r>
      <w:r>
        <w:rPr>
          <w:rFonts w:ascii="Calibri" w:cs="Calibri" w:eastAsia="Calibri" w:hAnsi="Calibri"/>
          <w:sz w:val="18"/>
          <w:szCs w:val="18"/>
          <w:color w:val="auto"/>
        </w:rPr>
        <w:t xml:space="preserve">-nitroso-vonoprazan, or NVP, were present in our inital commercial drug product for VOQUEZNA TRIPLE PAK and VOQUEZNA DUAL PAK. Afer identfying this impurity, and prior to launching VOQUEZNA TRIPLE PAK and VOQUEZNA DUAL PAK, we submited supplements to our approved NDAs with the goal of addressing this issue. However, in February 2023, we received complete response leters from the FDA relatng both to our Erosive GERD NDA and to the NDA supplements for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The complete response leters formalized the FDA’s prior request that we provide additonal stability data to demonstrate that levels of NVP will remain at or below 96 ng/day, the acceptable daily intake level, or AI, for NVP established by the FDA, throughout the proposed shelf life of the product. No additonal defciencies were cited by the FDA in the complete response leters. In May 2023, we resubmited our Erosive GERD NDA to the FDA, and in June 2023 we submited new prior approval supplements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On October 27 and November 1, 2023, the FDA approved, the prior approval supplements to our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and our Erosive GERD NDA, respectvely. As a result, we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the fourth quarter of 2023.</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4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VOQUEZNA Commercial Launch Initated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135255</wp:posOffset>
            </wp:positionV>
            <wp:extent cx="4277360" cy="2408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736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are also contnuing to develop vonoprazan as a treatment for heartburn symptoms associated with Non-Erosive GERD. In January 2023, we reported positve topline results from PHALCON-NERD-301, a Phase 3 study evaluatng the safety and efcacy of vonoprazan for the daily treatment of adults with Non-Erosive GERD, and in August 2023, we announced successful completon of the 20-week extension period of PHALCON-NERD-301. Based on the results of this study, in September 2023, we submited an NDA seeking approval of vonoprazan as a once-daily treatment for heartburn symptoms associated with Non-Erosive GERD in adults. The FDA has assigned this NDA a Prescripton Drug User Fee Act, or PDUFA, target acton date of July 19, 2024, and, if approved, we antcipate launching VOQUEZNA for this new indicaton in the third quarter of 2024. In additon, in 2024 we plan to initate a Phase 3 trial evaluatng the novel dosing regimen of vonoprazan as an as-needed treatment for episodic heartburn relief in patents with Non-Erosive GERD, a dosing regimen not approved in the United States for proton pump inhibitors, or PPIs. This trial would consttute our fourth Phase 3 trial for vonoprazan. In February 2022, we reported positve topline results from PHALCON-NERD-201, a Phase 2 proof-of-concept study evaluatng this novel dosing regimen.</w:t>
      </w:r>
    </w:p>
    <w:p>
      <w:pPr>
        <w:spacing w:after="0" w:line="17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While we initally focused on the development of vonoprazan for the treatment of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 believe there are opportunites to develop vonoprazan in other indicatons in our licensed territories. For example, we plan to expand the clinical development of vonoprazan in the U.S. into eosinophilic esophagits, or EoE, the most common type of eosinophilic gastrointestnal disease. EoE is an autoimmune disease with signifcant unmet need and can result in trouble swallowing, chest pain, vomitng and impacton of food in the esophagus, a medical emergency. There are only two FDA-approved treatments for EoE. Although not approved for this indicaton, PPIs are ofen prescribed as a frst-line therapy for the treatment of EoE. Given the limited choices of therapies for EoE and vonoprazan’s demonstrated potental, we believe EoE is an important indicaton for future study and we expect to initate a Phase 2 trial evaluatng vonoprazan as a treatment for EoE in adult and adolescent patents later in 2024.</w:t>
      </w:r>
    </w:p>
    <w:p>
      <w:pPr>
        <w:spacing w:after="0" w:line="195"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are independently commercializing VOQUEZNA, VOQUEZNA TRIPLE PAK and VOQUEZNA DUAL PAK in the United States. We plan to evaluate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79"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 xml:space="preserve">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are two of the most common acid-related GI diseases and impact millions of people. The prevalence of GERD is estmated to be 20% of the U.S. populaton and 15% of the populaton in the fve major countries in Europe (France, Germany, Italy, Spain and the United Kingdom), or collectvely, the EU5. GERD is a disease that develops when the refux of acidic stomach contents causes troublesome symptoms and/or complicatons. An estmated 17 million adults in the U.S. have Erosive GERD and more than twice that number, or 38 million adults, are believed to sufer from Non-Erosive GERD.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is a bacterial pathogen that infects approximately 35% of the U.S. populaton and 45% of the EU5 populaton. As a result of the chronic</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49"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 xml:space="preserve">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will develop a range of pathologies, including dyspepsia, peptc ulcer disease, gastric cancer, and mucosa-associated lymphoid tssue or MALT, lymphoma.</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Over the last thirty years, the proton pump inhibitor, or PPI, class, has been the standard of care for the treatment of acid-related GI diseases. PPIs are generally used as a single agent for the treatment of GERD and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PPI class includes drugs such as Prilosec (omeprazole), Nexium (esomeprazole), and Prevacid (lansoprazole). Prior to the introducton of generic and over-the-counter, or OTC, alternatves, annual PPI class sales reached approximately $12.5 billion in the United States, with peak sales for individual brands of approximately $3.7 billion for Prilosec, $3.5 billion for Nexium, and $3.4 billion for Prevacid.</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While PPIs are the current standard of care and have experienced signifcant commercial success, they have signifcant limitatons that result in a large unmet medical need. In GERD, PPI therapy is suboptmal for many patents due to the slow onset and insufcient duraton of acid control which can lead to inadequate symptom relief. Approximately 15% to 45% of GERD patents remain inadequately treated with PPIs. In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standard of care consists of a combinaton of a PPI and at least two oral antbiotcs. However, increasing antbiotc resistance has resulted in declining eradicaton rates with PPI-based therapy. We believe these unmet medical needs are in part driven by limitatons associated with the mechanism of acton and pharmacokinetcs of PPIs.</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PPIs reduce gastric acid secreton by irreversibly binding to and inhibitng actve proton pumps expressed on the parietal cells. Proton pumps of parietal cells become actvated during a meal and thus, oral intake of PPIs prior to meal is required ideally to achieve maximal efcacy. PPIs also require actvaton by gastric acid, but they are unstable in the presence of acid and therefore enteric coatng is necessary to protect them from degradaton in the stomach when given orally. All these factors, combined with the short circulatng half-life of PPIs, limits their efcacy. Additonally, because proton pumps contnuously switch between actve and inactve states, multple doses of PPIs are required to inhibit enough proton pumps to achieve a clinical beneft. As a result, PPIs have a relatvely slow onset of acton and limited potency and duraton of efect, which may result in patents experiencing only partal relief, increasing PPI dosage, and/or cycling through multple PPIs seeking relief.</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Vonoprazan has a diferentated mechanism of acton from PPIs. Unlike PPIs, vonoprazan:</w:t>
      </w:r>
    </w:p>
    <w:p>
      <w:pPr>
        <w:spacing w:after="0" w:line="185"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stable in the presence of acid;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does not require actvaton by gastric acid;</w:t>
      </w:r>
    </w:p>
    <w:p>
      <w:pPr>
        <w:spacing w:after="0" w:line="203" w:lineRule="exact"/>
        <w:rPr>
          <w:rFonts w:ascii="Times New Roman" w:cs="Times New Roman" w:eastAsia="Times New Roman" w:hAnsi="Times New Roman"/>
          <w:sz w:val="18"/>
          <w:szCs w:val="18"/>
          <w:color w:val="auto"/>
        </w:rPr>
      </w:pPr>
    </w:p>
    <w:p>
      <w:pPr>
        <w:ind w:left="900" w:right="680" w:hanging="383"/>
        <w:spacing w:after="0" w:line="235" w:lineRule="auto"/>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designed to selectvely concentrate in the parietal cells in both the restng and stmulated states, bind to the actve pumps and remain associated with the actve and inactve pumps;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can be taken independent from meal intake;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binds to the pumps in a noncovalent and reversible manner;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has a long plasma half-life that replenishes the drug at the site of acton over the course of the day.</w:t>
      </w:r>
    </w:p>
    <w:p>
      <w:pPr>
        <w:spacing w:after="0" w:line="177" w:lineRule="exact"/>
        <w:rPr>
          <w:sz w:val="20"/>
          <w:szCs w:val="20"/>
          <w:color w:val="auto"/>
        </w:rPr>
      </w:pPr>
    </w:p>
    <w:p>
      <w:pPr>
        <w:ind w:right="240" w:firstLine="509"/>
        <w:spacing w:after="0" w:line="252" w:lineRule="auto"/>
        <w:rPr>
          <w:sz w:val="20"/>
          <w:szCs w:val="20"/>
          <w:color w:val="auto"/>
        </w:rPr>
      </w:pPr>
      <w:r>
        <w:rPr>
          <w:rFonts w:ascii="Calibri" w:cs="Calibri" w:eastAsia="Calibri" w:hAnsi="Calibri"/>
          <w:sz w:val="17"/>
          <w:szCs w:val="17"/>
          <w:color w:val="auto"/>
        </w:rPr>
        <w:t>These factors have enabled vonoprazan to demonstrate more rapid and potent acid suppression versus the PPIs esomeprazole and lansoprazole in human subjects two to three hours afer oral dosing and maintain target acid inhibiton over a 24-hour period in randomized, open-label, crossover clinical trials. In contrast, PPIs require three to fve days to reach steady state acid suppression and do not reliably maintain target acid inhibiton over a 24-hour period. In additon, vonoprazan demonstrated approximately 10-to-100-fold beter acid control compared to lansoprazole and esomeprazole.</w:t>
      </w:r>
    </w:p>
    <w:p>
      <w:pPr>
        <w:spacing w:after="0" w:line="16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 xml:space="preserve">Vonoprazan has demonstrated clinical advantages over the PPI lansoprazole in the treatment of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completed</w:t>
      </w:r>
    </w:p>
    <w:p>
      <w:pPr>
        <w:spacing w:after="0" w:line="235" w:lineRule="auto"/>
        <w:rPr>
          <w:sz w:val="20"/>
          <w:szCs w:val="20"/>
          <w:color w:val="auto"/>
        </w:rPr>
      </w:pPr>
      <w:r>
        <w:rPr>
          <w:rFonts w:ascii="Calibri" w:cs="Calibri" w:eastAsia="Calibri" w:hAnsi="Calibri"/>
          <w:sz w:val="18"/>
          <w:szCs w:val="18"/>
          <w:color w:val="auto"/>
        </w:rPr>
        <w:t>Phase 3 clinical trials conducted in the United States and Europe, including:</w:t>
      </w:r>
    </w:p>
    <w:p>
      <w:pPr>
        <w:spacing w:after="0" w:line="11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more complete healing of Erosive GERD in patents with moderate to severe disease afer two weeks;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more durable healing of Erosive GERD in patents with all grades of disease;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90"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 xml:space="preserve">higher </w:t>
      </w:r>
      <w:r>
        <w:rPr>
          <w:rFonts w:ascii="Calibri" w:cs="Calibri" w:eastAsia="Calibri" w:hAnsi="Calibri"/>
          <w:sz w:val="18"/>
          <w:szCs w:val="18"/>
          <w:i w:val="1"/>
          <w:iCs w:val="1"/>
          <w:color w:val="auto"/>
        </w:rPr>
        <w:t>H. pylori</w:t>
      </w:r>
      <w:r>
        <w:rPr>
          <w:rFonts w:ascii="MS PGothic" w:cs="MS PGothic" w:eastAsia="MS PGothic" w:hAnsi="MS PGothic"/>
          <w:sz w:val="18"/>
          <w:szCs w:val="18"/>
          <w:color w:val="auto"/>
        </w:rPr>
        <w:t xml:space="preserve"> eradicaton rates in combinaton with antbiotcs compared to standard of care triple therapy; and</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more fexible dosing, including dosing independent of food and tme of day.</w:t>
      </w:r>
    </w:p>
    <w:p>
      <w:pPr>
        <w:spacing w:after="0" w:line="185" w:lineRule="exact"/>
        <w:rPr>
          <w:sz w:val="20"/>
          <w:szCs w:val="20"/>
          <w:color w:val="auto"/>
        </w:rPr>
      </w:pPr>
    </w:p>
    <w:p>
      <w:pPr>
        <w:ind w:right="200" w:firstLine="509"/>
        <w:spacing w:after="0" w:line="334" w:lineRule="auto"/>
        <w:rPr>
          <w:sz w:val="20"/>
          <w:szCs w:val="20"/>
          <w:color w:val="auto"/>
        </w:rPr>
      </w:pPr>
      <w:r>
        <w:rPr>
          <w:rFonts w:ascii="MS PGothic" w:cs="MS PGothic" w:eastAsia="MS PGothic" w:hAnsi="MS PGothic"/>
          <w:sz w:val="18"/>
          <w:szCs w:val="18"/>
          <w:color w:val="auto"/>
        </w:rPr>
        <w:t>Moreover, we believe that vonoprazan’s ant-secretory mechanism has the potental to contribute to additonal clinical advantages over PPIs such as rapid symptom relief through "as needed" dosing in the treatment of patents with Non-Erosive GERD.</w:t>
      </w:r>
    </w:p>
    <w:p>
      <w:pPr>
        <w:spacing w:after="0" w:line="120" w:lineRule="exact"/>
        <w:rPr>
          <w:sz w:val="20"/>
          <w:szCs w:val="20"/>
          <w:color w:val="auto"/>
        </w:rPr>
      </w:pPr>
    </w:p>
    <w:p>
      <w:pPr>
        <w:ind w:right="20" w:firstLine="509"/>
        <w:spacing w:after="0" w:line="299" w:lineRule="auto"/>
        <w:rPr>
          <w:sz w:val="20"/>
          <w:szCs w:val="20"/>
          <w:color w:val="auto"/>
        </w:rPr>
      </w:pPr>
      <w:r>
        <w:rPr>
          <w:rFonts w:ascii="Calibri" w:cs="Calibri" w:eastAsia="Calibri" w:hAnsi="Calibri"/>
          <w:sz w:val="17"/>
          <w:szCs w:val="17"/>
          <w:b w:val="1"/>
          <w:bCs w:val="1"/>
          <w:i w:val="1"/>
          <w:iCs w:val="1"/>
          <w:color w:val="auto"/>
        </w:rPr>
        <w:t>Erosive GERD</w:t>
      </w:r>
      <w:r>
        <w:rPr>
          <w:rFonts w:ascii="MS PGothic" w:cs="MS PGothic" w:eastAsia="MS PGothic" w:hAnsi="MS PGothic"/>
          <w:sz w:val="17"/>
          <w:szCs w:val="17"/>
          <w:color w:val="auto"/>
        </w:rPr>
        <w:t>. FDA approval of VOQUEZNA for the healing and maintenance of healing of all grades of erosive esophagits and relief of heartburn</w:t>
      </w:r>
      <w:r>
        <w:rPr>
          <w:rFonts w:ascii="Calibri" w:cs="Calibri" w:eastAsia="Calibri" w:hAnsi="Calibri"/>
          <w:sz w:val="17"/>
          <w:szCs w:val="17"/>
          <w:b w:val="1"/>
          <w:bCs w:val="1"/>
          <w:i w:val="1"/>
          <w:iCs w:val="1"/>
          <w:color w:val="auto"/>
        </w:rPr>
        <w:t xml:space="preserve"> </w:t>
      </w:r>
      <w:r>
        <w:rPr>
          <w:rFonts w:ascii="MS PGothic" w:cs="MS PGothic" w:eastAsia="MS PGothic" w:hAnsi="MS PGothic"/>
          <w:sz w:val="17"/>
          <w:szCs w:val="17"/>
          <w:color w:val="auto"/>
        </w:rPr>
        <w:t>associated with erosive esophagits in adults was based on the results from PHALCON‑EE, our Phase 3 clinical trial conducted in the United States and Europe. This trial assessed vonoprazan versus lansoprazole in the healing and maintenance of healing of adult patents with Erosive GERD. In PHALCON-EE, vonoprazan met its primary healing endpoint demonstratng non-inferiority to lansoprazole in the number of patents who showed complete healing of Erosive GERD afer eight weeks of treatment. Further, in a pre-specifed secondary endpoint, vonoprazan demonstrated superior healing afer two weeks of treatment in patents with moderate to severe Erosive GERD compared to lansoprazole. Afer two weeks of treatment, 70% of patents with moderate to severe Erosive GERD were healed afer treatment with vonoprazan versus 53% with lansoprazole (p=0.0008). In the maintenance phase of the trial, both doses of vonoprazan (10 mg and 20 mg) met the primary endpoint of non-inferiority compared to lansoprazole in the number of all patents who maintained healing of Erosive GERD through week 24. Further, both vonoprazan doses also met a pre-specifed secondary endpoint demonstratng superiority of maintenance of healing versus lansoprazole (79% for vonoprazan 10 mg, 81% for vonoprazan 20 mg compared to 72% for lansoprazole 15 mg) (p&lt;0.0001 for both non-inferiority comparisons; p=0.0436 for vonoprazan 10 mg superiority comparison; p=0.0272 for vonoprazan 20 mg superiority comparison). Both vonoprazan doses also met the pre-specifed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w:t>
      </w:r>
    </w:p>
    <w:p>
      <w:pPr>
        <w:spacing w:after="0" w:line="141" w:lineRule="exact"/>
        <w:rPr>
          <w:sz w:val="20"/>
          <w:szCs w:val="20"/>
          <w:color w:val="auto"/>
        </w:rPr>
      </w:pPr>
    </w:p>
    <w:p>
      <w:pPr>
        <w:ind w:right="60" w:firstLine="509"/>
        <w:spacing w:after="0" w:line="326" w:lineRule="auto"/>
        <w:rPr>
          <w:sz w:val="20"/>
          <w:szCs w:val="20"/>
          <w:color w:val="auto"/>
        </w:rPr>
      </w:pPr>
      <w:r>
        <w:rPr>
          <w:rFonts w:ascii="MS PGothic" w:cs="MS PGothic" w:eastAsia="MS PGothic" w:hAnsi="MS PGothic"/>
          <w:sz w:val="17"/>
          <w:szCs w:val="17"/>
          <w:color w:val="auto"/>
        </w:rPr>
        <w:t>In PHALCON-EE, vonoprazan 20 mg met the secondary endpoint of showing non-inferiority to lansoprazole 30 mg in the mean percentage of 24-hour heartburn free days over the healing period, and both vonoprazan doses met the secondary endpoint of showing non-inferiority to lansoprazole 15 mg in the mean percentage of 24-hour heartburn free days over the maintenance period. Finally, vonoprazan 20 mg was also compared to lansoprazole 30 mg in a superiority test for onset of sustained resoluton of heartburn by day three of the healing phase but did not achieve statstcal signifcance (p=0.2196).</w:t>
      </w:r>
    </w:p>
    <w:p>
      <w:pPr>
        <w:spacing w:after="0" w:line="116" w:lineRule="exact"/>
        <w:rPr>
          <w:sz w:val="20"/>
          <w:szCs w:val="20"/>
          <w:color w:val="auto"/>
        </w:rPr>
      </w:pPr>
    </w:p>
    <w:p>
      <w:pPr>
        <w:ind w:right="80" w:firstLine="509"/>
        <w:spacing w:after="0" w:line="298" w:lineRule="auto"/>
        <w:rPr>
          <w:sz w:val="20"/>
          <w:szCs w:val="20"/>
          <w:color w:val="auto"/>
        </w:rPr>
      </w:pPr>
      <w:r>
        <w:rPr>
          <w:rFonts w:ascii="Calibri" w:cs="Calibri" w:eastAsia="Calibri" w:hAnsi="Calibri"/>
          <w:sz w:val="17"/>
          <w:szCs w:val="17"/>
          <w:b w:val="1"/>
          <w:bCs w:val="1"/>
          <w:i w:val="1"/>
          <w:iCs w:val="1"/>
          <w:color w:val="auto"/>
        </w:rPr>
        <w:t xml:space="preserve">Symptomatc Non-Erosive gastroesophageal refux disease (Non-Erosive GERD). </w:t>
      </w:r>
      <w:r>
        <w:rPr>
          <w:rFonts w:ascii="MS PGothic" w:cs="MS PGothic" w:eastAsia="MS PGothic" w:hAnsi="MS PGothic"/>
          <w:sz w:val="17"/>
          <w:szCs w:val="17"/>
          <w:color w:val="auto"/>
        </w:rPr>
        <w:t>In PHALCON-NERD-301, a Phase 3 study evaluatng the efcacy and</w:t>
      </w:r>
      <w:r>
        <w:rPr>
          <w:rFonts w:ascii="Calibri" w:cs="Calibri" w:eastAsia="Calibri" w:hAnsi="Calibri"/>
          <w:sz w:val="17"/>
          <w:szCs w:val="17"/>
          <w:b w:val="1"/>
          <w:bCs w:val="1"/>
          <w:i w:val="1"/>
          <w:iCs w:val="1"/>
          <w:color w:val="auto"/>
        </w:rPr>
        <w:t xml:space="preserve"> </w:t>
      </w:r>
      <w:r>
        <w:rPr>
          <w:rFonts w:ascii="MS PGothic" w:cs="MS PGothic" w:eastAsia="MS PGothic" w:hAnsi="MS PGothic"/>
          <w:sz w:val="17"/>
          <w:szCs w:val="17"/>
          <w:color w:val="auto"/>
        </w:rPr>
        <w:t>safety of vonoprazan for the daily treatment of adults with Non-Erosive GERD, both doses of vonoprazan (10 mg and 20 mg) met the primary endpoint evaluatng the mean percentage of 24-hour heartburn-free days through week four by demonstratng statstcal signifcance versus placebo (mean 45% vonoprazan 10 mg, 44% vonoprazan 20 mg, compared to 28% for placebo; p&lt;0.0001 for both vonoprazan 10 mg and 20 mg versus placebo). The median percentage of 24-hour heartburn-free days was 48%, 46% and 17% for vonoprazan 10 mg, vonoprazan 20 mg, and placebo, respectvely. Patents randomized to vonoprazan 10 mg and 20 mg during the inital 4-week period remained on their blinded treatment assignment for a 20-week extension period. The mean percentage of heartburn free days reported over the 20-week extension period for these patents was 63% for vonoprazan 10 mg and 61% for vonoprazan 20 mg. Additonally, patents randomized to placebo during the inital 4-week period were re-randomized to either vonoprazan 10 mg or 20 mg for the 20-week extension period. For these patents, the mean percentage of heartburn free days reported over the 20-week extension period was 62% for vonoprazan 10 mg and 63% for vonoprazan 20 mg. Based on the results of PHALCON-NERD-301, in September 2023, we submited an NDA seeking approval of vonoprazan as a daily treatment of heartburn associated with symptomatc Non-Erosive GERD in adults for which the FDA has assigned a PDUFA target acton date of July 19, 2024. If approved, we would expect to launch vonoprazan in this new indicaton in the third quarter of 2024.</w:t>
      </w:r>
    </w:p>
    <w:p>
      <w:pPr>
        <w:spacing w:after="0" w:line="155" w:lineRule="exact"/>
        <w:rPr>
          <w:sz w:val="20"/>
          <w:szCs w:val="20"/>
          <w:color w:val="auto"/>
        </w:rPr>
      </w:pPr>
    </w:p>
    <w:p>
      <w:pPr>
        <w:ind w:firstLine="509"/>
        <w:spacing w:after="0" w:line="297" w:lineRule="auto"/>
        <w:rPr>
          <w:sz w:val="20"/>
          <w:szCs w:val="20"/>
          <w:color w:val="auto"/>
        </w:rPr>
      </w:pPr>
      <w:r>
        <w:rPr>
          <w:rFonts w:ascii="MS PGothic" w:cs="MS PGothic" w:eastAsia="MS PGothic" w:hAnsi="MS PGothic"/>
          <w:sz w:val="18"/>
          <w:szCs w:val="18"/>
          <w:color w:val="auto"/>
        </w:rPr>
        <w:t>In PHALCON-NERD-201, a Phase 2 study evaluatng three doses of vonoprazan (10 mg, 20 mg, and 40 mg) as an as needed therapy for relief of episodic heartburn in subjects with Non-Erosive GERD, all three vonoprazan doses successfully met the primary endpoint evaluatng the percentage of heartburn episodes completely relieved within three hours with relief sustained for over 24 hours and were statstcally signifcant (p&lt;0.0001) when compared to placebo. Within three hours, vonoprazan 10 mg, 20 mg, and 40 mg achieved complete and sustained relief in 56%, 61% and 70% of evaluable heartburn episodes, respectvely, as compared to 27% of episodes for placebo. An evaluable heartburn episode is a heartburn episode for which the partcipant completes a minimum of one tmed assessment afer taking study medicaton.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Based on the positve PHALCON-NERD-201 results, we expect to commence a Phase 3 trial in 2024, our fourth Phase 3 trial for vonoprazan, evaluatng VOQUEZNA as an “as needed” treatment for episodic heartburn relief in patents with symptomatc Non-Erosive GERD, a dosing regimen not approved in the United States for PPIs.</w:t>
      </w:r>
    </w:p>
    <w:p>
      <w:pPr>
        <w:spacing w:after="0" w:line="192"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b w:val="1"/>
          <w:bCs w:val="1"/>
          <w:i w:val="1"/>
          <w:iCs w:val="1"/>
          <w:color w:val="auto"/>
        </w:rPr>
        <w:t>H. pylori</w:t>
      </w:r>
      <w:r>
        <w:rPr>
          <w:rFonts w:ascii="Calibri" w:cs="Calibri" w:eastAsia="Calibri" w:hAnsi="Calibri"/>
          <w:sz w:val="17"/>
          <w:szCs w:val="17"/>
          <w:color w:val="auto"/>
        </w:rPr>
        <w:t>. The FDA’s approval of VOQUEZNA TRIPLE PAK and VOQUEZNA DUAL PAK was based on the results from PHALCON-HP, our Phase 3 clinical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 xml:space="preserve">trial in the United States and Europe studying two vonoprazan-based treatment regimens for the eradicaton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both of which successfully met their primary and all secondary endpoints. The trial studied vonoprazan triple therapy and vonoprazan dual therapy compared to lansoprazole in combinaton with amoxicillin and clarithromycin, or lansoprazole triple therapy. 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those patents who did not have clarithromycin or amoxicillin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For regulatory purposes, the primary endpoint of this study was a non-inferiority comparison in the non-resistant subgroup for each of vonoprazan triple therapy and vonoprazan dual therapy compared to lansoprazole triple therapy.</w:t>
      </w:r>
    </w:p>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PHALCON-HP, both vonoprazan-based regimens successfully met their primary endpoints. In the modifed intent-to-treat, or mITT, populaton,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rates were 84.7% for vonoprazan triple therapy and 78.5% for vonoprazan dual therapy compared to 78.8% with lansoprazole triple therapy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(p&lt;0.0001 and p=0.0073, respectvely, for non-inferiority). In the pre-specifed per protocol populaton, a subset of the mITT populaton comprised of patents who were protocol compliant,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80"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 xml:space="preserve">In PHALCON-HP vonoprazan triple therapy and vonoprazan dual therapy also met all secondary endpoints, demonstratng superior eradicaton rates versus lansoprazole triple therapy in all patents and in the subgroup of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Among all patents,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of vonoprazan triple therapy was superior to that of lansoprazole triple therapy in both the mITT populaton (80.8% vs. 68.5%;</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p=0.0001) and the per protocol populaton (85.7% vs. 70.0%; p&lt;0.0001).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with vonoprazan triple therapy was superior to that of lansoprazole triple therapy in both the mITT populaton (65.8% vs. 31.9%;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p&lt;0.0001) and the per protocol populaton (67.2% vs. 29.0%; p&lt;0.0001).</w:t>
      </w:r>
    </w:p>
    <w:p>
      <w:pPr>
        <w:spacing w:after="0" w:line="194"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 xml:space="preserve">Among all patents,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in both the mITT populaton (77.2% vs. 68.5%; p=0.0127) and the per protocol populaton (81.1% vs. 70.0%; p=0.0027).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also superior to that of lansoprazole triple therapy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in both the mITT populaton (69.6% vs. 31.9%; p&lt;0.0001) and the per protocol populaton (79.5% vs. 29.0%; p&lt;0.0001).</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Management</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management team has deep expertse in developing and commercializing therapeutcs, including ant-secretory agents, and direct experience developing vonoprazan at Takeda. Our Chief Executve Ofcer, Terrie Curran, has more than 25 years of experience in the biopharmaceutcal industry. Ms. Curran served as President, Global Infammaton and Immunology (I&amp;I) Franchise and as a member of the Executve Commitee at Celgene Corporaton from 2017 to 2019. Ms. Curran joined Celgene in 2013 as the U.S. Commercial Head of the I&amp;I Franchise, where she built the capabilites and recruited the teams that executed the successful launch of OTEZLA, which was sold to Amgen in November 2019 for $13.4 billion. Molly Henderson, our Chief Financial and Business Ofcer, has over 20 years of extensive fnancial experience in the biopharmaceutcal industry. Ms. Henderson previously held the role of Chief Financial Ofcer at various companies such as UroGen Pharma, Advaxis, Inc., and Iovance Biotherapeutcs, Inc. where she oversaw all aspects of the corporate fnance strategy, investor relatons and capital raising. Martn Gilligan, our Chief Commercial Ofcer, has more than 30 years in the industry working at both large and small biopharmaceutcal companies. His commercial experience includes launching specialty and primary care products, both in the U.S. and globally. Prior to joining Phathom, Mr. Gilligan worked at Celgene Corporaton, and was Corporate Vice President in the I&amp;I Franchise, responsible for marketng, market access, early product development, and business development.</w:t>
      </w:r>
    </w:p>
    <w:p>
      <w:pPr>
        <w:spacing w:after="0" w:line="198"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Azmi Nabulsi, M.D., M.P.H., our Chief Operatng Ofcer, was Deputy Chief Medical and Scientfc Ofcer at Takeda. Our Chief Development Sciences Ofcer, Tom Harris, was Senior Vice President and Head of Global Regulatory at Takeda. Both Dr. Nabulsi and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Calibri" w:cs="Calibri" w:eastAsia="Calibri" w:hAnsi="Calibri"/>
          <w:sz w:val="17"/>
          <w:szCs w:val="17"/>
          <w:color w:val="auto"/>
        </w:rPr>
        <w:t>Mr. Harris were extensively involved with the development of vonoprazan at Takeda and contnue to lead our ongoing development eforts for VOQUEZNA.</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Pipeline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155055" cy="2254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505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Strategy</w:t>
      </w:r>
    </w:p>
    <w:p>
      <w:pPr>
        <w:spacing w:after="0" w:line="190" w:lineRule="exact"/>
        <w:rPr>
          <w:sz w:val="20"/>
          <w:szCs w:val="20"/>
          <w:color w:val="auto"/>
        </w:rPr>
      </w:pPr>
    </w:p>
    <w:p>
      <w:pPr>
        <w:ind w:right="320" w:firstLine="509"/>
        <w:spacing w:after="0" w:line="258" w:lineRule="auto"/>
        <w:rPr>
          <w:sz w:val="20"/>
          <w:szCs w:val="20"/>
          <w:color w:val="auto"/>
        </w:rPr>
      </w:pPr>
      <w:r>
        <w:rPr>
          <w:rFonts w:ascii="Calibri" w:cs="Calibri" w:eastAsia="Calibri" w:hAnsi="Calibri"/>
          <w:sz w:val="17"/>
          <w:szCs w:val="17"/>
          <w:color w:val="auto"/>
        </w:rPr>
        <w:t>Our mission is to improve the lives of people sufering from GI diseases. Our strategy is initally focused on commercializing and further developing vonoprazan as a frst-in-class PCAB in the United States for the treatment of acid-related GI diseases. Key elements of this strategy include:</w:t>
      </w:r>
    </w:p>
    <w:p>
      <w:pPr>
        <w:spacing w:after="0" w:line="175" w:lineRule="exact"/>
        <w:rPr>
          <w:sz w:val="20"/>
          <w:szCs w:val="20"/>
          <w:color w:val="auto"/>
        </w:rPr>
      </w:pPr>
    </w:p>
    <w:p>
      <w:pPr>
        <w:ind w:left="900" w:hanging="383"/>
        <w:spacing w:after="0" w:line="250" w:lineRule="auto"/>
        <w:tabs>
          <w:tab w:leader="none" w:pos="900" w:val="left"/>
        </w:tabs>
        <w:numPr>
          <w:ilvl w:val="0"/>
          <w:numId w:val="6"/>
        </w:numPr>
        <w:rPr>
          <w:rFonts w:ascii="Times New Roman" w:cs="Times New Roman" w:eastAsia="Times New Roman" w:hAnsi="Times New Roman"/>
          <w:sz w:val="17"/>
          <w:szCs w:val="17"/>
          <w:color w:val="auto"/>
        </w:rPr>
      </w:pPr>
      <w:r>
        <w:rPr>
          <w:rFonts w:ascii="Calibri" w:cs="Calibri" w:eastAsia="Calibri" w:hAnsi="Calibri"/>
          <w:sz w:val="17"/>
          <w:szCs w:val="17"/>
          <w:b w:val="1"/>
          <w:bCs w:val="1"/>
          <w:i w:val="1"/>
          <w:iCs w:val="1"/>
          <w:color w:val="auto"/>
        </w:rPr>
        <w:t>Successfully commercialize VOQUEZNA, VOQUEZNA TRIPLE PAK and VOQUEZNA DUAL PAK in the U.S</w:t>
      </w:r>
      <w:r>
        <w:rPr>
          <w:rFonts w:ascii="Calibri" w:cs="Calibri" w:eastAsia="Calibri" w:hAnsi="Calibri"/>
          <w:sz w:val="17"/>
          <w:szCs w:val="17"/>
          <w:color w:val="auto"/>
        </w:rPr>
        <w:t>. We have built a frst-class commercial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 xml:space="preserve">infrastructure including a natonal sales force to support the commercial launch of VOQUEZNA for treatment of Erosive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and VOQUEZNA TRIPLE PAK and VOQUEZNA DUAL PAK for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which commenced in the fourth quarter of 2023. Further, subject to FDA approval, we would expect to launch vonoprazan in the U.S. for daily treatment of heartburn associated with symptomatc Non-Erosive GERD in the third quarter of 2024. We believe we can successfully commercialize these products in the United States with a focused sales force targetng prescribers of treatments for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partcularly gastroenterologists and primary care physicians. Through our natonal sales force we plan to target approximately 52,000 prescribers who, on average, have writen close to 1,200 PPI prescriptons annually. We believe we have an opportunity to achieve signifcant share of voice and exposure to physicians given the scarcity of actvely marketed ant-secretory medicines. Given the limitatons of PPIs and current unmet need, we believe the commercial opportunity for VOQUEZNA is substantal. Moreover, we believe all our U.S. approved products containing vonoprazan, including VOQUEZNA, should beneft from the 10-year period of non-patent NCE exclusivity that commenced upon approval of our inital products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in May 2022.</w:t>
      </w:r>
    </w:p>
    <w:p>
      <w:pPr>
        <w:spacing w:after="0" w:line="187" w:lineRule="exact"/>
        <w:rPr>
          <w:rFonts w:ascii="Times New Roman" w:cs="Times New Roman" w:eastAsia="Times New Roman" w:hAnsi="Times New Roman"/>
          <w:sz w:val="17"/>
          <w:szCs w:val="17"/>
          <w:color w:val="auto"/>
        </w:rPr>
      </w:pPr>
    </w:p>
    <w:p>
      <w:pPr>
        <w:ind w:left="900" w:right="2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Advance the clinical development of vonoprazan as an “as needed” treatment for Non-Erosive GERD. </w:t>
      </w:r>
      <w:r>
        <w:rPr>
          <w:rFonts w:ascii="Calibri" w:cs="Calibri" w:eastAsia="Calibri" w:hAnsi="Calibri"/>
          <w:sz w:val="18"/>
          <w:szCs w:val="18"/>
          <w:color w:val="auto"/>
        </w:rPr>
        <w:t>In additon to seeking approval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vonoprazan as a daily treatment for Non-Erosive GERD, we are also pursuing the development of vonoprazan as an “as needed” treatment of Non-Erosive GERD. In January 2023, we reported positve topline results for the primary endpoint of PHALCON-NERD-301, a Phase 3 study evaluatng the efcacy and safety of vonoprazan for the daily treatment of heartburn associated with Non-Erosive GERD in adults, and in 2024 we plan to initate a Phase 3 trial studying the novel dosing regimen of vonoprazan as an as needed treatment for episodic heartburn relief in adults with heartburn associated with Non-Erosive GERD, a dosing regimen not approved in the U.S. for PPIs. The pursuit of this novel dosing regimen is supported by the positve topline results we reported in February 2022 for PHALCON-NERD-201, 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left="900"/>
        <w:spacing w:after="0"/>
        <w:rPr>
          <w:sz w:val="20"/>
          <w:szCs w:val="20"/>
          <w:color w:val="auto"/>
        </w:rPr>
      </w:pPr>
      <w:r>
        <w:rPr>
          <w:rFonts w:ascii="Calibri" w:cs="Calibri" w:eastAsia="Calibri" w:hAnsi="Calibri"/>
          <w:sz w:val="18"/>
          <w:szCs w:val="18"/>
          <w:color w:val="auto"/>
        </w:rPr>
        <w:t>Phase 2 study evaluatng various doses of vonoprazan and placebo as an as needed treatment for adults with Non-Erosive GERD.</w:t>
      </w:r>
    </w:p>
    <w:p>
      <w:pPr>
        <w:spacing w:after="0" w:line="204" w:lineRule="exact"/>
        <w:rPr>
          <w:sz w:val="20"/>
          <w:szCs w:val="20"/>
          <w:color w:val="auto"/>
        </w:rPr>
      </w:pPr>
    </w:p>
    <w:p>
      <w:pPr>
        <w:ind w:left="900" w:right="38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Evaluate commercial partnerships to maximize the vonoprazan opportunity outside of the United States</w:t>
      </w:r>
      <w:r>
        <w:rPr>
          <w:rFonts w:ascii="Calibri" w:cs="Calibri" w:eastAsia="Calibri" w:hAnsi="Calibri"/>
          <w:sz w:val="18"/>
          <w:szCs w:val="18"/>
          <w:color w:val="auto"/>
        </w:rPr>
        <w:t>. To address the opportunity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vonoprazan in Europe and Canada, we plan to evaluate one or more partners with existng commercial infrastructure and expertse in these markets. We believe this strategy could allow us to realize the value of the market opportunity in Europe and Canada while focusing our resources on the U.S. market.</w:t>
      </w:r>
    </w:p>
    <w:p>
      <w:pPr>
        <w:spacing w:after="0" w:line="192"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Further expand the development of vonoprazan across indicatons, including EoE, and alternatve formulatons and packaging</w:t>
      </w:r>
      <w:r>
        <w:rPr>
          <w:rFonts w:ascii="Calibri" w:cs="Calibri" w:eastAsia="Calibri" w:hAnsi="Calibri"/>
          <w:sz w:val="18"/>
          <w:szCs w:val="18"/>
          <w:color w:val="auto"/>
        </w:rPr>
        <w:t>. We plan to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pursue vonoprazan lifecycle extension strategies in areas with clear unmet need, clinical ratonale, and commercial justfcaton. For example, based on feedback from the FDA on our proposed development plan to study vonoprazan as a treatment for EoE, we plan to commence a Phase 2 trial studying vonoprazan as a treatment for EoE in adults and adolescent patents later in 2024. Potental indicatons for development in additon to EoE may include treatment of gastric and duodenal ulcers, and Barret’s esophagus; and alternatve formulatons and packaging include orally disintegratng tablets and other oral dosage forms for patents with difculty swallowing, and an intravenous formulaton for in-hospital applicatons. Additonally, we believe that vonoprazan has the ideal profle for an OTC product because of the potental for as needed symptom relief and a well-tolerated safety profle.</w:t>
      </w:r>
    </w:p>
    <w:p>
      <w:pPr>
        <w:spacing w:after="0" w:line="1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In-license or acquire additonal clinical or commercial stage product candidates for the treatment of GI diseases in a capital efcient manner</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We intend to take advantage of our management team’s GI expertse to opportunistcally in-license or acquire additonal innovatve therapies for diseases treated by gastroenterologists. We plan to leverage our development and planned commercial infrastructure to support multple assets targetng GI indicatons.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Acid-Related GI Diseases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Gastric acid is a digestve fuid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contnuously synthesized and switch between actve and inactve states in response to various stmuli, such as food. When actvated, proton pumps increase acid secreton.</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 diseases where treatment is related to acid control, such as GERD, peptc ulcer disease, Zollinger Ellison syndrome,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are signifcant medical problems because of their high prevalence, chronic nature and clinical sequelae. GERD results from the efects of acid on compromised mucosal defenses in the gastrointestnal tract. The refux of gastric acid into the esophagus produces frequent and/or severe heartburn, indigeston, and refux symptoms. Chronic GERD may damage esophageal tssue and progress to more severe diseases including Erosive GERD, Barret’s esophagus, and esophageal cancer. GERD and related diseases are associated with impaired quality of life and substantal costs to the healthcare system given their chronic nature and sequelae.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gastric acid limits the efectveness of antbiotcs used to eradicate infecton. Chronic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can lead to dyspepsia, peptc ulcer disease, gastric cancer, and MALT lymphoma.</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Prevalence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The prevalence of GI diseases is high. Approximately 20% of the U.S. populaton and 15% of EU5 populaton report chronic heartburn or regurgitaton symptoms potentally related to GERD. We estmate that there are approximately 65 million individuals in the United States and 50 million individuals in the EU5 with GERD. In the United States, GERD is the most common gastroenterology-related outpatent diagnosis. Additonally, approximately 35% of the U.S. populaton and 45% of the EU5 populaton are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We estmate that there are approximately 115 million individuals in the United States and 145 million individuals in the EU5 infected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 w:name="page11"/>
    <w:bookmarkEnd w:id="10"/>
    <w:p>
      <w:pPr>
        <w:spacing w:after="0" w:line="14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 xml:space="preserve">Prevalence of GERD and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wp:posOffset>
            </wp:positionV>
            <wp:extent cx="5246370" cy="1868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4637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Treatments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Treatments of acid-related GI diseases aim to provide relief of acute symptoms, healing of damaged tssue, and preventon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patents with acid-related GI diseases, increasing gastric pH has been shown to improve mucosal healing rates and provide more rapid symptom relief for patents. For example, the duraton of tme that intra-gastric acidity is greater than pH 3.0 correlates with the healing of duodenal and gastric ulcers, and pH greater than 4.0 is correlated with the healing of Erosive GERD. Similarly,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 more neutral gastric pH of 6.0 to 8.0 preserves antbiotc functon and is optmal for successful eradicaton.</w:t>
      </w:r>
    </w:p>
    <w:p>
      <w:pPr>
        <w:spacing w:after="0" w:line="181" w:lineRule="exact"/>
        <w:rPr>
          <w:sz w:val="20"/>
          <w:szCs w:val="20"/>
          <w:color w:val="auto"/>
        </w:rPr>
      </w:pPr>
    </w:p>
    <w:p>
      <w:pPr>
        <w:ind w:right="440" w:firstLine="509"/>
        <w:spacing w:after="0" w:line="258" w:lineRule="auto"/>
        <w:rPr>
          <w:sz w:val="20"/>
          <w:szCs w:val="20"/>
          <w:color w:val="auto"/>
        </w:rPr>
      </w:pPr>
      <w:r>
        <w:rPr>
          <w:rFonts w:ascii="Calibri" w:cs="Calibri" w:eastAsia="Calibri" w:hAnsi="Calibri"/>
          <w:sz w:val="17"/>
          <w:szCs w:val="17"/>
          <w:color w:val="auto"/>
        </w:rPr>
        <w:t>Drug-induced gastric acid suppression is a key component of the management of acid-related GI diseases. Three classes of drugs with distnct mechanisms of acton are principally used for treatment in the United States and Europe: antacids, histamine receptor antagonists, or H2RAs, and PPIs.</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Antacids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Antacids, frst commercially available in the 1930s, directly neutralize gastric acid to raise intra-gastric pH and can alleviate intermitent, mild symptoms of acid-related GI diseases, such as heartburn, but they are only efectve for a short duraton and require frequent administratons per day. In additon, antacids do not signifcantly help heal or prevent complicatons of acid-related diseases. Antacids include commonly known OTC products, such as Alka-Seltzer, Pepto-Bismol, Rolaids, and TUMS.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Histamine Receptor Antagonists (H2RAs)</w:t>
      </w:r>
    </w:p>
    <w:p>
      <w:pPr>
        <w:spacing w:after="0" w:line="190"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H2RAs, frst commercially available in the 1970s, decrease gastric acid secreton in order to raise gastric pH. H2RAs represented a dramatc improvement over antacids in the control of gastric acid and consequently in the management of acid-related GI diseases. H2RAs are also generally safe and well-tolerated. Among the H2RA class were the frst commercial blockbuster drugs, Pepcid (famotdine), Tagamet (cimetdine), and Zantac (ranitdine). Zantac was the world’s highest-selling prescripton drug in the mid-1990s, with peak global sales of $3.7 billion and U.S. sales of $2.2 billion. Prior to the launch of generic H2RAs and increasing competton from PPIs, the H2RA class achieved sales of approximately $3.5 billion in the United States. H2RAs achieved commercial success despite clinical limitatons, including unreliable 24-hour acid control, poor control of post-meal symptoms, and loss of efcacy over tme.</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Proton Pump Inhibitors (PPIs)</w:t>
      </w:r>
    </w:p>
    <w:p>
      <w:pPr>
        <w:spacing w:after="0" w:line="177"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PPIs, frst commercially available in 1989, ofered improved acid control over H2RAs. Pharmacodynamic data demonstrated that PPIs maintain gastric pH above target levels for a longer duraton than H2RAs. A commonly used benchmark of ant-secretory actvity is the percentage of tme in a 24-hour period that gastric pH exceeds 4.0, which we refer to as tme above pH 4.0, which ranges from 40% to 71% for PPIs versus 33% for H2RAs.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14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Given this improved pharmacodynamic profle, PPIs demonstrated improved clinical symptom relief and healing over H2RAs. In a meta-analysis of results from 33 randomized clinical trials with over 3,000 GERD patents, a reducton in symptoms was achieved in 83% of patents taking PPIs versus 60% of those on H2RAs. In a second meta-analysis, the eight-week healing rate in patents with Erosive GERD was 82% for PPIs versus 52% for H2RAs.</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PPI class is currently the frst-line treatment of acid-related GI diseases. Prior to the introducton and adopton of generic and OTC alternatves, annual PPI class sales reached approximately $12.5 billion in the United States, with peak sales for individual brands of approximately $3.7 billion for Prilosec, $3.5 billion for Nexium, and $3.4 billion for Prevacid. As recently as 2015, the last branded PPI, Dexilant (dexlansoprazole), reached approximately $530 million in sales in the United States despite limited diferentaton from other PPIs. While Dexilant demonstrated a modest improvement in tme above pH 4.0 compared to other PPIs, the approved dose did not demonstrate consistent superiority in Phase 3 trials against other PPIs for the healing of Erosive GERD and has not been tested against PPIs in other indicatons. We believe that the commercial success of Dexilant highlights the value to physicians and patents of even incremental improvements over other PPIs.</w:t>
      </w:r>
    </w:p>
    <w:p>
      <w:pPr>
        <w:spacing w:after="0" w:line="17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History of Pharmaceutcal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126365</wp:posOffset>
            </wp:positionV>
            <wp:extent cx="4911725" cy="2117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172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PPI Limitatons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While PPIs provide clinically meaningful symptom relief and healing for millions of patents sufering from acid-related GI diseases, they are inadequate for many patents. The suboptmal ant-secretory profle of PPIs results in slow onset of symptom relief, breakthrough nightme or postprandial heartburn, and treatment failure. A recent populaton-based survey with over 70,000 partcipants in the United States showed that 55% of patents who reported having GERD symptoms were taking PPIs, with 68% taking them daily, and 54% of those daily PPI users reportng persistent symptoms. This is consistent with earlier studies that have shown that approximately 15% to 45% of GERD patents are inadequately treated with PPIs, experiencing persistent, troublesome symptoms, such as heartburn and regurgitaton. In approximately two-thirds of symptomatc GERD patents, refux symptoms are not adequately controlled afer the frst dose of a PPI, and nearly 50% of patents stll sufer from symptoms three days later. Given these limitatons, more than 20% of GERD patents on PPI therapy take their PPI twice daily, which is not FDA approved, or purchase OTC heartburn treatments in additon to their prescripton medicine. In a survey of approximately 1,000 GERD patents and 1,000 physicians, approximately one third of GERD patents reported persistent symptoms and were dissatsfed with PPI therapy and 35% of physicians perceived patents as somewhat satsfed to completely dissatsfed with PPI treatment. In additon, in a real world study conducted in 2020 and 2021 evaluatng the perspectves and unmet needs of over 400 physicians and patents in the U.S. in the management of acid related disorders, fewer than one-third of the physician partcipants were satsfed with current treatment optons for their patents. Moreover, fewer than 50% of patents in the study reported they were satsfed with their current treatment.</w:t>
      </w:r>
    </w:p>
    <w:p>
      <w:pPr>
        <w:spacing w:after="0" w:line="186"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patents with more severe grades of Erosive GERD, studies with PPIs have reported failure rates of healing of esophageal erosions exceeding 25%. Additonally, recurrence of erosions is common in healed Erosive GERD patents receiving maintenance PPI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p>
    <w:p>
      <w:pPr>
        <w:spacing w:after="0"/>
        <w:rPr>
          <w:sz w:val="20"/>
          <w:szCs w:val="20"/>
          <w:color w:val="auto"/>
        </w:rPr>
      </w:pPr>
      <w:r>
        <w:rPr>
          <w:rFonts w:ascii="Calibri" w:cs="Calibri" w:eastAsia="Calibri" w:hAnsi="Calibri"/>
          <w:sz w:val="17"/>
          <w:szCs w:val="17"/>
          <w:color w:val="auto"/>
        </w:rPr>
        <w:t>therapy. One study reported recurrence in 15% to 23% of patents with less severe Erosive GERD and 24% to 41% of patents with more severe Erosive GERD.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believe that these limitatons of PPIs are in part driven by their mechanism of acton and pharmacokinetcs.</w:t>
      </w:r>
    </w:p>
    <w:p>
      <w:pPr>
        <w:spacing w:after="0" w:line="190"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As a result of these PPI limitatons, real world data shows that up to 50% of GERD patents treated with a prescripton PPI make therapy changes during their treatment journey. Real world data has also identfed that 35% of patents treated with a prescripton PPI switch to a diferent PPI afer approximately 3 months.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Mechanistc Diferences Between PPIs and Vonoprazan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PPIs</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Afer oral dosing, PPIs reach the gastric parietal cells through the bloodstream. PPIs are prodrugs that are converted to their actve form in the acidic environment of the secretory canaliculus of the parietal cell but degrade quickly because their actve form is unstable in acid. For example, the half-life of omeprazole (Prilosec) is less than 10 minutes at pH 2.0. The actve form of a PPI blocks acid producton by covalently binding to actve proton pumps that have moved to the surface of the secretory canaliculi afer actvaton of the parietal cell with stmuli, such as a meal. Because PPIs bind only to actvely secretng pumps, it is generally recommended that they be administered 30 to 60 minutes before a meal to achieve maximal efcacy. Once covalently bound to the proton pumps, the actve PPI molecule is no longer available to bind to newly synthesized or actvated proton pumps. Furthermore, given the relatvely short plasma half-life of most PPIs of one to two hours, resupply of additonal PPI molecules from the bloodstream is limited, and newly actvated pumps are not inhibited. Due to this profle, PPIs must be dosed over several days to inhibit enough proton pumps to increase gastric pH to a clinically meaningful threshold. Moreover, PPIs have a limited window of efcacy leading to incomplete acid suppression over the 24-hour dosing interval. In additon, PPIs are primarily metabolized by CYP2C19, an enzyme which has signifcant interpatent metabolic variability based on genotype. As a result, PPI exposure levels in some patents may not achieve target levels, potentally reducing clinical efcacy.</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Vonoprazan, a PCAB, has a diferentated mechanism of acton relatve to PPIs. Vonoprazan is designed to selectvely concentrate in the parietal cell in both the restng and stmulated states. In contrast to most PPIs, vonoprazan does not require gastric acid for actvaton, remains stable in the presence of gastric acid, binds to the actve proton pumps in a noncovalent and reversible manner, can be taken independent from meals and remains associated with the actve and inactve proton pumps, and remains in the secretory canaliculus where it contnues to inhibit acid secreton over an extended period. Vonoprazan’s prolonged efect is also maintained through a slow dissociaton rate from the proton pumps and resupply from the bloodstream due to its approximate seven-hour half-life. These characteristcs generally allow vonoprazan to rapidly achieve target 24-hour acid suppression within two to three hours of a single dose, unlike PPIs that require three to fve days to achieve stable acid suppression. In additon, vonoprazan is primarily metabolized by CYP3A4/5, an enzyme which has less genetc variability than CYP2C19, and may exhibit more consistent actvity than PPIs across U.S. and European populatons.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mechanistc and pharmacologic diferences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134620</wp:posOffset>
            </wp:positionV>
            <wp:extent cx="4046220" cy="2503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4622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Pharmacodynamics vs. PPIs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Vonoprazan’s more rapid, potent, and durable ant-secretory efects versus the PPI lansoprazole (Prevacid) were demonstrated in a randomized, open-label, crossover clinical trial comparing 20 mg of once daily, or QD, vonoprazan to 30 mg QD of lansoprazole for 7 days in 41 healthy volunteers. As shown below, vonoprazan had a signifcantly higher 24-hour holding tme rato than lansoprazole for pH&gt;4.0 on Day 1 (62.4% vs. 22.6%) and Day 7 (87.8% vs. 42.3%) and for pH&gt;6.0 on Day 1 (33.1 vs. 7.4) and Day 7 (62.5% vs. 16.4%). Mean 24-hour intragastric pH for vonoprazan and lansoprazole was 4.6 and 2.8, respectvely, on Day 1, and 5.9 and 3.8, respectvely, on Day 7. Gastric pH levels are measured on a logarithmic scale from 0.0 to 14.0, in which each point represents a 10-fold change in acidity and higher pH values represent less acidity. In this study, vonoprazan maintained an average pH approximately two points higher than lansoprazole at Day 7.</w:t>
      </w:r>
    </w:p>
    <w:p>
      <w:pPr>
        <w:spacing w:after="0" w:line="19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Improved Onset and Potency of pH Control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2391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This improved potency and duraton of pH control with vonoprazan, as measured by 24-hour pH hold tme and tme above pH 4.0, was evident not only at Day 1, but also at Day 7 when lansoprazole had reached its steady state (see table below).</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1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24-hr Hold Time &gt; pH 4.0 and Mean pH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134620</wp:posOffset>
            </wp:positionV>
            <wp:extent cx="4800600" cy="1663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Vonoprazan demonstrated similarly greater tme above pH 4.0 versus the PPI esomeprazole (Nexium) in a randomized, open-label, crossover clinical trial comparing 20 mg QD vonoprazan to 20 mg QD of esomeprazole in 20 healthy volunteers. In that trial, greater duraton of pH control with vonoprazan, as measured by tme above pH 4.0 was observed both on Day 1 and Day 7 (see table below).</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24-hr Hold Time &gt;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134620</wp:posOffset>
            </wp:positionV>
            <wp:extent cx="3592195" cy="128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921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for the Treatment of Acid-Related GI Diseases</w:t>
      </w:r>
    </w:p>
    <w:p>
      <w:pPr>
        <w:spacing w:after="0" w:line="177"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 xml:space="preserve">Given the shortcomings of PPI therapy, we believe that there is a signifcant unmet medical need for a safe and efectve ant-secretory agent with rapid, potent, and durable ant-secretary efects. In May 2022, we received FDA approval for VOQUEZNA TRIPLE PAK and VOQUEZNA DUAL PAK, each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in adults. In November 2023, we received FDA approval of vonoprazan, under the brand name VOQUEZNA, for the healing and maintenance of healing of all grades of erosive esophagits and relief of heartburn associated with erosive esophagits in adults, and in September 2023, we submited an NDA seeking approval of vonoprazan as a once-daily treatment of heartburn associated with symptomatc Non-Erosive GERD in adults. Before we developed and obtained our inital approvals for VOQUEZNA, VOQUEZNA TRIPLE PAK and VOQUEZNA DUAL PAK in the United States, vonoprazan was developed in markets outside of the United States by Takeda through an extensive clinical program, including 19 Phase 3 clinical trials. As of December 2023, an estmate of over 60 million patents have received vonoprazan in Japan and other countries in Asia since its launch. Vonoprazan received marketng approval in Japan in late 2014 and generated approximately $850 million in net sales in its seventh full year on the market in Japan.</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in GERD</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Based on the signifcant unmet medical need, previous Phase 3 trial results from Japan and elsewhere in Asia, and commercial potental, we prioritzed the development and commercializaton of vonoprazan in GERD, specifcally for:</w:t>
      </w:r>
    </w:p>
    <w:p>
      <w:pPr>
        <w:spacing w:after="0" w:line="186"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healing of Erosive GERD and relief of associated heartburn;</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maintenance of healing of Erosive GERD and relief of associated heartburn;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63" w:lineRule="exact"/>
        <w:rPr>
          <w:sz w:val="20"/>
          <w:szCs w:val="20"/>
          <w:color w:val="auto"/>
        </w:rPr>
      </w:pPr>
    </w:p>
    <w:p>
      <w:pPr>
        <w:ind w:left="900" w:right="160" w:hanging="383"/>
        <w:spacing w:after="0" w:line="235" w:lineRule="auto"/>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daily treatment of heartburn associated with symptomatc Non-Erosive GERD in adults, for which our NDA is currently under review by the FDA.</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Disease Overview</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GERD is one of the most prevalent diseases of any kind and is the most prevalent GI disease, afectng approximately 20% of the U.S. populaton and approximately 15% of the European populaton. We estmate there are approximately 65 million individuals with GERD in the United States and 50 million individuals with GERD in the EU5. GERD is a disease that develops when the refux of acidic stomach contents into the esophagus causes troublesome symptoms and/or complicatons. The term covers a spectrum of diseases, the main categories of which are Erosive GERD, or EE, and Non-Erosive refux disease, or Non-Erosive GERD. These diseases are detailed below:</w:t>
      </w:r>
    </w:p>
    <w:p>
      <w:pPr>
        <w:spacing w:after="0" w:line="193" w:lineRule="exact"/>
        <w:rPr>
          <w:sz w:val="20"/>
          <w:szCs w:val="20"/>
          <w:color w:val="auto"/>
        </w:rPr>
      </w:pPr>
    </w:p>
    <w:p>
      <w:pPr>
        <w:ind w:left="900" w:right="14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Erosive GERD</w:t>
      </w:r>
      <w:r>
        <w:rPr>
          <w:rFonts w:ascii="Calibri" w:cs="Calibri" w:eastAsia="Calibri" w:hAnsi="Calibri"/>
          <w:sz w:val="18"/>
          <w:szCs w:val="18"/>
          <w:color w:val="auto"/>
        </w:rPr>
        <w:t>: Approximately 30% of GERD patents have Erosive GERD, which is classifed by erosions in the gastric mucosa caused by acidic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refux of stomach contents into the esophagus. Erosive GERD is commonly graded by the Los Angeles (LA) classifcaton system, which characterizes the extent of erosions in the esophagus and is graded on a scale of increasing severity from A to D, with D being the most severe. Approximately 20% to 30% of Erosive GERD patents have moderate-to-severe disease with LA grade C or D erosions. Erosive GERD can have serious consequences. If lef untreated, esophagits may develop into peptc stricture, Barret’s esophagus or esophageal cancer.</w:t>
      </w:r>
    </w:p>
    <w:p>
      <w:pPr>
        <w:spacing w:after="0" w:line="206"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Symptomatc Non-Erosive gastroesophageal refux disease (Non-Erosive GERD)</w:t>
      </w:r>
      <w:r>
        <w:rPr>
          <w:rFonts w:ascii="Calibri" w:cs="Calibri" w:eastAsia="Calibri" w:hAnsi="Calibri"/>
          <w:sz w:val="18"/>
          <w:szCs w:val="18"/>
          <w:color w:val="auto"/>
        </w:rPr>
        <w:t>: Approximately 70% of GERD patents have Non-Erosive GERD,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classifed by abnormal gastric acid exposure in the esophagus and persistent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127000</wp:posOffset>
            </wp:positionV>
            <wp:extent cx="4937760" cy="277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GERD patents typically present with heartburn and refux symptoms. Based on these symptoms, patents are typically treated frst-line with PPIs prior to a diagnostc endoscopy for specifc disease classifcaton of Erosive GERD or Non-Erosive GERD. Clinical guidelines suggest that endoscopy be performed in patents who contnue to have symptoms despite a four- to-eight-week course of daily PPIs or have alarm symptoms, including GI bleeding, anemia, weight loss, chest pain, or difcult or painful swallowing. Our market research suggests that most patents are treated empirically based on symptoms rather than based on endoscopic characterizaton of disease.</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Treatment Paradigm</w:t>
      </w:r>
    </w:p>
    <w:p>
      <w:pPr>
        <w:spacing w:after="0" w:line="190"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PPIs are currently the most widely used ant-secretory agents available in the United States and Europe for relieving GERD symptoms and healing erosions in gastric mucosa. Our market research suggests that approximately 80% of patents who are</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 w:name="page17"/>
    <w:bookmarkEnd w:id="16"/>
    <w:p>
      <w:pPr>
        <w:spacing w:after="0" w:line="149"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pharmacologically treated receive a PPI, and approximately 85% of PPI use is prescripton rather than OTC. The majority of PPI use is chronic, with more than 70% of patents prescribed PPIs for daily use. According to IQVIA Xponent prescripton data, approximately 110 million PPI prescriptons are writen and flled annually across all indicatons.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There are few treatment optons for GERD patents who are inadequately managed on PPI therapy. In a real world study conducted in 2020 and 2021 evaluatng the perspectves and unmet needs of over 400 physicians and patents in the U.S. in the management of acid related disorders, only half of physicians reported that their patents are getng long-lastng relief from a PPI resultng in approximately 25% of patents taking a PPI more than once a day despite patents’ concerns about long term side efects of PPI use. A limited number of patents proceed to a surgical procedure, such as Nissen fundoplicaton. However, this procedure results in postoperatve morbidity of 5% to 20%, as well as a two-to six-week recovery period and a median hospital stay of two days.</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U.S. market research survey reported that 55% to 60% of physicians included in the survey believed that vonoprazan has demonstrated superior efcacy in the healing and maintenance of healed esophageal erosions compared to existng Erosive GERD treatments, provides faster onset of acton compared to existng GERD treatments, and has superior duraton and magnitude of gastric pH control compared to existng GERD treatments.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Clinical Data for Vonoprazan in GERD</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Erosive GERD</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Five Phase 3 clinical trials have been completed comparing vonoprazan to PPIs in Erosive GERD: our healing and maintenance of healing trial in the United States and Europe; a healing trial in Japan; a maintenance of healing trial in Japan; a healing trial in Asia (China, Taiwan, and Korea); and a maintenance of healing trial in Asia. In additon to these Phase 3 trials, several published investgator-sponsored studies have compared vonoprazan to PPIs across dosing regimens and endpoints. Results of these clinical trials are summarized below.</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and Maintenance of Healing of Erosive GERD in the United States and Europe (PHALCON-EE)</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October 2021, we announced that vonoprazan successfully met its primary endpoints and key secondary superiority endpoints in PHALCON-EE, our pivotal Phase 3 trial evaluatng vonoprazan versus lansoprazole for the treatment of Erosive GERD.</w:t>
      </w:r>
    </w:p>
    <w:p>
      <w:pPr>
        <w:spacing w:after="0" w:line="177" w:lineRule="exact"/>
        <w:rPr>
          <w:sz w:val="20"/>
          <w:szCs w:val="20"/>
          <w:color w:val="auto"/>
        </w:rPr>
      </w:pPr>
    </w:p>
    <w:p>
      <w:pPr>
        <w:ind w:right="200" w:firstLine="509"/>
        <w:spacing w:after="0" w:line="254" w:lineRule="auto"/>
        <w:rPr>
          <w:sz w:val="20"/>
          <w:szCs w:val="20"/>
          <w:color w:val="auto"/>
        </w:rPr>
      </w:pPr>
      <w:r>
        <w:rPr>
          <w:rFonts w:ascii="Calibri" w:cs="Calibri" w:eastAsia="Calibri" w:hAnsi="Calibri"/>
          <w:sz w:val="17"/>
          <w:szCs w:val="17"/>
          <w:color w:val="auto"/>
        </w:rPr>
        <w:t>PHALCON-EE was a randomized, double-blind, two-phase, multcenter, Phase 3 trial that enrolled 1,024 patents with EE in the U.S. and Europe. PHALCON-EE was modeled afer the successful Phase 3 clinical trials conducted in Japan and Asia with limited diferences, including the combinaton of the healing and maintenance phases into one single study whereas in Japan and Asia separate clinical trials were conducted for each of these indicatons.</w:t>
      </w:r>
    </w:p>
    <w:p>
      <w:pPr>
        <w:spacing w:after="0" w:line="16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frst phase of the trial, the Healing Phase, evaluated the efcacy and safety of vonoprazan 20 mg QD compared to lansoprazole 30 mg QD for the healing of Erosive GERD for up to eight weeks. In the Healing Phase, patents were assessed via endoscopy to determine complete healing following 2 weeks of treatment and, if complete healing was not achieved, a second endoscopy occurred at 8 weeks of treatment. Patents who achieved complete healing were re-randomized into the second phase of the trial, the Maintenance Phase, where vonoprazan 10 mg and 20 mg were compared to lansoprazole 15 mg to assess maintenance of healing of Erosive GERD via endoscopy following 24 weeks of treatment. Heartburn symptom relief was assessed via secondary endpoints in both the Healing and Maintenance Phases of the study based on twice daily e-diary data collecton.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Design of US/EU Phase 3 Clinical Trial for the Healing and Maintenance of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135255</wp:posOffset>
            </wp:positionV>
            <wp:extent cx="4791710" cy="2263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917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Phase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endpoint analysis of the Healing Phase was non-inferiority of vonoprazan 20 mg compared to lansoprazole 30 mg in the percentage of all patents who have complete healing of Erosive GERD by Week 8. Vonoprazan met the non-inferiority criteria for the primary comparison with a healing rate of 93% compared to 85% for lansoprazole (p&lt;0.0001). Based on a prespecifed exploratory comparison test, the diference in healing rates in all patents between vonoprazan and lansoprazole was also signifcant (nominal p&lt;0.0001). Non-inferiority analyses are conducted to evaluate whether the efect of an agent is not worse than the actve control by more than a specifed margin, while superiority analyses are conducted to evaluate whether an agent outperformed a comparator by a statstcally signifcant margin.</w:t>
      </w:r>
    </w:p>
    <w:p>
      <w:pPr>
        <w:spacing w:after="0" w:line="194"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Vonoprazan met the secondary superiority endpoint of healing in patents with moderate-to-severe disease, defned as patents with esophageal erosions classifed as Grades C or D by the Los Angeles (LA) Classifcaton System, at Week 2, demonstratng signifcantly faster healing than lansoprazole (70% for vonoprazan 20 mg and 53% for lansoprazole 30 mg) (p=0.0008). Vonoprazan also met the secondary endpoint of showing non-inferiority to lansoprazole 30 mg in the mean percentage of 24-hour heartburn free days over the healing period. In additonal pre-specifed secondary endpoint superiority comparisons, vonoprazan 20 mg healing rates were numerically greater than lansoprazole 30 mg in all patents at Week 2 (nominal p=0.0348) and in moderate-to-severe patents by Week 8 (nominal p&lt;0.0001), although these superiority comparisons were not tested in the pre-specifed testng hierarchy.</w:t>
      </w:r>
    </w:p>
    <w:p>
      <w:pPr>
        <w:spacing w:after="0" w:line="169"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Vonoprazan 20 mg was also compared to lansoprazole 30 mg in a superiority test for onset of sustained resoluton of heartburn by day 3 but did not achieve statstcal signifcance (p=0.439).</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Results of US/EU Phase 3 Clinical Trial in the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135255</wp:posOffset>
            </wp:positionV>
            <wp:extent cx="4852035" cy="2117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520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Maintenance Phase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met the primary and all secondary endpoints in the Maintenance Phase. The primary endpoint of the Maintenance Phase was non-inferiority of vonoprazan 10 mg and 20 mg compared to lansoprazole 15 mg in the percentage of all patents who maintained healing of Erosive GERD through Week 24.</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Both vonoprazan doses met the Maintenance Phase primary endpoint of non-inferiority while also meetng the pre-specifed secondary comparison demonstratng superiority of maintenance of healing versus lansoprazole (79% for vonoprazan 10 mg, 81% for vonoprazan 20 mg compared to 72% for lansoprazole 15 mg) (p&lt;0.0001 for both non-inferiority comparisons; p=0.0438 for vonoprazan 10 mg superiority comparison; p=0.0136 for vonoprazan 20 mg superiority comparison).</w:t>
      </w:r>
    </w:p>
    <w:p>
      <w:pPr>
        <w:spacing w:after="0" w:line="179"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Both vonoprazan doses also met the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 Additonally, both vonoprazan doses also met the secondary endpoint of showing non-inferiority to lansoprazole 15 mg in the mean percentage of 24-hour heartburn free days over the maintenance period.</w:t>
      </w:r>
    </w:p>
    <w:p>
      <w:pPr>
        <w:spacing w:after="0" w:line="1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Results of US/EU Phase 3 Clinical Trial in Maintenance of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135255</wp:posOffset>
            </wp:positionV>
            <wp:extent cx="4817745" cy="2117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17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and Maintenance of Healing of Erosive GERD Clinical Trials in Japan and Asia</w:t>
      </w:r>
    </w:p>
    <w:p>
      <w:pPr>
        <w:spacing w:after="0" w:line="190"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results of PHALCON-EE were consistent with the results of earlier Phase 3 trials of vonoprazan in healing and maintenance of healing of Erosive GERD afer which it was modeled. These trials were conducted in Japan as well as other countries in Asia.</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two Phase 3 trials in healing of Erosive GERD comparing vonoprazan 20 mg QD to lansoprazole 30 mg QD for up to eight weeks, one conducted in Japan and the other in several countries in Asia, vonoprazan achieved the primary endpoint of non-inferiority versus lansoprazole on the percent of patents with healed Erosive GERD up to Week 8. Exploratory testng suggested higher healing rates for vonoprazan versus lansoprazole in the moderate to severe patents at Week 2 in both studies.</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Similarly, in two Phase 3 trials in maintenance of healing of Erosive GERD comparing two doses of vonoprazan (10 mg and 20 mg QD) to lansoprazole 15 mg QD for 24 weeks, one conducted in Japan and the other in several countries in Asia, both vonoprazan doses achieved the primary endpoint of non-inferiority versus lansoprazole on the percent of patents with recurrence of Erosive GERD during the 24-week maintenance period. In both studies, exploratory testng suggested higher maintenance of healing rates for both vonoprazan doses versus lansoprazole in all patents and in the moderate to severe patents.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Symptomatc Non-Erosive Gastroesophageal Refux Disease (Non-Erosive GERD)</w:t>
      </w:r>
    </w:p>
    <w:p>
      <w:pPr>
        <w:spacing w:after="0" w:line="177" w:lineRule="exact"/>
        <w:rPr>
          <w:sz w:val="20"/>
          <w:szCs w:val="20"/>
          <w:color w:val="auto"/>
        </w:rPr>
      </w:pPr>
    </w:p>
    <w:p>
      <w:pPr>
        <w:jc w:val="both"/>
        <w:ind w:right="20" w:firstLine="509"/>
        <w:spacing w:after="0" w:line="249" w:lineRule="auto"/>
        <w:rPr>
          <w:sz w:val="20"/>
          <w:szCs w:val="20"/>
          <w:color w:val="auto"/>
        </w:rPr>
      </w:pPr>
      <w:r>
        <w:rPr>
          <w:rFonts w:ascii="Calibri" w:cs="Calibri" w:eastAsia="Calibri" w:hAnsi="Calibri"/>
          <w:sz w:val="17"/>
          <w:szCs w:val="17"/>
          <w:color w:val="auto"/>
        </w:rPr>
        <w:t>We believe that there is an opportunity to broadly positon vonoprazan’s use in GERD with an indicaton in the treatment of heartburn associated with symptomatc GERD in patents without erosions, also known as Non-Erosive GERD, in additon to our current approved indicaton in Erosive GERD. In fact, we are developing vonoprazan as a treatment for heartburn associated with symptomatc Non-Erosive GERD with both daily and as needed dosing regimens.</w:t>
      </w:r>
    </w:p>
    <w:p>
      <w:pPr>
        <w:spacing w:after="0" w:line="2"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Non-Erosive GERD patents do not have esophageal erosions that require chronic treatment to prevent recurrence of erosions and their potental sequelae. Moreover, we believe the rapid onset of acid control of vonoprazan may enable as-needed use for the management of heartburn in Non-Erosive GERD patents as an alternatve to chronic daily treatment.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Daily Dosing of Vonoprazan for the Treatment of Heartburn Associated with Symptomatc Non-Erosive GERD (PHALCON-NERD-301)</w:t>
      </w:r>
    </w:p>
    <w:p>
      <w:pPr>
        <w:spacing w:after="0" w:line="177"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In January 2023, we reported positve topline data from the primary endpoint in PHALCON-NERD-301, our Phase 3 study evaluatng the safety and efcacy of vonoprazan 10 mg and 20 mg as a daily dosing (QD) treatment, as compared to placebo (QD), in the relief of heartburn over four weeks in adult partcipants with symptomatc Non-Erosive refux disease, or Non-Erosive GERD. In this trial, patents in each vonoprazan treatment group, 10 mg and 20 mg, had a signifcantly higher mean percentage of 24-hour heartburn-free days (without daytme or nightme heartburn as assessed by daily diary) compared to placebo afer four weeks. This is the same endpoint used in other Phase 3 trials for PPIs that are approved in the U.S. for the treatment of Non-Erosive GERD.</w:t>
      </w:r>
    </w:p>
    <w:p>
      <w:pPr>
        <w:spacing w:after="0" w:line="184" w:lineRule="exact"/>
        <w:rPr>
          <w:sz w:val="20"/>
          <w:szCs w:val="20"/>
          <w:color w:val="auto"/>
        </w:rPr>
      </w:pPr>
    </w:p>
    <w:p>
      <w:pPr>
        <w:ind w:firstLine="509"/>
        <w:spacing w:after="0" w:line="258" w:lineRule="auto"/>
        <w:rPr>
          <w:sz w:val="20"/>
          <w:szCs w:val="20"/>
          <w:color w:val="auto"/>
        </w:rPr>
      </w:pPr>
      <w:r>
        <w:rPr>
          <w:rFonts w:ascii="Calibri" w:cs="Calibri" w:eastAsia="Calibri" w:hAnsi="Calibri"/>
          <w:sz w:val="17"/>
          <w:szCs w:val="17"/>
          <w:color w:val="auto"/>
        </w:rPr>
        <w:t>PHALCON-NERD-301 also included a blinded 20-week long-term extension period to further evaluate the safety and efcacy of both doses of vonoprazan afer six months of contnuous use. A total of 772 patents with Non-Erosive GERD were enrolled, randomized and dosed in the multsite U.S. trial.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44"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Design of PHALCON-NERD-301 Phase 3 Non-Erosive Daily Dosing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151765</wp:posOffset>
            </wp:positionV>
            <wp:extent cx="4689475" cy="2468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894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Primary Endpoint of Phase 3 Clinical Trial in the Treatment of Non-Erosive GERD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endpoint of the study, measured during the four-week, double-blind, placebo-controlled period, is the mean percentage of 24-hour heartburn free days. The topline results from the study showed both doses of vonoprazan, 20 mg and 10 mg, met the primary endpoint and demonstrated a signifcantly greater mean percentage of 24-hour heartburn-free days versus placebo (45% vonoprazan 10 mg, 44% vonoprazan 20 mg, 28% for placebo; p&lt;0.0001 for both vonoprazan doses versus placebo). Additonally, the median percentage of 24-hour heartburn-free days was 48%, 46% and 17% for vonoprazan 10 mg, vonoprazan 20 mg, and placebo, respectvely.</w:t>
      </w:r>
    </w:p>
    <w:p>
      <w:pPr>
        <w:spacing w:after="0" w:line="180" w:lineRule="exact"/>
        <w:rPr>
          <w:sz w:val="20"/>
          <w:szCs w:val="20"/>
          <w:color w:val="auto"/>
        </w:rPr>
      </w:pPr>
    </w:p>
    <w:p>
      <w:pPr>
        <w:jc w:val="both"/>
        <w:ind w:right="40" w:firstLine="509"/>
        <w:spacing w:after="0" w:line="254" w:lineRule="auto"/>
        <w:rPr>
          <w:sz w:val="20"/>
          <w:szCs w:val="20"/>
          <w:color w:val="auto"/>
        </w:rPr>
      </w:pPr>
      <w:r>
        <w:rPr>
          <w:rFonts w:ascii="Calibri" w:cs="Calibri" w:eastAsia="Calibri" w:hAnsi="Calibri"/>
          <w:sz w:val="17"/>
          <w:szCs w:val="17"/>
          <w:color w:val="auto"/>
        </w:rPr>
        <w:t>Vonoprazan was generally well tolerated in the inital four 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w:t>
      </w:r>
    </w:p>
    <w:p>
      <w:pPr>
        <w:spacing w:after="0" w:line="376"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Results of Phase 3 Clinical Trial in the Treatment of Non-Erosive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wp:posOffset>
            </wp:positionV>
            <wp:extent cx="3994785" cy="2348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9478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1" w:name="page22"/>
    <w:bookmarkEnd w:id="21"/>
    <w:p>
      <w:pPr>
        <w:spacing w:after="0" w:line="14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the 20-week extension period, patents randomized to vonoprazan 10 mg and 20 mg during the inital 4-week period remained on their blinded treatment assignment. The mean percentage of heartburn free days reported over the 20-week extension period for these patents was 63% for vonoprazan 10 mg and 61% for vonoprazan 20 mg. Additonally, patents who were randomized to placebo during the inital 4-week period were re-randomized to either vonoprazan 10 mg or 20 mg for the 20-week extension period. For these patents, the mean percentage of heartburn free days reported over the 20-week extension period was 62% for vonoprazan 10 mg and 63% for vonoprazan 20 mg. The graph below shows the percentage of subjects without heartburn over the entre 24-week course of the study in the intent-to-treat subject set, which represents subjects who received at least one dose of study medicaton during randomized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137795</wp:posOffset>
            </wp:positionV>
            <wp:extent cx="4937760" cy="2777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Vonoprazan was generally well tolerated in the 20-week extension period. The most common adverse events reported for the two vonoprazan doses during that period were upper respiratory tract infecton, sinusits, infuenza, urinary tract infecton, nasopharyngits, nausea, and gastroenterits, each reported at or below 5%.</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As Needed Dosing of Vonoprazan for the Treatment of Non-Erosive GERD</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February 2022, we announced that vonoprazan (10 mg, 20 mg and 40 mg), successfully met the primary endpoint in PHALCON-NERD-201, a Phase 2 trial evaluatng three doses of vonoprazan versus placebo as an as needed treatment of Non-Erosive GERD.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PHALCON-NERD-201 was a Phase 2, randomized, double-blind, multcenter study that enrolled 458 subjects in the U.S. to evaluate the efcacy and safety of vonoprazan 10 mg, 20 mg, and 40 mg administered as needed for relief of episodic heartburn compared to placebo in subjects with Non-Erosive GERD (as confrmed by endoscopy). Afer an inital four-week vonoprazan 20 mg QD dose open-label run-in period, two hundred and seven subjects without a heartburn episode during the last 7 days of the run-in period and who also met drug and diary compliance requirements were randomized to receive vonoprazan 10 mg, 20 mg, 40 mg or placebo as needed for six weeks. Subjects completed an electronic diary to assess presence and severity of heartburn symptoms and use of rescue antacid (if needed).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ind w:right="-19"/>
        <w:spacing w:after="0"/>
        <w:rPr>
          <w:sz w:val="20"/>
          <w:szCs w:val="20"/>
          <w:color w:val="auto"/>
        </w:rPr>
      </w:pPr>
      <w:r>
        <w:rPr>
          <w:rFonts w:ascii="Calibri" w:cs="Calibri" w:eastAsia="Calibri" w:hAnsi="Calibri"/>
          <w:sz w:val="18"/>
          <w:szCs w:val="18"/>
          <w:b w:val="1"/>
          <w:bCs w:val="1"/>
          <w:color w:val="auto"/>
        </w:rPr>
        <w:t>Design for PHALCON-NERD Phase 2 Non-Erosive GERD As Needed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126365</wp:posOffset>
            </wp:positionV>
            <wp:extent cx="4808855" cy="2459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0885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this Phase 2 proof-of-concept trial, the primary endpoint was the percentage of heartburn episodes completely relieved within three hours and with no further heartburn reported for 24 hours afer taking study drug. All three vonoprazan doses met this primary endpoint and were statstcally signifcant (p&lt;0.0001) when compared to placebo. Within three hours, vonoprazan 10 mg, 20 mg and 40 mg achieved complete and sustained relief in 56.0%, 60.6% and 70.0% of evaluable heartburn episodes, respectvely, as compared to 27.3% of episodes for placebo.</w:t>
      </w:r>
    </w:p>
    <w:p>
      <w:pPr>
        <w:spacing w:after="0" w:line="179"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During the PHALCON-NERD open-label daily dosing run-in phase, where all enrolled partcipants received vonoprazan 20 mg QD for four weeks, the mean percentage of 24-hour heartburn free days observed was 65.4% (median 76.0%).</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Based on the following results of PHALCON-NERD-201, we plan to initate a Phase 3 trial to evaluate the novel dosing regimen of vonoprazan as an as needed treatment for episodic heartburn relief in patents with Non-Erosive GERD, a dosing regimen not approved in the U.S. for PPIs, in 2024.</w:t>
      </w:r>
    </w:p>
    <w:p>
      <w:pPr>
        <w:spacing w:after="0" w:line="1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Results of Phase 2 Non-Erosive GERD As Needed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126365</wp:posOffset>
            </wp:positionV>
            <wp:extent cx="4191635" cy="255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9163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Vonoprazan in Combinaton with Antbiotcs for the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Disease Burden and Outcomes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i w:val="1"/>
          <w:iCs w:val="1"/>
          <w:color w:val="auto"/>
        </w:rPr>
        <w:t xml:space="preserve">H. pylori </w:t>
      </w:r>
      <w:r>
        <w:rPr>
          <w:rFonts w:ascii="Calibri" w:cs="Calibri" w:eastAsia="Calibri" w:hAnsi="Calibri"/>
          <w:sz w:val="18"/>
          <w:szCs w:val="18"/>
          <w:color w:val="auto"/>
        </w:rPr>
        <w:t>is a bacterial pathogen that infects approximately 35% of the U.S. populaton, 45% of the EU5 populaton, and more than 50% of the global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populaton. We estmate that there are approximately 115 million individuals in the United States and 145 million individuals in the EU5 infected with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pylori</w:t>
      </w:r>
      <w:r>
        <w:rPr>
          <w:rFonts w:ascii="Calibri" w:cs="Calibri" w:eastAsia="Calibri" w:hAnsi="Calibri"/>
          <w:sz w:val="18"/>
          <w:szCs w:val="18"/>
          <w:color w:val="auto"/>
        </w:rPr>
        <w:t>, and we believe there are approximately 2.5 million patents treated for</w:t>
      </w:r>
      <w:r>
        <w:rPr>
          <w:rFonts w:ascii="Calibri" w:cs="Calibri" w:eastAsia="Calibri" w:hAnsi="Calibri"/>
          <w:sz w:val="18"/>
          <w:szCs w:val="18"/>
          <w:i w:val="1"/>
          <w:iCs w:val="1"/>
          <w:color w:val="auto"/>
        </w:rPr>
        <w:t xml:space="preserve"> H. pylori </w:t>
      </w:r>
      <w:r>
        <w:rPr>
          <w:rFonts w:ascii="Calibri" w:cs="Calibri" w:eastAsia="Calibri" w:hAnsi="Calibri"/>
          <w:sz w:val="18"/>
          <w:szCs w:val="18"/>
          <w:color w:val="auto"/>
        </w:rPr>
        <w:t>infecton in the United States each year. As a result of the chronic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develop a range of pathologies including dyspepsia, peptc ulcer disease, gastric cancer, and MALT lymphoma. Gastric cancer is the third most common cause of cancer-related death worldwide, and over 80% of gastric cancers are atributed to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Globally there are more than one million new cases of gastric cancer and approximately 782,000 deaths each year.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has been proven to reduce the incidence of gastric cancer, and the American College of Gastroenterologists, or ACG, guidelines recommend treatment for all patents diagnosed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 xml:space="preserve">In 2017, the World Health Organizaton, or WHO, listed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among the 16 antbiotc-resistant bacteria that pose the greatest threat to human health and designated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as a Class 1 carcinogen, meaning that it is a defnite known cause of cancer. In 2014, the FDA added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to the agency’s list of qualifying pathogens that have the potental to pose a serious threat to public health under the GAIN Act. Despite the importance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of eradicaton have fallen from the 1990s to the current rates where it is estmated that about 25% of patents fail frst-line therapy. These declining eradicaton rates are due to multple factors partcularly rising rates of antbiotc resistance, complexity of existng treatment regimens which contributes to suboptmal patent adherence, and insufcient acid suppression. Acid suppression is important because it helps maintain pH levels that can enhance antbiotc efectveness.</w:t>
      </w:r>
    </w:p>
    <w:p>
      <w:pPr>
        <w:spacing w:after="0" w:line="19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need for improved treatment optons in the U.S. is illustrated by a review of U.S. claims data between 2016 and 2019 for newly diagnosed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patents. The results of this study show not only declining eradicaton rates and the need for improved treatment, but also a need for improved testng and follow-up. This study showed not only that almost one-third of patents did not receive a treatment that aligned with then-current U.S. clinical treatment guidelines, but also that nearly 22% of patents who received a frst-line treatment consistent with treatment guidelines failed to eradicate their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only 11% of those who failed to receive any subsequent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treatment.</w:t>
      </w:r>
    </w:p>
    <w:p>
      <w:pPr>
        <w:spacing w:after="0" w:line="180" w:lineRule="exact"/>
        <w:rPr>
          <w:sz w:val="20"/>
          <w:szCs w:val="20"/>
          <w:color w:val="auto"/>
        </w:rPr>
      </w:pPr>
    </w:p>
    <w:p>
      <w:pPr>
        <w:ind w:right="200" w:firstLine="509"/>
        <w:spacing w:after="0" w:line="251" w:lineRule="auto"/>
        <w:rPr>
          <w:sz w:val="20"/>
          <w:szCs w:val="20"/>
          <w:color w:val="auto"/>
        </w:rPr>
      </w:pPr>
      <w:r>
        <w:rPr>
          <w:rFonts w:ascii="Calibri" w:cs="Calibri" w:eastAsia="Calibri" w:hAnsi="Calibri"/>
          <w:sz w:val="17"/>
          <w:szCs w:val="17"/>
          <w:color w:val="auto"/>
        </w:rPr>
        <w:t xml:space="preserve">A study evaluatng global temporal trends in the efcacy of clarithromycin-based regimens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concluded that Vonoprazan-based triple therapy partally mitgated the decline in eradicaton rates seen with PPI-based triple therapy, likely due to more powerful acid suppression of vonoprazon (Moss et al. Therap Adv Gastroenterol. 2023; 16). The potental of vonoprazan-based treatment regimens can be seen in the results of a retrospectve study that compiled real-world health insurance claims data in Japan from 2008 to 2016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Prior to vonoprazan’s approval in late 2014, 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across Japan fell to below 80% as shown in the fgure below. Approximately one year afer vonoprazan’s launch, the eradicaton rate increased to greater than 85%. From January 2015 to March 2016, the eradicaton rate with PPI-containing regimens in Japan was between 78% and 82% while the eradicaton rate with vonoprazan-containing regimens was 91% across all patents in this analysis.</w:t>
      </w:r>
    </w:p>
    <w:p>
      <w:pPr>
        <w:spacing w:after="0" w:line="168"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Results were similar in a real-world study using a diferent Japanese health insurance claims database. Among patents initatng vonoprazan or a PPI between January 2015 and January 2020 to treat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93% of vonoprazan-treated patents did not receive a second line of triple therapy compared to 80% of PPI-treated patents.</w:t>
      </w:r>
    </w:p>
    <w:p>
      <w:pPr>
        <w:spacing w:after="0" w:line="19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Following the 2015 launch of vonoprazan in Japan not only did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increase, vonoprazan-containing regimens rapidly became the most common frst line treatment. One-year post launch, approximately 80% of all treated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-infected patents received vonoprazan-based regimens. In the study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-infected patents, vonoprazan-based regimens overtook PPI-based regimens as the most common frst-line treatment between 2015 and 2019. Within this Japanese database, the number of patents using vonoprazan-based regimens increased from 6,594 to 28,956 patents, while the number of patents using a PPI-based regimen decreased from 11,238 to 2,629, shown in the fgure below.</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4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 xml:space="preserve">Uptake of Vonoprazan-Based vs. PPI-Based Therapy for First Line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 in Japan from 2015-2019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134620</wp:posOffset>
            </wp:positionV>
            <wp:extent cx="3248660" cy="1971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486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This same real-world study utlizing Japanese claims data also shows that improved eradicaton rates have the potental to result in signifcant reductons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-related healthcare costs and healthcare resource utlizaton. The results of this study showed that vonoprazan was associated with lower healthcare costs and healthcare resource utlizaton than PPI-based therapy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Japan. Specifcally, during the 12 months following initaton of treatment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all-cause healthcare costs and healthcare resource utlizaton were signifcantly lower for patents treated with vonoprazan-based triple therapy compared to a PPI-based triple therapy.</w:t>
      </w:r>
    </w:p>
    <w:p>
      <w:pPr>
        <w:spacing w:after="0" w:line="22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Given the clinical and post-marketng experience in the Japanese market, we believe that vonoprazan-based treatment regimens have the potental not only to restore eradicaton rates to their 1990s rates in the United States and Europe but also to signifcantly reduce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-related healthcare costs and healthcare resource utlizaton.</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Treatment Paradigm in the United States and Europe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The ACG treatment guidelines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recommend using PPIs in conjuncton with antbiotcs to improve antbiotc efcacy against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The use of ant-secretory agents enhances the efect of antbiotcs in two ways. First, ant-secretory agents increase gastric pH, which in turn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increases the stability of the antbiotcs. For example, amoxicillin and clarithromycin are chemically unstable at the low pH typically found in the human stomach. Second, several antbiotcs, including amoxicillin and clarithromycin, are most potent against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at the tme of maximum bacterial replicaton, which occurs at pH 6.0 to 8.0.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is in a dormant state at lower pH values, which reduces the efectveness of the antbiotcs.</w:t>
      </w:r>
    </w:p>
    <w:p>
      <w:pPr>
        <w:spacing w:after="0" w:line="19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The table below shows the minimum inhibitory concentraton of antbiotc required to eradicate 90%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vitro, or MIC90. As pH increases, the amount of antbiotc required for 90% eradicaton decreases substantally.</w:t>
      </w:r>
    </w:p>
    <w:p>
      <w:pPr>
        <w:spacing w:after="0" w:line="12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i w:val="1"/>
          <w:iCs w:val="1"/>
          <w:color w:val="auto"/>
        </w:rPr>
        <w:t xml:space="preserve">H. pylori </w:t>
      </w:r>
      <w:r>
        <w:rPr>
          <w:rFonts w:ascii="Calibri" w:cs="Calibri" w:eastAsia="Calibri" w:hAnsi="Calibri"/>
          <w:sz w:val="18"/>
          <w:szCs w:val="18"/>
          <w:b w:val="1"/>
          <w:bCs w:val="1"/>
          <w:color w:val="auto"/>
        </w:rPr>
        <w:t>MIC</w:t>
      </w:r>
      <w:r>
        <w:rPr>
          <w:rFonts w:ascii="Calibri" w:cs="Calibri" w:eastAsia="Calibri" w:hAnsi="Calibri"/>
          <w:sz w:val="24"/>
          <w:szCs w:val="24"/>
          <w:b w:val="1"/>
          <w:bCs w:val="1"/>
          <w:color w:val="auto"/>
          <w:vertAlign w:val="subscript"/>
        </w:rPr>
        <w:t>90</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b w:val="1"/>
          <w:bCs w:val="1"/>
          <w:color w:val="auto"/>
        </w:rPr>
        <w:t>Values as a Functon of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118110</wp:posOffset>
            </wp:positionV>
            <wp:extent cx="3077210" cy="1208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721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 xml:space="preserve">A triple therapy regimen (PPI, clarithromycin, and either amoxicillin or metronidazole) is the regimen most commonly used in clinical practce for the frst-line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However,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with PPI triple therapy in the 1990s have fallen to current levels of &lt;80%, primarily due to increased resistance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to clarithromycin and metronidazole. A</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recent meta-analysis indicates that U.S. resistance rates measured from 2012 to 2016 were 20% for clarithromycin, 29% for metronidazole, and 19% for levofoxacin. Additonally, in a U.S.-based study from 2021, 65.6% of tested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was resistant to at least one antbiotc currently used for treatment, with resistance rates of 33% for clarithromycin and approximately 30% for metronidazole and levofoxacin. These fgures represent a marked increase from 2009 to 2011 for both clarithromycin and metronidazole, for which resistance was 9% for clarithromycin, 21% for metronidazole, and 11% for levofoxacin.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resistance to amoxicillin remains low despite its use in most triple therapy regimens; resistance is generally &lt;2% among isolates in the United States and Europe. There is a similar trend of increasing resistance to key antbiotcs in Europe.</w:t>
      </w:r>
    </w:p>
    <w:p>
      <w:pPr>
        <w:spacing w:after="0" w:line="19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Given the declining eradicaton rates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bismuth quadruple therapy is recommended as frst-line treatment in areas with known high rates of clarithromycin or metronidazole resistance; however, our U.S. market research study reported that physicians prescribe quadruple therapy to only 17% of frst-line patents. Due predominantly to consideratons of convenience and patent compliance, approximately 75% of physicians surveyed in our market research expressed a preference for convenience, or combinaton packs compared to individual botles for both dual and triple therapy. Further, geographic paterns of resistance in the United States are poorly understood and treatment is largely empiric, with susceptbility testng rarely conducted prior to frst-line treatment. Our U.S. market research study reported that only 8% and 16% of physicians conduct resistance testng prior to prescribing treatment for frst-line and second-line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respectvely.</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our U.S. market research study, physicians highlighted the need for more efectve and simpler frst-line treatment optons. For the treatment of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surveyed physicians highlighted the need for improved eradicaton rates and more convenient dosing as key unmet needs. In fact, on average,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53% and 52% reported a preference to use vonoprazan frst line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in patents with refractory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respectvely.</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H. pylori Phase 3 Clinical Trial in the United States and Europe – PHALCON-HP</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In April 2021, we announced that in PHALCON-HP, our pivotal Phase 3 clinical trial for the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both vonoprazan-based regimens successfully met their primary endpoints and met all secondary endpoints. The trial studied vonoprazan triple therapy and vonoprazan dual therapy compared to lansoprazole triple therapy. We believe PHALCON-HP was the largest U.S. Phase 3 registraton trial ever conducted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randomizing 992 patents with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PHALCON-HP was a randomized, multcenter, Phase 3 trial that enrolled 1,046 patents of which 992 patents with a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were randomized to one of three arms:</w:t>
      </w:r>
    </w:p>
    <w:p>
      <w:pPr>
        <w:spacing w:after="0" w:line="186"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dual therapy</w:t>
      </w:r>
      <w:r>
        <w:rPr>
          <w:rFonts w:ascii="Calibri" w:cs="Calibri" w:eastAsia="Calibri" w:hAnsi="Calibri"/>
          <w:sz w:val="18"/>
          <w:szCs w:val="18"/>
          <w:color w:val="auto"/>
        </w:rPr>
        <w:t>: vonoprazan 20 mg BID and amoxicillin 1 g TID for 14 days (n=324);</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triple therapy</w:t>
      </w:r>
      <w:r>
        <w:rPr>
          <w:rFonts w:ascii="Calibri" w:cs="Calibri" w:eastAsia="Calibri" w:hAnsi="Calibri"/>
          <w:sz w:val="18"/>
          <w:szCs w:val="18"/>
          <w:color w:val="auto"/>
        </w:rPr>
        <w:t>: vonoprazan 20 mg BID, amoxicillin 1000 mg BID and clarithromycin 500 mg BID for 14 days (n=338);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PPI triple therapy</w:t>
      </w:r>
      <w:r>
        <w:rPr>
          <w:rFonts w:ascii="Calibri" w:cs="Calibri" w:eastAsia="Calibri" w:hAnsi="Calibri"/>
          <w:sz w:val="18"/>
          <w:szCs w:val="18"/>
          <w:color w:val="auto"/>
        </w:rPr>
        <w:t>: lansoprazole 30 mg BID, amoxicillin 1000 mg BID and clarithromycin 500 mg BID for 14 days (n=330).</w:t>
      </w:r>
    </w:p>
    <w:p>
      <w:pPr>
        <w:spacing w:after="0" w:line="177"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8"/>
          <w:szCs w:val="18"/>
          <w:color w:val="auto"/>
        </w:rPr>
        <w:t xml:space="preserve">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those patents who did not have clarithromycin or amoxicillin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For regulatory purposes, the primary endpoint of this study was a non-inferiority comparison in the non-resistant subgroup for each of vonoprazan triple therapy and vonoprazan dual therapy compared to lansoprazole triple therapy. All endpoints measured the percentage of patents with successful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as assessed by </w:t>
      </w:r>
      <w:r>
        <w:rPr>
          <w:rFonts w:ascii="Calibri" w:cs="Calibri" w:eastAsia="Calibri" w:hAnsi="Calibri"/>
          <w:sz w:val="24"/>
          <w:szCs w:val="24"/>
          <w:color w:val="auto"/>
          <w:vertAlign w:val="superscript"/>
        </w:rPr>
        <w:t>13</w:t>
      </w:r>
      <w:r>
        <w:rPr>
          <w:rFonts w:ascii="Calibri" w:cs="Calibri" w:eastAsia="Calibri" w:hAnsi="Calibri"/>
          <w:sz w:val="18"/>
          <w:szCs w:val="18"/>
          <w:color w:val="auto"/>
        </w:rPr>
        <w:t xml:space="preserve">C-urea breath test four weeks afer completon of treatment. The primary analysis in the non-resistant populaton assessed the non-inferiority of vonoprazan dual therapy compared to lansoprazole triple therapy and vonoprazan triple therapy compared to lansoprazole triple therapy. Secondary analyses for superiority were conducted in all patents and in the subgroup of patents with clarithromycin-resistant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Further efcacy analyses were conducted using the pre-specifed per protocol populaton (n=822), which is comprised of patents who were protocol compliant as defned by FDA established criteria.</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b w:val="1"/>
          <w:bCs w:val="1"/>
          <w:color w:val="auto"/>
        </w:rPr>
        <w:t xml:space="preserve">Design for PHALCON-HP Phase 3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134620</wp:posOffset>
            </wp:positionV>
            <wp:extent cx="5349240" cy="2442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Primary endpoint analysis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Both vonoprazan-based regimens successfully met their primary endpoints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that were not shown to be resistant to clarithromycin or amoxicillin. In the mITT populaton</w:t>
      </w:r>
      <w:r>
        <w:rPr>
          <w:rFonts w:ascii="Calibri" w:cs="Calibri" w:eastAsia="Calibri" w:hAnsi="Calibri"/>
          <w:sz w:val="18"/>
          <w:szCs w:val="18"/>
          <w:i w:val="1"/>
          <w:iCs w:val="1"/>
          <w:color w:val="auto"/>
        </w:rPr>
        <w:t>, H. pylori</w:t>
      </w:r>
      <w:r>
        <w:rPr>
          <w:rFonts w:ascii="Calibri" w:cs="Calibri" w:eastAsia="Calibri" w:hAnsi="Calibri"/>
          <w:sz w:val="18"/>
          <w:szCs w:val="18"/>
          <w:color w:val="auto"/>
        </w:rPr>
        <w:t xml:space="preserve"> eradicaton rates were 84.7% with vonoprazan triple therapy and 78.5% for vonoprazan dual therapy compared to 78.8% with lansoprazole triple therapy (p&lt;0.0001 and p=0.0073, respectvely, for non-inferiority).</w:t>
      </w:r>
    </w:p>
    <w:p>
      <w:pPr>
        <w:spacing w:after="0" w:line="192"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 xml:space="preserve">In the per protocol populaton,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Secondary endpoint analysis</w:t>
      </w:r>
    </w:p>
    <w:p>
      <w:pPr>
        <w:spacing w:after="0" w:line="177"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 xml:space="preserve">Vonoprazan triple therapy and vonoprazan dual therapy also met all secondary endpoints, and demonstrated superior eradicaton rates versus lansoprazole triple therapy in all patents and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Patents with clarithromycin resistant strains comprised 20.3% of the PHALCON-HP study populaton.</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triple therapy</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triple therapy was superior to that of lansoprazole triple therapy among all patents in both the mITT populaton (80.8% vs. 68.5%; p=0.0003) and the per protocol populaton (85.7% vs. 70.0%; p&lt;0.0001).</w:t>
      </w:r>
    </w:p>
    <w:p>
      <w:pPr>
        <w:spacing w:after="0" w:line="177" w:lineRule="exact"/>
        <w:rPr>
          <w:sz w:val="20"/>
          <w:szCs w:val="20"/>
          <w:color w:val="auto"/>
        </w:rPr>
      </w:pPr>
    </w:p>
    <w:p>
      <w:pPr>
        <w:ind w:right="2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triple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(65.8% vs. 31.9%; p&lt;0.0001) and the per protocol populaton (67.2% vs. 29.0%; p&lt;0.0001).</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dual therapy</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among all patents in both the mITT populaton (77.2% vs. 68.5%; p=0.0127) and the per protocol populaton (81.1% vs. 70.0%; p=0.0027).</w:t>
      </w:r>
    </w:p>
    <w:p>
      <w:pPr>
        <w:spacing w:after="0" w:line="177" w:lineRule="exact"/>
        <w:rPr>
          <w:sz w:val="20"/>
          <w:szCs w:val="20"/>
          <w:color w:val="auto"/>
        </w:rPr>
      </w:pPr>
    </w:p>
    <w:p>
      <w:pPr>
        <w:jc w:val="both"/>
        <w:ind w:right="10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dual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(69.6% vs. 31.9%; p&lt;0.0001) and the per protocol populaton (79.5% vs. 29.0%; p&lt;0.0001).</w:t>
      </w: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7" w:name="page28"/>
    <w:bookmarkEnd w:id="27"/>
    <w:p>
      <w:pPr>
        <w:spacing w:after="0" w:line="14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 xml:space="preserve">Results of US/EU Phase 3 Clinical Trial in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Primary Endpoint Analysis –Subjects without clarithromycin or amoxicillin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49240" cy="1920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Secondary Endpoint Analyses – All subject and subjects with clarithromycin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134620</wp:posOffset>
            </wp:positionV>
            <wp:extent cx="5349240" cy="2648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Antbiotc resistance and declining eradicaton rates are signifcant clinical issues, and we believe that vonoprazan triple therapy and vonoprazan dual therapy have the potental to provide improvements over PPI-based therapies in addressing each of these issues. Vonoprazan dual therapy also has potental to spare the use of clarithromycin, representng an opportunity both for efectve treatment and sound antbiotc stewardship through the avoidance of an additonal antbiotc. As an alternatve to mult-antbiotc drug regimens, vonoprazan dual therapy might also help to limit the spread of resistance among other pathogenic bacteria within populatons. In additon, vonoprazan triple therapy and vonoprazan dual therapy will both be available in daily dosing blister cards inclusive of the appropriate antbiotc. We believe this convenience pack has the potental to enhance compliance in a category where full adherence to treatment regimen is ofen a challenge.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Convenience Packs for H. pylori</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 xml:space="preserve">In September 2021, we submited NDAs for vonoprazan triple therapy, or VOQUEZNA TRIPLE PAK and vonoprazan dual therapy, or VOQUEZNA DUAL PAK,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each as a pre-packaged convenience, or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4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combinaton pack with either clarithromycin and amoxicillin or amoxicillin alone. On May 3, 2022, the FDA approved both NDAs and in December 2023, both products became available at retail pharmacies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15240</wp:posOffset>
            </wp:positionV>
            <wp:extent cx="4551680" cy="256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5168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Convenience packs have the potental to improve patent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 In Japan, vonoprazan is marketed both as a stand-alone medicine as well as in pre-packaged convenience packs with either clarithromycin and amoxicillin (Vonosap) or metronidazole and amoxicillin (Vonopion).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Phase 3 Clinical Trial in Japan of Vonoprazan in Combinaton with Antbiotcs to Treat H. pylori Infecton</w:t>
      </w:r>
    </w:p>
    <w:p>
      <w:pPr>
        <w:spacing w:after="0" w:line="177" w:lineRule="exact"/>
        <w:rPr>
          <w:sz w:val="20"/>
          <w:szCs w:val="20"/>
          <w:color w:val="auto"/>
        </w:rPr>
      </w:pPr>
    </w:p>
    <w:p>
      <w:pPr>
        <w:ind w:right="200" w:firstLine="509"/>
        <w:spacing w:after="0" w:line="238" w:lineRule="auto"/>
        <w:rPr>
          <w:sz w:val="20"/>
          <w:szCs w:val="20"/>
          <w:color w:val="auto"/>
        </w:rPr>
      </w:pPr>
      <w:r>
        <w:rPr>
          <w:rFonts w:ascii="Calibri" w:cs="Calibri" w:eastAsia="Calibri" w:hAnsi="Calibri"/>
          <w:sz w:val="17"/>
          <w:szCs w:val="17"/>
          <w:color w:val="auto"/>
        </w:rPr>
        <w:t xml:space="preserve">The results of PHALCON-HP were consistent with the results of a Phase 3 clinical trial in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-positve patents completed in Japan. In that trial, patents were treated with either vonoprazan triple therapy (vonoprazan 20 mg BID, amoxicillin 750 mg BID, and clarithromycin (200 mg or 400 mg) BID) or lansoprazole triple therapy (lansoprazole 30 mg BID, amoxicillin 750 mg BID, and clarithromycin (200 mg or 400 mg) BID) for seven days as is customary in Japan. The primary endpoint of the clinical trial was confrmed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determined by </w:t>
      </w:r>
      <w:r>
        <w:rPr>
          <w:rFonts w:ascii="Calibri" w:cs="Calibri" w:eastAsia="Calibri" w:hAnsi="Calibri"/>
          <w:sz w:val="23"/>
          <w:szCs w:val="23"/>
          <w:color w:val="auto"/>
          <w:vertAlign w:val="superscript"/>
        </w:rPr>
        <w:t>13</w:t>
      </w:r>
      <w:r>
        <w:rPr>
          <w:rFonts w:ascii="Calibri" w:cs="Calibri" w:eastAsia="Calibri" w:hAnsi="Calibri"/>
          <w:sz w:val="17"/>
          <w:szCs w:val="17"/>
          <w:color w:val="auto"/>
        </w:rPr>
        <w:t>C-urea breath test. The primary analysis was non-inferiority, and additonal analyses of the second line eradicaton rate and eradicaton rate in antbiotc-resistant subgroups were also conducted.</w:t>
      </w:r>
    </w:p>
    <w:p>
      <w:pPr>
        <w:spacing w:after="0" w:line="19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Vonoprazan-based triple therapy demonstrated a non-inferior eradicaton rate of 93% compared to 76% for lansoprazole-based triple therapy (p&lt;0.0001). Post hoc analyses suggested that vonoprazan-based triple therapy was superior to lansoprazole-based triple therapy (p&lt;0.0001). Patents who were not eradicated on vonoprazan-based triple therapy or lansoprazole-based triple therapy were treated with a diferent triple therapy regimen of vonoprazan, amoxicillin, and metronidazole. In this second-line setng,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with the diferent vonoprazan triple therapy was 98%. Exploratory analysis suggested that vonoprazan-based triple therapy had signifcantly higher eradicaton rates versus the lansoprazole-based triple therapy in the subgroup of subjects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Vonoprazan Safety Data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Safety in Clinical Studies</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As of December 2023, over 9,000 subjects have been exposed to vonoprazan in completed and ongoing Phase 1 to 3 clinical trials. The doses studied have ranged from 1 to 120 mg with duratons up to one year.</w:t>
      </w:r>
    </w:p>
    <w:p>
      <w:pPr>
        <w:spacing w:after="0" w:line="177"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In PHALCON-HP, both vonoprazan-based regimens were generally well tolerated with safety results comparable to patents who received lansoprazole triple therapy. The most common adverse events (≥2.0%) reported in the vonoprazan triple therapy, vonoprazan dual therapy, and lansoprazole triple therapy arms, respectvely, were diarrhea (4.0%, 5.2%, and 9.6%), dysgeusia (4.3%,</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Calibri" w:cs="Calibri" w:eastAsia="Calibri" w:hAnsi="Calibri"/>
          <w:sz w:val="17"/>
          <w:szCs w:val="17"/>
          <w:color w:val="auto"/>
        </w:rPr>
        <w:t>0.6%, and 6.1%), abdominal pain (2.3%, 2.6% and 2.9%), headache (2.6%, 1.4%, 1.4%), vulvovaginal candidiasis (2.3%, 1.4%, 1.2%), hypertension (2.0%, 1.1%,</w:t>
      </w:r>
    </w:p>
    <w:p>
      <w:pPr>
        <w:spacing w:after="0" w:line="8"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0.9%), and nasopharyngits (0.3%, 2.0%, 0.9%). Overall rates of discontnuaton due to adverse events were 2.3% for vonoprazan triple therapy-treated patents, 0.9% for vonoprazan dual therapy-treated patents, and 1.2% for lansoprazole triple therapy-treated patents.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the safety results for vonoprazan observed in PHALCON-EE were consistent with the results observed in prior clinical studies. In the healing phase of the study, the most common adverse events (≥2%) were abdominal pain (2.1% for vonoprazan and 1.2% for lansoprazole), diarrhea (2.1% for vonoprazan and 2.5% for lansoprazole). Rates of discontnuaton due to adverse events in the healing phase were 1% for vonoprazan 20 mg and 2.2% for lansoprazole 30 mg.</w:t>
      </w:r>
    </w:p>
    <w:p>
      <w:pPr>
        <w:spacing w:after="0" w:line="179"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In the maintenance phase of the study, the most common adverse events (≥2%) were gastrits (2.7% vonoprazan 10 mg, 6.4% vonoprazan 20 mg, 2.7% lansoprazole), diarrhea (1.0% vonoprazan 10 mg, 2.7% vonoprazan 20 mg, 4.4% lansoprazole), abdominal pain (4.1% vonoprazan 10 mg, 5.4% vonoprazan 20 mg, 2.4% lansoprazole), dyspepsia (3.7% vonoprazan 10 mg, 4.1% vonoprazan 20 mg, 2.7% lansoprazole), gastroesophageal refux disease (2.4% vonoprazan 10 mg, 3.7% vonoprazan 20 mg, 2.0 lansoprazole), hypertension (3.0% vonoprazan 10 mg, 3.4% vonoprazan 20 mg, 2.0% lansoprazole), liver functon test</w:t>
      </w:r>
    </w:p>
    <w:p>
      <w:pPr>
        <w:spacing w:after="0" w:line="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(1.0% vonoprazan 10 mg, 2.0% vonoprazan 20 mg, 3.0% lansoprazole), and nausea (2.0% vonoprazan 10 mg, 1.4% vonoprazan 20 mg, 1.0% lansoprazole). Rates of discontnuaton due to adverse events in the maintenance phase were 0.7% for vonoprazan 10 mg, 2.7% for vonoprazan 20 mg, and 0.7% for lansoprazole.</w:t>
      </w:r>
    </w:p>
    <w:p>
      <w:pPr>
        <w:spacing w:after="0" w:line="178"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Frequency of serious adverse events, or SAEs, in the healing phase were similar between vonoprazan 20 mg and lansoprazole at 0.6%. In the maintenance phase, SAEs were reported in 4.7% of patents for vonoprazan 20 mg, 3.4% for vonoprazan 10 mg and 2.4% for lansoprazole. Further, this clinical trial was conducted during the 2020-2021 global pandemic, and coronavirus infecton was reported in 2.1% of the vonoprazan 20 mg-treated patents and 1.8% of the lansoprazole-treated patents in the healing phase whereas it was reported in 6.1% of the vonoprazan 10 mg-treated patents, 10.1% of the vonoprazan 20 mg-treated patents and 6.7% of the lansoprazole-treated patents in the maintenance phase. There were 2 deaths in the vonoprazan 20 mg-treated patents due to coronavirus infecton. None of the coronavirus infecton events reported were considered related by the investgator.</w:t>
      </w:r>
    </w:p>
    <w:p>
      <w:pPr>
        <w:spacing w:after="0" w:line="1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PHALCON-NERD-301, vonoprazan was generally well tolerated in the inital four-week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 There was a total of three SAEs reported in the four-week period of the study, one in the vonoprazan 10 mg arm and two in the vonoprazan 20 mg arm. The most common adverse events reported for the two vonoprazan doses during the 20-week extension period were upper respiratory tract infecton, sinusits, infuenza, urinary tract infecton, nasopharyngits, nausea, and gastroenterits, reported at or below 5%.</w:t>
      </w:r>
    </w:p>
    <w:p>
      <w:pPr>
        <w:spacing w:after="0" w:line="181" w:lineRule="exact"/>
        <w:rPr>
          <w:sz w:val="20"/>
          <w:szCs w:val="20"/>
          <w:color w:val="auto"/>
        </w:rPr>
      </w:pPr>
    </w:p>
    <w:p>
      <w:pPr>
        <w:jc w:val="center"/>
        <w:ind w:right="20"/>
        <w:spacing w:after="0" w:line="254" w:lineRule="auto"/>
        <w:rPr>
          <w:sz w:val="20"/>
          <w:szCs w:val="20"/>
          <w:color w:val="auto"/>
        </w:rPr>
      </w:pPr>
      <w:r>
        <w:rPr>
          <w:rFonts w:ascii="Calibri" w:cs="Calibri" w:eastAsia="Calibri" w:hAnsi="Calibri"/>
          <w:sz w:val="17"/>
          <w:szCs w:val="17"/>
          <w:color w:val="auto"/>
        </w:rPr>
        <w:t>In PHALCON-NERD-201, vonoprazan was generally well tolerated. In both phases of the trial, no adverse event was reported in more than three percent of the partcipants in a treatment group. There was a total of four SAEs in the daily dosing phase, only one of which was related to study drug, and no SAEs in the as needed phase. The safety data for all vonoprazan arms were comparable to placebo and consistent with what was reported in previous studies.</w:t>
      </w:r>
    </w:p>
    <w:p>
      <w:pPr>
        <w:spacing w:after="0" w:line="165" w:lineRule="exact"/>
        <w:rPr>
          <w:sz w:val="20"/>
          <w:szCs w:val="20"/>
          <w:color w:val="auto"/>
        </w:rPr>
      </w:pPr>
    </w:p>
    <w:p>
      <w:pPr>
        <w:ind w:right="100" w:firstLine="509"/>
        <w:spacing w:after="0" w:line="250" w:lineRule="auto"/>
        <w:rPr>
          <w:sz w:val="20"/>
          <w:szCs w:val="20"/>
          <w:color w:val="auto"/>
        </w:rPr>
      </w:pPr>
      <w:r>
        <w:rPr>
          <w:rFonts w:ascii="Calibri" w:cs="Calibri" w:eastAsia="Calibri" w:hAnsi="Calibri"/>
          <w:sz w:val="17"/>
          <w:szCs w:val="17"/>
          <w:color w:val="auto"/>
        </w:rPr>
        <w:t>Certain earlier generaton PCABs previously under development by other companies may have been discontnued in-part due to their hepatc safety profle. These hepatc safety concerns may be compound-specifc and not generalizable to the PCAB class. It is notable that vonoprazan is based on a pyrrole chemical structure and is chemically distnct from previously discontnued PCABs that were based on an imidazole structure. Vonoprazan has had a similar hepatc safety profle to lansoprazole across all clinical studies conducted by Takeda, in which 1.0% of subjects treated with vonoprazan 10 mg or 20 mg and 0.8% of subjects treated with lansoprazole 15 mg or 30 mg had alanine transaminase or ALT or aspartate transaminase or AST elevatons greater than three tmes the upper limit of normal or bilirubin elevatons greater than two tmes the upper limit of normal. Similarly, in the healing phase of PHALCON-EE, transient elevatons in ALT or AST greater than 3 tmes the upper limit of normal were observed in 0.4% of subjects treated with vonoprazan 20 mg and 0.2% of subjects treated with lansoprazole. In the maintenance phase, transient ALT or AST elevatons greater than three tmes the upper limit of normal were observed in 1% of subjects treated with vonoprazan 10 mg, 0.3% of subjects treated with vonoprazan 20 mg, and 2% of subjects treated with lansoprazole.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Post-Marketng Safety in Japan and Asia</w:t>
      </w:r>
    </w:p>
    <w:p>
      <w:pPr>
        <w:spacing w:after="0" w:line="190" w:lineRule="exact"/>
        <w:rPr>
          <w:sz w:val="20"/>
          <w:szCs w:val="20"/>
          <w:color w:val="auto"/>
        </w:rPr>
      </w:pPr>
    </w:p>
    <w:p>
      <w:pPr>
        <w:ind w:firstLine="509"/>
        <w:spacing w:after="0" w:line="255" w:lineRule="auto"/>
        <w:rPr>
          <w:sz w:val="20"/>
          <w:szCs w:val="20"/>
          <w:color w:val="auto"/>
        </w:rPr>
      </w:pPr>
      <w:r>
        <w:rPr>
          <w:rFonts w:ascii="Calibri" w:cs="Calibri" w:eastAsia="Calibri" w:hAnsi="Calibri"/>
          <w:sz w:val="17"/>
          <w:szCs w:val="17"/>
          <w:color w:val="auto"/>
        </w:rPr>
        <w:t>The most recent post-marketng safety report from December 2023 includes a worldwide cumulatve estmate of over 60 million patents who have received vonoprazan since its launch in 2015. Based on the post-marketng experience, the clinically signifcant adverse reactons secton of the Japanese prescribing informaton for vonoprazan was updated to include shock, anaphylaxis, hepatc impairment, skin reactons such as toxic epidermal necrolysis, Steven-Johnson syndrome, and erythema multforme; and events of pancytopenia, agranulocytosis, leukocytopenia, and thrombocytopenia. The incidence of these reactons was considered extremely rare (less than 1 in 100,000 patents) and a causal relatonship to vonoprazan could not be ruled out. Although serious hepatc adverse events have been observed among patents exposed to vonoprazan in Japan in the post-marketng setng, these cases were typically confounded by comorbidites or other concomitant medicatons and believed to be idiosyncratc reactons. Post-marketng safety data, including the December 2023 post-marketng safety report, has been submited to the Pharmaceutcals and Medical Devices Agency. Moreover, the fnal results from the VISION trial, a fve-year randomized, open-label, multcenter study conducted by Takeda evaluatng the long-term efcacy and safety of vonoprazan compared with the PPI lansoprazole in patents with EE, further demonstrate that the safety profle of vonoprazan is generally comparable to lansoprazole.</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Launch in Japan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Regulatory Status</w:t>
      </w:r>
    </w:p>
    <w:p>
      <w:pPr>
        <w:spacing w:after="0" w:line="190" w:lineRule="exact"/>
        <w:rPr>
          <w:sz w:val="20"/>
          <w:szCs w:val="20"/>
          <w:color w:val="auto"/>
        </w:rPr>
      </w:pPr>
    </w:p>
    <w:p>
      <w:pPr>
        <w:ind w:right="560" w:firstLine="509"/>
        <w:spacing w:after="0" w:line="235" w:lineRule="auto"/>
        <w:rPr>
          <w:sz w:val="20"/>
          <w:szCs w:val="20"/>
          <w:color w:val="auto"/>
        </w:rPr>
      </w:pPr>
      <w:r>
        <w:rPr>
          <w:rFonts w:ascii="Calibri" w:cs="Calibri" w:eastAsia="Calibri" w:hAnsi="Calibri"/>
          <w:sz w:val="18"/>
          <w:szCs w:val="18"/>
          <w:color w:val="auto"/>
        </w:rPr>
        <w:t>Vonoprazan frst received approval in Japan on December 26, 2014, and was launched shortly thereafer in February 2015, as TAKECAB® for the following indicatons:</w:t>
      </w:r>
    </w:p>
    <w:p>
      <w:pPr>
        <w:spacing w:after="0" w:line="186"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Healing and maintenance of healing of erosive esophagits;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Adjunct to antbiotcs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treatment;</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Gastric ulcer;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Duodenal ulcer;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low-dose aspirin administraton;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nonsteroidal ant-infammatory drug (NSAID) administraton.</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 xml:space="preserve">Vonoprazan was subsequently approved in Japan in February 2016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combinaton packs with antbiotcs (Vonosap Pack 400, Vonosap Pack 800, and Vonopion Pack), and has since been approved in numerous other countries in Asia and Latn America as well as Russia.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Commercializaton in Japan</w:t>
      </w:r>
    </w:p>
    <w:p>
      <w:pPr>
        <w:spacing w:after="0" w:line="1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Vonoprazan was approved in Japan in December 2014. In 2021, its seventh full year on the market, vonoprazan generated approximately $850 million in net sales in Japan. Based on sales during the 3-month period ending June 30, 2023, vonoprazan had achieved a 32% market share based on volume and 60% market share based on sales among prescripton acid suppression therapies in Japan.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1785620</wp:posOffset>
            </wp:positionH>
            <wp:positionV relativeFrom="page">
              <wp:posOffset>1022985</wp:posOffset>
            </wp:positionV>
            <wp:extent cx="4277360" cy="2005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427736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believe that the market dynamic for ant-secretory agents in Japan is similar to that in the United States. In both countries, the ant-secretory market is largely genericized. Ahead of the vonoprazan launch in Japan, all PPIs, other than Nexium, were available as generics. As of September 2022, generic drugs in Japan represent approximately 80% of the market by volume, compared to the United States where generics are currently approximately 90% of the market by volume. Although vonoprazan and Dexilant are priced at a premium to generic PPIs in Japan and the United States, respectvely, both have experienced commercial success.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Commercial Opportunity and Strategy</w:t>
      </w:r>
    </w:p>
    <w:p>
      <w:pPr>
        <w:spacing w:after="0" w:line="21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market for preventon and treatment of acid-related GI diseases in the United States and Europe is large. In the U.S., there were approximately 7.8 billion prescripton PPI doses dispensed during the 12 months ended December 31, 2023. The PPI volume-based market is dominated by prescriptons products at 93%, with the remaining 7% comprised of over-the-counter products.</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Over many decades of use, multple drug classes and individual drugs have demonstrated the substantal commercial opportunity for therapies treatng acid-related GI diseases. H2RAs including Axid, Pepcid, Tagamet, and Zantac provided the frst signifcant improvement in disease management over antacids and as a class reached approximately $3.5 billion in annual sales. Afer H2RAs, PPIs emerged as the new standard of care. Prior to the introducton of generic and OTC alternatves, annual PPI class sales reached approximately $12.5 billion in the United States, and peak sales for individual brands were approximately $3.7 billion for Prilosec, $3.5 billion for Nexium, and $3.4 billion for Prevacid.</w:t>
      </w:r>
    </w:p>
    <w:p>
      <w:pPr>
        <w:spacing w:after="0" w:line="193"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 xml:space="preserve">We believe the results of our Phase 3 clinical trials in Erosive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support the diferentaton of our VOQUEZNA-based products from the PPI-based standard of care, which could provide support for broad market access and formulary positoning. For example, following approval of VOQUEZNA, VOQUEZNA TRIPLE PAK and VOQUEZNA DUAL PAK, we believe our interactons with payers highlight the commercial potental of these products. As of February 2024, approximately 60 million commercially covered lives in the United States have access to VOQUEZNA tablets, comprising an estmated 38% of total U.S. commercial lives. We believe our approved VOQUEZNA-based therapies have the potental to improve the standard of care for acid-related GI diseases by providing a safe and efectve treatment opton for the millions of patents not fully satsfed with their other current treatment optons.</w:t>
      </w:r>
    </w:p>
    <w:p>
      <w:pPr>
        <w:spacing w:after="0" w:line="169" w:lineRule="exact"/>
        <w:rPr>
          <w:sz w:val="20"/>
          <w:szCs w:val="20"/>
          <w:color w:val="auto"/>
        </w:rPr>
      </w:pPr>
    </w:p>
    <w:p>
      <w:pPr>
        <w:ind w:right="180" w:firstLine="509"/>
        <w:spacing w:after="0" w:line="254" w:lineRule="auto"/>
        <w:rPr>
          <w:sz w:val="20"/>
          <w:szCs w:val="20"/>
          <w:color w:val="auto"/>
        </w:rPr>
      </w:pPr>
      <w:r>
        <w:rPr>
          <w:rFonts w:ascii="Calibri" w:cs="Calibri" w:eastAsia="Calibri" w:hAnsi="Calibri"/>
          <w:sz w:val="17"/>
          <w:szCs w:val="17"/>
          <w:color w:val="auto"/>
        </w:rPr>
        <w:t>In May 2022, we conducted a U.S. market research study with 90 gastroenterologists, 90 primary care physicians and 45 advanced practce providers who treat GERD. Before seeing the vonoprazan clinical data, 82% of these clinicians strongly agreed that PPIs are the most potent class of acid suppressing agents. Afer review of vonoprazan clinical data and messages, only 34% strongly agreed that PPIs are the most potent class of acid suppressing agents.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Sales and Marketng</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We have established robust marketng, sales, and distributon capabilites to support the launch of our approved products and we are independently commercializing VOQUEZNA, VOQUEZNA TRIPLE PAK and VOQUEZNA DUAL PAK in the United States through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an experienced natonal sales force. We believe we can successfully commercialize our approved products in the United States with a focused sales force targetng high prescribers of PPIs, partcularly gastroenterologists and primary care physicians. Our strategy is to target approximately 52,000 high volume PPI prescribers in the treatment of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According to IQVIA data, of these physicians, each write on average approximately 1,200 PPI prescriptons annually. We are not aware of any ant-secretory product that has been promoted to this core group of prescribers, nor to the broader medical community, for nearly a decade. As a result, we expect our promotonal eforts will hold a unique positon in the market.</w:t>
      </w:r>
    </w:p>
    <w:p>
      <w:pPr>
        <w:spacing w:after="0" w:line="193"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To address the commercial opportunity for vonoprazan in Europe and Canada, we plan to seek one or more partners with existng commercial infrastructure and expertse in these markets.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Additonal Vonoprazan Development Opportunites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Eosinophilic Esophagits and Other Indicatons</w:t>
      </w:r>
    </w:p>
    <w:p>
      <w:pPr>
        <w:spacing w:after="0" w:line="177"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 xml:space="preserve">While we are initally focused on the development of vonoprazan for the treatment of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we believe there are opportunites to expand the use of vonoprazan to other indicatons in our licensed territories. For example, we plan to expand clinical development of vonoprazan in the U.S. into EoE, the most common type of eosinophilic gastrointestnal disease. EoE is an autoimmune disease with signifcant unmet need and can result in trouble swallowing, chest pain, vomitng and impacton of food in the esophagus, a medical emergency. There are only two FDA-approved treatments for EoE. Although not approved for this indicaton, PPIs are ofen prescribed as a frst-line therapy for the treatment of EoE. Vonoprazan demonstrated similar efcacy to PPIs in an investgator-sponsored EoE clinical trial in Japan. In this clinical trial, 112 patents with EoE were treated with vonoprazan, or the PPI rabeprazole or esomeprazole. Of patents treated with vonoprazan, 82% had complete relief of symptoms compared to 70% for esomeprazole and 76-78% for rabeprazole. Similarly, 35% of patents treated with vonoprazan demonstrated complete remission of EoE by histology, compared to 37% for esomeprazole and 31-38% for rabeprazole. Given the limited treatment optons for EoE and vonoprazan’s demonstrated potental, we believe EoE is an important indicaton for future study and plan to initate a Phase 2 trial studying vonoprazan as a treatment for EoE in adults and adolescent patents later in 2024.</w:t>
      </w:r>
    </w:p>
    <w:p>
      <w:pPr>
        <w:spacing w:after="0" w:line="187" w:lineRule="exact"/>
        <w:rPr>
          <w:sz w:val="20"/>
          <w:szCs w:val="20"/>
          <w:color w:val="auto"/>
        </w:rPr>
      </w:pPr>
    </w:p>
    <w:p>
      <w:pPr>
        <w:ind w:right="640" w:firstLine="509"/>
        <w:spacing w:after="0" w:line="258" w:lineRule="auto"/>
        <w:rPr>
          <w:sz w:val="20"/>
          <w:szCs w:val="20"/>
          <w:color w:val="auto"/>
        </w:rPr>
      </w:pPr>
      <w:r>
        <w:rPr>
          <w:rFonts w:ascii="Calibri" w:cs="Calibri" w:eastAsia="Calibri" w:hAnsi="Calibri"/>
          <w:sz w:val="17"/>
          <w:szCs w:val="17"/>
          <w:color w:val="auto"/>
        </w:rPr>
        <w:t>In additon to EoE, Barret’s esophagus and Zollinger Ellison syndrome are severe diseases related to acid secreton where PPIs are the current standard of care. The improved acid control of vonoprazan relatve to PPIs may lead to use in these indicatons improved results over PPIs.</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Formulatons and Packaging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Orally Disintegratng Tablet</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An orally disintegratng tablet, or ODT, formulaton for vonoprazan is currently being commercialized by Takeda in Japan. We may conduct one or more Phase 1 trials to support potental approval of an ODT formulaton. We believe that an ODT formulaton represents a meaningful commercial opportunity for patents with difculty swallowing in adults as well as will provide a more desirable dosing administraton optons for children. It is estmated peak U.S. sales of the lansoprazole ODT formulaton were over $450 million.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 the Counter Use</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believe that vonoprazan has the ideal profle for an OTC product, including the potental for as needed symptom relief and a well-tolerated safety profle. Sales of OTC heartburn relief products in the United States are substantal, consttutng a mult-billion-dollar market.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biopharmaceutcal industry is characterized by rapidly advancing technologies, intense competton and strong emphasis on proprietary products. We face potental competton from many sources, including major pharmaceutcal, specialty pharmaceutcal and biotechnology companies, academic insttutons and government agencies and public and private research insttutons. In the United States, VOQUEZNA, VOQUEZNA TRIPLE PAK and VOQUEZNA DUAL PAK all compete, and if approved in Europe and/or Canada will compete, with existng therapies and new therapies that may become available in the future.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9"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Some of our compettors, either alone or with their strategic partners, have substantally greater fnancial, technical and human resources and signifcantly greater experience in the discovery and development of product candidates, obtaining FDA and other regulatory approvals of treatments and commercializing those treatments. These same compettors may invent technology that competes with vonoprazan. Mergers and acquisitons in the biotechnology and pharmaceutcal industries may result in even more resources being concentrated among a smaller number of our compettors. These compettors also compete with us in recruitng and retaining qualifed scientfc and management personnel and establishing clinical trial sites and subject recruitment for clinical trials, as well as in acquiring technologies complementary to, or necessary for, our programs. Smaller or early-stage companies may also prove to be signifcant compettors, partcularly through collaboratve arrangements with large and established companies.</w:t>
      </w:r>
    </w:p>
    <w:p>
      <w:pPr>
        <w:spacing w:after="0" w:line="19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commercial opportunity could be reduced or eliminated if our compettors develop and commercialize products that are more efectve, have fewer or less severe side efects, are more convenient or are less expensive than any products that we may develop. Outside the U.S., our compettors may obtain regulatory approval for, or initate commercial launch of, their products more rapidly than we may obtain approval for or launch products containing vonoprazan, which could result in our compettors establishing a strong market positon before we are able to enter the market. In additon, VOQUEZNA, VOQUEZNA TRIPLE PAK and VOQUEZNA DUAL PAK, are priced at a premium over compettve generic products in the U.S., and our ability to compete may be afected in many cases by insurers or other third-party payers seeking to encourage the use of generic products.</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We expect that,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Erosive GERD and, if approved, treatment of heartburn associated with symptomatc Non-Erosive GERD, VOQUEZNA will primarily compete with generic PPIs marketed by multple pharmaceutcal companies in both the prescripton and OTC markets. In additon to generic PPI-based triple and quad therapies, we expect VOQUEZNA TRIPLE PAK and VOQUEZNA DUAL PAK will compete with Talicia, a co-formulated capsule comprising generic omeprazole, amoxicillin, and rifabutn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launched in March 2020 by RedHill Biopharma Ltd.</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aware of other PCABs in development in the United States, as well as a number of other PCABs in territories outside of the United States that if developed and approved in our territories may compete with vonoprazan. In the United States, Daewoong Pharmaceutcal Co., Ltd., or Daewoong, is looking for a strategic partner to advance the development of fexuprazan. In additon, Cinclus Pharma AG, or Cinclus, received qualifed QIDP designaton for linaprazan glurate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completed a Phase 2 dose selecton study for Erosive GERD in November 2022, and plans to initate a Phase 3 study in 2024 for the treatment of Erosive GERD. Finally, Sebela Pharmaceutcals, which acquired development and commercializaton rights in United States and Canada to tegoprazan from HK inno.N, a South Korean company, has initated two Phase 3 studies in the United States, one for Non-Erosive GERD and the other for healing and maintenance of healing of Erosive GERD. The earliest estmated completon date for these studies is during 2024. Outside the United States, in 2022 Daewoong launched fexuprazan in South Korea for the treatment of Erosive GERD under the brand name Fexuclue, has submited applicatons for regulatory approval in additonal countries in Asia and Latn America, and has out-licensed rights to develop fexuprazan in China to Shanghai Haini, a subsidiary of China’s Yangtze River Pharmaceutcal Group. Also outside the United States, revaprazan is marketed by Yuhan Corporaton in South Korea, and tegoprazan is co-marketed by HK inno.N and Boryung Corp. in South Korea, is also marketed in China, Indonesia, Mexico, Mongolia, Philippines and Singapore and is currently under health authority review in Argentna and Thailand as well as in development by RaQualia Pharma, Inc. in Japan and by Dr. Reddy’s in Russia. Additonally, Jeil Pharm has initated a Phase 3 trial in South Korea of its PCAB candidate, JP-1366, in Erosive GERD, and Cinclus’ linaprazan glurate has completed a Phase 2 clinical trial in Europe. To our knowledge, none of these compounds have demonstrated superiority to PPIs in a Phase 3 clinical trial.</w:t>
      </w:r>
    </w:p>
    <w:p>
      <w:pPr>
        <w:spacing w:after="0" w:line="20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Additonally, we are aware of several clinical-stage PPIs in territories outside of the United States that if developed and approved in our licensed territories may compete with vonoprazan. These include Dexa Medica’s DLBS-2411, currently launched in the Philippines and in Phase 3 in Indonesia, Sihuan Pharmaceutcal’s anaprazole, currently in Phase 3 in China, and Eisai’s azeloprazole, currently in a Phase 2 in China.</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Intellectual property, including patents, trade secrets, trademarks and copyrights, is important to our business. Our commercial success depends in part on our ability to obtain and maintain proprietary intellectual property protecton for vonoprazan, as well as for future product candidates and novel discoveries, product development technologies, and know-how. Our commercial success also depends in part on our ability to operate without infringing on the proprietary rights of others and to</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49" w:lineRule="exact"/>
        <w:rPr>
          <w:sz w:val="20"/>
          <w:szCs w:val="20"/>
          <w:color w:val="auto"/>
        </w:rPr>
      </w:pPr>
    </w:p>
    <w:p>
      <w:pPr>
        <w:jc w:val="both"/>
        <w:ind w:right="140"/>
        <w:spacing w:after="0" w:line="235" w:lineRule="auto"/>
        <w:rPr>
          <w:sz w:val="20"/>
          <w:szCs w:val="20"/>
          <w:color w:val="auto"/>
        </w:rPr>
      </w:pPr>
      <w:r>
        <w:rPr>
          <w:rFonts w:ascii="Calibri" w:cs="Calibri" w:eastAsia="Calibri" w:hAnsi="Calibri"/>
          <w:sz w:val="18"/>
          <w:szCs w:val="18"/>
          <w:color w:val="auto"/>
        </w:rPr>
        <w:t>prevent others from infringing our proprietary rights. Our policy is to develop and maintain protecton of our proprietary positon by, among other methods, licensing or fling U.S. and foreign patents and applicatons relatng to our technology, inventons, and improvements that are important to the development and implementaton of our business.</w:t>
      </w:r>
    </w:p>
    <w:p>
      <w:pPr>
        <w:spacing w:after="0" w:line="192"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Our patent portolio, comprising patents and patent applicatons exclusively licensed to us, is built with a goal of establishing broad protecton that generally includes, for the product candidate compound, claims directed to compositon of mater, pharmaceutcal compositons or formulatons, methods of synthesis, and methods of treatment using such pharmaceutcal compositons or formulatons. As of December 31, 2023, our patent portolio covering vonoprazan consists predominantly of exclusively licensed patents and patent applicatons from Takeda. Subject to the terms of the license agreement we entered into with Takeda on May 7, 2019, or the Takeda License, we have licensed from Takeda exclusive rights in the United States, Europe, and Canada to patents and patent applicatons covering the compositon of mater, formulaton, use and/or manufacture of vonoprazan. Our patent portolio comprises 11 distnct patent families protectng the technology relatng to the compound vonoprazan and its synthetc intermediates, methods of synthesizing vonoprazan and related compounds, various formulatons of vonoprazan products, as well as methods of treatng diseases with vonoprazan and related compounds. As of December 31, 2023, our portolio consists of approximately 25 issued U.S. patents, 4 pending U.S. applicatons, 15 issued European patents subsequently validated in individual European countries, 3 pending European applicatons, 6 issued Canadian patents, and 2 pending Canadian applicatons. The issued patents and pending applicatons have nominal expiraton dates ranging from 2024 to 2038 without accountng for any available patent term adjustments or extensions. The issued U.S. patent covering the compositon of mater of vonoprazan is expected to expire in August 2028, not including patent term extension. The issued U.S. patent covering the formulaton of vonoprazan is expected to expire in August 2030, not including patent term extension.</w:t>
      </w:r>
    </w:p>
    <w:p>
      <w:pPr>
        <w:spacing w:after="0" w:line="17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term of individual patents in our portolio depends upon the legal term of patents in the countries in which they are obtained. In most countries in which we fle, including the United States, the patent term is 20 years from the earliest date of fling a non-provisional patent applicaton. In the United States, the term of a patent may be eligible for patent term adjustment, which permits patent term restoraton as compensaton for delays incurred at the United States Patent and Trademark Ofce, or USPTO, during the patent prosecuton process. In additon, for patents that cover an FDA-approved drug, the Drug Price Competton and Patent Term Restoraton Act of 1984, or the Hatch-Waxman Act, permits a patent term extension of up to fve years beyond the expiraton of the patent. While the length of the patent term extension is related to the length of tme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jurisdicton where such extensions are available; however, there is no guarantee that the applicable authorites, including the FDA in the United States, will agree with our assessment of whether such extensions should be granted, and if granted, the length of such extensions.</w:t>
      </w:r>
    </w:p>
    <w:p>
      <w:pPr>
        <w:spacing w:after="0" w:line="1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patent positons of companies like ours are generally uncertain and involve complex legal and factual questons. The relevant patent laws and their interpretaton outside of the United States is also uncertain. Changes in either the patent laws or their interpretaton in the United States and other countries may diminish our ability to protect our technology or product candidates and could afect the value of such intellectual property. In partcular, our ability to stop third partes from making, using, selling, ofering to sell or importng products that infringe our intellectual property will depend in part on our success in obtaining and enforcing patent claims that cover our technology, inventons and improvements. We cannot guarantee that patents will be granted with respect to any of our licensed pending patent applicatons or with respect to any patent applicatons we may fle in the future, nor can we be sure that any patents that may be granted to us or Takeda in the future will be commercially useful in protectng our products, the methods of use or manufacture of those products. Moreover, issued patents do not guarantee the right to practce our technology in relaton to the commercializaton of our products. Issued patents only allow us to block potental compettors from practcing the claimed inventons of the issued patents.</w:t>
      </w:r>
    </w:p>
    <w:p>
      <w:pPr>
        <w:spacing w:after="0" w:line="19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Further, patents and other intellectual property rights in the pharmaceutcal and biotechnology space are evolving and involve many risks and uncertaintes. For example, third partes may have blocking patents that could be used to prevent us from commercializing vonoprazan and any future product candidates and practcing our proprietary technology, and any issued patents may be challenged, invalidated or circumvented, which could limit our ability to stop compettors from marketng related products or could limit the term of patent protecton that otherwise may exist for vonoprazan and any future product candidates. In additon,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scope of the rights granted under any issued patents may not provide us with protecton or compettve advantages against compettors with similar technology. Furthermore, our compettors may independently develop similar technologies that are outside the scope of the rights granted under any issued patents. For these reasons, we may face competton with respect to vonoprazan and any future product candidates. Moreover, because of the extensive tme required for development, testng and regulatory review of a potental product, it is possible that, before any partcular product candidate can be commercialized, any patent protecton for such product may expire or remain in force for only a short period following commercializaton, thereby reducing the commercial advantage the patent provides.</w:t>
      </w:r>
    </w:p>
    <w:p>
      <w:pPr>
        <w:spacing w:after="0" w:line="19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It is our policy to require our employees, consultants, outside scientfc collaborators, sponsored researchers and other advisors to execute confdentality agreements upon the commencement of employment or consultng relatonships with us, and for employees and consultants to enter into inventon assignment agreements with us. These agreements provide that all confdental informaton developed or made known to the individual during the course of the individual’s relatonship with us is to be kept confdental and not disclosed to third partes except in specifc circumstances. Where applicable, the agreements provide that all inventons to which the individual contributed as an inventor shall be assigned to Phathom, and as such, will become our property. There can be no assurance, however, that these agreements will provide meaningful protecton or adequate remedies for our trade secrets in the event of unauthorized use or disclosure of such informaton.</w:t>
      </w:r>
    </w:p>
    <w:p>
      <w:pPr>
        <w:spacing w:after="0" w:line="181" w:lineRule="exact"/>
        <w:rPr>
          <w:sz w:val="20"/>
          <w:szCs w:val="20"/>
          <w:color w:val="auto"/>
        </w:rPr>
      </w:pPr>
    </w:p>
    <w:p>
      <w:pPr>
        <w:ind w:right="680" w:firstLine="509"/>
        <w:spacing w:after="0" w:line="235" w:lineRule="auto"/>
        <w:rPr>
          <w:sz w:val="20"/>
          <w:szCs w:val="20"/>
          <w:color w:val="auto"/>
        </w:rPr>
      </w:pPr>
      <w:r>
        <w:rPr>
          <w:rFonts w:ascii="Calibri" w:cs="Calibri" w:eastAsia="Calibri" w:hAnsi="Calibri"/>
          <w:sz w:val="18"/>
          <w:szCs w:val="18"/>
          <w:color w:val="auto"/>
        </w:rPr>
        <w:t>Further, we have fled for and have received trademark registratons for our company name “Phathom Pharmaceutcals” in the United States, European Union, and other foreign jurisdictons, and are pursuing trademark protecton in certain other foreign jurisdictons.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 Pharmaceutcal Company Limited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7, 2019, we and Takeda entered into an exclusive license, or the Takeda License, pursuant to which, Takeda granted us an exclusive, sublicensable (with Takeda’s reasonable consent) license under certain patents and know how relatng to vonoprazan and owned or controlled by Takeda during the term of the Takeda License to commercialize vonoprazan products using specifed formulatons for all human therapeutc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commercializaton outside United States, Europe and Canada. We also granted Takeda an exclusive, royalty-free license under our rights in certain patents and know-how owned or controlled by us and necessary for the exploitaton of vonoprazan products, in each case for Takeda to commercialize any vonoprazan product outside of the United States, Canada, and Europe and for purposes other than human therapeutc use.</w:t>
      </w:r>
    </w:p>
    <w:p>
      <w:pPr>
        <w:spacing w:after="0" w:line="184"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the vonoprazan products. We are required to use commercially reasonable eforts to develop and commercialize the vonoprazan products in our licensed territory.</w:t>
      </w:r>
    </w:p>
    <w:p>
      <w:pPr>
        <w:spacing w:after="0" w:line="17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 We have the frst right to enforce the licensed patent rights with respect to certain infringing products in the United States, Europe and Canada.</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We paid Takeda upfront consideraton consistng of a cash payment of $25 million, 1,084,000 shares of common stock and a warrant to purchase 7,588,000 shares of common stock, or the Takeda Warrant. We agreed to make milestone payments to Takeda upon achieving certain tered aggregate annual net sales of licensed products in the United States, Europe and Canada up a total maximum milestone amount of $250 million. We also agreed to make tered royalty payments in the low double digits to the mid-teens on net sales of licensed products, subject to specifed ofsets and reductons. Royaltes will be payable, on a product-by-product and country-by-country basis from the frst commercial sale of such product in such country, untl the latest of expiraton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licensed patents covering the applicable product, expiraton of regulatory exclusivity in such country, or 15 years following frst commercial sale in such country.</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Takeda License will contnue untl the expiraton of the obligaton to pay royaltes in all countries and on all products. We may terminate the Takeda License in its entrety without cause upon six months’ prior writen notce. We and Takeda may terminate the Takeda License in the case of the other party’s insolvency, or upon prior writen notce within a specifed tme period for the other party’s material uncured breach. Takeda may terminate the Takeda License in its entrety if we challenge the licensed patents, or if we assist any third party in challenging such patents.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We do not currently own or operate manufacturing facilites for the producton of clinical or commercial quanttes of vonoprazan. Vonoprazan is a small molecule that can be manufactured using commercially available technologies.</w:t>
      </w:r>
    </w:p>
    <w:p>
      <w:pPr>
        <w:spacing w:after="0" w:line="191"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With respect to any future product candidates, we expect to contnue to rely on third-party contract manufacturers to manufacture clinical supplies and commercial quanttes of any approved products. Although we rely on contract manufacturers, we have personnel with manufacturing experience to oversee our relatonships with Sandoz, Catalent and Evonik.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Sandoz Supply and Packaging Agreement</w:t>
      </w:r>
    </w:p>
    <w:p>
      <w:pPr>
        <w:spacing w:after="0" w:line="177"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In December 2020, we entered into a Supply and Packaging Services Agreement with Sandoz GmbH, or the Sandoz Supply Agreement, pursuant to which Sandoz has agreed to supply commercial quanttes of amoxicillin capsules and clarithromycin tablets, to package these antbiotcs with vonoprazan drug product in fnished convenience packs, and to supply us with these convenience packs.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Pursuant to the Sandoz Supply Agreement, we agreed to purchase certain quanttes of convenience packs from Sandoz at an agreed upon price per pack. The price per pack is fxed for the frst two (2) years following launch of the convenience pack in the United State and may be adjusted thereafer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shortall. Sandoz has no obligaton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fve-year period following launch.</w:t>
      </w:r>
    </w:p>
    <w:p>
      <w:pPr>
        <w:spacing w:after="0" w:line="181"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The Sandoz Supply Agreement will contnue for fve years from launch of the convenience pack in the U.S. and may be terminated efectve at the end of the inital fve-year term upon writen notce by either party prior to the end of the third year following launch. In the absence of such notce, the Sandoz Supply Agreement will extend automatcally for an additonal three-year period, and thereafer as mutually agreed upon by the partes. The Sandoz Supply Agreement may also be terminated at any tme upon writen notce by either party for uncured material breach following writen notce of such breach.</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Catalent Commercial Supply Agreement</w:t>
      </w:r>
    </w:p>
    <w:p>
      <w:pPr>
        <w:spacing w:after="0" w:line="190"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In July 2021, we entered into a Commercial Supply Agreement, or the Tablet Supply Agreement, with Catalent Pharma Solutons, LLC, or Catalent, pursuant to which Catalent has agreed to supply us with commercial quanttes of vonoprazan fumarate tablets.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Pursuant to the Tablet Supply Agreement, as amended, Catalent has agreed to supply us with, and we have agreed to purchase from Catalent, fnished vonoprazan tablets at an agreed upon price per unit. The price per unit may be adjusted annually based on increases in costs incurred by Catalent. The Tablet Supply Agreement requires us to purchase a specifed percentage of its requirements of fnished vonoprazan tablets from Catalent, which percentage is subject to adjustment following January 1, 2027.</w:t>
      </w:r>
    </w:p>
    <w:p>
      <w:pPr>
        <w:spacing w:after="0" w:line="179"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Unless terminated earlier, the term of the Tablet Supply Agreement extends for a period of fve years from the Commencement Date. The Tablet Supply Agreement will extend automatcally for additonal two year periods unless terminated by either party upon at least 24 months prior writen notce. The Tablet Supply Agreement may also be terminated at any tme upon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writen notce by either party if the other party has failed to remedy a material breach of the terms of the Tablet Supply Agreement within a specifed period following receipt of writen notce of such breach.</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Evonik Commercial Supply Agreement</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August 2022, we entered into a Commercial Supply Agreement, or the API Supply Agreement, with Evonik Operatons GmbH, or Evonik, pursuant to which Evonik has agreed to supply us with commercial quanttes of vonoprazan drug substance, or API.</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the API Supply Agreement, Evonik has agreed to supply us with, and we have agreed to purchase, certain quanttes of API at an agreed upon price which varies based on the volume of product ordered. The price may also be adjusted based on actual changes in costs incurred by Evonik. Subject to pre-existng purchase obligatons to Takeda, we have agreed to purchase a percentage of our annual requirements of API from Evonik, for which the percentage of our annual API requirements is subject to adjustment based upon the price of API under the API Supply Agreement.</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Unless terminated earlier, the API Supply Agreement has an inital period that expires in August 2027. This inital term will be extended by two additonal years if Evonik successfully qualifes a second manufacturing facility to produce API no later than December 31, 2024. The API Supply Agreement may be terminated efectve at the end of the inital period on at least 24-months writen notce by either party. In the absence of such notce, the API Supply Agreement will extend automatcally for additonal 2-year periods which may be terminated upon 18 months’ notce. The API Supply Agreement may also be terminated at any tme upon writen notce by either party if the other party has failed to remedy a material breach of the terms of the Supply Agreement within a specifed period following receipt of writen notce of such breach.</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Government authorites in the United States, at the federal, state and local level, and other countries extensively regulate, among other things, the research, development, testng, manufacture, quality control, approval, labeling, packaging, storage, record-keeping, promoton, advertsing, distributon, marketng and export and import of products such as those we are developing. A new drug must be approved by the FDA through the NDA process before it may be legally marketed in the United States.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Drug Development Process</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the United States, the FDA regulates drugs under the Federal Food, Drug, and Cosmetc Act, or the FDCA, and its implementng regulatons. The process of obtaining regulatory approvals and the subsequent compliance with appropriate federal, state, local and foreign statutes and regulatons require the expenditure of substantal tme and fnancial resources.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process required by the FDA before a drug may be marketed in the United States generally involves the following:</w:t>
      </w:r>
    </w:p>
    <w:p>
      <w:pPr>
        <w:spacing w:after="0" w:line="190" w:lineRule="exact"/>
        <w:rPr>
          <w:sz w:val="20"/>
          <w:szCs w:val="20"/>
          <w:color w:val="auto"/>
        </w:rPr>
      </w:pPr>
    </w:p>
    <w:p>
      <w:pPr>
        <w:ind w:left="900" w:right="76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completon of preclinical laboratory tests, animal studies and formulaton studies in accordance with Good Laboratory Practce, or GLP, regulatons and other applicable regulatons;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investgatonal new drug applicaton, or IND, which must become efectve before human clinical trials may begin;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by an independent insttutonal review board, or IRB, at each clinical site before each trial may be initated;</w:t>
      </w:r>
    </w:p>
    <w:p>
      <w:pPr>
        <w:spacing w:after="0" w:line="190"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of adequate and well-controlled human clinical trials in accordance with Good Clinical Practce, or GCP, regulatons to establish the safety and efcacy of the proposed drug for its intended use;</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NDA;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advisory commitee review, if applicable;</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inspecton of the manufacturing facility or facilites at which the drug is produced to assess compliance with current Good Manufacturing Practce, or cGMP, requirements to assure that the facilites,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49" w:lineRule="exact"/>
        <w:rPr>
          <w:sz w:val="20"/>
          <w:szCs w:val="20"/>
          <w:color w:val="auto"/>
        </w:rPr>
      </w:pPr>
    </w:p>
    <w:p>
      <w:pPr>
        <w:ind w:left="900" w:right="440"/>
        <w:spacing w:after="0" w:line="235" w:lineRule="auto"/>
        <w:rPr>
          <w:sz w:val="20"/>
          <w:szCs w:val="20"/>
          <w:color w:val="auto"/>
        </w:rPr>
      </w:pPr>
      <w:r>
        <w:rPr>
          <w:rFonts w:ascii="Calibri" w:cs="Calibri" w:eastAsia="Calibri" w:hAnsi="Calibri"/>
          <w:sz w:val="18"/>
          <w:szCs w:val="18"/>
          <w:color w:val="auto"/>
        </w:rPr>
        <w:t>methods and controls are adequate to preserve the drug’s identty, strength, quality and purity, and of selected clinical investgaton sites to assess compliance with GCPs; and</w:t>
      </w:r>
    </w:p>
    <w:p>
      <w:pPr>
        <w:spacing w:after="0" w:line="199"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review and approval of the NDA to permit commercial marketng of the product for partcular indicatons for use in the United States.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Once a pharmaceutcal candidate is identfed for development, it enters the preclinical testng stage. Preclinical tests include laboratory evaluatons of product chemistry, toxicity and formulaton, as well as animal studies. The conduct of preclinical studies is subject to federal regulatons and requirements, including GLP regulatons for certain studies. Prior to beginning the frst clinical trial with a product candidate in the United States, a sponsor must submit an IND to the FDA. The sponsor must submit the results of the preclinical tests, together with manufacturing informaton and analytcal data, to the FDA as part of the IND. An IND is a request for authorizaton from the FDA to administer an investgatonal drug product to humans. The sponsor will also include a protocol detailing, among other things, the objectves of the frst phase of the clinical trial, the parameters to be used in monitoring safety, and the efectveness criteria to be evaluated, if the frst phase lends itself to an efcacy evaluaton. Some preclinical testng may contnue even afer the IND is submited. The IND automatcally becomes efectve 30 days afer receipt by the FDA, unless the FDA, within the 30-day tme period, places the clinical trial on a clinical hold. In such a case, the IND sponsor and the FDA must resolve any outstanding concerns before the clinical trial can begin. Clinical holds also may be imposed by the FDA at any tme before or during clinical trials due to safety concerns about on-going or proposed clinical trials or non-compliance with specifc FDA requirements, and the trials may not begin or contnue untl the FDA notfes the sponsor that the hold has been lifed. Submission of an IND therefore may or may not result in FDA authorizaton to begin a clinical trial.</w:t>
      </w:r>
    </w:p>
    <w:p>
      <w:pPr>
        <w:spacing w:after="0" w:line="1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Clinical trials involve the administraton of the investgatonal product to human subjects under the supervision of one or more qualifed investgators in accordance with GCP regulatons, which include the requirement that all research subjects provide their informed consent in writng for their partcipaton in any clinical trial. Clinical trials are conducted under protocols detailing, among other things, the objectves of the trial, dosing procedures, subject selecton and exclusion criteria and the safety and efectveness criteria to be evaluated. Each protocol must be submited to the FDA as part of the IND as well as any subsequent protocol amendments. While the IND is actve, progress reports summarizing the results of the clinical trials and nonclinical studies performed since the last progress report, among other informaton, must be submited at least annually to the FDA, and writen IND safety reports must be submited to the FDA and investgators for serious and unexpected suspected adverse events, fndings from other studies suggestng a signifcant risk to humans exposed to the drug, fndings from animal or in vitro testng suggestng a signifcant risk to humans exposed to the drug, and any clinically important increased rate of a serious suspected adverse reacton compared to that listed in the protocol or investgator brochure.</w:t>
      </w:r>
    </w:p>
    <w:p>
      <w:pPr>
        <w:spacing w:after="0" w:line="19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Furthermore, an IRB at each insttuton partcipatng in the clinical trial must review and approve each protocol before a clinical trial commences at that insttuton and must also approve the informaton regarding the trial and the consent form that must be provided to each trial subject or his or her legal representatve, monitor the study untl completed and otherwise comply with IRB regulatons. The FDA or the sponsor may suspend a clinical trial at any tme on various grounds, including a fnding that the research subjects or patents are being exposed to an unacceptable health risk. Similarly, an IRB can suspend or terminate approval of a clinical trial at its insttuton if the clinical trial is not being conducted in accordance with the IRB’s requirements or if the drug has been associated with unexpected serious harm to patents. In additon, some clinical trials are overseen by an independent group of qualifed experts organized by the sponsor, known as a data safety monitoring board or commitee. Depending on its charter, this group may determine whether a trial may move forward at designated check points based on access to certain data from the trial.</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Human clinical trials are typically conducted in three sequental phases that may overlap or be combined:</w:t>
      </w:r>
    </w:p>
    <w:p>
      <w:pPr>
        <w:spacing w:after="0" w:line="190" w:lineRule="exact"/>
        <w:rPr>
          <w:sz w:val="20"/>
          <w:szCs w:val="20"/>
          <w:color w:val="auto"/>
        </w:rPr>
      </w:pPr>
    </w:p>
    <w:p>
      <w:pPr>
        <w:jc w:val="both"/>
        <w:ind w:left="900" w:right="42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1</w:t>
      </w:r>
      <w:r>
        <w:rPr>
          <w:rFonts w:ascii="Calibri" w:cs="Calibri" w:eastAsia="Calibri" w:hAnsi="Calibri"/>
          <w:sz w:val="18"/>
          <w:szCs w:val="18"/>
          <w:color w:val="auto"/>
        </w:rPr>
        <w:t>: The product candidate is initally introduced into healthy human volunteers or patents with the target disease or conditon. These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studies test for safety, dosage tolerance, absorpton, metabolism, distributon and excreton and, if possible, to gain an early indicaton of its efectveness.</w:t>
      </w:r>
    </w:p>
    <w:p>
      <w:pPr>
        <w:spacing w:after="0" w:line="205"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2</w:t>
      </w:r>
      <w:r>
        <w:rPr>
          <w:rFonts w:ascii="Calibri" w:cs="Calibri" w:eastAsia="Calibri" w:hAnsi="Calibri"/>
          <w:sz w:val="18"/>
          <w:szCs w:val="18"/>
          <w:color w:val="auto"/>
        </w:rPr>
        <w:t>: The product candidate is administered to a limited patent populaton with a specifed disease or conditon to evaluate the preliminary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efcacy, optmal dosages and dosing schedule and to identfy possible adverse side efects and safety risks.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63" w:lineRule="exact"/>
        <w:rPr>
          <w:sz w:val="20"/>
          <w:szCs w:val="20"/>
          <w:color w:val="auto"/>
        </w:rPr>
      </w:pPr>
    </w:p>
    <w:p>
      <w:pPr>
        <w:ind w:left="900" w:right="8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3</w:t>
      </w:r>
      <w:r>
        <w:rPr>
          <w:rFonts w:ascii="Calibri" w:cs="Calibri" w:eastAsia="Calibri" w:hAnsi="Calibri"/>
          <w:sz w:val="18"/>
          <w:szCs w:val="18"/>
          <w:color w:val="auto"/>
        </w:rPr>
        <w:t>: The product candidate is administered to an expanded patent populaton to further evaluate dosage, to provide statstcally signifcant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evidence of the product’s efectveness for its intended use(s) and to further test for safety, generally at multple geographically dispersed clinical trial sites. These clinical trials are intended to establish the overall risk-beneft rato of the product candidate and provide, if appropriate, an adequate basis for product labeling.</w:t>
      </w:r>
    </w:p>
    <w:p>
      <w:pPr>
        <w:spacing w:after="0" w:line="19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Post-approval trials, sometmes referred to as Phase 4 studies, may be conducted afer inital marketng approval. These trials are used to gain additonal experience from the treatment of patents in the intended therapeutc indicaton. In certain instances, the FDA may mandate the performance of Phase 4 clinical trials as a conditon of approval of an NDA.</w:t>
      </w:r>
    </w:p>
    <w:p>
      <w:pPr>
        <w:spacing w:after="0" w:line="178"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During the development of a new drug, sponsors are given opportunites to meet with the FDA at certain points. These points may be prior to submission of an IND, at the end of Phase 2, and before an NDA is submited. Meetngs at other tmes may be requested. These meetngs can provide an opportunity for the sponsor to share informaton about the data gathered to date, for the FDA to provide advice, and for the sponsor and the FDA to reach agreement on the next phase of development. Sponsors typically use the meetngs at the end of the Phase 2 trial to discuss Phase 2 clinical results and present plans for the pivotal Phase 3 clinical trials that they believe will support approval of the new drug.</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Concurrent with clinical trials, companies usually complete additonal animal studies and must also develop additonal informaton about the chemistry and physical characteristcs of the drug and fnalize a process for manufacturing the product in commercial quanttes in accordance with cGMP requirements. The manufacturing process must be capable of consistently producing quality batches of the product candidate and, among other things, the manufacturer must develop methods for testng the identty, strength, quality and purity of the fnal drug. In additon, appropriate packaging must be selected and tested, and stability studies must be conducted to demonstrate that the product candidate does not undergo unacceptable deterioraton over its shelf life.</w:t>
      </w:r>
    </w:p>
    <w:p>
      <w:pPr>
        <w:spacing w:after="0" w:line="194"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There are also requirements governing the reportng of ongoing clinical trials and completed trial results to public registries. Sponsors of certain clinical trials of FDA-regulated products are required to register and disclose specifed clinical trial informaton, which is publicly available at www.clinicaltrials.gov. Informaton related to the product, patent populaton, phase of investgaton, trial sites and investgators and other aspects of the clinical trial is then made public as part of the disclosure.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NDA Review and Approval Process</w:t>
      </w:r>
    </w:p>
    <w:p>
      <w:pPr>
        <w:spacing w:after="0" w:line="177"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Assuming successful completon of all required testng in accordance with all applicable regulatory requirements, the results of product development, preclinical and other non-clinical studies and clinical trials, along with descriptons of the manufacturing process, analytcal tests conducted on the chemistry of the drug, proposed labeling and other relevant informaton are submited to the FDA as part of an NDA requestng approval to market the product. The submission of an NDA is subject to the payment of substantal user fees; a waiver of such fees may be obtained under certain limited circumstances.</w:t>
      </w:r>
    </w:p>
    <w:p>
      <w:pPr>
        <w:spacing w:after="0" w:line="181"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FDA conducts a preliminary review of all NDAs within the frst 60 days afer submission, before acceptng them for fling, to determine whether they are sufciently complete to permit substantve review. The FDA may request additonal informaton rather than accept an NDA for fling. In this event, the NDA must be resubmited with the additonal informaton. The resubmited applicaton also is subject to review before the FDA accepts it for fling. Once fled, the FDA reviews an NDA to determine, among other things, whether a product is safe and efectve for its intended use and whether its manufacturing is cGMP-compliant to assure and preserve the product’s identty, strength, quality and purity. Under current PDUFA guidelines, the FDA has a goal of ten months from the date of “fling” of a standard NDA for a new molecular entty to review and act on the submission. This review typically takes twelve months from the date the NDA is submited to FDA because the FDA has approximately two months to make a “fling” decision afer the applicaton is submited.</w:t>
      </w:r>
    </w:p>
    <w:p>
      <w:pPr>
        <w:spacing w:after="0" w:line="168"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FDA may refer an applicaton for a novel drug to an advisory commitee. An advisory commitee is a panel of independent experts, including clinicians and other scientfc experts, that reviews, evaluates and provides a recommendaton as to whether the applicaton should be approved and under what conditons. The FDA is not bound by the recommendatons of an advisory commitee, but it considers such recommendatons carefully when making decisions.</w:t>
      </w:r>
    </w:p>
    <w:p>
      <w:pPr>
        <w:spacing w:after="0" w:line="179"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Before approving an NDA, the FDA will inspect the facility or facilites where the product is manufactured. The FDA will not approve an applicaton unless it determines that the manufacturing processes and facilites are in compliance with cGMP</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9"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requirements and adequate to assure consistent producton of the product within required specifcatons. Additonally, before approving an NDA, the FDA may inspect one or more clinical trial sites to assure compliance with GCP requirements.</w:t>
      </w:r>
    </w:p>
    <w:p>
      <w:pPr>
        <w:spacing w:after="0" w:line="19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Afer the FDA evaluates an NDA, it will issue an approval leter or a Complete Response Leter. An approval leter authorizes commercial marketng of the drug with prescribing informaton for specifc indicatons. A Complete Response Leter indicates that the review cycle of the applicaton is complete and the applicaton will not be approved in its present form. A Complete Response Leter usually describes the specifc defciencies in the NDA identfed by the FDA and may require additonal clinical trials or other signifcant and tme-consuming requirements related to clinical trials, nonclinical studies or manufacturing to support the applicaton. If a Complete Response Leter is issued, the sponsor must resubmit the NDA, addressing all of the defciencies identfed in the leter, or withdraw the applicaton. Even if such data and informaton are submited, the FDA may decide that the NDA does not satsfy the criteria for approval.</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If a product receives regulatory approval, the approval may be signifcantly limited to specifc diseases and dosages or the indicatons for use may otherwise be limited, which could restrict the commercial value of the product. In additon, the FDA may require a sponsor to conduct Phase 4 testng to further assess a drug’s safety and efectveness afer NDA approval, and may require testng and surveillance programs to monitor the safety of approved products which have been commercialized. The FDA may also place other conditons on approval including the requirement for a risk evaluaton and mitgaton strategy, or REMS, to assure the safe use of the drug, which could include medicaton guides, physician communicaton plans or elements to assure safe use, such as restricted distributon methods, patent registries and other risk minimizaton tools. If the FDA concludes a REMS is needed, the sponsor of the NDA must submit a proposed REMS. The FDA will not approve the NDA without an approved REMS, if required.</w:t>
      </w:r>
    </w:p>
    <w:p>
      <w:pPr>
        <w:spacing w:after="0" w:line="181"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Furthermore, the Pediatric Research Equity Act, or PREA, requires a sponsor to conduct pediatric clinical trials for most drugs, for a new actve ingredient, new indicaton, new dosage form, new dosing regimen or new route of administraton. Under PREA, original NDAs and supplements must contain a pediatric assessment unless the sponsor has received a deferral or waiver. The required assessment must evaluate the safety and efectveness of the product for the claimed indicatons in all relevant pediatric subpopulatons and support dosing and administraton for each pediatric subpopulaton for which the product is safe and efectve. The sponsor or FDA may request a deferral of pediatric clinical trials for some or all of the pediatric subpopulatons. A deferral may be granted for several reasons, including a fnding that the drug is ready for approval for use in adults before pediatric clinical trials are complete or that additonal safety or efectveness data needs to be collected before the pediatric clinical trials begin. The FDA must send a non-compliance leter to any sponsor that fails to submit the required assessment, fails to keep a deferral current or fails to submit a request for approval of a pediatric formulaton.</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Expedited Development and Review Programs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FDA ofers a number of expedited development and review programs for qualifying product candidates. The FDA has a Fast Track designaton program that is intended to expedite or facilitate the process for reviewing new drug products that meet certain criteria. Specifcally, product candidates are eligible for Fast Track designaton if they are intended to treat a serious or life-threatening disease or conditon and demonstrate the potental to address unmet medical needs for the disease or conditon. Fast Track designaton applies to the combinaton of the product candidate and the specifc indicaton for which it is being studied. The sponsor of a Fast Track product candidate has opportunites for more frequent interactons with the applicable FDA review team during product development and, once an NDA is submited, the applicaton may be eligible for priority review. A Fast Track product candidate may also be eligible for rolling review, where the FDA may consider for review sectons of the NDA on a rolling basis before the complete applicaton is submited, if the sponsor provides a schedule for the submission of the sectons of the NDA, the FDA agrees to accept sectons of the NDA and determines that the schedule is acceptable, and the sponsor pays any required user fees upon submission of the frst secton of the NDA.</w:t>
      </w:r>
    </w:p>
    <w:p>
      <w:pPr>
        <w:spacing w:after="0" w:line="1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 product candidate intended to treat a serious or life-threatening disease or conditon may also be eligible for Breakthrough Therapy designaton to expedite its development and review. A product candidate can receive Breakthrough Therapy designaton if preliminary clinical evidence indicates that the product candidate, alone or in combinaton with one or more other drugs or biologics, may demonstrate substantal improvement over existng therapies on one or more clinically signifcant endpoints, such as substantal treatment efects observed early in clinical development. The designaton includes all of the Fast Track program features, as well as more intensive FDA interacton and guidance beginning as early as Phase 1 and an organizatonal commitment to expedite the development and review of the product candidate, including involvement of senior managers.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Any marketng applicaton for a drug submited to the FDA for approval, including a product candidate with a Fast Track designaton or Breakthrough Therapy designaton, may also be eligible for other types of FDA programs intended to expedite development and review, such as priority review. A product candidate is eligible for priority review if it is designed to treat a serious or life-threatening disease or conditon, and if approved, would provide a signifcant improvement in safety or efectveness compared to available alternatves for such disease or conditon. The FDA will atempt to direct additonal resources to the evaluaton of an applicaton designated for priority review in an efort to facilitate the review. The FDA endeavors to review applicatons with priority review designatons within six months of the fling date as compared to ten months for review of new molecular entty NDAs under its current PDUFA review goals.</w:t>
      </w:r>
    </w:p>
    <w:p>
      <w:pPr>
        <w:spacing w:after="0" w:line="195"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In additon, depending on the design of the applicable clinical trials, a product candidate may be eligible for accelerated approval. Drug products intended to treat serious or life-threatening diseases or conditons may be eligible for accelerated approval upon a determinaton that the product candidate has an efect on a surrogate endpoint that is reasonably likely to predict clinical beneft, or on a clinical endpoint that can be measured earlier than irreversible morbidity or mortality, that is reasonably likely to predict an efect on irreversible morbidity or mortality or other clinical beneft, taking into account the severity, rarity, or prevalence of the conditon and the availability or lack of alternatve treatments. As a conditon of approval, the FDA will generally require that a sponsor of a drug receiving accelerated approval perform adequate and well-controlled confrmatory clinical trials verify and describe the antcipated efect on irreversible morbidity or mortality or other clinical beneft, and may require such confrmatory trials to be well underway prior to grantng accelerated approval. Products receiving accelerated approval may be subject to expedited withdrawal procedures if the sponsor fails to conduct the required confrmatory studies in a tmely manner, or if such studies fail to verify the predicted clinical beneft. In additon, the FDA currently requires as a conditon for accelerated approval pre-approval of promotonal materials, which could adversely impact the tming of the commercial launch of the product.</w:t>
      </w:r>
    </w:p>
    <w:p>
      <w:pPr>
        <w:spacing w:after="0" w:line="17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Fast Track designaton, Breakthrough Therapy designaton, accelerated approval, and priority do not change the standards for approval but may expedite the development or approval process. Even if a product qualifes for one or more of these programs, the FDA may later decide that the product no longer meets the conditons for qualifcaton or decide that the tme period for FDA review or approval will not be shortened.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Post-Approval Requirements</w:t>
      </w:r>
    </w:p>
    <w:p>
      <w:pPr>
        <w:spacing w:after="0" w:line="190"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Once an approval is granted, the FDA may withdraw the approval if compliance with regulatory standards is not maintained or if problems occur afer the product reaches the market. Later discovery of previously unknown problems with a product may result in restrictons on the product or even complete withdrawal of the product from the market. Afer approval, some types of changes to the approved product, such as adding new indicatons, certain manufacturing changes and additonal labeling claims, are subject to further FDA review and approval. Drug manufacturers and other enttes involved in the manufacture and distributon of approved drugs are required to register their establishments with the FDA and certain state agencies, and are subject to periodic unannounced inspectons by the FDA and certain state agencies for compliance with cGMP regulatons and other laws and regulatons. In additon, the FDA may impose a number of post-approval requirements as a conditon of approval of an NDA. For example, the FDA may require post-marketng testng, including Phase 4 clinical trials, and surveillance to further assess and monitor the product’s safety and efectveness afer commercializaton.</w:t>
      </w:r>
    </w:p>
    <w:p>
      <w:pPr>
        <w:spacing w:after="0" w:line="16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Any drug products manufactured or distributed pursuant to FDA approvals are subject to pervasive and contnuing regulaton by the FDA, including, among other things, record-keeping requirements, reportng of adverse experiences with the drug, providing the FDA with updated safety and efcacy informaton, drug sampling and distributon requirements, complying with certain electronic records and signature requirements, and complying with FDA promoton and advertsing requirements. The FDA strictly regulates labeling, advertsing, promoton and other types of informaton on products that are placed on the market and imposes requirements and restrictons on drug manufacturers, such as those related to direct-to-consumer advertsing, the prohibiton on promotng products for uses or in patent populatons that are not described in the product’s approved labeling (known as “of-label use”), industry-sponsored scientfc and educatonal actvites, and promotonal actvites involving the Internet. Physicians may prescribe, in their independent professional medical judgment, legally available products for uses that are not described in the product’s labeling and that difer from those tested by us and approved by the FDA. Physicians may believe that such of-label uses are the best treatment for many patents in varied circumstances. The FDA does not regulate the behavior of physicians in their choice of treatments. The FDA does, however, restrict manufacturer’s communicatons on the subject of of-label use of their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color w:val="auto"/>
        </w:rPr>
        <w:t>products. However, companies may share truthful and not misleading informaton that is otherwise consistent with a product’s FDA-approved labelling.</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Discovery of previously unknown problems or the failure to comply with the applicable regulatory requirements may result in restrictons on the marketng of a product or withdrawal of the product from the market as well as possible civil or criminal sanctons. Failure to comply with the applicable U.S. requirements at any tme during the product development process, approval process or post-approval, may subject an applicant or manufacturer to administratve or judicial civil or criminal sanctons and adverse publicity. FDA sanctons could include refusal to approve pending applicatons, withdrawal of an approval, clinical holds on post-approval clinical trials, warning or unttled leters, product recalls, product seizures, total or partal suspension of producton or distributon, injunctons, fnes, refusals of government contracts, mandated correctve advertsing or communicatons with doctors, debarment, resttuton, disgorgement of profts, or civil or criminal penaltes.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Non-Patent Data and Market Exclusivity</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Data and market exclusivity provisions under the FDCA can delay the submission or the approval of certain marketng applicatons. The FDCA provides a fve-year period of non-patent data exclusivity within the United States to the frst applicant to obtain approval of an NDA for a new chemical entty. A drug is a NCE if the FDA has not previously approved any other new drug containing the same actve moiety, which is the molecule or ion responsible for the acton of the drug substance. During the exclusivity period, the FDA may not accept for review an abbreviated new drug applicaton, or ANDA, or an NDA submited under Secton 505(b)(2), or 505(b)(2) NDA, submited by another company for another drug based on the same actve moiety, regardless of whether the drug is intended for the same indicaton as the original innovatve drug or for another indicaton, where the applicant does not own or have a legal right of reference to all the data required for approval. However, an applicaton may be submited afer four years if it contains a certfcaton of patent invalidity or non-infringement to one of the patents listed with the FDA by the innovator NDA holder.</w:t>
      </w:r>
    </w:p>
    <w:p>
      <w:pPr>
        <w:spacing w:after="0" w:line="1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FDCA alternatvely provides three years of non-patent market exclusivity for an NDA, or supplement to an existng NDA, if new clinical investgatons, other than bioavailability studies, that were conducted or sponsored by the applicant are deemed by the FDA to be essental to the approval of the applicaton, for example new indicatons, dosages or strengths of an existng drug. This three-year exclusivity covers only the modifcaton for which the drug received approval on the basis of the new clinical investgatons and does not prohibit the FDA from approving ANDAs or 505(b)(2) NDAs for drugs containing the actve agent for the original indicaton or conditon of use. Five-year and three-year exclusivity will not delay the submission or approval of a full NDA. However, an applicant submitng a full NDA would be required to conduct or obtain a right of reference to all of the preclinical studies and adequate and well-controlled clinical trials necessary to demonstrate safety and efectveness.</w:t>
      </w:r>
    </w:p>
    <w:p>
      <w:pPr>
        <w:spacing w:after="0" w:line="181"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Pediatric exclusivity is another type of market exclusivity available in the United States. Pediatric exclusivity provides for an additonal six months of marketng exclusivity atached to another period of exclusivity if a sponsor conducts clinical trials in children in response to a writen request from the FDA. The issuance of a writen request does not require the sponsor to undertake the described clinical trials.</w:t>
      </w:r>
    </w:p>
    <w:p>
      <w:pPr>
        <w:spacing w:after="0" w:line="178"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Additonally, under the GAIN Act, the FDA may designate a product as a QIDP. In order to receive this designaton, a drug must qualify as an antbacterial or antfungal drug for human use intended to treat serious or life-threatening infectons, including those caused by either (1) an antbacterial or antfungal resistant pathogen, including novel or emerging infectous pathogens, or (2) a so-called “qualifying pathogen” found on a list of potentally dangerous, drug-resistant organisms established and maintained by the FDA under the law. The FDA interprets QIDP designaton to apply to a specifc drug product, including a specifc dosage form of the product. A sponsor must request such designaton before submitng a marketng applicaton, and the FDA will respond to a request for QIDP designaton within 60 days of the date the FDA receives the request. The GAIN Act permits the FDA to revoke a QIDP designaton if the request for such designaton contained an untrue statement of material fact.</w:t>
      </w:r>
    </w:p>
    <w:p>
      <w:pPr>
        <w:spacing w:after="0" w:line="19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benefts of QIDP designaton include potental eligibility for priority review and Fast Track designaton, and an extension by an additonal fve years of any non-patent exclusivity period awarded, such as a fve-year NCE exclusivity period awarded for a new chemical entty. This extension is in additon to any pediatric exclusivity extension that may be awarded, and the extension will be awarded only to a drug frst approved on or afer the date of enactment. The GAIN Act provisions prohibit the grant of an exclusivity extension where the applicaton is a supplement to an applicaton for which an extension is in efect or has expired, is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subsequent applicaton for a specifed change to an approved product, or is an applicaton for a product that does not meet a defniton of QIDP based on the uses for which it is ultmately approved.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Fraud and Abuse Laws and Compliance Requirements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to FDA regulaton of pharmaceutcal products, U.S. federal and state healthcare laws and regulatons restrict business practces in the pharmaceutcal industry. These laws may impact, among other things, our current and future business operatons, including our clinical research actvites, and constrain the business or fnancial arrangements and relatonships with healthcare providers and other partes. These laws include ant-kickback and false claims laws, civil monetary penaltes laws, and transparency laws regarding drug pricing and payments or other items of value provided to physicians and other healthcare providers.</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federal Ant-Kickback Statute prohibits, among other things, individuals or enttes from knowingly and willfully ofering, paying, solicitng or receiving remuneraton,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entty does not need to have actual knowledge of this statute or specifc intent to violate it in order to have commited a violaton.</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federal civil and criminal false claims laws, including the civil False Claims Act, and civil monetary penaltes laws prohibit, among other things, any individual or entty from knowingly presentng,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obligaton to pay money to the federal government. In additon, the government may assert that a claim including items or services resultng from a violaton of the federal Ant-Kickback Statute consttutes a false or fraudulent claim for purposes of the civil False Claims Act.</w:t>
      </w:r>
    </w:p>
    <w:p>
      <w:pPr>
        <w:spacing w:after="0" w:line="170" w:lineRule="exact"/>
        <w:rPr>
          <w:sz w:val="20"/>
          <w:szCs w:val="20"/>
          <w:color w:val="auto"/>
        </w:rPr>
      </w:pPr>
    </w:p>
    <w:p>
      <w:pPr>
        <w:ind w:right="180" w:firstLine="509"/>
        <w:spacing w:after="0" w:line="251" w:lineRule="auto"/>
        <w:rPr>
          <w:sz w:val="20"/>
          <w:szCs w:val="20"/>
          <w:color w:val="auto"/>
        </w:rPr>
      </w:pPr>
      <w:r>
        <w:rPr>
          <w:rFonts w:ascii="Calibri" w:cs="Calibri" w:eastAsia="Calibri" w:hAnsi="Calibri"/>
          <w:sz w:val="17"/>
          <w:szCs w:val="17"/>
          <w:color w:val="auto"/>
        </w:rPr>
        <w:t>The federal Health Insurance Portability and Accountability Act of 1996, or HIPAA, created additonal federal criminal statutes that prohibit, among other things, knowingly and willfully executng a scheme to defraud any healthcare beneft program, including private third-party payers and knowingly and willfully falsifying, concealing or covering up a material fact or making any materially false, fcttous or fraudulent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federal Physician Payments Sunshine Act requires certain manufacturers of drugs, devices, biologics and medical supplies for which payment is available under Medicare, Medicaid or the Children’s Health Insurance Program, with specifc exceptons, to report annually to the Centers for Medicare &amp; Medicaid Services, or CMS, informaton related to payments or other transfers of value made to physicians (defned to include doctors, dentsts, optometrists, podiatrists and chiropractors), certain other non-physician practtoners (physician assistants, nurse practtoners, clinical nurse specialists, anesthesiologist assistants, certfed registered nurse anesthetsts, anesthesiology assistants and certfed nurse midwives), and teaching hospitals, and applicable manufacturers and applicable group purchasing organizatons to report annually to CMS ownership and investment interests held by physicians and their immediate family members.</w:t>
      </w:r>
    </w:p>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Similar state and local laws and regulatons may also restrict business practces in the pharmaceutcal industry, such as state ant-kickback and false claims laws, which may apply to business practces, including but not limited to, research, distributon, sales and marketng arrangements and claims involving healthcare items or services reimbursed by non-governmental third-party payers, including private insurers, or by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state laws and regulatons that require drug manufacturers to fle reports relatng to pricing and marketng informaton or which require tracking gifs and other remuneraton and items of value provided to physicians, other healthcare providers and enttes; and state and local laws that require the registraton of pharmaceutcal sales representatves.</w:t>
      </w:r>
    </w:p>
    <w:p>
      <w:pPr>
        <w:spacing w:after="0" w:line="182"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Violaton of any of such laws or any other governmental regulatons that apply may result in signifcant criminal, civil and administratve penaltes including damages, fnes, imprisonment, disgorgement, additonal reportng requirements and oversight if we become subject to a corporate integrity agreement or similar agreement to resolve allegatons of non-compliance with these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9" w:lineRule="exact"/>
        <w:rPr>
          <w:sz w:val="20"/>
          <w:szCs w:val="20"/>
          <w:color w:val="auto"/>
        </w:rPr>
      </w:pPr>
    </w:p>
    <w:p>
      <w:pPr>
        <w:ind w:right="140"/>
        <w:spacing w:after="0" w:line="334" w:lineRule="auto"/>
        <w:rPr>
          <w:sz w:val="20"/>
          <w:szCs w:val="20"/>
          <w:color w:val="auto"/>
        </w:rPr>
      </w:pPr>
      <w:r>
        <w:rPr>
          <w:rFonts w:ascii="MS PGothic" w:cs="MS PGothic" w:eastAsia="MS PGothic" w:hAnsi="MS PGothic"/>
          <w:sz w:val="18"/>
          <w:szCs w:val="18"/>
          <w:color w:val="auto"/>
        </w:rPr>
        <w:t>laws, contractual damages, reputatonal harm, diminished profts and future earnings, disgorgement, exclusion from partcipaton in government healthcare programs and the curtailment or restructuring of our operatons.</w:t>
      </w:r>
    </w:p>
    <w:p>
      <w:pPr>
        <w:spacing w:after="0" w:line="1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Coverage and Reimbursement</w:t>
      </w:r>
    </w:p>
    <w:p>
      <w:pPr>
        <w:spacing w:after="0" w:line="177" w:lineRule="exact"/>
        <w:rPr>
          <w:sz w:val="20"/>
          <w:szCs w:val="20"/>
          <w:color w:val="auto"/>
        </w:rPr>
      </w:pPr>
    </w:p>
    <w:p>
      <w:pPr>
        <w:ind w:right="80" w:firstLine="509"/>
        <w:spacing w:after="0" w:line="299" w:lineRule="auto"/>
        <w:rPr>
          <w:sz w:val="20"/>
          <w:szCs w:val="20"/>
          <w:color w:val="auto"/>
        </w:rPr>
      </w:pPr>
      <w:r>
        <w:rPr>
          <w:rFonts w:ascii="MS PGothic" w:cs="MS PGothic" w:eastAsia="MS PGothic" w:hAnsi="MS PGothic"/>
          <w:sz w:val="18"/>
          <w:szCs w:val="18"/>
          <w:color w:val="auto"/>
        </w:rPr>
        <w:t>Signifcant uncertainty exists as to the coverage and reimbursement status of any product candidate for which we may seek regulatory approval. Sales in the United States will depend, in part, on the availability of sufcient coverage and adequate reimbursement from third-party payers, which include government health programs such as Medicare, Medicaid, TRICARE and the Veterans Administraton, as well as managed care organizatons and private health insurers. Prices at which we or our customers seek reimbursement for VOQUEZNA, VOQUEZNA TRIPLE PAK and VOQUEZNA DUAL PAK and any future product candidates can be subject to challenge, reducton or denial by third-party payers.</w:t>
      </w:r>
    </w:p>
    <w:p>
      <w:pPr>
        <w:spacing w:after="0" w:line="134" w:lineRule="exact"/>
        <w:rPr>
          <w:sz w:val="20"/>
          <w:szCs w:val="20"/>
          <w:color w:val="auto"/>
        </w:rPr>
      </w:pPr>
    </w:p>
    <w:p>
      <w:pPr>
        <w:ind w:right="20" w:firstLine="509"/>
        <w:spacing w:after="0" w:line="294" w:lineRule="auto"/>
        <w:rPr>
          <w:sz w:val="20"/>
          <w:szCs w:val="20"/>
          <w:color w:val="auto"/>
        </w:rPr>
      </w:pPr>
      <w:r>
        <w:rPr>
          <w:rFonts w:ascii="MS PGothic" w:cs="MS PGothic" w:eastAsia="MS PGothic" w:hAnsi="MS PGothic"/>
          <w:sz w:val="18"/>
          <w:szCs w:val="18"/>
          <w:color w:val="auto"/>
        </w:rPr>
        <w:t>The process for determining whether a third-party payer will provide coverage for a product is typically separate from the process for setng the reimbursement rate that the payer will pay for the product. In the United States, there is no uniform policy among payers for coverage or reimbursement. Decisions regarding whether to cover a product, the extent of coverage and amount of reimbursement to be provided are made on a plan-by-plan basis. Third-party payers ofen rely upon Medicare coverage policy and payment limitatons in setng their own coverage and reimbursement policies, but also have their own methods and approval processes. Therefore, coverage and reimbursement for products can difer signifcantly from payer to payer. As a result, the coverage determinaton process is ofen a tme-consuming and costly process that can require manufacturers to provide scientfc and clinical support for the use of a product to each payer separately, with no assurance that coverage and adequate reimbursement will be applied consistently or obtained in the frst instance.</w:t>
      </w:r>
    </w:p>
    <w:p>
      <w:pPr>
        <w:spacing w:after="0" w:line="153" w:lineRule="exact"/>
        <w:rPr>
          <w:sz w:val="20"/>
          <w:szCs w:val="20"/>
          <w:color w:val="auto"/>
        </w:rPr>
      </w:pPr>
    </w:p>
    <w:p>
      <w:pPr>
        <w:ind w:right="20" w:firstLine="509"/>
        <w:spacing w:after="0" w:line="295" w:lineRule="auto"/>
        <w:rPr>
          <w:sz w:val="20"/>
          <w:szCs w:val="20"/>
          <w:color w:val="auto"/>
        </w:rPr>
      </w:pPr>
      <w:r>
        <w:rPr>
          <w:rFonts w:ascii="MS PGothic" w:cs="MS PGothic" w:eastAsia="MS PGothic" w:hAnsi="MS PGothic"/>
          <w:sz w:val="18"/>
          <w:szCs w:val="18"/>
          <w:color w:val="auto"/>
        </w:rPr>
        <w:t>Third-party payers are increasingly challenging the price and examining the medical necessity and cost-efectveness of medical products and services, in additon to their safety and efcacy. Adopton of price controls and cost-containment measures, and adopton of more restrictve policies in jurisdictons with existng controls and measures, could further limit sales of any product that receives approval. Third-party payers may not consider vonoprazan or any future product candidates to be medically necessary or cost-efectve compared to other available therapies, or the rebate percentages required to secure favorable coverage may not yield an adequate margin over cost or may not enable us to maintain price levels sufcient to realize an appropriate return on our investment in drug development. Additonally, decreases in third-party reimbursement for any product or a decision by a third-party payer not to cover a product could reduce physician usage and patent demand for the product.</w:t>
      </w:r>
    </w:p>
    <w:p>
      <w:pPr>
        <w:spacing w:after="0" w:line="139" w:lineRule="exact"/>
        <w:rPr>
          <w:sz w:val="20"/>
          <w:szCs w:val="20"/>
          <w:color w:val="auto"/>
        </w:rPr>
      </w:pPr>
    </w:p>
    <w:p>
      <w:pPr>
        <w:ind w:right="60" w:firstLine="509"/>
        <w:spacing w:after="0" w:line="291" w:lineRule="auto"/>
        <w:rPr>
          <w:sz w:val="20"/>
          <w:szCs w:val="20"/>
          <w:color w:val="auto"/>
        </w:rPr>
      </w:pPr>
      <w:r>
        <w:rPr>
          <w:rFonts w:ascii="MS PGothic" w:cs="MS PGothic" w:eastAsia="MS PGothic" w:hAnsi="MS PGothic"/>
          <w:sz w:val="18"/>
          <w:szCs w:val="18"/>
          <w:color w:val="auto"/>
        </w:rPr>
        <w:t>Medicaid is a joint federal and state program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and, if applicable, Medicare Part B,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146" w:lineRule="exact"/>
        <w:rPr>
          <w:sz w:val="20"/>
          <w:szCs w:val="20"/>
          <w:color w:val="auto"/>
        </w:rPr>
      </w:pPr>
    </w:p>
    <w:p>
      <w:pPr>
        <w:ind w:firstLine="509"/>
        <w:spacing w:after="0" w:line="317" w:lineRule="auto"/>
        <w:rPr>
          <w:sz w:val="20"/>
          <w:szCs w:val="20"/>
          <w:color w:val="auto"/>
        </w:rPr>
      </w:pPr>
      <w:r>
        <w:rPr>
          <w:rFonts w:ascii="MS PGothic" w:cs="MS PGothic" w:eastAsia="MS PGothic" w:hAnsi="MS PGothic"/>
          <w:sz w:val="17"/>
          <w:szCs w:val="17"/>
          <w:color w:val="auto"/>
        </w:rPr>
        <w:t>Federal law requires that a manufacturer that partcipates in the MDRP also partcipate in the Public Health Service’s 340B drug pricing program, or the 340B program, in order for federal funds to be available for the manufacturer’s drugs under Medicaid and, if applicable, Medicare Part B. The 340B program is administered by the Health Resources and Services Administraton, or HRSA, and requires partcipatng manufacturers to agree to charge statutorily defned covered enttes no more than the 340B “ceiling price” for the manufacturer’s covered outpatent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9" w:lineRule="exact"/>
        <w:rPr>
          <w:sz w:val="20"/>
          <w:szCs w:val="20"/>
          <w:color w:val="auto"/>
        </w:rPr>
      </w:pPr>
    </w:p>
    <w:p>
      <w:pPr>
        <w:ind w:right="20"/>
        <w:spacing w:after="0" w:line="314" w:lineRule="auto"/>
        <w:rPr>
          <w:sz w:val="20"/>
          <w:szCs w:val="20"/>
          <w:color w:val="auto"/>
        </w:rPr>
      </w:pPr>
      <w:r>
        <w:rPr>
          <w:rFonts w:ascii="MS PGothic" w:cs="MS PGothic" w:eastAsia="MS PGothic" w:hAnsi="MS PGothic"/>
          <w:sz w:val="17"/>
          <w:szCs w:val="17"/>
          <w:color w:val="auto"/>
        </w:rPr>
        <w:t>which is based on the AMP and rebate amount for the covered outpatent drug as calculated under the MDRP. In general, products subject to Medicaid 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 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38" w:lineRule="exact"/>
        <w:rPr>
          <w:sz w:val="20"/>
          <w:szCs w:val="20"/>
          <w:color w:val="auto"/>
        </w:rPr>
      </w:pPr>
    </w:p>
    <w:p>
      <w:pPr>
        <w:ind w:right="20" w:firstLine="509"/>
        <w:spacing w:after="0" w:line="340" w:lineRule="auto"/>
        <w:rPr>
          <w:sz w:val="20"/>
          <w:szCs w:val="20"/>
          <w:color w:val="auto"/>
        </w:rPr>
      </w:pPr>
      <w:r>
        <w:rPr>
          <w:rFonts w:ascii="MS PGothic" w:cs="MS PGothic" w:eastAsia="MS PGothic" w:hAnsi="MS PGothic"/>
          <w:sz w:val="16"/>
          <w:szCs w:val="16"/>
          <w:color w:val="auto"/>
        </w:rPr>
        <w:t>In order to be eligible to have drug products paid for with federal funds under Medicaid and, if applicable, Medicare Part B,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w:t>
      </w:r>
    </w:p>
    <w:p>
      <w:pPr>
        <w:spacing w:after="0" w:line="112" w:lineRule="exact"/>
        <w:rPr>
          <w:sz w:val="20"/>
          <w:szCs w:val="20"/>
          <w:color w:val="auto"/>
        </w:rPr>
      </w:pPr>
    </w:p>
    <w:p>
      <w:pPr>
        <w:ind w:right="100" w:firstLine="509"/>
        <w:spacing w:after="0" w:line="303" w:lineRule="auto"/>
        <w:rPr>
          <w:sz w:val="20"/>
          <w:szCs w:val="20"/>
          <w:color w:val="auto"/>
        </w:rPr>
      </w:pPr>
      <w:r>
        <w:rPr>
          <w:rFonts w:ascii="MS PGothic" w:cs="MS PGothic" w:eastAsia="MS PGothic" w:hAnsi="MS PGothic"/>
          <w:sz w:val="18"/>
          <w:szCs w:val="18"/>
          <w:color w:val="auto"/>
        </w:rPr>
        <w:t>We are enrolled or partcipate in the MDRP, the 340B program, the VA/FSS program, and the TRICARE retail pharmacy program, and have price reportng and payment obligatons under these and other programs. Pricing and rebate calculatons vary among products and programs. The calculatons are complex and are ofen subject to interpretaton by us, governmental or regulatory agencies, and the courts. We cannot ensure that any submissions we are required to make under these programs will not be found to be incomplete or incorrect.</w:t>
      </w:r>
    </w:p>
    <w:p>
      <w:pPr>
        <w:spacing w:after="0" w:line="130" w:lineRule="exact"/>
        <w:rPr>
          <w:sz w:val="20"/>
          <w:szCs w:val="20"/>
          <w:color w:val="auto"/>
        </w:rPr>
      </w:pPr>
    </w:p>
    <w:p>
      <w:pPr>
        <w:ind w:firstLine="509"/>
        <w:spacing w:after="0" w:line="295" w:lineRule="auto"/>
        <w:rPr>
          <w:sz w:val="20"/>
          <w:szCs w:val="20"/>
          <w:color w:val="auto"/>
        </w:rPr>
      </w:pPr>
      <w:r>
        <w:rPr>
          <w:rFonts w:ascii="MS PGothic" w:cs="MS PGothic" w:eastAsia="MS PGothic" w:hAnsi="MS PGothic"/>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Reform</w:t>
      </w:r>
    </w:p>
    <w:p>
      <w:pPr>
        <w:spacing w:after="0" w:line="177" w:lineRule="exact"/>
        <w:rPr>
          <w:sz w:val="20"/>
          <w:szCs w:val="20"/>
          <w:color w:val="auto"/>
        </w:rPr>
      </w:pPr>
    </w:p>
    <w:p>
      <w:pPr>
        <w:ind w:right="200" w:firstLine="509"/>
        <w:spacing w:after="0" w:line="311" w:lineRule="auto"/>
        <w:rPr>
          <w:sz w:val="20"/>
          <w:szCs w:val="20"/>
          <w:color w:val="auto"/>
        </w:rPr>
      </w:pPr>
      <w:r>
        <w:rPr>
          <w:rFonts w:ascii="MS PGothic" w:cs="MS PGothic" w:eastAsia="MS PGothic" w:hAnsi="MS PGothic"/>
          <w:sz w:val="18"/>
          <w:szCs w:val="18"/>
          <w:color w:val="auto"/>
        </w:rPr>
        <w:t>In the United States, there has been, and contnues to be, several legislatve and regulatory changes and proposed changes regarding the healthcare system that could prevent or delay marketng approval of product candidates, restrict or regulate post-approval actvites, and afect the proftable sale of product candidates.</w:t>
      </w:r>
    </w:p>
    <w:p>
      <w:pPr>
        <w:spacing w:after="0" w:line="124" w:lineRule="exact"/>
        <w:rPr>
          <w:sz w:val="20"/>
          <w:szCs w:val="20"/>
          <w:color w:val="auto"/>
        </w:rPr>
      </w:pPr>
    </w:p>
    <w:p>
      <w:pPr>
        <w:ind w:right="20" w:firstLine="509"/>
        <w:spacing w:after="0" w:line="304" w:lineRule="auto"/>
        <w:rPr>
          <w:sz w:val="20"/>
          <w:szCs w:val="20"/>
          <w:color w:val="auto"/>
        </w:rPr>
      </w:pPr>
      <w:r>
        <w:rPr>
          <w:rFonts w:ascii="MS PGothic" w:cs="MS PGothic" w:eastAsia="MS PGothic" w:hAnsi="MS PGothic"/>
          <w:sz w:val="17"/>
          <w:szCs w:val="17"/>
          <w:color w:val="auto"/>
        </w:rPr>
        <w:t>Among policy makers and payers in the United States, there is signifcant interest in promotng changes in healthcare systems with the stated goals of containing healthcare costs, improving quality and/or expanding access. In the United States, the pharmaceutcal industry has been a partcular focus of these eforts and has been signifcantly afected by major legislatve initatves. In March 2010, the Patent Protecton and Afordable Care Act, or the Afordable Care Act, was passed, which substantally changed the way healthcare is fnanced by both governmental and private insurers, and signifcantly afected the pharmaceutcal industry. The Afordable Care Act increased the minimum level of Medicaid rebates payable by manufacturers of brand name drugs from</w:t>
      </w:r>
    </w:p>
    <w:p>
      <w:pPr>
        <w:spacing w:after="0" w:line="3" w:lineRule="exact"/>
        <w:rPr>
          <w:sz w:val="20"/>
          <w:szCs w:val="20"/>
          <w:color w:val="auto"/>
        </w:rPr>
      </w:pPr>
    </w:p>
    <w:p>
      <w:pPr>
        <w:ind w:right="160"/>
        <w:spacing w:after="0" w:line="317" w:lineRule="auto"/>
        <w:rPr>
          <w:sz w:val="20"/>
          <w:szCs w:val="20"/>
          <w:color w:val="auto"/>
        </w:rPr>
      </w:pPr>
      <w:r>
        <w:rPr>
          <w:rFonts w:ascii="MS PGothic" w:cs="MS PGothic" w:eastAsia="MS PGothic" w:hAnsi="MS PGothic"/>
          <w:sz w:val="17"/>
          <w:szCs w:val="17"/>
          <w:color w:val="auto"/>
        </w:rPr>
        <w:t>15.1% to 23.1%; required collecton of rebates for drugs paid by Medicaid managed care organizatons; required manufacturers to partcipate in a coverage gap discount program, in which manufacturers must agree to ofer point-of-sale discounts of negotated prices of applicable brand drugs to eligible benefciaries during their coverage gap period, as a conditon for the manufacturer’s outpatent drugs to be covered under Medicare Part D; imposed a non-deductble annual fee on pharmaceutcal manufacturers or importers who sell certain “branded prescripton drugs” to specifed federal government programs; implemented a new methodology by which rebates owed by manufacturers under the MDRP are calculated for drugs that are inhaled, infused, instlled, implanted, or injected; expanded eligibility criteria for Medicaid programs; created a new Patent-Centered Outcomes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9" w:lineRule="exact"/>
        <w:rPr>
          <w:sz w:val="20"/>
          <w:szCs w:val="20"/>
          <w:color w:val="auto"/>
        </w:rPr>
      </w:pPr>
    </w:p>
    <w:p>
      <w:pPr>
        <w:jc w:val="both"/>
        <w:ind w:right="560"/>
        <w:spacing w:after="0" w:line="235" w:lineRule="auto"/>
        <w:rPr>
          <w:sz w:val="20"/>
          <w:szCs w:val="20"/>
          <w:color w:val="auto"/>
        </w:rPr>
      </w:pPr>
      <w:r>
        <w:rPr>
          <w:rFonts w:ascii="Calibri" w:cs="Calibri" w:eastAsia="Calibri" w:hAnsi="Calibri"/>
          <w:sz w:val="18"/>
          <w:szCs w:val="18"/>
          <w:color w:val="auto"/>
        </w:rPr>
        <w:t>Research Insttute to oversee, identfy priorites in, and conduct comparatve clinical efectveness research, along with funding for such research; and established a Center for Medicare and Medicaid Innovaton at the CMS to test innovatve payment and service delivery models to lower Medicare and Medicaid spending, potentally including prescripton drug spending.</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On June 17, 2021, the U.S. Supreme Court dismissed the most recent judicial challenge to the Afordable Care Act without specifcally ruling on the consttutonality of the Afordable Care Act. Thus, the Afordable Care Act will remain in efect in its current form.</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other legislatve changes have been proposed and adopted since the Afordable Care Act was enacted. For example, beginning April 1, 2013, Medicare payments to providers were reduced under the sequestraton required by the Budget Control Act of 2011, which will remain in efect through 2032, unless additonal Congressional acton is taken. Additonally, on January 2, 2013, the American Taxpayer Relief Act of 2012 was signed into law, which, among other things, further reduced Medicare payments to several providers, including hospitals, imaging centers and cancer treatment centers, and increased the statute of limitatons period for the government to recover overpayments to providers from three to fve years. On March 11, 2021, the American Rescue Plan Act of 2021 was signed into law, which eliminates the statutory Medicaid drug rebate cap, beginning January 1, 2024. Previously, the rebate was capped at 100% of a drug’s AMP.</w:t>
      </w:r>
    </w:p>
    <w:p>
      <w:pPr>
        <w:spacing w:after="0" w:line="18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Moreover, there has been heightened governmental scrutny over the manner in which manufacturers set prices for their marketed products, which has resulted in several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pharmaceutcal products.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Most signifcantly, on August 16, 2022, the Infaton Reducton Act of 2022, or IRA, was signed into law. This statute marks the most signifcant acton by Congress with respect to the pharmaceutcal industry since adopton of the Afordable Care Act in 2010.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(beginning in 2025). The IRA permits the Secretary of the Department of Health and Human Services, or HHS, to implement many of these provisions through guidance, as opposed to regulaton, for the inital years. HHS has and will contnue to issue and update guidance as these programs are implemented. On August 29, 2023, HHS announced the list of the frst ten drugs that will be subject to price negotatons, although the Medicare drug price negotaton program is currently subject to legal challenges. The impact of the IRA on the pharmaceutcal industry cannot yet be fully determined, but is likely to be signifcant. Individual states in the U.S. have also become increasingly actve in implementng regulatons designed to control pharmaceutcal product pricing, including price or patent reimbursement constraints, discounts, restrictons on certain product access and marketng cost disclosure and transparency measures, and, in some cases, designed to encourage importaton from other countries and bulk purchasing. In additon, regional healthcare authorites and individual hospitals are increasingly using bidding procedures to determine which drugs and suppliers will be included in their healthcare programs. Furthermore, there has been increased interest by third-party payers and governmental authorites in reference pricing systems and publicaton of discounts and list prices.</w:t>
      </w:r>
    </w:p>
    <w:p>
      <w:pPr>
        <w:spacing w:after="0" w:line="187"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The likelihood of implementaton of additonal reform initatves is uncertain. Moreover, in the coming years, additonal legislatve and regulatory changes could be made to governmental health programs that could signifcantly impact pharmaceutcal companies and the success of our product candidates.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Foreign Regulaton</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order to market any product outside of the United States, we would need to comply with numerous and varying regulatory requirements of other countries and jurisdictons regarding quality, safety and efcacy and governing, among other things, clinical trials, marketng authorizaton, commercial sales and distributon of our products. Whether or not we obtain FDA approval for a product, we would need to obtain the necessary approvals by the comparable foreign regulatory authorites before we can commence clinical trials or marketng of the product in foreign countries and jurisdictons. Although many of the issues discussed above with respect to the United States apply similarly in the context of the European Union, or EU, the approval process varies between countries and jurisdictons and can involve additonal product testng and additonal administratve review periods. The tme required to obtain approval in other countries and jurisdictons might difer from and be longer than that required to obtain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FDA approval. Regulatory approval in one country or jurisdicton does not ensure regulatory approval in another, but a failure or delay in obtaining regulatory approval in one country or jurisdicton may negatvely impact the regulatory process in others.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Regulaton and Procedures Governing Marketng Authorizaton of Medicinal Products in the EU</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Non-Clinical Studies and Clinical Trials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Similarly, to the United States, the various phases of non-clinical and clinical research in the EU are subject to signifcant regulatory controls.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practce, or GLP, as set forth in EU Directve 2004/10/EC (unless otherwise justfed for certain partcular medicinal products, e.g., radio-pharmaceutcal precursors for radio-labeling purposes). In partcular, non-clinical studies, both in vitro and in vivo, must be planned, performed, monitored, recorded, reported and archived in accordance with the GLP principles, which defne a set of rules and criteria for a quality system for the organizatonal process and the conditons for non-clinical studies. These GLP standards refect the Organizaton for Economic Co-operaton and Development requirements.</w:t>
      </w:r>
    </w:p>
    <w:p>
      <w:pPr>
        <w:spacing w:after="0" w:line="18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Clinical trials of medicinal products in the EU must be conducted in accordance with EU and natonal regulatons and the Internatonal Council for Harmonizaton of Technical Requirements for Pharmaceutcals for Human Use, or ICH, guidelines on good clinical practces, or GCP, as well as the applicable regulatory requirements and the ethical principles that have their origin in the Declaraton of Helsinki. If the sponsor of the clinical trial is not established within the EU, it must appoint an EU entty to act as its legal representatve. The sponsor must take out a clinical trial insurance policy, and in most EU member states, the sponsor is liable to provide ‘no fault’ compensaton to any study subject injured in the clinical trial.</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regulatory landscape related to clinical trials in the EU has been subject to recent changes. The EU Clinical Trials Regulaton, or CTR, which was adopted in April 2014 and repeals the EU Clinical Trials Directve, became applicable on January 31, 2022. Unlike directves, the CTR is directly applicable in all EU member states without the need for member states to further implement it into natonal law. The CTR notably harmonizes the assessment and supervision processes for clinical trials throughout the EU via a Clinical Trials Informaton System, which contains a centralized EU portal and database.</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While the EU Clinical Trials Directve required a separate clinical trial applicaton, or CTA, to be submited in each member state in which the clinical trial takes place, to both the competent natonal health authority and an independent ethics commitee, much like the FDA and IRB, respectvely, the CTR introduces a centralized process and only requires the submission of a single applicaton for mult-center trials. The CTR allows sponsors to make a single submission to both the competent authority and an ethics commitee in each member state, leading to a single decision per member state. The CTA must include, among other things, a copy of the trial protocol and an investgatonal medicinal product dossier containing informaton about the manufacture and quality of the medicinal product under investgaton.</w:t>
      </w:r>
    </w:p>
    <w:p>
      <w:pPr>
        <w:spacing w:after="0" w:line="181"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assessment procedure of the CTA has been harmonized as well, including a joint assessment by all member states concerned, and a separate assessment by each member state with respect to specifc requirements related to its own territory, including ethics rules. Each member state’s decision is communicated to the sponsor via the centralized EU portal. Once the CTA is approved, clinical study development may proceed.</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CTR foresees a three-year transiton period. The extent to which ongoing and new clinical trials will be governed by the CTR varies. Clinical trials for which an applicaton was submited (i) prior to January 31, 2022 under the EU Clinical Trials Directve, or (ii) between January 31, 2022 and January 31, 2023 and for which the sponsor has opted for the applicaton of the EU Clinical Trials Directve remain governed by said Directve untl January 31, 2025. Afer this date, all clinical trials (including those which are ongoing) will become subject to the provisions of the CTR.</w:t>
      </w:r>
    </w:p>
    <w:p>
      <w:pPr>
        <w:spacing w:after="0" w:line="192"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Medicines used in clinical trials must be manufactured in accordance with Good Manufacturing Practce, or GMP. Other natonal and EU-wide regulatory requirements may also apply.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Marketng Authorizatons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EU, medicinal product candidates can only be commercialized afer obtaining a marketng authorizaton, or MA. To obtain regulatory approval of a product candidate in the EU, we must submit a MA Applicaton, or MAA. The process for doing this depends, among other things, on the nature of the medicinal product.</w:t>
      </w:r>
    </w:p>
    <w:p>
      <w:pPr>
        <w:spacing w:after="0" w:line="18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There are two types of MAs:</w:t>
      </w:r>
    </w:p>
    <w:p>
      <w:pPr>
        <w:spacing w:after="0" w:line="190" w:lineRule="exact"/>
        <w:rPr>
          <w:sz w:val="20"/>
          <w:szCs w:val="20"/>
          <w:color w:val="auto"/>
        </w:rPr>
      </w:pPr>
    </w:p>
    <w:p>
      <w:pPr>
        <w:ind w:left="90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"Centralized MAs" are issued by the European Commission through the centralized procedure, based on the opinion of the Commitee for Medicinal Products for Human Use, or CHMP, of the European Medicines Agency, or EMA, and are valid throughout the EU. The centralized procedure is mandatory for certain types of products, such as (i) medicinal products derived from biotechnological processes, (ii) designated orphan medicinal products, (iii) advanced therapy medicinal products, or ATMPs, such as gene therapy, somatc cell-therapy or tssue-engineered medicines and (iv) medicinal products containing a new actve substance indicated for the treatment of certain diseases, such as HIV/AIDS, cancer, neurodegeneratve diseases, diabetes, auto-immune and other immune dysfunctons and viral diseases. The centralized procedure is optonal for any products containing a new actve substance not yet authorized in the EU, or for products that consttute a signifcant therapeutc, scientfc or technical innovaton or for which the grantng of a MA would be in the interest of public health in the EU.</w:t>
      </w:r>
    </w:p>
    <w:p>
      <w:pPr>
        <w:spacing w:after="0" w:line="195" w:lineRule="exact"/>
        <w:rPr>
          <w:rFonts w:ascii="Times New Roman" w:cs="Times New Roman" w:eastAsia="Times New Roman" w:hAnsi="Times New Roman"/>
          <w:sz w:val="18"/>
          <w:szCs w:val="18"/>
          <w:color w:val="auto"/>
        </w:rPr>
      </w:pPr>
    </w:p>
    <w:p>
      <w:pPr>
        <w:ind w:left="900" w:right="40" w:hanging="383"/>
        <w:spacing w:after="0" w:line="251" w:lineRule="auto"/>
        <w:tabs>
          <w:tab w:leader="none" w:pos="900" w:val="left"/>
        </w:tabs>
        <w:numPr>
          <w:ilvl w:val="0"/>
          <w:numId w:val="17"/>
        </w:numPr>
        <w:rPr>
          <w:rFonts w:ascii="Times New Roman" w:cs="Times New Roman" w:eastAsia="Times New Roman" w:hAnsi="Times New Roman"/>
          <w:sz w:val="17"/>
          <w:szCs w:val="17"/>
          <w:color w:val="auto"/>
        </w:rPr>
      </w:pPr>
      <w:r>
        <w:rPr>
          <w:rFonts w:ascii="Calibri" w:cs="Calibri" w:eastAsia="Calibri" w:hAnsi="Calibri"/>
          <w:sz w:val="17"/>
          <w:szCs w:val="17"/>
          <w:color w:val="auto"/>
        </w:rPr>
        <w:t>"Natonal MAs" are issued by the competent authorites of the EU member states, only cover their respectve territory, and are available for product candidates not falling within the mandatory scope of the centralized procedure. Where a product has already been authorized for marketng in an EU member state, this natonal MA can be recognized in another member state through the mutual recogniton procedure. If the product has not received a natonal MA in any member state at the tme of applicaton, it can be approved simultaneously in various member states through the decentralized procedure. Under the decentralized procedure an identcal dossier is submited to the competent authorites of each of the member states in which the MA is sought, one of which is selected by the applicant as the reference member state.</w:t>
      </w:r>
    </w:p>
    <w:p>
      <w:pPr>
        <w:spacing w:after="0" w:line="1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Under the above described procedures, before grantng the MA, the EMA or the competent authorites of the EU member states make an assessment of the risk-beneft balance of the product on the basis of scientfc criteria concerning its quality, safety and efcacy.</w:t>
      </w:r>
    </w:p>
    <w:p>
      <w:pPr>
        <w:spacing w:after="0" w:line="177" w:lineRule="exact"/>
        <w:rPr>
          <w:sz w:val="20"/>
          <w:szCs w:val="20"/>
          <w:color w:val="auto"/>
        </w:rPr>
      </w:pPr>
    </w:p>
    <w:p>
      <w:pPr>
        <w:ind w:right="360" w:firstLine="509"/>
        <w:spacing w:after="0" w:line="254" w:lineRule="auto"/>
        <w:rPr>
          <w:sz w:val="20"/>
          <w:szCs w:val="20"/>
          <w:color w:val="auto"/>
        </w:rPr>
      </w:pPr>
      <w:r>
        <w:rPr>
          <w:rFonts w:ascii="Calibri" w:cs="Calibri" w:eastAsia="Calibri" w:hAnsi="Calibri"/>
          <w:sz w:val="17"/>
          <w:szCs w:val="17"/>
          <w:color w:val="auto"/>
        </w:rPr>
        <w:t>MAs have an inital duraton of fve years. Afer these fve years, the authorizaton may be renewed for an unlimited period on the basis of a reevaluaton of the risk-beneft balance. Under the centralized procedure the maximum tmeframe for the evaluaton of an MAA by the EMA is 210 days, excluding clock stops. In exceptonal cases, the CHMP might perform an accelerated review of a MA in no more than 150 days (not including clock stops).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Data and marketng exclusivity</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EU also provides opportunites for market exclusivity. Upon receiving MA, innovatve medicinal products generally receive eight years of data exclusivity and an additonal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frst authorized in the EU. The market exclusivity period prevents a successful generic or biosimilar applicant from commercializing its product in the EU untl 10 years have elapsed from the inital MA of the reference product in the EU. The overall 10-year market exclusivity period can be extended to a maximum of eleven years if, during the frst eight years of those 10 years, the MA holder obtains an authorizaton for one or more new therapeutc indicatons which, during the scientfc evaluaton prior to their authorizaton, are held to bring a signifcant clinical beneft in comparison with existng therapies. However, there is no guarantee that a product will be considered by the EU’s regulatory authorites to be a new chemical (or biological) entty, and products may not qualify for data exclusivity.</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investgaton plan</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the EU, MAAs for new medicinal products have to include the results of trials conducted in the pediatric populaton, in compliance with a pediatric investgaton plan, or PIP, agreed with the EMA’s Pediatric Commitee, or PDCO. The PIP sets out the tming and measures proposed to generate data to support a pediatric indicaton of the drug for which MA is being sought. The PDCO can grant a deferral of the obligaton to implement some or all of the measures of the PIP untl there are sufcient data to</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demonstrate the efcacy and safety of the product in adults. Further, the obligaton to provide pediatric clinical trial data can be waived by the PDCO when these data are not needed or appropriate because the product is likely to be inefectve or unsafe in children, the disease or conditon for which the product is intended occurs only in adult populatons, or when the product does not represent a signifcant therapeutc beneft over existng treatments for pediatric patents. Once the MA is obtained in all EU member states and study results are included in the product informaton, even when negatve, the product is eligible for six months’ supplementary protecton certfcate extension (if any is in efect at the tme of approval) or, in the case of orphan pharmaceutcal products, a two-year extension of the orphan market exclusivity is granted.</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Post-Approval Requirements</w:t>
      </w:r>
    </w:p>
    <w:p>
      <w:pPr>
        <w:spacing w:after="0" w:line="177"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Similar to the United States, both MA holders and manufacturers of medicinal products are subject to comprehensive regulatory oversight by the EMA, the European Commission and/or the competent regulatory authorites of the member states. The holder of a MA must establish and maintain a pharmacovigilance system and appoint an individual qualifed person for pharmacovigilance, or QPPV, who is responsible for the establishment and maintenance of that system, and oversees the safety profles of medicinal products and any emerging safety concerns. Key obligatons include expedited reportng of suspected serious adverse reactons and submission of periodic safety update reports, or PSURs.</w:t>
      </w:r>
    </w:p>
    <w:p>
      <w:pPr>
        <w:spacing w:after="0" w:line="18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All new MAAs must include a risk management plan, or RMP, describing the risk management system that we will put in place and documentng measures to prevent or minimize the risks associated with the product. The regulatory authorites may also impose specifc obligatons as a conditon of the MA. Such risk-minimizaton measures or post-authorizaton obligatons may include additonal safety monitoring, more frequent submission of PSURs, or the conduct of additonal clinical trials or post-authorizaton safety studies.</w:t>
      </w:r>
    </w:p>
    <w:p>
      <w:pPr>
        <w:spacing w:after="0" w:line="19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advertsing and promoton of medicinal products is also subject to laws concerning promoton of medicinal products, interactons with physicians, misleading and comparatve advertsing and unfair commercial practces. All advertsing and promotonal actvites for the product must be consistent with the approved summary of product characteristcs, and therefore all of-label promoton is prohibited. Direct-to-consumer advertsing of prescripton medicines is also prohibited in the EU. Although general requirements for advertsing and promoton of medicinal products are established under EU directves, the details are governed by regulatons in each member state and can difer from one country to another.</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Failure to comply with the aforementoned EU and member state laws may result in administratve, civil or criminal penaltes. These penaltes could include delays or refusal to authorize the conduct of clinical trials, or to grant MA, product withdrawals and recalls, product seizures, suspension, withdrawal or variaton of the MA, total or partal suspension of producton, distributon, manufacturing or clinical trials, operatng restrictons, injunctons, suspension of licenses, fnes and criminal penaltes.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aforementoned EU rules are generally applicable in the European Economic Area, or EEA, which consists of the 27 EU member states plus Norway, Liechtenstein and Iceland.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Coverage and Reimbursement</w:t>
      </w:r>
    </w:p>
    <w:p>
      <w:pPr>
        <w:spacing w:after="0" w:line="177"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Outside of the United States, the pricing of pharmaceutcal products and medical devices is subject to governmental control in many countries. In the EU, pricing and reimbursement schemes vary widely from country to country. Some countries provide that products may be marketed only afer a reimbursement price has been agreed. Some countries may require the completon of additonal studies that compare the cost efectveness of a partcular therapy to currently available therapies or so-called health technology assessments, in order to obtain reimbursement or pricing approval. Other countries may allow companies to fx their own prices for products, but monitor and control product volumes and issue guidance to physicians to limit prescriptons. Eforts to control prices and utlizaton of pharmaceutcal products and medical devices will likely contnue as countries atempt to manage healthcare expenditures. Historically, products launched in the EU do not follow price structures of the United States and generally prices tend to be signifcantly lower.</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Brexit and the Regulatory Framework in the United Kingdom</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United Kingdom, or UK, lef the EU on January 31, 2020, following which existng EU medicinal product legislaton contnued to apply in the United Kingdom during the transiton period under the terms of the EU-UK Withdrawal Agreement. The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transiton period, which ended on December 31, 2020, maintained access to the EU single market and to the global trade deals negotated by the EU on behalf of its members. The transiton period provided tme for the UK and EU to negotate a framework for partnership for the future, which was then crystallized in the Trade and Cooperaton Agreement, or TCA, and became efectve on the January 1, 2021. The TCA includes specifc provisions concerning pharmaceutcals, which include the mutual recogniton of GMP inspectons of manufacturing facilites for medicinal products and GMP documents issued but does not foresee wholesale mutual recogniton of UK and EU pharmaceutcal regulatons.</w:t>
      </w:r>
    </w:p>
    <w:p>
      <w:pPr>
        <w:spacing w:after="0" w:line="19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EU laws which have been transposed into UK law through secondary legislaton contnue to be applicable as “retained EU law”. However, new legislaton such as the EU Clinical Trials Regulaton or in relaton to orphan medicines will not be applicable. The UK government has passed a new Medicines and Medical Devices Act 2021, which introduces delegated powers in favor of the Secretary of State or an ‘appropriate authority’ to amend or supplement existng regulatons in the area of medicinal products and medical devices. This allows new rules to be introduced in the future by way of secondary legislaton, which aims to allow fexibility in addressing regulatory gaps and future changes in the felds of human medicines, clinical trials and medical devices.</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January 1, 2021, the Medicines and Healthcare products Regulatory Agency, or MHRA, is the UK’s standalone medicines and medical devices regulator. As a result of the Northern Ireland protocol, diferent rules will apply in Northern Ireland than in England, Wales, and Scotland, together, Great Britain, or GB; broadly, Northern Ireland will contnue to follow the EU regulatory regime, but its natonal competent authority will remain the MHRA. The MHRA has published a guidance on how various aspects of the UK regulatory regime for medicines will operate in GB and in Northern Ireland following the expiry of the Brexit transiton period on December 31, 2020. The guidance includes clinical trials, importng, exportng, and pharmacovigilance and is relevant to any business involved in the research, development, or commercializaton of medicines in the UK.</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MHRA has introduced changes to natonal licensing procedures, including procedures to prioritze access to new medicines that will beneft patents, including a 150-day assessment and a rolling review procedure. All existng EU MAs for centrally authorized products were automatcally converted or grandfathered into UK MAs, efectve in GB (only), free of charge on January 1, 2021, unless the MA holder chooses to opt-out. Afer Brexit, companies established in the UK cannot use the centralized procedure and instead must follow one of the UK natonal authorizaton procedures or one of the remaining post-Brexit internatonal cooperaton procedures to obtain an MA to commercialize products in the UK. A new internatonal recogniton framework has been in place from January 1, 2024, whereby the MHRA will have regard to decisions on the approval of MAs made by the EMA and certain other regulators when determining an applicaton for a new GB MA.</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Data Privacy and Security Laws</w:t>
      </w:r>
    </w:p>
    <w:p>
      <w:pPr>
        <w:spacing w:after="0" w:line="177"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As a pharmaceutcal company, we are subject to federal, state and foreign data privacy, cybersecurity and data breach notfcaton laws governing the collecton, use, disclosure and protecton of health-related and other personal informaton. For example, in the U.S., HIPAA imposes privacy, security and breach reportng obligatons upon “covered enttes” (health plans, health care clearinghouses and certain health care providers), and their respectve business associates, individuals or enttes that create, receive, maintain or transmit protected health informaton, or PHI, in connecton with providing certain services for or on behalf of a covered entty. HIPAA mandates the reportng of certain breaches of protected health informaton to the HHS to afected individuals and if the breach is large enough, to the media. Enttes that are found to be in violaton of HIPAA as the result of a breach of unsecured personal health informaton, a complaint about privacy practces or an audit by the HHS may be subject to signifcant civil, criminal and administratve fnes and penaltes and/or additonal reportng and oversight obligatons if required to enter into a resoluton agreement and correctve acton plan with HHS to setle allegatons of HIPAA non-compliance. While HIPAA does not create a private right of acton allowing individuals to sue us in civil court for violatons of HIPAA, its standards have been used as the basis for duty of care in state civil suits such as those for negligence or recklessness in the misuse or breach of PHI.</w:t>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Even when HIPAA does not apply, according to the Federal Trade Commission or the FTC, failing to take appropriate steps to keep consumers’ personal informaton secure may consttute unfair acts or practces in or afectng commerce in violaton of Secton 5(a) of the Federal Trade Commission Act. The FTC expects a company’s cybersecurity measures to be reasonable and appropriate in light of the sensitvity and volume of consumer informaton it holds, the size and complexity of its business, and the cost of available tools to improve security and reduce vulnerabilites. Individually identfable health informaton is considered sensitve data that merits stronger safeguards. In additon, certain other federal, state laws, such as the California Consumer Privacy Act, or CCPA, similar state laws in other U.S. states including Colorado, Connectcut, Virginia and Utah, govern the privacy and security of personal informaton, including health-related informaton in certain circumstances, some of which are more stringent than HIPAA and many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of which difer from each other in signifcant ways and may not have the same efect, thus complicatng compliance eforts. We are also subject to EU/UK General Data Protecton Regulaton, or GDPR, which imposes comprehensive data privacy compliance obligatons in relaton to our collecton, processing, sharing, disclosure, transfer and other use of data relatng to an identfable living individual or “personal data”, including a principle of accountability and the obligaton to demonstrate compliance through policies, procedures, training and audit. Failure to comply with applicable data privacy and security laws can result in the impositon of signifcant civil and/or criminal penaltes and private litgaton. Privacy and security laws, regulatons, and other obligatons are constantly evolving, may confict with each other to complicate compliance eforts, and can result in investgatons, proceedings, or actons that lead to signifcant civil and/or criminal penaltes and restrictons on data processing.</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As of February 29, 2024, we had 452 full-tme employees, many of whom hold a Ph.D., M.D. or other advanced degree in their feld. None of our employees are represented by labor unions or covered by collectve bargaining agreements. We contnued to add employees in fscal year 2023 with a focus on building our in-house sales management and feld sales teams. We consider our relatonship with our employees to be good.</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human capital resources objectves include, as applicable, identfying, recruitng, retaining, incentvizing and developing our existng and new employees, advisors and consultants. We maintain equity and cash incentve plans for, and ofer a comprehensive beneft package to, every employee to atract, retain and reward personnel. The purpose of our cash and equity compensaton plans is to increase stockholder value and the success of our company by motvatng our employees to perform to the best of their abilites and achieve our objectves.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were originally incorporated under the laws of the state of Delaware on January 9, 2018 under the name North Bridge IV, Inc. On March 13, 2019, we changed our name to Phathom Pharmaceutcals, Inc. and merged YamadaCo IIA, Inc., a Delaware corporaton, or YamadaCo, with and into our company, with Phathom Pharmaceutcals, Inc. as the surviving entty, or the Merger. Our principal executve ofces are located at 100 Campus Drive, Suite 102, Florham Park, New Jersey 07932, and our telephone number is (877) 742-8466.</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Informaton</w:t>
      </w:r>
    </w:p>
    <w:p>
      <w:pPr>
        <w:spacing w:after="0" w:line="19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Our internet address is www.phathompharma.com. Our investor relatons website is located at htps://investors.phathompharma.com. We make available free of charge on our investor relatons website under “Financials and Filings” our annual reports on Form 10-K, quarterly reports on Form 10-Q, current reports on Form 8-K, our directors’ and ofcers’ Secton 16 reports and any amendments to those reports as soon as reasonably practcable afer fling or furnishing such materials to the SEC. They are also available for free on the SEC’s website at www.sec.gov.</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use our investor relatons website as a means of disclosing material non-public informaton and for complying with our disclosure obligatons under Regulaton FD. Investors should monitor such website, in additon to following our press releases, SEC flings and public conference calls and webcasts. Informaton relatng to our corporate governance is also included on our investor relatons website. The informaton in or accessible through the SEC and our website are not incorporated into, and are not considered part of, this fling.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9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i w:val="1"/>
          <w:iCs w:val="1"/>
          <w:color w:val="auto"/>
        </w:rPr>
        <w:t>You should carefully consider the following risk factors, together with the other informaton contained in this annual report on Form 10-K, including our fnancial statements and the related notes and “Management’s Discussion and Analysis of Financial Conditon and Results of Operatons,” before making a decision to purchase or sell shares of our common stock. We cannot assure you that any of the events discussed in the risk factors below will not occur. These risks could have a material and adverse impact on our business, results of operatons, fnancial conditon and growth prospects. If that were to happen, the trading price of our common stock could decline. Additonal risks and uncertaintes not presently known to us or that we currently deem immaterial also may impair our business operatons or fnancial conditon. In this secton, we frst provide a summary of the more signifcant risks and uncertaintes we face and then provide a full set of risk factors and discuss them in greater detail.</w:t>
      </w:r>
    </w:p>
    <w:p>
      <w:pPr>
        <w:spacing w:after="0" w:line="1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SUMMARY RISKS FACTORS</w:t>
      </w:r>
    </w:p>
    <w:p>
      <w:pPr>
        <w:spacing w:after="0" w:line="190" w:lineRule="exact"/>
        <w:rPr>
          <w:sz w:val="20"/>
          <w:szCs w:val="20"/>
          <w:color w:val="auto"/>
        </w:rPr>
      </w:pPr>
    </w:p>
    <w:p>
      <w:pPr>
        <w:ind w:left="900" w:right="24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a limited operatng history, have incurred signifcant operatng losses since our incepton and expect to incur signifcant losses for the foreseeable future;</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never become proftable or, if we achieve proftability, we may not be able to sustain it;</w:t>
      </w:r>
    </w:p>
    <w:p>
      <w:pPr>
        <w:spacing w:after="0" w:line="190"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require additonal fnancing to achieve our goals, and a failure to obtain this necessary capital when needed on acceptable terms, or at all, could force us to delay, limit, reduce or terminate our commercializaton actvites, product development programs, or other operatons;</w:t>
      </w:r>
    </w:p>
    <w:p>
      <w:pPr>
        <w:spacing w:after="0" w:line="174" w:lineRule="exact"/>
        <w:rPr>
          <w:rFonts w:ascii="Times New Roman" w:cs="Times New Roman" w:eastAsia="Times New Roman" w:hAnsi="Times New Roman"/>
          <w:sz w:val="17"/>
          <w:szCs w:val="17"/>
          <w:color w:val="auto"/>
        </w:rPr>
      </w:pPr>
    </w:p>
    <w:p>
      <w:pPr>
        <w:ind w:left="900" w:right="26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Interest Financing Agreement could limit cash fow available for our operatons and expose us to risks that could adversely afect our business, fnancial conditon and results of operatons;</w:t>
      </w:r>
    </w:p>
    <w:p>
      <w:pPr>
        <w:spacing w:after="0" w:line="204"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depend entrely on the success of VOQUEZNA, VOQUEZNA TRIPLE PAK and VOQEUZNA DUAL PAK, which were launched in the fourth quarter of 2023. If we are unable to successfully commercialize these products, or are unable to obtain regulatory approval for vonoprazan to treat heartburn associated with symptomatc Non-Erosive GERD, our business will be materially harmed;</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Vonoprazan may not have favorable results in our future clinical trials, or receive additonal regulatory approvals on a tmely basis, if at all;</w:t>
      </w:r>
    </w:p>
    <w:p>
      <w:pPr>
        <w:spacing w:after="0" w:line="190"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VOQUEZNA, VOQUEZNA TRIPLE PAK and VOQUEZNA DUAL PAK, and any future product candidates are subject to extensive regulaton and compliance obligatons, which is costly and tme consuming, and such regulaton may cause unantcipated delays or prevent the receipt of the required approvals to commercialize additonal product candidates;</w:t>
      </w:r>
    </w:p>
    <w:p>
      <w:pPr>
        <w:spacing w:after="0" w:line="205" w:lineRule="exact"/>
        <w:rPr>
          <w:rFonts w:ascii="Times New Roman" w:cs="Times New Roman" w:eastAsia="Times New Roman" w:hAnsi="Times New Roman"/>
          <w:sz w:val="18"/>
          <w:szCs w:val="18"/>
          <w:color w:val="auto"/>
        </w:rPr>
      </w:pPr>
    </w:p>
    <w:p>
      <w:pPr>
        <w:ind w:left="900" w:right="300" w:hanging="383"/>
        <w:spacing w:after="0" w:line="254" w:lineRule="auto"/>
        <w:tabs>
          <w:tab w:leader="none" w:pos="900"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not be successful in our eforts to expand our pipeline by identfying additonal indicatons and formulatons for which to investgate vonoprazan in the future.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78" w:lineRule="exact"/>
        <w:rPr>
          <w:rFonts w:ascii="Times New Roman" w:cs="Times New Roman" w:eastAsia="Times New Roman" w:hAnsi="Times New Roman"/>
          <w:sz w:val="17"/>
          <w:szCs w:val="17"/>
          <w:color w:val="auto"/>
        </w:rPr>
      </w:pPr>
    </w:p>
    <w:p>
      <w:pPr>
        <w:ind w:left="900" w:right="100" w:hanging="383"/>
        <w:spacing w:after="0" w:line="258" w:lineRule="auto"/>
        <w:tabs>
          <w:tab w:leader="none" w:pos="900"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currently have limited experience as a company in commercializing products. We may lack the necessary expertse, personnel and resources to successfully commercialize any of our product candidates that have received or may receive regulatory approval, including VOQUEZNA;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63" w:lineRule="exact"/>
        <w:rPr>
          <w:sz w:val="20"/>
          <w:szCs w:val="20"/>
          <w:color w:val="auto"/>
        </w:rPr>
      </w:pPr>
    </w:p>
    <w:p>
      <w:pPr>
        <w:ind w:left="900" w:right="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conduct our preclinical and clinical trials and perform other tasks for us. If these third partes do not successfully carry out their contractual dutes, meet expected deadlines or comply with regulatory requirements, we may not be able to obtain additonal regulatory approvals for or commercialize vonoprazan and our business could be harmed;</w:t>
      </w:r>
    </w:p>
    <w:p>
      <w:pPr>
        <w:spacing w:after="0" w:line="205"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engage third-party manufacturers for all of our clinical and commercial supplies. The loss of any of these suppliers, or any future single source suppliers, could harm our business;</w:t>
      </w:r>
    </w:p>
    <w:p>
      <w:pPr>
        <w:spacing w:after="0" w:line="190"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90"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scope of any patent protecton or non-patent regulatory exclusivity we obtain is not sufciently broad, or if we lose or fail to obtain any of our patent protecton or non-patent regulatory exclusivity, our ability to prevent our compettors from commercializing similar or identcal product candidates would be adversely afected;</w:t>
      </w:r>
    </w:p>
    <w:p>
      <w:pPr>
        <w:spacing w:after="0" w:line="205"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successful commercializaton of VOQUEZNA, VOQUEZNA TRIPLE PAK and VOQUEZNA DUAL PAK will depend in part on the extent to which governmental authorites and health insurers establish coverage, adequate reimbursement levels and favorable pricing policies. Failure to obtain or maintain coverage and adequate reimbursement for our products could limit our ability to market those products successfully and decrease our ability to generate revenue;</w:t>
      </w:r>
    </w:p>
    <w:p>
      <w:pPr>
        <w:spacing w:after="0" w:line="192"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fail to comply with reportng and payment obligatons for VOQUEZNA, VOQUEZNA TRIPLE PAK and VOQUEZNA DUAL PAK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192"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subject to various foreign, federal, and state healthcare and privacy laws and regulatons, and our failure to comply with these laws and regulatons could harm our results of operatons and fnancial conditon;</w:t>
      </w:r>
    </w:p>
    <w:p>
      <w:pPr>
        <w:spacing w:after="0" w:line="204" w:lineRule="exact"/>
        <w:rPr>
          <w:rFonts w:ascii="Times New Roman" w:cs="Times New Roman" w:eastAsia="Times New Roman" w:hAnsi="Times New Roman"/>
          <w:sz w:val="18"/>
          <w:szCs w:val="18"/>
          <w:color w:val="auto"/>
        </w:rPr>
      </w:pPr>
    </w:p>
    <w:p>
      <w:pPr>
        <w:ind w:left="900" w:right="92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highly dependent on the services of our key executves and personnel, and if we are not able to retain these members of our management or recruit additonal management, clinical and commercial personnel, our business will sufer;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trading price of our securites is likely to be volatle, and purchasers of our securites could incur substantal losses.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Limited Operatng History, Financial Positon and Capital Requirements</w:t>
      </w:r>
    </w:p>
    <w:p>
      <w:pPr>
        <w:spacing w:after="0" w:line="19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We have a limited operatng history as a commercial company, which may make it difcult to evaluate the success of our business to date and to assess our future viability.</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Biopharmaceutcal product development is a highly speculatve undertaking and involves a substantal degree of risk.</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received our frst regulatory approvals in 2022, and prior to our commercializaton of VOQUEZNA, VOQUEZNA TRIPLE PAK and VOQUEZNA DUAL PAK in the fourth quarter of 2023, we had not manufactured products on a commercial scale, or arranged for a third party to do so on our behalf or conducted sales and marketng actvites necessary for successful commercializaton. Consequently, predictons about our future success or viability may not be as accurate as they could be if we had a longer history of successfully developing and commercializing products. We expect our fnancial conditon and operatng results to contnue to fuctuate from quarter to quarter and year to year due to a variety of factors, many of which are beyond our control. We have transitoned from a company with solely a clinical development focus to a company also undertaking commercial actvites. We may encounter unforeseen expenses, difcultes, complicatons and delays, and may not be successful in such a transiton.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We have incurred signifcant operatng losses since incepton and antcipate that we will contnue to incur substantal operatng losses for the foreseeable future and may never achieve or maintain proftability.</w:t>
      </w:r>
    </w:p>
    <w:p>
      <w:pPr>
        <w:spacing w:after="0" w:line="191"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Since our incepton, we have incurred signifcant operatng losses. Our net loss was $201.6 million and $197.7 million for the years ended December 31, 2023 and 2022, respectvely. As of December 31, 2023, we had an accumulated defcit of $928.7 million. We expect to contnue to incur expenses and operatng losses for the foreseeable future. It could be several years, if ever, before VOQUEZNA, VOQUEZNA TRIPLE PAK and VOQUEZNA DUAL PAK or other product candidates, if approved, generate signifcant revenues to ofset these expenses and operatng losses. As a result, we are uncertain when or if we will achieve proftability and, if so, whether we will be able to sustain it. The net losses we incur may fuctuate signifcantly from quarter to quarter and year to year. We expect to contnue to incur losses for the foreseeable future, and we antcipate these losses will increase substantally as we:</w:t>
      </w:r>
    </w:p>
    <w:p>
      <w:pPr>
        <w:spacing w:after="0" w:line="178"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contnue, or complete planned or ongoing clinical trials of vonoprazan, including related support actvites;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milestone and royalty payments under license agreements by which we acquired rights to vonoprazan;</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royalty payments under the Revenue Interest Financing Agreement, or RIFA, entered into in May 2022, as amended;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payments under the Loan and Security Agreement with Hercules Capital, Inc., entered into in September 2021, as amended;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clinical trials for VOQUEZNA, vonoprazan or any future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build a portolio of product candidates through the acquisiton or in-license of additonal product candidates or technologies;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pursue regulatory approvals for new indicatons for vonoprazan and future product candidates that successfully complete clinical trials;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 additonal legal, accountng and other expenses in connecton with operatng as a public company.</w:t>
      </w:r>
    </w:p>
    <w:p>
      <w:pPr>
        <w:spacing w:after="0" w:line="190"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To become and remain proftable, we must successfully commercialize one or more product candidates with signifcant market potental. This will require us to be successful in manufacturing, marketng and selling our currently approved products, partcularly VOQUEZNA, and any future product candidates for which we may obtain marketng approval and satsfying any post-marketng requirements. We are only in the early stages of many of these actvites and, in some cases, have not yet commenced certain of these actvites.</w:t>
      </w:r>
    </w:p>
    <w:p>
      <w:pPr>
        <w:spacing w:after="0" w:line="179"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Our failure to become and remain proftable would depress the value of our company and could impair our ability to raise capital, expand our business, contnue our product development eforts, diversify our product candidate pipeline or even contnue our operatons. A decline in the value of our company could also cause you to lose all or part of your investment.</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We will require substantal additonal fnancing to achieve our goals, and a failure to obtain this necessary capital when needed on acceptable terms, or at all, could force us to delay, limit, reduce or terminate our product development programs, commercializaton eforts or other operatons.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development and commercializaton of biopharmaceutcal product candidates is capital-intensive. We expect our expenses to increase in connecton with our ongoing actvites, partcularly as we contnue to achieve product sales for VOQUEZNA and our other approved products and progress our Non-Erosive GERD development program. In additon, we are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additonal product candidates in the future, we may be required to make signifcant upfront payments, milestone payments, and/or royalty payments. If we obtain additonal regulatory approvals for vonoprazan or regulatory approval for any future product candidate, we also expect to incur signifcant additonal commercializaton expenses related to product manufacturing, marketng, sales and distributon. Because the outcome of any clinical trial is highly uncertain, we cannot reasonably estmate the actual amounts necessary to successfully complete the development and commercializaton of vonoprazan for additonal populatons, such</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patents with Non-Erosive GERD or EoE, or other product candidates. Accordingly, we will need to obtain substantal additonal funding in connecton with our contnuing operatons. If we are unable to raise capital when needed or on atractve terms, we could be forced to delay, reduce or eliminate our research and development programs or any future commercializaton eforts.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believe that our existng cash and cash equivalents together with the drawdown of the remaining $160 million under our loan and security agreement, or the Loan Agreement, with Hercules Capital, or Hercules, are sufcient to fund operatons for at least the next 12 months and, along with antcipated product revenues, will be sufcient to fund our operatons through the end of 2026. In partcular, we expect that these funds will allow us to fnance the ongoing launch of VOQUEZNA, including for the treatment of heartburn associated with symptomatc Non-Erosive GERD, if approved, VOQUEZNA TRIPLE PAK and VOQUEZNA DUAL PAK, and complete the clinical development of vonoprazan as an as needed treatment for Non-Erosive GERD. We have based these estmates on assumptons that may prove to be wrong, and we could use our capital resources sooner than we currently expect. Our operatng plans and other demands on our cash resources may change as a result of many factors currently unknown to us, and we may need to seek additonal funds sooner than planned, through public or private equity or debt fnancings or other capital sources, including potentally collaboratons, licenses and other similar arrangements. In additon, we may seek additonal capital due to favorable market conditons or strategic consideratons even if we believe we have sufcient funds for our current or future operatng plans. Atemptng to secure additonal fnancing may divert our management from our day-to-day actvites, which may adversely afect our ability to develop vonoprazan or any future product candidates.</w:t>
      </w:r>
    </w:p>
    <w:p>
      <w:pPr>
        <w:spacing w:after="0" w:line="1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90" w:lineRule="exact"/>
        <w:rPr>
          <w:sz w:val="20"/>
          <w:szCs w:val="20"/>
          <w:color w:val="auto"/>
        </w:rPr>
      </w:pPr>
    </w:p>
    <w:p>
      <w:pPr>
        <w:ind w:left="900" w:right="3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sales and marketng actvites in support of the commercial launch of VOQUEZNA, VOQUEZNA TRIPLE PAK, and VOQUEZNA DUAL PAK, or any future product candidate;</w:t>
      </w:r>
    </w:p>
    <w:p>
      <w:pPr>
        <w:spacing w:after="0" w:line="204"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our NDA for vonoprazan for the treatment of heartburn associated with symptomatc Non-Erosive GERD, and the costs, tming and outcome of regulatory review of any future product candidates;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90"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partcularly commercial personnel;</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90"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90"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any products or technologies that we may in-license or acquire.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Conductng clinical trials and preclinical studies is a tme consuming, expensive, and uncertain process that takes years to complete, and we may never generate the necessary data or results required to obtain regulatory approval of future product candidates. In additon, VOQUEZNA, VOQUEZNA TRIPLE PAK and VOQUEZNA DUAL PAK, or any future product candidate, may not achieve commercial success. Our commercial revenues will, for the foreseeable future, be derived exclusively from sales of products containing vonoprazan in the United States.</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Accordingly, we will need to contnue to rely on additonal fnancing to achieve our business objectves. Adequate additonal fnancing may not be available to us on acceptable terms, or at all. In additon, we may seek additonal capital due to favorable market conditons or strategic consideratons, even if we believe we have sufcient funds for our current or future operatng plans.</w:t>
      </w:r>
    </w:p>
    <w:p>
      <w:pPr>
        <w:spacing w:after="0" w:line="17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Raising additonal capital may cause diluton to our stockholders, restrict our operatons or require us to relinquish rights to our technologies or product candidates.</w:t>
      </w:r>
    </w:p>
    <w:p>
      <w:pPr>
        <w:spacing w:after="0" w:line="177" w:lineRule="exact"/>
        <w:rPr>
          <w:sz w:val="20"/>
          <w:szCs w:val="20"/>
          <w:color w:val="auto"/>
        </w:rPr>
      </w:pPr>
    </w:p>
    <w:p>
      <w:pPr>
        <w:ind w:right="300" w:firstLine="509"/>
        <w:spacing w:after="0" w:line="251" w:lineRule="auto"/>
        <w:rPr>
          <w:sz w:val="20"/>
          <w:szCs w:val="20"/>
          <w:color w:val="auto"/>
        </w:rPr>
      </w:pPr>
      <w:r>
        <w:rPr>
          <w:rFonts w:ascii="Calibri" w:cs="Calibri" w:eastAsia="Calibri" w:hAnsi="Calibri"/>
          <w:sz w:val="17"/>
          <w:szCs w:val="17"/>
          <w:color w:val="auto"/>
        </w:rPr>
        <w:t>Untl such tme, if ever, as we can generate substantal product revenues, we expect to fnance our cash needs through equity oferings, our Loan Agreement with Hercules, our Revenue Interest Financing Agreement, other debt fnancings, or other capital sources, including potental collaboratons, licenses and other similar arrangements. To the extent that we raise additonal capital through the sale of equity or convertble debt securites, your ownership interest will be diluted, and the terms of these securites may include liquidaton or other preferences that adversely afect your rights as a common stockholder. Our Loan Agreement and our Revenue Interest Financing Agreement include, and any future debt fnancing and preferred equity fnancing, if available, may involve agreements that include covenants limitng or restrictng our ability to take specifc actons such as incurring additonal debt, making capital expenditures or declaring dividends. For example, our Loan Agreement with Hercules contains minimum cash fnancial covenants.</w:t>
      </w:r>
    </w:p>
    <w:p>
      <w:pPr>
        <w:spacing w:after="0" w:line="1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If we raise funds through future collaboratons,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Commercializaton of VOQUEZNA, VOQUEZNA TRIPLE PAK, VOQUEZNA DUAL PAK and Any Future Product Candidates</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lack the necessary expertse, personnel and resources to successfully commercialize VOQUEZNA, VOQUEZNA TRIPLE PAK, VOQUEZNA DUAL PAK, and any future product candidates that may receive regulatory approval, on our own or together with collaborators.</w:t>
      </w:r>
    </w:p>
    <w:p>
      <w:pPr>
        <w:spacing w:after="0" w:line="191"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Untl 2023, our operatons were primarily limited to organizing and stafng our company, business planning, raising capital, acquiring the rights to, and undertaking clinical trials of, vonoprazan. Although we started developing marketng and distributon capabilites in 2021 in advance of the planned commercializaton of VOQUEZNA, VOQUEZNA TRIPLE PAK and VOQUEZNA DUAL PAK, due to approval and launch delays, we did not hire our feld force untl late 2023. The success of the commercializaton of our approved products in the United States and any of our future product candidates that may be approved by the FDA will depend on such marketng, sales and distributon capabilites. Factors that may afect our ability to commercialize our approved products and future product candidates successfully on our own include obtaining access to or persuading adequate numbers of physicians to prescribe our products. Building and maintaining a sales and marketng organizaton has required, and will contnue to require, signifcant investment, and is tme-consuming. Our sales and marketng organizaton may prove not to be efectve. If we are unable to maintain efectve sales and marketng capabilites for our approved products including VOQUEZNA, or to fnd suitable partners for such commercializaton, we may have difcultes generatng revenue from them.</w:t>
      </w:r>
    </w:p>
    <w:p>
      <w:pPr>
        <w:spacing w:after="0" w:line="183" w:lineRule="exact"/>
        <w:rPr>
          <w:sz w:val="20"/>
          <w:szCs w:val="20"/>
          <w:color w:val="auto"/>
        </w:rPr>
      </w:pPr>
    </w:p>
    <w:p>
      <w:pPr>
        <w:ind w:right="720"/>
        <w:spacing w:after="0" w:line="235" w:lineRule="auto"/>
        <w:rPr>
          <w:sz w:val="20"/>
          <w:szCs w:val="20"/>
          <w:color w:val="auto"/>
        </w:rPr>
      </w:pPr>
      <w:r>
        <w:rPr>
          <w:rFonts w:ascii="Calibri" w:cs="Calibri" w:eastAsia="Calibri" w:hAnsi="Calibri"/>
          <w:sz w:val="18"/>
          <w:szCs w:val="18"/>
          <w:b w:val="1"/>
          <w:bCs w:val="1"/>
          <w:i w:val="1"/>
          <w:iCs w:val="1"/>
          <w:color w:val="auto"/>
        </w:rPr>
        <w:t>Following receipt of regulatory approval, we are subject to ongoing regulatory obligatons and contnued regulatory review, which may result in signifcant additonal expense.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respect to VOQUEZNA, VOQUEZNA TRIPLE PAK, VOQUEZNA DUAL PAK, and any future product candidates, the FDA, EMA or other comparable regulatory authority may impose signifcant restrictons on a product’s indicated uses or marketng or impose ongoing requirements for potentally costly and tme-consuming post-approval studies, post-market surveillance or clinical trials to monitor the safety and efcacy of the product. The FDA and comparable regulatory authorites may also require a REMS or similar risk management measures as a conditon of approval of any future product candidates, which could include requirements for a</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medicaton guide, physician communicaton plans or additonal elements to ensure safe use, such as restricted distributon methods, patent registries and other risk minimizaton tools. In additon, for our approved products or future products that obtain approval, partcularly following commercial launch of any such products, the manufacturing processes, labeling, packaging, distributon, adverse event reportng, storage, advertsing, promoton, import, export and recordkeeping for our products will be subject to extensive and ongoing regulatory requirements. These requirements include submissions of safety and other post-marketng informaton and reports, registraton, as well as contnued compliance with cGMPs and similar requirements and GCP requirements for any clinical trials that we conduct post-approval. Later discovery of previously unknown problems with our products, including adverse events of unantcipated severity or frequency, or with our third-party manufacturers or manufacturing processes, or failure to comply with regulatory requirements, may result in, among other things:</w:t>
      </w:r>
    </w:p>
    <w:p>
      <w:pPr>
        <w:spacing w:after="0" w:line="128" w:lineRule="exact"/>
        <w:rPr>
          <w:sz w:val="20"/>
          <w:szCs w:val="20"/>
          <w:color w:val="auto"/>
        </w:rPr>
      </w:pPr>
    </w:p>
    <w:p>
      <w:pPr>
        <w:ind w:left="1020" w:right="6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the marketng or manufacturing of our products, withdrawal of the product from the market or voluntary or mandatory product recalls;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product distributon or use, or requirements to conduct post-marketng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fnes, resttutons, disgorgement of profts or revenues, warning leters, unttled leters or holds on clinical trials;</w:t>
      </w:r>
    </w:p>
    <w:p>
      <w:pPr>
        <w:spacing w:after="0" w:line="122"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refusal by the FDA or comparable foreign regulatory authority to approve pending applicatons or supplements to approved applicatons fled by us or suspension or revocaton of approvals;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seizure or detenton,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injunctons or the impositon of civil or criminal penaltes.</w:t>
      </w:r>
    </w:p>
    <w:p>
      <w:pPr>
        <w:spacing w:after="0" w:line="190" w:lineRule="exact"/>
        <w:rPr>
          <w:sz w:val="20"/>
          <w:szCs w:val="20"/>
          <w:color w:val="auto"/>
        </w:rPr>
      </w:pPr>
    </w:p>
    <w:p>
      <w:pPr>
        <w:ind w:right="680" w:firstLine="509"/>
        <w:spacing w:after="0" w:line="258" w:lineRule="auto"/>
        <w:rPr>
          <w:sz w:val="20"/>
          <w:szCs w:val="20"/>
          <w:color w:val="auto"/>
        </w:rPr>
      </w:pPr>
      <w:r>
        <w:rPr>
          <w:rFonts w:ascii="Calibri" w:cs="Calibri" w:eastAsia="Calibri" w:hAnsi="Calibri"/>
          <w:sz w:val="17"/>
          <w:szCs w:val="17"/>
          <w:color w:val="auto"/>
        </w:rPr>
        <w:t>The occurrence of any event or penalty described above may inhibit our ability to commercialize our current products and any future product candidates and generate revenue and could require us to expend signifcant tme and resources in response and could generate negatve publicity.</w:t>
      </w:r>
    </w:p>
    <w:p>
      <w:pPr>
        <w:spacing w:after="0" w:line="16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FDA’s and other regulatory authorites’ policies may change, and additonal government regulatons may be enacted that could prevent, limit or delay regulatory approval of any future product candidates or additonal indicatons for our current products. If we are slow or unable to adapt to changes in existng requirements or the adopton of new requirements or policies, or if we are not able to maintain regulatory compliance, we may lose any marketng approval that we may have obtained, may be subject to enforcement acton, and we may not achieve or sustain proftability.</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the EU pharmaceutcal legislaton is currently undergoing a complete review process, in the context of the Pharmaceutcal Strategy for Europe initatve, launched by the European Commission in November 2020. The European Commission's proposal for revision of several legislatve instruments related to medicinal products (potentally reducing the duraton of regulatory data protecton, revising the eligibility for expedited pathways, etc.) was published on April 26, 2023. The proposed revisions remain to be agreed and adopted by the European Parliament and European Council and the proposals may therefore be substantally revised before adopton, which is not antcipated before early 2026. The revisions may however have a signifcant impact on the pharmaceutcal industry and our business in the long term.</w:t>
      </w:r>
    </w:p>
    <w:p>
      <w:pPr>
        <w:spacing w:after="0" w:line="194"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b w:val="1"/>
          <w:bCs w:val="1"/>
          <w:i w:val="1"/>
          <w:iCs w:val="1"/>
          <w:color w:val="auto"/>
        </w:rPr>
        <w:t>The commercial success of our current products or any future product candidates will depend upon the degree of market acceptance of such product candidates by physicians, patents, healthcare payers and others in the medical community.</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VOQUEZNA, VOQUEZNA TRIPLE PAK, VOQUEZNA DUAL PAK, and any future product candidates, if approved, may not be commercially successful. The commercial success of our current products or any future product candidates will depend signifcantly on the broad adopton and use of such product by physicians and patents for approved indicatons. The degree of market acceptance of our current products or any future products, if approved, will depend on a number of factors, including:</w:t>
      </w:r>
    </w:p>
    <w:p>
      <w:pPr>
        <w:spacing w:after="0" w:line="12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demonstraton of clinical efcacy and safety compared to other more-established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indicatons for which our current or any future product candidates are approved;</w:t>
      </w:r>
    </w:p>
    <w:p>
      <w:pPr>
        <w:spacing w:after="0" w:line="122"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limitaton of our targeted patent populaton and other limitatons or warnings contained in any FDA-approved labeling or comparable approved labeling;</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of a new drug for the relevant indicaton by healthcare providers and their patents;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95" w:lineRule="exact"/>
        <w:rPr>
          <w:sz w:val="20"/>
          <w:szCs w:val="20"/>
          <w:color w:val="auto"/>
        </w:rPr>
      </w:pPr>
    </w:p>
    <w:p>
      <w:pPr>
        <w:ind w:left="1020" w:right="18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pricing and cost-efectveness of our products, as well as the cost of treatment with our products in relaton to alternatve treatments and therapies;</w:t>
      </w:r>
    </w:p>
    <w:p>
      <w:pPr>
        <w:spacing w:after="0" w:line="123" w:lineRule="exact"/>
        <w:rPr>
          <w:rFonts w:ascii="Times New Roman" w:cs="Times New Roman" w:eastAsia="Times New Roman" w:hAnsi="Times New Roman"/>
          <w:sz w:val="18"/>
          <w:szCs w:val="18"/>
          <w:color w:val="auto"/>
        </w:rPr>
      </w:pPr>
    </w:p>
    <w:p>
      <w:pPr>
        <w:ind w:left="1020" w:right="64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obtain and maintain sufcient third-party coverage and adequate reimbursement from government healthcare programs, including Medicare and Medicaid, private health insurers and other third-party payers;</w:t>
      </w:r>
    </w:p>
    <w:p>
      <w:pPr>
        <w:spacing w:after="0" w:line="123" w:lineRule="exact"/>
        <w:rPr>
          <w:rFonts w:ascii="Times New Roman" w:cs="Times New Roman" w:eastAsia="Times New Roman" w:hAnsi="Times New Roman"/>
          <w:sz w:val="18"/>
          <w:szCs w:val="18"/>
          <w:color w:val="auto"/>
        </w:rPr>
      </w:pPr>
    </w:p>
    <w:p>
      <w:pPr>
        <w:ind w:left="1020" w:right="26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patents to pay all, or a porton of, out-of-pocket costs associated with our products in the absence of sufcient third-party coverage or adequate reimbursement;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restrictons on the use of our products, and the prevalence and severity of any adverse efects;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market introducton of our products as well as compettve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efectveness of our or any of our potental future collaborators’ sales and marketng strategies;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publicity relatng to the product.</w:t>
      </w:r>
    </w:p>
    <w:p>
      <w:pPr>
        <w:spacing w:after="0" w:line="177" w:lineRule="exact"/>
        <w:rPr>
          <w:sz w:val="20"/>
          <w:szCs w:val="20"/>
          <w:color w:val="auto"/>
        </w:rPr>
      </w:pPr>
    </w:p>
    <w:p>
      <w:pPr>
        <w:ind w:right="260" w:firstLine="509"/>
        <w:spacing w:after="0" w:line="254" w:lineRule="auto"/>
        <w:rPr>
          <w:sz w:val="20"/>
          <w:szCs w:val="20"/>
          <w:color w:val="auto"/>
        </w:rPr>
      </w:pPr>
      <w:r>
        <w:rPr>
          <w:rFonts w:ascii="Calibri" w:cs="Calibri" w:eastAsia="Calibri" w:hAnsi="Calibri"/>
          <w:sz w:val="17"/>
          <w:szCs w:val="17"/>
          <w:color w:val="auto"/>
        </w:rPr>
        <w:t>If our current products or any future product candidates, if approved, does not achieve an adequate level of acceptance by physicians, hospitals, healthcare payers or patents, we may not generate sufcient revenue from that product and may not become or remain proftable. Our eforts to educate the medical community and third-party payers regarding the benefts of our products may require signifcant resources and may never be successful.</w:t>
      </w:r>
    </w:p>
    <w:p>
      <w:pPr>
        <w:spacing w:after="0" w:line="178"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Takeda has the right to develop and commercialize vonoprazan outside of the United States, Europe, and Canada and has received marketng approval for vonoprazan in numerous countries in Asia and Latn America as well as in Russia. We have litle or no control over Takeda’s commercializaton actvites with respect to vonoprazan outside of our licensed territories even though those actvites could impact our ability to successfully commercialize vonoprazan. For example, Takeda can make statements or use promotonal materials with respect to vonoprazan outside of our licensed territories that are inconsistent with our positoning of the product in the United States, Europe, and Canada, and could sell vonoprazan in foreign countries at prices that are dramatcally lower than the prices we would charge in our licensed territories. These actvites and decisions, while occurring outside of our licensed territories, could harm our commercializaton strategy. In additon, product recalls or safety issues with vonoprazan outside our licensed territories could result in serious damage to the brand and impair our ability to successfully market our products containing vonoprazan in our licensed territories.</w:t>
      </w:r>
    </w:p>
    <w:p>
      <w:pPr>
        <w:spacing w:after="0" w:line="16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The FDA and other regulatory agencies actvely enforce the laws and regulatons prohibitng the promoton of of-label uses. If we are found or alleged to have improperly promoted of-label uses, we may become subject to signifcant liability.</w:t>
      </w:r>
    </w:p>
    <w:p>
      <w:pPr>
        <w:spacing w:after="0" w:line="177"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 xml:space="preserve">The FDA and other regulatory agencies strictly regulate the promotonal claims that may be made about prescripton products such as our currently approved products, and any additonal product candidates containing vonoprazan and any future product candidates, if approved. In partcular, a product may not be promoted for uses that are not approved by the FDA or such other regulatory agencies as refected in the product’s approved labeling. For example, the FDA has approved VOQUEZNA for the treatment for healing and maintenance of healing of all grades of erosive esophagits and relief of heartburn associated with erosive esophagits in adults and, in combinaton with either amoxicillin, or amoxicillin and clarithromycin,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and we are not currently permited to promote this product for any other uses unless and untl such uses are approved by the FDA. For any product for which we have obtained a marketng approval, however, physicians may nevertheless prescribe it to their patents in a manner that is inconsistent with the approved label. If we are found to have promoted such of-label uses, we may become subject to signifcant liability. The federal government has levied large civil and criminal fnes against companies for alleged improper promoton and has enjoined several companies from engaging in of-label promoton. The FDA has also requested that companies enter into consent decrees or permanent injunctons under which specifed promotonal conduct is changed or curtailed. If we cannot successfully manage the promoton of our current products or any product candidates, we could become subject to signifcant liability, which would materially adversely afect our business and fnancial conditon.</w:t>
      </w:r>
    </w:p>
    <w:p>
      <w:pPr>
        <w:spacing w:after="0" w:line="191"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i w:val="1"/>
          <w:iCs w:val="1"/>
          <w:color w:val="auto"/>
        </w:rPr>
        <w:t>The successful commercializaton of our current products or any future product candidate, will depend in part on the extent to which governmental authorites and health insurers establish coverage, adequate reimbursement levels and favorable pricing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9"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policies. Failure to obtain or maintain coverage and adequate reimbursement for our products could limit our ability to market those products and decrease our ability to generate revenue.</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availability of coverage and the adequacy of reimbursement by governmental healthcare programs, such as Medicare and Medicaid, private health insurers and other third-party payers are essental for most patents to be able to aford prescripton medicatons such as VOQUEZNA, VOQUEZNA TRIPLE PAK, VOQUEZNA DUAL PAK or any future product candidates that may be approved. Our ability to achieve coverage and acceptable levels of reimbursement for our products by third-party payers will have an efect on our ability to successfully commercialize those products. Even if we obtain coverage for a given product by a third-party payer, the resultng reimbursement payment rates may not be adequate or may require co-payments that patents fnd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Third-party payers increasingly are challenging prices charged for pharmaceutcal products and services, and many third-party payers may refuse to provide coverage and reimbursement for partcular drugs when an equivalent generic drug or a less expensive therapy is available. It is possible that a third-party payer may consider our products as substtutable and only ofer to reimburse patents for the less expensive product. Even if we are successful in demonstratng improved efcacy or improved convenience of administraton with our products, pricing of existng drugs may limit the amount we will be able to charge for our products. These payers may deny or revoke the reimbursement status of a given product or establish prices for new or existng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satsfactory fnancial return on products that we may develop.</w:t>
      </w:r>
    </w:p>
    <w:p>
      <w:pPr>
        <w:spacing w:after="0" w:line="1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There is signifcant uncertainty related to third-party payer coverage and reimbursement of newly approved products. In the United States, third-party payers, including private and governmental payers, such as the Medicare and Medicaid programs, play an important role in determining the extent to which new drugs will be covered. Some third-party payers may require pre-approval of coverage for new or innovatve devices or drug therapies before they will reimburse healthcare providers who use such therapies. It is difcult to predict at this tme what third-party payers will decide with respect to the coverage and reimbursement for our products.</w:t>
      </w:r>
    </w:p>
    <w:p>
      <w:pPr>
        <w:spacing w:after="0" w:line="1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Obtaining and maintaining reimbursement status is tme consuming, costly and uncertain. The Medicare and Medicaid programs increasingly are used as models for how private payers and other governmental payers develop their coverage and reimbursement policies for drugs. However, no uniform policy for coverage and reimbursement for products exists among third-party payers in the United States. Therefore, coverage and reimbursement for products can difer signifcantly from payer to payer. As a result, the coverage determinaton process will require us to provide scientfc and clinical support for the use of our products to each payer separately, with no assurance that coverage and adequate reimbursement will be applied consistently or obtained in the frst instance. Furthermore, rules and regulatons regarding reimbursement change frequently, in some cases at short notce, and we believe that changes in these rules and regulatons are likely.</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Outside the United States, internatonal operatons are generally subject to extensive governmental price controls and other market regulatons, and we believe the increasing emphasis on cost-containment initatves in Europe and other countries has and will contnue to put pressure on the pricing and usage of our products. In many countries, the prices of medical products are subject to varying price control mechanisms as part of natonal health systems. Other countries allow companies to fx their own prices for medical products but monitor and control company profts. Additonal foreign price controls or other changes in pricing regulaton could restrict the amount that we are able to charge for our products. Accordingly, in markets outside the United States, the reimbursement for our products may be reduced compared with the United States and may be insufcient to generate commercially reasonable revenue and profts.</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Moreover, increasing eforts by governmental and third-party payers in the United States and abroad to cap or reduce healthcare costs may cause such organizatons to limit both coverage and the level of reimbursement for newly approved products and, as a result, they may not cover or provide adequate payment for our products. We expect to experience pricing pressures in connecton with the sale of any of our products due to the trend toward managed healthcare, the increasing infuence of health maintenance organizatons and additonal legislatve changes. The downward pressure on healthcare costs in general, partcularly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9" w:lineRule="exact"/>
        <w:rPr>
          <w:sz w:val="20"/>
          <w:szCs w:val="20"/>
          <w:color w:val="auto"/>
        </w:rPr>
      </w:pPr>
    </w:p>
    <w:p>
      <w:pPr>
        <w:ind w:right="340"/>
        <w:spacing w:after="0" w:line="334" w:lineRule="auto"/>
        <w:rPr>
          <w:sz w:val="20"/>
          <w:szCs w:val="20"/>
          <w:color w:val="auto"/>
        </w:rPr>
      </w:pPr>
      <w:r>
        <w:rPr>
          <w:rFonts w:ascii="MS PGothic" w:cs="MS PGothic" w:eastAsia="MS PGothic" w:hAnsi="MS PGothic"/>
          <w:sz w:val="18"/>
          <w:szCs w:val="18"/>
          <w:color w:val="auto"/>
        </w:rPr>
        <w:t>prescripton drugs and surgical procedures and other treatments, has become very intense. As a result, increasingly high barriers are being erected to the entry of new products.</w:t>
      </w:r>
    </w:p>
    <w:p>
      <w:pPr>
        <w:spacing w:after="0" w:line="120"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reportng and payment obligatons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178" w:lineRule="exact"/>
        <w:rPr>
          <w:sz w:val="20"/>
          <w:szCs w:val="20"/>
          <w:color w:val="auto"/>
        </w:rPr>
      </w:pPr>
    </w:p>
    <w:p>
      <w:pPr>
        <w:ind w:right="640" w:firstLine="509"/>
        <w:spacing w:after="0" w:line="334" w:lineRule="auto"/>
        <w:rPr>
          <w:sz w:val="20"/>
          <w:szCs w:val="20"/>
          <w:color w:val="auto"/>
        </w:rPr>
      </w:pPr>
      <w:r>
        <w:rPr>
          <w:rFonts w:ascii="MS PGothic" w:cs="MS PGothic" w:eastAsia="MS PGothic" w:hAnsi="MS PGothic"/>
          <w:sz w:val="18"/>
          <w:szCs w:val="18"/>
          <w:color w:val="auto"/>
        </w:rPr>
        <w:t>We partcipate in various governmental programs, such as the Medicaid Drug Rebate Program, that impose extensive drug price reportng and payment obligatons on pharmaceutcal manufacturers.</w:t>
      </w:r>
    </w:p>
    <w:p>
      <w:pPr>
        <w:spacing w:after="0" w:line="107" w:lineRule="exact"/>
        <w:rPr>
          <w:sz w:val="20"/>
          <w:szCs w:val="20"/>
          <w:color w:val="auto"/>
        </w:rPr>
      </w:pPr>
    </w:p>
    <w:p>
      <w:pPr>
        <w:ind w:firstLine="509"/>
        <w:spacing w:after="0" w:line="310" w:lineRule="auto"/>
        <w:rPr>
          <w:sz w:val="20"/>
          <w:szCs w:val="20"/>
          <w:color w:val="auto"/>
        </w:rPr>
      </w:pPr>
      <w:r>
        <w:rPr>
          <w:rFonts w:ascii="MS PGothic" w:cs="MS PGothic" w:eastAsia="MS PGothic" w:hAnsi="MS PGothic"/>
          <w:sz w:val="17"/>
          <w:szCs w:val="17"/>
          <w:color w:val="auto"/>
        </w:rPr>
        <w:t>Medicaid is a joint federal and state program that is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and, if applicable, Medicare Part B,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142" w:lineRule="exact"/>
        <w:rPr>
          <w:sz w:val="20"/>
          <w:szCs w:val="20"/>
          <w:color w:val="auto"/>
        </w:rPr>
      </w:pPr>
    </w:p>
    <w:p>
      <w:pPr>
        <w:ind w:right="20" w:firstLine="509"/>
        <w:spacing w:after="0" w:line="309" w:lineRule="auto"/>
        <w:rPr>
          <w:sz w:val="20"/>
          <w:szCs w:val="20"/>
          <w:color w:val="auto"/>
        </w:rPr>
      </w:pPr>
      <w:r>
        <w:rPr>
          <w:rFonts w:ascii="MS PGothic" w:cs="MS PGothic" w:eastAsia="MS PGothic" w:hAnsi="MS PGothic"/>
          <w:sz w:val="17"/>
          <w:szCs w:val="17"/>
          <w:color w:val="auto"/>
        </w:rPr>
        <w:t>Federal law requires that any company that partcipates in the MDRP also partcipate in the Public Health Service’s 340B drug pricing program, or the 340B program, in order for federal funds to be available for the manufacturer’s drugs under Medicaid and, if applicable, Medicare Part B. The 340B program is administered by the Health Resources and Services Administraton, or HRSA, and requires partcipatng manufacturers to agree to charge statutorily defned covered enttes no more than the 340B “ceiling price” for the manufacturer’s covered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 which is based on the AMP and rebate amount for the covered outpatent drug as calculated under the MDRP. In general, products subject to Medicaid 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 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35" w:lineRule="exact"/>
        <w:rPr>
          <w:sz w:val="20"/>
          <w:szCs w:val="20"/>
          <w:color w:val="auto"/>
        </w:rPr>
      </w:pPr>
    </w:p>
    <w:p>
      <w:pPr>
        <w:ind w:right="20" w:firstLine="509"/>
        <w:spacing w:after="0" w:line="317" w:lineRule="auto"/>
        <w:rPr>
          <w:sz w:val="20"/>
          <w:szCs w:val="20"/>
          <w:color w:val="auto"/>
        </w:rPr>
      </w:pPr>
      <w:r>
        <w:rPr>
          <w:rFonts w:ascii="MS PGothic" w:cs="MS PGothic" w:eastAsia="MS PGothic" w:hAnsi="MS PGothic"/>
          <w:sz w:val="17"/>
          <w:szCs w:val="17"/>
          <w:color w:val="auto"/>
        </w:rPr>
        <w:t>In order to be eligible to have drug products paid for with federal funds under Medicaid and, if applicable, Medicare Part B,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9"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pharmacy program. If a manufacturer partcipatng in the FSS program fails to provide tmely informaton or is found to have knowingly submited false informaton, the manufacturer may be subject to civil monetary penaltes.</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that may prevent or limit our ability to take price increases at certain rates or frequencies.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 If we are found to have violated state law requirements, we may become subject to penaltes or other enforcement mechanisms, which could have a material adverse efect on our business.</w:t>
      </w:r>
    </w:p>
    <w:p>
      <w:pPr>
        <w:spacing w:after="0" w:line="1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Pricing and rebate calculatons vary across products and programs, are complex, and are ofen subject to interpretaton by pharmaceutcal manufacturers, governmental or regulatory agencies, and the courts, which can change and evolve over tme. Such pricing calculatons and reportng, along with any necessary restatements and recalculatons, could increase costs for complying with the laws and regulatons governing the MDRP and other governmental programs, and under the MDRP could result in an overage or underage in Medicaid rebate liability for past quarters. Price recalculatons under the MDRP also may afect the ceiling price at which manufacturers are required to ofer products under the 340B program. Civil monetary penaltes can be applied if we are found to have knowingly submited any false price or product informaton to the government, if we fail to submit the required price data on a tmely basis, or if we are found to have charged 340B covered enttes more than the statutorily mandated ceiling price. CMS could also terminate our Medicaid drug rebate agreement, in which case federal payments may not be available under Medicaid for our covered outpatent drugs. We cannot assure you that our submissions will not be found to be incomplete or incorrect.</w:t>
      </w:r>
    </w:p>
    <w:p>
      <w:pPr>
        <w:spacing w:after="0" w:line="183"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face signifcant competton, and if our compettors develop technologies or product candidates more rapidly than we do or their technologies are more efectve, our ability to develop and successfully commercialize products may be adversely afected.</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biotechnology and pharmaceutcal industries are characterized by rapidly advancing technologies, intense competton and a strong emphasis on proprietary and novel products and product candidates. Our compettors have developed, are developing or may develop products, product candidates and processes compettve with VOQUEZNA. Any product candidates that we successfully develop and commercialize will compete with existng therapies and new therapies that may become available in the future. We believe that a signifcant number of products are currently under development, and may become commercially available in the future, for the treatment of GI diseases for which we may atempt to develop vonoprazan or any future product candidates. Our compettors include larger and beter funded pharmaceutcal, biopharmaceutcal, biotechnological and therapeutcs companies. Moreover, we may also compete with universites and other research insttutons who may be actve in the indicatons we are targetng and could be in direct competton with us. We also compete with these organizatons to recruit management, scientsts and clinical development personnel, which could negatvely afect our level of expertse and our ability to execute our business plan. We will also face competton in establishing clinical trial sites, enrolling patents for clinical trials and in identfying and in-licensing new product candidates. Smaller or early-stage companies may also prove to be signifcant compettors, partcularly through collaboratve arrangements with large and established companies.</w:t>
      </w:r>
    </w:p>
    <w:p>
      <w:pPr>
        <w:spacing w:after="0" w:line="1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expect that,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healing and maintenance of all grades of erosive esophagits and relief of heartburn associated with erosive esophagits and, if approved, treatment of heartburn associated with symptomatc Non-Erosive GERD, VOQUEZNA will primarily compete with generic PPIs marketed by multple pharmaceutcal companies in both the prescripton and OTC markets. In additon to generic PPI-based triple and quad therapies, we expect VOQUEZNA TRIPLE PAK and VOQUEZNA DUAL PAK will compete with Talicia, a co-formulated capsule comprising generic omeprazole, amoxicillin, and rifabutn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launched in March 2020 by RedHill Biopharma Ltd.</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aware of other PCABs in development in the United States, as well as a number of other PCABs in territories outside of the United States that if developed and approved in our territories may compete with vonoprazan. In the United States, Daewoong Pharmaceutcal Co., Ltd., or Daewoong is looking for a strategic partner to advance the development of fexuprazan. In additon, Cinclus Pharma AG, or Cinclus, received QIDP designaton for linaprazan glurate in combinaton with antbiotcs for the treatment of</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49" w:lineRule="exact"/>
        <w:rPr>
          <w:sz w:val="20"/>
          <w:szCs w:val="20"/>
          <w:color w:val="auto"/>
        </w:rPr>
      </w:pPr>
    </w:p>
    <w:p>
      <w:pPr>
        <w:ind w:right="40"/>
        <w:spacing w:after="0" w:line="250" w:lineRule="auto"/>
        <w:rPr>
          <w:sz w:val="20"/>
          <w:szCs w:val="20"/>
          <w:color w:val="auto"/>
        </w:rPr>
      </w:pPr>
      <w:r>
        <w:rPr>
          <w:rFonts w:ascii="Calibri" w:cs="Calibri" w:eastAsia="Calibri" w:hAnsi="Calibri"/>
          <w:sz w:val="17"/>
          <w:szCs w:val="17"/>
          <w:i w:val="1"/>
          <w:iCs w:val="1"/>
          <w:color w:val="auto"/>
        </w:rPr>
        <w:t xml:space="preserve">H. pylori </w:t>
      </w:r>
      <w:r>
        <w:rPr>
          <w:rFonts w:ascii="Calibri" w:cs="Calibri" w:eastAsia="Calibri" w:hAnsi="Calibri"/>
          <w:sz w:val="17"/>
          <w:szCs w:val="17"/>
          <w:color w:val="auto"/>
        </w:rPr>
        <w:t>infecton, completed a Phase 2 dose selecton study for Erosive GERD in November 2022, and plans to initate a Phase 3 study in 2024 for the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treatment of Erosive GERD. Finally, Sebela Pharmaceutcals, which acquired development and commercializaton rights in United States and Canada to tegoprazan from HK inno.N, a South Korean company, has initated two Phase 3 studies in the United States, one for Non-Erosive GERD and the other for healing and maintenance of healing of Erosive GERD. The earliest estmated completon date for these studies is during 2024. Outside the United States, in 2022 Daewoong launched fexuprazan in South Korea for the treatment of Erosive GERD under the brand name Fexuclue, has submited applicatons for regulatory approval in additonal countries in Asia and Latn America, and has out-licensed rights to develop fexuprazan in China to Shanghai Haini, a subsidiary of China’s Yangtze River Pharmaceutcal Group. Also outside the United States, revaprazan is marketed by Yuhan Corporaton in South Korea, and tegoprazan is co-marketed by HK inno.N and Boryung Corp. in South Korea, is also marketed in China, Indonesia, Mexico, Mongolia, Philippines and Singapore and is currently under health authority review in Argentna and Thailand as well as in development by RaQualia Pharma, Inc. in Japan and by Dr. Reddy’s in Russia. Additonally, Jeil Pharm has initated a Phase 3 trial in South Korea of its PCAB candidate, JP-1366, in Erosive GERD, and Cinclus’ linaprazan glurate has completed a Phase 2 clinical trial in Europe. To our knowledge, none of these compounds have demonstrated superiority to PPIs in a Phase 3 clinical trial.</w:t>
      </w:r>
    </w:p>
    <w:p>
      <w:pPr>
        <w:spacing w:after="0" w:line="18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Additonally, we are aware of several clinical-stage PPIs in territories outside of the United States that if developed and approved in our licensed territories may compete with vonoprazan. These include Dexa Medica’s DLBS-2411, currently launched in the Philippines and in Phase 3 in Indonesia, Sihuan Pharmaceutcal’s anaprazole, currently in Phase 3 in China, and Eisai’s azeloprazole, currently in a Phase 2 in China.</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July 2012, the Food and Drug Administraton Safety and Innovaton Act was passed, which included the Generatng Antbiotc Incentves Now Act, or GAIN Act. The GAIN Act is intended to provide incentves for the development of new, qualifed infectous disease products. In December 2016, the 21st Century Cures Act was passed, providing additonal support for the development of new infectous disease products. These incentves may result in more competton in the market for new antbiotcs and may cause pharmaceutcal and biotechnology companies with more resources than we have to shif their eforts towards the development of product candidates that could be compettve with vonoprazan or any future product candidates.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Many of our compettors have signifcantly greater fnancial, technical, manufacturing, marketng, sales and supply resources or experience than we do. We will face competton for our current products and any future product candidates based on many diferent factors, including the safety and efectveness of our products, the ease with which our products can be administered and the extent to which patents accept relatvely new routes of administraton, the scope of regulatory approvals for these products, the availability and cost of manufacturing, marketng and sales capabilites, price, reimbursement coverage and patent positon. Competng products could present superior treatment alternatves, including by being more efectve, safer, more convenient, less expensive or marketed and sold more efectvely than any products we may develop. Compettve products may make any products we develop obsolete or noncompettve before we recover the expense of developing and commercializing our current products or any future product candidates. If we are unable to compete efectvely, our opportunity to generate revenue from the sale of our products we may develop, if approved, could be adversely afected.</w:t>
      </w:r>
    </w:p>
    <w:p>
      <w:pPr>
        <w:spacing w:after="0" w:line="19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If the market opportunites for VOQUEZNA, VOQUEZNA TRIPLE PAK, VOQUEZNA DUAL PAK, or any future product candidates are smaller than we believe they are, our revenue may be adversely afected, and our business may sufer.</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precise incidence and prevalence for all the conditons we aim to address with our current products or any future product candidates are unknown. Our projectons of both the number of people who have these diseases, as well as the subset of people with these diseases who have the potental to beneft from treatment of our current products or any future product candidates, are based on our beliefs and estmates. These estmates have been derived from a variety of sources, including the scientfc literature, surveys of clinics or market research, and may prove to be incorrect. Further, new trials may change the estmated incidence or prevalence of these diseases. The total addressable market across indicatons for our current products and any future product candidates will ultmately depend upon, among other things, the diagnosis criteria included in the fnal label for each of product and any future product candidates approved for sale for these indicatons, the availability of alternatve treatments and the safety, convenience, cost and efcacy of our current products and any future product candidates relatve to such alternatve treatments, acceptance by the medical community and patent access, drug pricing and reimbursement. The number of patents in the United States and other major markets and elsewhere may turn out to be lower than expected, patents may not be otherwise amenable 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treatment with our products or new patents may become increasingly difcult to identfy or gain access to, all of which would adversely afect our results of operatons and our business.</w:t>
      </w:r>
    </w:p>
    <w:p>
      <w:pPr>
        <w:spacing w:after="0" w:line="191" w:lineRule="exact"/>
        <w:rPr>
          <w:sz w:val="20"/>
          <w:szCs w:val="20"/>
          <w:color w:val="auto"/>
        </w:rPr>
      </w:pPr>
    </w:p>
    <w:p>
      <w:pPr>
        <w:jc w:val="both"/>
        <w:ind w:right="420"/>
        <w:spacing w:after="0" w:line="235" w:lineRule="auto"/>
        <w:rPr>
          <w:sz w:val="20"/>
          <w:szCs w:val="20"/>
          <w:color w:val="auto"/>
        </w:rPr>
      </w:pPr>
      <w:r>
        <w:rPr>
          <w:rFonts w:ascii="Calibri" w:cs="Calibri" w:eastAsia="Calibri" w:hAnsi="Calibri"/>
          <w:sz w:val="18"/>
          <w:szCs w:val="18"/>
          <w:b w:val="1"/>
          <w:bCs w:val="1"/>
          <w:i w:val="1"/>
          <w:iCs w:val="1"/>
          <w:color w:val="auto"/>
        </w:rPr>
        <w:t>We have only recently built out our marketng, sales and distributon infrastructure. If our eforts in developing and maintaining sales, marketng and distributon capabilites are unsuccessful, or if we fail to achieve adequate pricing or reimbursement, we will not be successful in commercializing our current products or any future product candidates.</w:t>
      </w:r>
    </w:p>
    <w:p>
      <w:pPr>
        <w:spacing w:after="0" w:line="178"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have only recently expanded our marketng, sales and distributon capabilites in advance of the launch of VOQUEZNA, VOQUEZNA TRIPLE PAK and VOQUEZNA DUAL PAK. This expansion greatly increased our expenses and was very tme consuming for management. We currently market, sell and distribute VOQUEZNA, VOQUEZNA TRIPLE PAK and VOQUEZNA DUAL PAK through our own sales and marketng organizaton. Our current sales force may not be sufcient in size and may not have adequate expertse in the medical markets we intend to target. Any defciency in our sales, marketng and distributon capabilites or delay in the future development of such capabilites would adversely impact the commercializaton of our products. To the extent that in the future we enter into any collaboraton agreements with respect to marketng, sales or distributon for our current products and any future product candidates our product revenue may be lower than if we directly marketed or sold any approved products. We plan on entering into collaboraton agreements with respect to marketng, sales and distributon of our products in Europe and Canada. Any revenue we receive in these markets will depend in whole or in part upon the eforts of these third-party collaborators, which may not be successful and are generally not within our control.</w:t>
      </w:r>
    </w:p>
    <w:p>
      <w:pPr>
        <w:spacing w:after="0" w:line="174" w:lineRule="exact"/>
        <w:rPr>
          <w:sz w:val="20"/>
          <w:szCs w:val="20"/>
          <w:color w:val="auto"/>
        </w:rPr>
      </w:pPr>
    </w:p>
    <w:p>
      <w:pPr>
        <w:ind w:right="80" w:firstLine="549"/>
        <w:spacing w:after="0" w:line="235" w:lineRule="auto"/>
        <w:rPr>
          <w:sz w:val="20"/>
          <w:szCs w:val="20"/>
          <w:color w:val="auto"/>
        </w:rPr>
      </w:pPr>
      <w:r>
        <w:rPr>
          <w:rFonts w:ascii="Calibri" w:cs="Calibri" w:eastAsia="Calibri" w:hAnsi="Calibri"/>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collaboratons with one or more third partes, our future product revenue will sufer, and we may incur signifcant additonal losses.</w:t>
      </w:r>
    </w:p>
    <w:p>
      <w:pPr>
        <w:spacing w:after="0" w:line="192"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b w:val="1"/>
          <w:bCs w:val="1"/>
          <w:i w:val="1"/>
          <w:iCs w:val="1"/>
          <w:color w:val="auto"/>
        </w:rPr>
        <w:t>Our future growth may depend, in part, on our ability to operate in foreign markets, partcularly Europe and Canada, where we would be subject to additonal regulatory burdens and other risks and uncertaintes.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future growth may depend, in part, on our ability to develop and commercialize our current products and any future product candidates in foreign markets, partcularly Europe and Canada. We are not permited to market or promote vonoprazan and any future product candidates before we receive regulatory approval from applicable regulatory authorites in foreign markets, and we may never receive such regulatory approvals for vonoprazan or any future product candidates. To obtain separate regulatory approval in any other countries we must comply with numerous and varying regulatory requirements regarding safety and efcacy and governing, among other things, clinical trials, commercial sales, pricing and distributon of vonoprazan and any future product candidates. If we obtain regulatory approval of our current products and any future product candidates and ultmately commercialize our products in foreign markets, we would be subject to additonal risks and uncertaintes, including:</w:t>
      </w:r>
    </w:p>
    <w:p>
      <w:pPr>
        <w:spacing w:after="0" w:line="123"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protecton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existence of additonal third-party patent rights of potental relevance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changes in tarifs,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economic weakness, including infaton, public health emergencies or politcal instability in partcular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tax, employment, immigraton and labor laws for employees living or traveling internatonally;</w:t>
      </w:r>
    </w:p>
    <w:p>
      <w:pPr>
        <w:spacing w:after="0" w:line="122" w:lineRule="exact"/>
        <w:rPr>
          <w:rFonts w:ascii="Times New Roman" w:cs="Times New Roman" w:eastAsia="Times New Roman" w:hAnsi="Times New Roman"/>
          <w:sz w:val="18"/>
          <w:szCs w:val="18"/>
          <w:color w:val="auto"/>
        </w:rPr>
      </w:pPr>
    </w:p>
    <w:p>
      <w:pPr>
        <w:ind w:left="1020" w:right="440" w:hanging="503"/>
        <w:spacing w:after="0" w:line="235" w:lineRule="auto"/>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currency fuctuatons, which could result in increased operatng expenses and reduced revenues, and other obligatons incident to doing business in another country;</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producton shortages resultng from any events afectng raw material supply or manufacturing capabilites internatonally;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95" w:lineRule="exact"/>
        <w:rPr>
          <w:sz w:val="20"/>
          <w:szCs w:val="20"/>
          <w:color w:val="auto"/>
        </w:rPr>
      </w:pPr>
    </w:p>
    <w:p>
      <w:pPr>
        <w:ind w:left="1020" w:right="280" w:hanging="503"/>
        <w:spacing w:after="0" w:line="235" w:lineRule="auto"/>
        <w:tabs>
          <w:tab w:leader="none" w:pos="102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interruptons resultng from geopolitcal actons, including war and terrorism, or natural disasters including earthquakes, typhoons, foods and fres.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Development and Regulatory Approval of Product Candidates</w:t>
      </w:r>
    </w:p>
    <w:p>
      <w:pPr>
        <w:spacing w:after="0" w:line="21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We depend entrely on the success of VOQUEZNA and other products containing vonoprazan. If we do not obtain regulatory approval for vonoprazan for the treatment of heartburn symptoms associated with Non-Erosive GERD, or if we do not successfully commercialize VOQUEZNA for Erosive GERD or, if approved, Non-Erosive GERD, or we experience signifcant delays in doing so, we may never become proftable.</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expect that a substantal porton of our eforts and expenses over the next few years will be devoted to the commercializaton of vonoprazan and the development and regulatory approval of vonoprazan for additonal indicatons; specifcally, the ongoing review of the NDA for vonoprazan as a once-daily treatment of heartburn associated with symptomatc Non-Erosive GERD and the planned Phase 3 trial studying for vonoprazan as an as needed treatment for heartburn symptoms associated with Non-Erosive GERD. As a result, our business currently depends heavily on the successful development, regulatory approval and, if approved, commercializaton of vonoprazan for this additonal indicaton and dosing regimen. We cannot be certain that we will be able to submit or obtain approval for any additonal NDA or NDA supplement, or sNDA, for vonoprazan within the tmeframes we expect, that any NDAs or sNDAs we submit will be accepted by the FDA for fling in a tmely manner or at all, or that any of our product candidates will receive regulatory approval or will be successfully commercialized even if they receive regulatory approval.</w:t>
      </w:r>
    </w:p>
    <w:p>
      <w:pPr>
        <w:spacing w:after="0" w:line="182" w:lineRule="exact"/>
        <w:rPr>
          <w:sz w:val="20"/>
          <w:szCs w:val="20"/>
          <w:color w:val="auto"/>
        </w:rPr>
      </w:pPr>
    </w:p>
    <w:p>
      <w:pPr>
        <w:ind w:right="40" w:firstLine="549"/>
        <w:spacing w:after="0" w:line="235" w:lineRule="auto"/>
        <w:rPr>
          <w:sz w:val="20"/>
          <w:szCs w:val="20"/>
          <w:color w:val="auto"/>
        </w:rPr>
      </w:pPr>
      <w:r>
        <w:rPr>
          <w:rFonts w:ascii="Calibri" w:cs="Calibri" w:eastAsia="Calibri" w:hAnsi="Calibri"/>
          <w:sz w:val="18"/>
          <w:szCs w:val="18"/>
          <w:color w:val="auto"/>
        </w:rPr>
        <w:t>The testng, manufacturing, safety, efcacy, labeling, approval, sale, marketng and distributon of our product candidates are, and will remain, subject to comprehensive regulaton by the FDA and similar foreign regulatory authorites. Before obtaining regulatory approvals for the commercial sale of any product candidate, we must demonstrate through preclinical studies and clinical trials that the product candidate is safe and efectve for use in each target indicaton. Drug development is a long, expensive and uncertain process, and delay or failure can occur at any stage of any of our clinical trials. Failure to obtain regulatory approval for additonal indicatons for vonoprazan or future product candidates in the United States will prevent us from commercializing and marketng vonoprazan for these indicatons or our product candidates. The success of vonoprazan for future indicatons and our product candidates will depend on several additonal factors, including:</w:t>
      </w:r>
    </w:p>
    <w:p>
      <w:pPr>
        <w:spacing w:after="0" w:line="190"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completng clinical trials that demonstrate their efcacy and safety;</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receiving marketng approvals from applicable regulatory authorites;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completng any post-marketng studies required by applicable regulatory authorites;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adequate commercial manufacturing capabilites;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successful commercial sales, marketng and distributon operatons;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prevalence and severity of adverse events experienced with vonoprazan and our future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of VOQUEZNA and our future product candidates by patents, the medical community and third-party payers;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contnued acceptable safety profle following approval;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and maintaining healthcare coverage and adequate reimbursement for VOQUEZNA and our future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competng efectvely with other therapies, including with respect to the sales and marketng of our product candidates, if approved;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qualifying for, maintaining, enforcing and defending our intellectual property rights and claims.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9" w:lineRule="exact"/>
        <w:rPr>
          <w:sz w:val="20"/>
          <w:szCs w:val="20"/>
          <w:color w:val="auto"/>
        </w:rPr>
      </w:pPr>
    </w:p>
    <w:p>
      <w:pPr>
        <w:ind w:right="120" w:firstLine="549"/>
        <w:spacing w:after="0" w:line="235" w:lineRule="auto"/>
        <w:rPr>
          <w:sz w:val="20"/>
          <w:szCs w:val="20"/>
          <w:color w:val="auto"/>
        </w:rPr>
      </w:pPr>
      <w:r>
        <w:rPr>
          <w:rFonts w:ascii="Calibri" w:cs="Calibri" w:eastAsia="Calibri" w:hAnsi="Calibri"/>
          <w:sz w:val="18"/>
          <w:szCs w:val="18"/>
          <w:color w:val="auto"/>
        </w:rPr>
        <w:t>Many of these factors are beyond our control, including the tme needed to adequately complete clinical testng, the regulatory submission process, potental threats to our intellectual property rights and changes in the compettve landscape. It is possible that no new indicatons for vonoprazan and no future product candidates will ever obtain regulatory approval even if we expend substantal tme and resources seeking such approval. If we do not achieve one or more of these factors in a tmely manner or at all, we could experience signifcant delays or an inability to successfully complete clinical trials, obtain regulatory approval or, if approved, commercialize additonal vonoprazan indicatons or any other product candidates, which would materially harm our business, fnancial conditon and results of operatons.</w:t>
      </w:r>
    </w:p>
    <w:p>
      <w:pPr>
        <w:spacing w:after="0" w:line="194"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and expensive process with an uncertain outcome, and the results of preclinical studies and early clinical trials are not necessarily predictve of future results.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Clinical drug development is expensive and can take many years to complete, and its outcome is inherently uncertain. Even if we believe the results of our clinical trials are positve, obtaining regulatory approval may not occur on a tmely basis, if at all. The results from clinical trials or preclinical studies of a product candidate may not predict the results of later clinical trials of the product candidate, and interim results of a clinical trial are not necessarily indicatve of fnal results. Product candidates in later stages of clinical trials may fail to show the desired safety and efcacy characteristcs despite having progressed through preclinical studies and inital clinical trials. A number of companies in the pharmaceutcal and biotechnology industries have sufered signifcant setbacks in clinical development even afer the product candidate achieved promising results in earlier clinical trials. The results of our trials may not be comparable to those achieved previously, whether as a result of diferences in trial design, patent populaton or otherwise.</w:t>
      </w:r>
    </w:p>
    <w:p>
      <w:pPr>
        <w:spacing w:after="0" w:line="181"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 xml:space="preserve">For example, in our Phase 3 clinical trial for the treatment of </w:t>
      </w:r>
      <w:r>
        <w:rPr>
          <w:rFonts w:ascii="Calibri" w:cs="Calibri" w:eastAsia="Calibri" w:hAnsi="Calibri"/>
          <w:sz w:val="18"/>
          <w:szCs w:val="18"/>
          <w:i w:val="1"/>
          <w:iCs w:val="1"/>
          <w:color w:val="auto"/>
        </w:rPr>
        <w:t>H. pylor</w:t>
      </w:r>
      <w:r>
        <w:rPr>
          <w:rFonts w:ascii="Calibri" w:cs="Calibri" w:eastAsia="Calibri" w:hAnsi="Calibri"/>
          <w:sz w:val="18"/>
          <w:szCs w:val="18"/>
          <w:color w:val="auto"/>
        </w:rPr>
        <w:t>i infecton, the vonoprazan dual therapy arm was not double-blinded because patents in this arm were administered amoxicillin three tmes daily, versus twice daily for the triple therapy regimens. Both triple therapy regimens were double-blinded. The inability to double-blind the dual therapy arm may impact how regulatory agencies or healthcare payers interpret such results. For example, the EMA has noted that it expects additonal analyses of treatment compliance and drop-out rates in the dual therapy arm because it will not be double-blinded.</w:t>
      </w:r>
    </w:p>
    <w:p>
      <w:pPr>
        <w:spacing w:after="0" w:line="1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Further, in July 2019, we received scientfc advice from the EMA on our Phase 3 clinical trial of vonoprazan in the healing and maintenance of healing of Erosive GERD. For the healing phase of the study, the EMA recommended that we include an endoscopy to assess healing at Week 4 in additon to the planned endoscopies at Week 2 and Week 8 because the summary of product characteristcs for lansoprazole suggests four weeks of treatment to assess healing in Erosive GERD. We decided not to incorporate this change into the study design given the additonal burden on study subjects to return for a third endoscopy in an eight-week period. This decision may impact the future summary of product characteristcs for vonoprazan or may cause the EMA to require us to conduct additonal clinical trials for vonoprazan to support marketng approval.</w:t>
      </w:r>
    </w:p>
    <w:p>
      <w:pPr>
        <w:spacing w:after="0" w:line="18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additon, Takeda, a third party over which we have no control, has the right to develop and commercialize vonoprazan outside of the United States, Europe, and Canada. Takeda has marketng approval for vonoprazan in certain countries in Asia and Latn America, and Takeda has ongoing clinical trials of vonoprazan in certain indicatons that we are also pursuing. If such ongoing trials fail to meet their primary endpoints, have serious adverse events or encounter other problems, the development potental of vonoprazan could be materially and adversely afected. In additon, if serious adverse events or other problems occur with patents using vonoprazan marketed outside of our licensed territories, or if the results of ongoing or future clinical trials of vonoprazan conducted by Takeda or others generate negatve results or results that confict with the results of our clinical trials, the FDA or other regulatory authorites may delay, limit, or deny approval of vonoprazan, require us to conduct additonal clinical trials as a conditon to marketng approval, or withdraw their approval of vonoprazan or otherwise restrict our ability to market and sell vonoprazan, if approved. In additon, treatng physicians may be less willing to prescribe vonoprazan due to concerns over such trial results or adverse events, which would limit our ability to commercialize vonoprazan.</w:t>
      </w:r>
    </w:p>
    <w:p>
      <w:pPr>
        <w:spacing w:after="0" w:line="174" w:lineRule="exact"/>
        <w:rPr>
          <w:sz w:val="20"/>
          <w:szCs w:val="20"/>
          <w:color w:val="auto"/>
        </w:rPr>
      </w:pPr>
    </w:p>
    <w:p>
      <w:pPr>
        <w:ind w:right="160" w:firstLine="509"/>
        <w:spacing w:after="0" w:line="251" w:lineRule="auto"/>
        <w:rPr>
          <w:sz w:val="20"/>
          <w:szCs w:val="20"/>
          <w:color w:val="auto"/>
        </w:rPr>
      </w:pPr>
      <w:r>
        <w:rPr>
          <w:rFonts w:ascii="Calibri" w:cs="Calibri" w:eastAsia="Calibri" w:hAnsi="Calibri"/>
          <w:sz w:val="17"/>
          <w:szCs w:val="17"/>
          <w:color w:val="auto"/>
        </w:rPr>
        <w:t>In additon, the FDA’s and other regulatory authorites’ policies with respect to clinical trials may change and additonal government regulatons may be enacted. For instance, the regulatory landscape related to clinical trials in the EU recently evolved. The EU Clinical Trials Regulaton, or CTR, which was adopted in April 2014 and repeals the EU Clinical Trials Directve, became applicable on January 31, 2022. While the EU Clinical Trials Directve required a separate clinical trial applicaton, or CTA, to be submited in each member state in which the clinical trial takes place, to both the competent natonal health authority and an independent ethics commitee, the CTR introduces a centralized process and only requires the submission of a single applicaton for mult-center trials. The CTR allows sponsors to make a single submission to both the competent authority and an ethics commitee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each member state, leading to a single decision per member state. The assessment procedure of the CTA has been harmonized as well, including a joint assessment by all member states concerned, and a separate assessment by each member state with respect to specifc requirements related to its own territory, including ethics rules. Each member state’s decision is communicated to the sponsor via the centralized EU portal. Once the CTA is approved, clinical study development may proceed. The CTR foresees a three-year transiton period. The extent to which ongoing and new clinical trials will be governed by the CTR varies. Clinical trials for which an applicaton was submited (i) prior to January 31, 2022 under the EU Clinical Trials Directve, or (ii) between January 31, 2022 and January 31, 2023 and for which the sponsor has opted for the applicaton of the EU Clinical Trials Directve remain governed by said Directve untl January 31, 2025. Afer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196"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It is currently unclear to what extent the United Kingdom, or UK, will seek to align its regulatons with the EU. The UK regulatory framework in relaton to clinical trials is derived from existng EU legislaton (as implemented into UK law, through secondary legislaton). A decision by the UK not to closely align its regulatons with the new approach that has been adopted in the EU may have an efect on the cost of conductng clinical trials in the UK as opposed to other countries.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For the foregoing reasons, our ongoing and future clinical trials and our eforts to obtain additonal regulatory approvals for vonoprazan may not be successful. Further, any safety concerns observed in any one of our ongoing or future clinical trials for the targeted indicatons could limit the prospects for additonal regulatory approvals of vonoprazan or any future product candidates in those and other indicatons, which could have a material adverse efect on our business, fnancial conditon and results of operatons.</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Any difcultes or delays in the commencement or completon, or terminaton or suspension, of our ongoing or future clinical trials could result in increased costs to us, delay or limit our ability to generate revenue and adversely afect our commercial prospects.</w:t>
      </w:r>
    </w:p>
    <w:p>
      <w:pPr>
        <w:spacing w:after="0" w:line="19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Before obtaining marketng approvals from regulatory authorites for the sale of vonoprazan for additonal indicatons or approval of any future product candidates, we must conduct extensive clinical trials to demonstrate the safety and efcacy of vonoprazan in such new indicaton or of any future product candidates in humans. We do not know whether any ongoing studies will be completed on schedule, if at all, or if any future clinical trials will begin on tme. The commencement and completon of clinical trials can be delayed for a number of reasons, including delays related to:</w:t>
      </w:r>
    </w:p>
    <w:p>
      <w:pPr>
        <w:spacing w:after="0" w:line="125" w:lineRule="exact"/>
        <w:rPr>
          <w:sz w:val="20"/>
          <w:szCs w:val="20"/>
          <w:color w:val="auto"/>
        </w:rPr>
      </w:pPr>
    </w:p>
    <w:p>
      <w:pPr>
        <w:ind w:left="1020" w:right="28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FDA, EMA or comparable foreign regulatory authorites disagreeing as to the design or implementaton of our clinical trials and reaching consensus among the FDA and EMA over the design of the same clinical trial;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obtaining regulatory authorizatons to commence a trial;</w:t>
      </w:r>
    </w:p>
    <w:p>
      <w:pPr>
        <w:spacing w:after="0" w:line="122" w:lineRule="exact"/>
        <w:rPr>
          <w:rFonts w:ascii="Times New Roman" w:cs="Times New Roman" w:eastAsia="Times New Roman" w:hAnsi="Times New Roman"/>
          <w:sz w:val="18"/>
          <w:szCs w:val="18"/>
          <w:color w:val="auto"/>
        </w:rPr>
      </w:pPr>
    </w:p>
    <w:p>
      <w:pPr>
        <w:ind w:left="1020" w:right="24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reaching an agreement with contract research organizatons, or CROs, and clinical trial sites, the terms of which can be subject to extensive negotaton and may vary signifcantly among diferent CROs and trial sites;</w:t>
      </w:r>
    </w:p>
    <w:p>
      <w:pPr>
        <w:spacing w:after="0" w:line="123"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insttutonal review boards, or IRBs, or other reviewing bodies refusing to approve, suspending or terminatng the trial at an investgatonal site, precluding enrollment of additonal subjects, or withdrawing their approval of the trial;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to clinical trial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sites deviatng from trial protocols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or obtaining sufcient quanttes of vonoprazan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obtain and deliver sufcient quanttes of vonoprazan and any future product candidates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failing to enroll or remain in our trials at the rate we expect, or failing to return for post- treatment follow-up;</w:t>
      </w:r>
    </w:p>
    <w:p>
      <w:pPr>
        <w:spacing w:after="0" w:line="122" w:lineRule="exact"/>
        <w:rPr>
          <w:rFonts w:ascii="Times New Roman" w:cs="Times New Roman" w:eastAsia="Times New Roman" w:hAnsi="Times New Roman"/>
          <w:sz w:val="18"/>
          <w:szCs w:val="18"/>
          <w:color w:val="auto"/>
        </w:rPr>
      </w:pPr>
    </w:p>
    <w:p>
      <w:pPr>
        <w:ind w:left="1020" w:right="26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choosing an alternatve treatment for the indicaton for which we are developing vonoprazan and any future product candidates, or partcipatng in competng clinical trials;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lack of adequate funding to contnue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experiencing severe or unexpected drug-related adverse efects;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90"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occurrence of serious adverse events in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selecton of clinical endpoints that require prolonged periods of clinical observaton or analysis of the resultng data;</w:t>
      </w:r>
    </w:p>
    <w:p>
      <w:pPr>
        <w:spacing w:after="0" w:line="122" w:lineRule="exact"/>
        <w:rPr>
          <w:rFonts w:ascii="Times New Roman" w:cs="Times New Roman" w:eastAsia="Times New Roman" w:hAnsi="Times New Roman"/>
          <w:sz w:val="18"/>
          <w:szCs w:val="18"/>
          <w:color w:val="auto"/>
        </w:rPr>
      </w:pPr>
    </w:p>
    <w:p>
      <w:pPr>
        <w:ind w:left="1020" w:right="80" w:hanging="503"/>
        <w:spacing w:after="0" w:line="254" w:lineRule="auto"/>
        <w:tabs>
          <w:tab w:leader="none" w:pos="1020" w:val="left"/>
        </w:tabs>
        <w:numPr>
          <w:ilvl w:val="0"/>
          <w:numId w:val="29"/>
        </w:numPr>
        <w:rPr>
          <w:rFonts w:ascii="Times New Roman" w:cs="Times New Roman" w:eastAsia="Times New Roman" w:hAnsi="Times New Roman"/>
          <w:sz w:val="17"/>
          <w:szCs w:val="17"/>
          <w:color w:val="auto"/>
        </w:rPr>
      </w:pPr>
      <w:r>
        <w:rPr>
          <w:rFonts w:ascii="Calibri" w:cs="Calibri" w:eastAsia="Calibri" w:hAnsi="Calibri"/>
          <w:sz w:val="17"/>
          <w:szCs w:val="17"/>
          <w:color w:val="auto"/>
        </w:rPr>
        <w:t>a facility manufacturing vonoprazan or any future product candidates or any of their components being ordered by the FDA or comparable foreign regulatory authorites to temporarily or permanently shut down due to violatons of current good manufacturing, or cGMP, regulatons or other applicable requirements, or infectons or cross-contaminatons of product candidates in the manufacturing process;</w:t>
      </w:r>
    </w:p>
    <w:p>
      <w:pPr>
        <w:spacing w:after="0" w:line="10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manufacturing process that may be necessary or desired;</w:t>
      </w:r>
    </w:p>
    <w:p>
      <w:pPr>
        <w:spacing w:after="0" w:line="122"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clinical investgators losing the licenses or permits necessary to perform our clinical trials, not performing our clinical trials on our antcipated schedule or consistent with the clinical trial protocol, good clinical practces, or GCP, or other regulatory requirements;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not performing data collecton or analysis in a tmely or accurate manner; or</w:t>
      </w:r>
    </w:p>
    <w:p>
      <w:pPr>
        <w:spacing w:after="0" w:line="122" w:lineRule="exact"/>
        <w:rPr>
          <w:rFonts w:ascii="Times New Roman" w:cs="Times New Roman" w:eastAsia="Times New Roman" w:hAnsi="Times New Roman"/>
          <w:sz w:val="18"/>
          <w:szCs w:val="18"/>
          <w:color w:val="auto"/>
        </w:rPr>
      </w:pPr>
    </w:p>
    <w:p>
      <w:pPr>
        <w:jc w:val="both"/>
        <w:ind w:left="1020" w:right="100" w:hanging="503"/>
        <w:spacing w:after="0" w:line="235" w:lineRule="auto"/>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becoming debarred or suspended or otherwise penalized by the FDA or other government or regulatory authorites for violatons of regulatory requirements, in which case we may need to fnd a substtute contractor, and we may not be able to use some or all of the data produced by such contractors in support of our marketng applicatons.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could also encounter delays if a clinical trial is suspended or terminated by us, by the IRBs of the insttutons in which such trials are being conducted or by the FDA or comparable foreign regulatory authorites. The FDA or comparable foreign regulatory authorites may impose a suspension or terminaton due to a number of factors, including failure to conduct the clinical trial in accordance with regulatory requirements or our clinical protocols, inspecton of the clinical trial operatons or trial site by the FDA or comparable foreign regulatory authorites, unforeseen safety issues or adverse side efects, failure to demonstrate a beneft from using a drug, changes in governmental regulatons or administratve actons or lack of adequate funding to contnue the clinical trial. In additon, changes in regulatory requirements and policies may occur, and we may need to amend clinical trial protocols to comply with these changes. Amendments may require us to resubmit our clinical trial protocols to IRBs for reexaminaton, which may impact the costs, tming, or successful completon of a clinical trial.</w:t>
      </w:r>
    </w:p>
    <w:p>
      <w:pPr>
        <w:spacing w:after="0" w:line="19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Further, conductng clinical trials in foreign countries, as we have done for vonoprazan and may do for any future product candidates, presents additonal risks that may delay completon of our clinical trials. These risks include the failure of enrolled patents in foreign countries to adhere to clinical protocol as a result of diferences in healthcare services or cultural customs, managing additonal administratve burdens associated with foreign regulatory schemes, as well as politcal and economic risks relevant to such foreign countries.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Moreover, principal investgators for our clinical trials currently serve and may contnue to serve as scientfc advisors or consultants to us from tme to tme and receive compensaton in connecton with such services. Under certain circumstances, we may be required to report some of these relatonships to the FDA or comparable foreign regulatory authorites. The FDA or comparable foreign regulatory authority may conclude that a fnancial relatonship between us and a principal investgator has created a confict of interest or otherwise afected interpretaton of the clinical trial. The FDA or comparable foreign regulatory authority may therefore queston the integrity of the data generated at the applicable clinical trial site and the utlity of the clinical trial itself may be jeopardized. This could result in a delay in approval, or rejecton, of our marketng applicatons by the FDA or comparable foreign regulatory authority, as the case may be, and may ultmately lead to the denial of marketng approval of vonoprazan or any future product candidates.</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If we experience delays in the completon of, or terminaton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completng our clinical trials will increase our costs, slow down our product candidate development and approval process and jeopardize our ability to commence product sales and generate revenues.</w:t>
      </w:r>
    </w:p>
    <w:p>
      <w:pPr>
        <w:spacing w:after="0" w:line="19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additon, many of the factors that cause, or lead to, terminaton or suspension of, or a delay in the commencement or completon of, clinical trials may also ultmately lead to the denial of regulatory approval of a product candidate. We may make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formulaton or manufacturing changes to vonoprazan or any future product candidates, in which case we may need to conduct additonal preclinical studies to bridge our modifed product candidates to earlier versions. Any delays to our clinical trials that occur as a result could shorten any period during which we may have the exclusive right to commercialize vonoprazan or any future product candidates and our compettors may be able to bring products to market before we do, and the commercial viability of vonoprazan and any future product candidates could be signifcantly reduced. Any of these occurrences may harm our business, fnancial conditon, and prospects signifcantly.</w:t>
      </w:r>
    </w:p>
    <w:p>
      <w:pPr>
        <w:spacing w:after="0" w:line="193"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enroll patents in our clinical trials. If we encounter difcultes enrolling patents in our clinical trials, our clinical development actvites could be delayed or otherwise adversely afected.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may not be able to initate or contnue clinical trials for vonoprazan or any future product candidates if we are unable to identfy and enroll a sufcient number of eligible patents to partcipate in these trials as required by the FDA or similar regulatory authorites outside the United States. Subject enrollment, a signifcant factor in the tming of clinical trials, is afected by many factors including the size and nature of the patent populaton, the proximity of patents to clinical sites, the eligibility and exclusion criteria for the trial, the design of the clinical trial, the risk that enrolled patents will not complete a clinical trial, our ability to recruit clinical trial investgators with the appropriate competencies and experience, competng clinical trials and clinicians’ and patents’ perceptons as to the potental advantages and risks of the product candidate being studied in relaton to other available therapies, including any new drugs that may be approved for the indicatons we are investgatng as well as any drugs under development. We will be required to identfy and enroll a sufcient number of patents for each of our clinical trials. Potental patents for any planned clinical trials may not be adequately diagnosed or identfed with the diseases which we are targetng or may not meet the entry criteria for such trials. We also may encounter difcultes in identfying and enrolling patents with a stage of disease appropriate for our clinical trials and monitoring such patents adequately during and afer treatment. We may not be able to initate or contnue clinical trials if we are unable to locate a sufcient number of eligible patents to partcipate in the clinical trials required by the FDA or comparable foreign regulatory authorites.</w:t>
      </w:r>
    </w:p>
    <w:p>
      <w:pPr>
        <w:spacing w:after="0" w:line="1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tming of our clinical trials depends, in part, on the speed at which we can recruit patents to partcipate in our trials, as well as completon of required follow-up periods. The eligibility criteria of our clinical trials further limits the pool of available trial partcipants. If patents are unwilling to partcipate in our trials for any reason, including the existence of concurrent clinical trials for similar patent or the availability of approved therapies, or we otherwise have difculty enrolling a sufcient number of patents, the tmeline for recruitng patents, conductng trials and obtaining regulatory approval of vonoprazan and any future product candidates may be delayed. Our inability to enroll a sufcient number of patents for any of our future clinical trials would result in signifcant delays or may require us to abandon one or more clinical trials altogether.</w:t>
      </w:r>
    </w:p>
    <w:p>
      <w:pPr>
        <w:spacing w:after="0" w:line="19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assumptons used in determining expected clinical trial tmelines may not be correct, and we may experience delays in enrollment, which would result in the delay of completon of such trials beyond our expected tmelines.</w:t>
      </w:r>
    </w:p>
    <w:p>
      <w:pPr>
        <w:spacing w:after="0" w:line="177" w:lineRule="exact"/>
        <w:rPr>
          <w:sz w:val="20"/>
          <w:szCs w:val="20"/>
          <w:color w:val="auto"/>
        </w:rPr>
      </w:pPr>
    </w:p>
    <w:p>
      <w:pPr>
        <w:jc w:val="both"/>
        <w:ind w:right="220"/>
        <w:spacing w:after="0" w:line="235" w:lineRule="auto"/>
        <w:rPr>
          <w:sz w:val="20"/>
          <w:szCs w:val="20"/>
          <w:color w:val="auto"/>
        </w:rPr>
      </w:pPr>
      <w:r>
        <w:rPr>
          <w:rFonts w:ascii="Calibri" w:cs="Calibri" w:eastAsia="Calibri" w:hAnsi="Calibri"/>
          <w:sz w:val="18"/>
          <w:szCs w:val="18"/>
          <w:b w:val="1"/>
          <w:bCs w:val="1"/>
          <w:i w:val="1"/>
          <w:iCs w:val="1"/>
          <w:color w:val="auto"/>
        </w:rPr>
        <w:t>Use of products or product candidates containing vonoprazan or any future product candidates could be associated with side efects, adverse events or other propertes or safety risks, which could delay or preclude approval, cause us to suspend or discontnue clinical trials, abandon a product candidate, limit the commercial profle of an approved label or result in other signifcant negatve consequences that could severely harm our business, prospects, operatng results and fnancial conditon.</w:t>
      </w:r>
    </w:p>
    <w:p>
      <w:pPr>
        <w:spacing w:after="0" w:line="179"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As is the case with pharmaceutcals generally, it is likely that there may be side efects and adverse events associated with VOQUEZNA’s or vonoprazan’s or any future product candidates’ use. Results of our ongoing or future clinical trials could reveal a high and unacceptable severity and prevalence of side efects or unexpected characteristcs. Undesirable side efects caused by vonoprazan and any future product candidates could cause us or regulatory authorites to interrupt, delay or halt clinical trials and could result in a more restrictve label or the delay or denial of regulatory approval by the FDA or comparable foreign regulatory authorites. The drug-related side efects could afect patent recruitment or the ability of enrolled patents to complete the trial or result in potental product liability claims. Any of these occurrences may harm our business, fnancial conditon, and prospects signifcantly.</w:t>
      </w:r>
    </w:p>
    <w:p>
      <w:pPr>
        <w:spacing w:after="0" w:line="1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Moreover, if vonoprazan or any other future product candidates are associated with undesirable side efects in clinical trials or have characteristcs that are unexpected, we may elect to abandon their development or limit their development to more narrow uses or subpopulatons in which the undesirable side efects or other characteristcs are less prevalent, less severe or more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4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acceptable from a risk-beneft perspectve, which may limit the commercial expectatons for the product candidate, if approved. We may also be required to modify our study plans based on fndings in our clinical trials.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It is possible that as we contnue to test vonoprazan and any future product candidates in our clinical trials, or as the use of VOQUEZNA and any future product candidates becomes more widespread following any regulatory approval, illnesses, injuries, discomforts and other adverse events that were observed in earlier trials, as well as conditons that did not occur or went undetected in previous trials, will be reported by patents. If any such side efects become known later in development or upon approval, such fndings may harm our business, fnancial conditon and prospects signifcantly. Further, if a serious safety issue is identfed in connecton with use of vonoprazan commercially or in third-party clinical trials in Asia or elsewhere, such issues may adversely afect the development potental of vonoprazan or result in regulatory authorites restrictng our ability to develop vonoprazan for additonal indicatons.</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If any of our products that receives marketng approval, including VOQUEZNA, is discovered to cause undesirable side efects, a number of potentally signifcant negatve consequences could result, including:</w:t>
      </w:r>
    </w:p>
    <w:p>
      <w:pPr>
        <w:spacing w:after="0" w:line="33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withdrawal, suspension or limitaton by regulatory authorites of approvals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seizure of the product by regulatory authorites;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recall of the product or changes to the manner in which it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the marketng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 by regulatory authorites of additonal warnings on the label, such as a “black box” warning or contraindicatons;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 that we implement a REMS or create a medicaton guide outlining the risks of such side efects for distributon to patents;</w:t>
      </w:r>
    </w:p>
    <w:p>
      <w:pPr>
        <w:spacing w:after="0" w:line="122"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commitment to expensive additonal safety studies prior to approval or post-marketng studies required by regulatory authorites of such product;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product may become less compettve;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initaton of regulatory investgatons and government enforcement actons;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initaton of legal acton against us to hold us liable for harm caused to patents;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harm to our reputaton and resultng harm to physician or patent acceptance of our products.</w:t>
      </w:r>
    </w:p>
    <w:p>
      <w:pPr>
        <w:spacing w:after="0" w:line="177" w:lineRule="exact"/>
        <w:rPr>
          <w:sz w:val="20"/>
          <w:szCs w:val="20"/>
          <w:color w:val="auto"/>
        </w:rPr>
      </w:pPr>
    </w:p>
    <w:p>
      <w:pPr>
        <w:ind w:right="260" w:firstLine="549"/>
        <w:spacing w:after="0" w:line="235" w:lineRule="auto"/>
        <w:rPr>
          <w:sz w:val="20"/>
          <w:szCs w:val="20"/>
          <w:color w:val="auto"/>
        </w:rPr>
      </w:pPr>
      <w:r>
        <w:rPr>
          <w:rFonts w:ascii="Calibri" w:cs="Calibri" w:eastAsia="Calibri" w:hAnsi="Calibri"/>
          <w:sz w:val="18"/>
          <w:szCs w:val="18"/>
          <w:color w:val="auto"/>
        </w:rPr>
        <w:t>Any of these events could prevent us from achieving or maintaining market acceptance of the partcular product candidate, if approved, and could signifcantly harm our business, fnancial conditon, and results of operatons.</w:t>
      </w:r>
    </w:p>
    <w:p>
      <w:pPr>
        <w:spacing w:after="0" w:line="191" w:lineRule="exact"/>
        <w:rPr>
          <w:sz w:val="20"/>
          <w:szCs w:val="20"/>
          <w:color w:val="auto"/>
        </w:rPr>
      </w:pPr>
    </w:p>
    <w:p>
      <w:pPr>
        <w:ind w:right="600"/>
        <w:spacing w:after="0" w:line="235" w:lineRule="auto"/>
        <w:rPr>
          <w:sz w:val="20"/>
          <w:szCs w:val="20"/>
          <w:color w:val="auto"/>
        </w:rPr>
      </w:pPr>
      <w:r>
        <w:rPr>
          <w:rFonts w:ascii="Calibri" w:cs="Calibri" w:eastAsia="Calibri" w:hAnsi="Calibri"/>
          <w:sz w:val="18"/>
          <w:szCs w:val="18"/>
          <w:b w:val="1"/>
          <w:bCs w:val="1"/>
          <w:i w:val="1"/>
          <w:iCs w:val="1"/>
          <w:color w:val="auto"/>
        </w:rPr>
        <w:t>Our current products and any future product candidates are subject to extensive regulaton and compliance obligatons that are costly and tme consuming, and such regulaton may cause unantcipated delays or prevent the receipt of the required approvals to commercialize vonoprazan for additonal indicatons or any future product candidates.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clinical development, manufacturing, labeling, storage, record-keeping, advertsing, promoton, import, export, marketng and distributon of our current approved products, including VOQUEZNA, and any future product candidates are subject to extensive regulaton by the FDA in the United States and by comparable foreign regulatory authorites in other foreign markets. In the United States, we are not permited to market vonoprazan for additonal indicatons or any future product candidates untl we receive the necessary regulatory approval from the FDA and in the EU, we are not permited to market any of our approved products or any future product candidates untl we receive a marketng authorizaton from the European Commission or competent authorites of the EU member states. The process of obtaining regulatory approval is expensive, ofen takes many years following the commencement of clinical trials and can vary substantally based upon the type, complexity and novelty of the product candidates involved, as well as the target indicatons and patent populaton. The ability of the FDA and foreign regulatory authorites to review and approve new products can be afected by a variety of factors, including government budget and funding levels and the ability to hire and retain key personnel. In additon, approval policies or regulatons may change, and the FDA and EMA and comparable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regulatory authorites have substantal discreton in the drug approval process, including the ability to delay, limit or deny approval of a product candidate for many reasons. Despite the tme and expense invested in clinical development of product candidates, regulatory approval is never guaranteed. For example, in February 2023, we received complete response leters from the FDA relatng to our Erosive GERD NDA and post approval supplement to our approved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NDAs. As a result, the approval of VOQUEZNA for treatment of Erosive GERD was delayed untl November 2023, and our ability to launch VOQUEZNA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TRIPLE PAK and VOQUEZNA DUAL PAK was delayed untl October 2023.</w:t>
      </w:r>
    </w:p>
    <w:p>
      <w:pPr>
        <w:spacing w:after="0" w:line="19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Prior to obtaining approval to commercialize a product candidate in the United States or internatonally, we must demonstrate with substantal evidence from adequate and well-controlled clinical trials, and to the satsfacton of the FDA or comparable foreign regulatory authorites, that such product candidates are safe and efectve for their intended uses. Results from nonclinical studies and clinical trials can be interpreted in diferent ways. Even if we believe the nonclinical or clinical data for additonal regulatory approvals for vonoprazan or for any future product candidates are promising, such data may not be sufcient to support approval by the FDA and comparable foreign regulatory authorites. The FDA or comparable foreign regulatory authorites, as the case may be, may also require us to conduct additonal preclinical studies or clinical trials for vonoprazan or any future product candidates either prior to or post- approval, or may object to elements of our clinical development program.</w:t>
      </w:r>
    </w:p>
    <w:p>
      <w:pPr>
        <w:spacing w:after="0" w:line="181"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FDA, EMA or other comparable foreign regulatory authorites can delay, limit or deny approval of a product candidate for many reasons, including:</w:t>
      </w:r>
    </w:p>
    <w:p>
      <w:pPr>
        <w:spacing w:after="0" w:line="12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the design or implementaton of our clinical trials;</w:t>
      </w:r>
    </w:p>
    <w:p>
      <w:pPr>
        <w:spacing w:after="0" w:line="122"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negatve or ambiguous results from our clinical trials or results may not meet the level of statstcal signifcance required by the FDA, EMA, or other comparable foreign regulatory agencies for approval;</w:t>
      </w:r>
    </w:p>
    <w:p>
      <w:pPr>
        <w:spacing w:after="0" w:line="123" w:lineRule="exact"/>
        <w:rPr>
          <w:rFonts w:ascii="Times New Roman" w:cs="Times New Roman" w:eastAsia="Times New Roman" w:hAnsi="Times New Roman"/>
          <w:sz w:val="18"/>
          <w:szCs w:val="18"/>
          <w:color w:val="auto"/>
        </w:rPr>
      </w:pPr>
    </w:p>
    <w:p>
      <w:pPr>
        <w:ind w:left="1020" w:right="52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serious and unexpected drug-related side efects may be experienced by partcipants in our clinical trials or in clinical trials conducted by Takeda or others outside of our licensed territories, or by patents using vonoprazan or drugs similar to vonoprazan;</w:t>
      </w:r>
    </w:p>
    <w:p>
      <w:pPr>
        <w:spacing w:after="0" w:line="123" w:lineRule="exact"/>
        <w:rPr>
          <w:rFonts w:ascii="Times New Roman" w:cs="Times New Roman" w:eastAsia="Times New Roman" w:hAnsi="Times New Roman"/>
          <w:sz w:val="18"/>
          <w:szCs w:val="18"/>
          <w:color w:val="auto"/>
        </w:rPr>
      </w:pPr>
    </w:p>
    <w:p>
      <w:pPr>
        <w:ind w:left="1020" w:right="26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populaton studied in the clinical trial may not be sufciently broad or representatve to assure safety in the full populaton for which we seek approval;</w:t>
      </w:r>
    </w:p>
    <w:p>
      <w:pPr>
        <w:spacing w:after="0" w:line="123" w:lineRule="exact"/>
        <w:rPr>
          <w:rFonts w:ascii="Times New Roman" w:cs="Times New Roman" w:eastAsia="Times New Roman" w:hAnsi="Times New Roman"/>
          <w:sz w:val="18"/>
          <w:szCs w:val="18"/>
          <w:color w:val="auto"/>
        </w:rPr>
      </w:pPr>
    </w:p>
    <w:p>
      <w:pPr>
        <w:ind w:left="1020" w:right="24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clinical data from trials which are conducted at clinical facilites or in countries where the standard of care is potentally diferent from that of the United States;</w:t>
      </w:r>
    </w:p>
    <w:p>
      <w:pPr>
        <w:spacing w:after="0" w:line="123" w:lineRule="exact"/>
        <w:rPr>
          <w:rFonts w:ascii="Times New Roman" w:cs="Times New Roman" w:eastAsia="Times New Roman" w:hAnsi="Times New Roman"/>
          <w:sz w:val="18"/>
          <w:szCs w:val="18"/>
          <w:color w:val="auto"/>
        </w:rPr>
      </w:pPr>
    </w:p>
    <w:p>
      <w:pPr>
        <w:ind w:left="1020" w:right="70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demonstrate to the satsfacton of such authorites that a product candidate is safe and efectve for its proposed indicaton and that a product candidate’s clinical and other benefts outweigh its safety risks;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our interpretaton of data from preclinical studies or clinical trials;</w:t>
      </w:r>
    </w:p>
    <w:p>
      <w:pPr>
        <w:spacing w:after="0" w:line="122"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agree that the data collected from clinical trials of vonoprazan, including data collected from clinical trials conducted by Takeda and independent investgators outside of our licensed territories, and any future product candidates are acceptable or sufcient to support the submission of an NDA or other submission or to obtain regulatory approval, and such authorites may impose requirements for additonal preclinical studies or clinical trials;</w:t>
      </w:r>
    </w:p>
    <w:p>
      <w:pPr>
        <w:spacing w:after="0" w:line="12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regarding the formulaton, labeling and/or the specifcatons of vonoprazan and any future product candidates;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may be granted only for indicatons that are signifcantly more limited than what we apply for and/or with other signifcant restrictons on distributon and use;</w:t>
      </w:r>
    </w:p>
    <w:p>
      <w:pPr>
        <w:spacing w:after="0" w:line="123" w:lineRule="exact"/>
        <w:rPr>
          <w:rFonts w:ascii="Times New Roman" w:cs="Times New Roman" w:eastAsia="Times New Roman" w:hAnsi="Times New Roman"/>
          <w:sz w:val="18"/>
          <w:szCs w:val="18"/>
          <w:color w:val="auto"/>
        </w:rPr>
      </w:pPr>
    </w:p>
    <w:p>
      <w:pPr>
        <w:ind w:left="1020" w:right="66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fnd defciencies in the manufacturing processes or facilites of Evonik, Catalent, Sandoz, or any future third-party manufacturers with which we contract for clinical and commercial supplies;</w:t>
      </w:r>
    </w:p>
    <w:p>
      <w:pPr>
        <w:spacing w:after="0" w:line="123" w:lineRule="exact"/>
        <w:rPr>
          <w:rFonts w:ascii="Times New Roman" w:cs="Times New Roman" w:eastAsia="Times New Roman" w:hAnsi="Times New Roman"/>
          <w:sz w:val="18"/>
          <w:szCs w:val="18"/>
          <w:color w:val="auto"/>
        </w:rPr>
      </w:pPr>
    </w:p>
    <w:p>
      <w:pPr>
        <w:ind w:left="1020" w:right="36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regulatons of such authorites may signifcantly change in a manner rendering our or any of our potental future collaborators’ clinical data insufcient for approval; or</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a submission due to, among other reasons, the content or formatng of the submission.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With respect to foreign markets, approval procedures vary among countries and, in additon to the foregoing risks, may involve additonal product testng, administratve review periods and agreements with pricing authorites. In additon, events raising questons about the safety of certain marketed pharmaceutcals may result in increased cautousness by the FDA, EMA, and other comparable foreign regulatory authorites in reviewing new drugs based on safety, efcacy, or other regulatory consideratons and may result in signifcant delays in obtaining regulatory approvals. Any delay in obtaining, or inability to obtain, applicable regulatory approvals would prevent us or any of our potental future collaborators from commercializing vonoprazan and any future product candidates.</w:t>
      </w:r>
    </w:p>
    <w:p>
      <w:pPr>
        <w:spacing w:after="0" w:line="19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additonal regulatory approvals to market vonoprazan and any future product candidates, which would signifcantly harm our business, fnancial conditon, results of operatons and prospects.</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With respect to our approvals in the U.S., the FDA has granted approvals, and may grant future approvals, with the requirement that we perform additonal costly clinical trials including pediatric trials. Foreign regulatory authorites may also make their approvals contngent on similar requirements. The FDA or other comparable foreign regulatory authority also may approve a product candidate for a more limited indicaton or patent populaton than we originally requested, and the FDA or other comparable foreign regulatory authority may not approve the labeling that we believe is necessary or desirable for the successful commercializaton of a product. Any delay in obtaining, or inability to obtain, additonal regulatory approvals would delay or prevent commercializaton of that indicaton or product candidate and would materially adversely impact our business and prospects.</w:t>
      </w:r>
    </w:p>
    <w:p>
      <w:pPr>
        <w:spacing w:after="0" w:line="181" w:lineRule="exact"/>
        <w:rPr>
          <w:sz w:val="20"/>
          <w:szCs w:val="20"/>
          <w:color w:val="auto"/>
        </w:rPr>
      </w:pPr>
    </w:p>
    <w:p>
      <w:pPr>
        <w:jc w:val="both"/>
        <w:ind w:right="520"/>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our eforts to expand our pipeline by identfying and successfully developing vonoprazan for additonal indicatons and formulatons.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9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Because we have limited fnancial and managerial resources, we focus on specifc indicatons and formulatons for VOQUEZNA. As a result, we may fail to generate additonal clinical development opportunites for vonoprazan for a number of reasons, including, vonoprazan may in certain indicatons, on further study, be shown to have harmful side efects, limited to no efcacy, or other characteristcs that suggest it is unlikely to receive marketng approval and achieve market acceptance in such additonal indicatons.</w:t>
      </w:r>
    </w:p>
    <w:p>
      <w:pPr>
        <w:spacing w:after="0" w:line="179"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For example, we believe the rapid onset of acid suppression observed in clinical studies of vonoprazan may enable as needed use for the management of heartburn symptoms associated with Non-Erosive GERD. However, no proton pump inhibitor has received approval from the FDA for this dosing regimen. We may be incorrect in our belief regarding the potental of vonoprazan as an as needed treatment for Non-Erosive GERD and any future clinical trial we conduct studying as needed dosing of vonoprazan in Non-Erosive GERD patents may not succeed including as a result of our design and enrollment criteria.</w:t>
      </w:r>
    </w:p>
    <w:p>
      <w:pPr>
        <w:spacing w:after="0" w:line="168"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Furthermore, research programs to identfy additonal indicatons for vonoprazan require substantal technical, fnancial and human resources. We may also pursue additonal formulatons and packaging for vonoprazan, such as orally disintegratng tablets and other oral dosage forms for patents with difculty swallowing, and an intravenous formulaton for in-hospital applicatons. However, we may not successfully develop these additonal formulatons for chemistry-related, stability-related or other reasons. If we do not accurately evaluate the commercial potental or target market for vonoprazan or any future product candidates, we may relinquish valuable rights to that product candidate through future collaboratons, licenses and other similar arrangements in cases in which it would have been more advantageous for us to retain sole development and commercializaton rights to such product candidate.</w:t>
      </w:r>
    </w:p>
    <w:p>
      <w:pPr>
        <w:spacing w:after="0" w:line="183"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Additonally, we may pursue additonal in-licenses or acquisitons of development-stage assets or programs, which entails additonal risk to us. Identfying, selectng and acquiring promising product candidates requires substantal technical, fnancial and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9"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human resources expertse. Eforts to do so may not result in the actual acquisiton or license of a partcular product candidate, potentally resultng in a diversion of our management’s tme and the expenditure of our resources with no resultng beneft.</w:t>
      </w:r>
    </w:p>
    <w:p>
      <w:pPr>
        <w:spacing w:after="0" w:line="19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We enrolled patents in Europe in our Erosive GERD and H. pylori trials. Additonally, we may conduct future clinical trials outside of the United States. However, the FDA and other comparable foreign regulatory authorites may not accept data from such trials, in which case our development plans will be delayed, which could materially harm our business.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enrolled patents in Europe in our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trials, and we may conduct one or more of our future clinical trials outside the United States. Although the FDA may accept data from clinical trials conducted outside the United States and not subject to an IND, acceptance of this data is subject to certain conditons imposed by the FDA. For example, where data from foreign clinical trials are intended to serve as the sole basis for marketng approval in the United States, the FDA will not approve the applicaton on the basis of foreign data alone unless those data are applicable to the United States populaton and United States medical practce; the trials were performed by clinical investgators of recognized competence; and the data are considered valid without the need for an on-site inspecton by the FDA or, if the FDA considers such an inspecton to be necessary, the FDA is able to validate the data through an on-site inspecton or other appropriate means. Similar requirements may apply in foreign jurisdictons.</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For trials that are conducted only at sites outside of the United States and not subject to an IND, the FDA requires the clinical trial to have been conducted in accordance with GCP and the FDA must be able to validate the data from the clinical trial through an on-site inspecton if it deems such inspecton necessary. For such trials not subject to an IND, the FDA generally does not provide advance comment on the clinical protocols for the trials, and therefore there is an additonal potental risk that the FDA could determine that the trial design or protocol for a non-United States clinical trial was inadequate, which could require us to conduct additonal clinical trials. In additon, such foreign trials would be subject to the applicable local laws of the foreign regulatory agency and legal requirements where the trials are conducted. There can be no assurance the FDA will accept data from clinical trials conducted outside of the United States. If the FDA or comparable regulatory authority does not accept data from our clinical trials of vonoprazan and any future product candidates, it would likely result in the need for additonal clinical trials, which would be costly and tme consuming and delay or permanently halt our development of vonoprazan for additonal indicatons and any future product candidates.</w:t>
      </w:r>
    </w:p>
    <w:p>
      <w:pPr>
        <w:spacing w:after="0" w:line="19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Conductng clinical trials outside the United States also exposes us to additonal risks, including risks associated with:</w:t>
      </w:r>
    </w:p>
    <w:p>
      <w:pPr>
        <w:spacing w:after="0" w:line="11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exchange fuctuatons;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cultural diferences in medical practce and clinical research;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diminished protecton of intellectual property in some countries.</w:t>
      </w:r>
    </w:p>
    <w:p>
      <w:pPr>
        <w:spacing w:after="0" w:line="177"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b w:val="1"/>
          <w:bCs w:val="1"/>
          <w:i w:val="1"/>
          <w:iCs w:val="1"/>
          <w:color w:val="auto"/>
        </w:rPr>
        <w:t>Interim, top-line and preliminary data from clinical trials that we or others announce or publish from tme to tme may change as more patent data become available and are subject to audit and verifcaton procedures that could result in material changes in the fnal data.</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From tme to tme, we or others, such as Takeda, may publicly disclose preliminary or top-line data from clinical trials that are based on a preliminary analysis of then-available data, and the results and related fndings and conclusions are subject to change following a more comprehensive review of the data related to the partcular study or trial. We also make assumptons, estmatons, calculatons and conclusions as part of our analyses of data, and we may not have received or had the opportunity to fully and carefully evaluate all data. As a result, the top-line or preliminary results that we or others report may difer from future results of the same clinical trials, or diferent conclusions or consideratons may qualify such results, once additonal data have been received and fully evaluated. Top-line and preliminary data also remain subject to audit and verifcaton procedures that may result in the fnal data being materially diferent from the preliminary data previously published. As a result, top-line and preliminary data should be viewed with cauton untl the fnal data are available.</w:t>
      </w:r>
    </w:p>
    <w:p>
      <w:pPr>
        <w:spacing w:after="0" w:line="196"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From tme to tme, we or others may also disclose interim data from clinical trials. Interim data from clinical trials are subject to the risk that one or more of the clinical outcomes may materially change as patent enrollment contnues and more patent data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color w:val="auto"/>
        </w:rPr>
        <w:t>become available. Adverse diferences between preliminary, top-line or interim data and fnal data could signifcantly harm our business prospects.</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Further, others, including regulatory agencies, may not accept or agree with our assumptons, estmates, calculatons, conclusions or analyses or may interpret or weigh the importance of data diferently, which could impact the value of the partcular program, the approvability or commercializaton of the partcular product candidate or product and our company in general. In additon, the informaton we choose to publicly disclose regarding a partcular study or clinical trial is based on what is typically extensive informaton, and you or others may not agree with what we determine is the material or otherwise appropriate informaton to include in our disclosure, and any informaton we determine not to disclose may ultmately be deemed signifcant with respect to future decisions, conclusions, views, actvites or otherwise regarding a partcular drug, drug candidate or our business. If the top-line data that we report difer from actual results, or if others, including regulatory authorites, disagree with the conclusions reached, our ability to obtain approval for, and commercialize, vonoprazan and any future product candidates may be harmed, which could harm our business, operatng results, prospects, or fnancial conditon.</w:t>
      </w:r>
    </w:p>
    <w:p>
      <w:pPr>
        <w:spacing w:after="0" w:line="18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Disruptons at the FDA and other government agencies caused by funding shortages or global health concerns could hinder their ability to hire and retain key leadership and other personnel, or otherwise prevent new products and services from being developed or commercialized in a tmely manner, which could negatvely impact our business.</w:t>
      </w:r>
    </w:p>
    <w:p>
      <w:pPr>
        <w:spacing w:after="0" w:line="178"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ability of the FDA and other government agencies to review and approve new products can be afected by a variety of factors, including government budget and funding levels, statutory, regulatory and policy changes, a government agency’s ability to hire and retain key personnel and accept the payment of user fees, and other events that may otherwise afect the government agency’s ability to perform routne functons. Average review tmes at the FDA and other government agencies have fuctuated in recent years as a result. In additon, government funding of other government agencies that fund research and development actvites is subject to the politcal process, which is inherently fuid and unpredictable. Disruptons at the FDA and other agencies, such as the EMA, may also slow the tme necessary for new drugs and or modifcatons to approved drugs or to be reviewed and/or approved by necessary government agencies, which would adversely afect our business. For example, over the last several years, the United States government has shut down several tmes and certain regulatory agencies, such as the FDA, have had to furlough critcal FDA employees and stop critcal actvites.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Separately, in response to the COVID-19 pandemic, the FDA postponed most inspectons of domestc and foreign manufacturing facilites at various points. Even though the FDA has since resumed standard inspecton operatons, any resurgence of the virus or emergence of new variants may lead to further inspectonal or administratve delays. If a prolonged government shutdown occurs, or if global health concerns hinder or prevent the FDA or other regulatory authorites from conductng their regular inspectons, reviews, or other regulatory actvites, it could signifcantly impact the ability of the FDA or other regulatory authorites to tmely review and process our regulatory submissions, which could have a material adverse efect on our business.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Reliance on Third Partes</w:t>
      </w:r>
    </w:p>
    <w:p>
      <w:pPr>
        <w:spacing w:after="0" w:line="177"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Pursuant to the Takeda License, we have secured an exclusive license from Takeda to commercialize vonoprazan products using specifed formulatons for all human therapeutc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79"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The Takeda License will contnue untl the expiraton of the obligaton to pay royaltes in all countries and on all products, unless terminated earlier. We may terminate the Takeda License in its entrety without cause upon prior writen notce. We and Takeda may terminate the Takeda License in the case of the other party’s insolvency or for the other party’s material uncured breach. Takeda may terminate the Takeda License in its entrety if we challenge the licensed patents, or if we assist any third party in challenging such patents. In additon, if any of the commercial milestones or other cash payments become due under the terms of the Takeda License, we may not have sufcient funds available to meet our obligatons, which would allow Takeda to terminate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Takeda License. If the license agreement is terminated, we would lose our rights to develop and commercialize products containing vonoprazan, which in turn would have a material adverse efect on our business, operatng results and prospects.</w:t>
      </w:r>
    </w:p>
    <w:p>
      <w:pPr>
        <w:spacing w:after="0" w:line="191"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b w:val="1"/>
          <w:bCs w:val="1"/>
          <w:i w:val="1"/>
          <w:iCs w:val="1"/>
          <w:color w:val="auto"/>
        </w:rPr>
        <w:t>We rely on third partes to conduct our clinical trials. Any failure by a third party to conduct the clinical trials according to GCPs and other requirements and in a tmely manner may delay or prevent our ability to seek or obtain additonal regulatory approvals for vonoprazan and regulatory approvals for any future product candidates.</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are dependent on third partes to conduct our preclinical and clinical trials. Specifcally, we have used and relied on, and intend to contnue to use and rely on, medical insttutons, clinical investgators, CROs and consultants to conduct our clinical trials in accordance with our clinical protocols and regulatory requirements. These CROs, investgators and other third partes will play a signifcant role in the conduct and tming of these trials and subsequent collecton and analysis of data. While we have agreements governing the actvites of our third-party contractors, we have limited infuence over their actual performance. Nevertheless, we are responsible for ensuring that each of our clinical trials is conducted in accordance with the applicable protocol and legal, regulatory and scientfc standards, and our reliance on the CROs and other third partes does not relieve us of our regulatory responsibilites. We and our CROs are required to comply with GCP requirements, which are regulatons and guidelines enforced by the FDA and comparable foreign regulatory authorites for vonoprazan and any future product candidates that reach clinical development. Regulatory authorites enforce these GCPs through periodic inspectons of trial sponsors, principal investgators and trial sites. If we or any of our CROs or trial sites fail to comply with applicable GCPs, the clinical data generated in our clinical trials may be deemed unreliable, and the FDA or comparable foreign regulatory authorites may require us to perform additonal clinical trials before approving our marketng applicatons. In additon, our clinical trials must be conducted with product produced under cGMP or similar regulatons. Our failure to comply with these regulatons may require us to repeat clinical trials, which would delay the regulatory approval process.</w:t>
      </w:r>
    </w:p>
    <w:p>
      <w:pPr>
        <w:spacing w:after="0" w:line="174"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CROs, investgators or other third partes may not devote adequate tme and resources to such trials or perform as contractually required. If any of these third partes fail to meet expected deadlines, adhere to our clinical protocols or meet regulatory requirements, or otherwise performs in a substandard manner, our clinical trials may be extended, delayed, or terminated. In additon, many of the third partes with whom we contract may also have relatonships with other commercial enttes, including our compettors, for whom they may also be conductng clinical trials or other drug development actvites that could harm our compettve positon. In additon, principal investgators for our clinical trials may serve as scientfc advisors or consultants to us from tme to tme and may receive cash or equity compensaton in connecton with such services. If these relatonships and any related compensaton result in perceived or actual conficts of interest, or the FDA or comparable regulatory authority concludes that the fnancial relatonship may have afected the interpretaton of the study, the integrity of the data generated at the applicable clinical trial site may be questoned and the utlity of the clinical trial itself may be jeopardized, which could result in the delay or rejecton of any NDA or similar marketng applicaton we submit by the FDA or by comparable regulatory authority. Any such delay or rejecton could prevent us from commercializing vonoprazan for additonal indicatons and any future product candidates.</w:t>
      </w:r>
    </w:p>
    <w:p>
      <w:pPr>
        <w:spacing w:after="0" w:line="18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any of our relatonships with these third partes terminate, we may not be able to enter into arrangements with alternatve third partes or do so on commercially reasonable terms. Switching or adding additonal CROs, investgators and other third partes involves additonal cost and requires management tme and focus. In additon, there is a natural transiton period when a new CRO commences work. As a result, delays occur, which can materially impact our ability to meet our desired clinical development tmelines. Though we carefully manage our relatonships with our CROs, investgators and other third partes, we may encounter challenges or delays in the future and these delays or challenges may have a material adverse impact on our business, fnancial conditon and prospects.</w:t>
      </w:r>
    </w:p>
    <w:p>
      <w:pPr>
        <w:spacing w:after="0" w:line="18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currently rely on, and expect to rely on for the foreseeable future, Evonik and Catalent for the manufacture of vonoprazan drug substance and drug product for clinical development and commercial sale, and we expect to rely on Sandoz for commercial supplies of VOQUEZNA TRIPLE PAK and VOQUEZNA DUAL PAK and the amoxicillin and clarithromycin in those products. This reliance on third partes increases the risk that we will not have sufcient quanttes of fnished product which could delay, prevent or impair our development or commercializaton eforts.</w:t>
      </w:r>
    </w:p>
    <w:p>
      <w:pPr>
        <w:spacing w:after="0" w:line="179"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We do not own or operate manufacturing facilites and have no plans to build our own clinical or commercial scale manufacturing capabilites. We have entered into an agreement with Catalent for the supply of fnished drug product, an agreement with Evonik for the supply of drug substance, and an agreement with Sandoz for commercial supply of amoxicillin, clarithromycin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and fnished convenience packs containing VOQUEZNA and one or both of those antbiotcs. As a result, we currently rely, and expect to contnue to rely, on third partes for the manufacture of vonoprazan and supply of related raw materials for clinical development and commercial sale. If Catalent, Evonik or Sandoz fails to fulfll its obligatons under its respectve supply agreement, or if any of the vonoprazan drug product or drug substance supplied by Catalent or Evonik cannot be utlized due to quality or cGMP or similar concerns, adverse fndings during regulatory inspectons or other reasons, our development plans and commercializaton of vonoprazan, if approved, could be signifcantly delayed or otherwise adversely afected. The facilites used by Catalent and Evonik to manufacture vonoprazan and by Sandoz to manufacture amoxicillin and clarithromycin and to package the antbiotcs and vonoprazan must be approved by the FDA and foreign regulatory authority pursuant to inspectons that may be conducted afer we submit marketng authorizatons to the FDA and comparable foreign regulatory authorites. We do not control the manufacturing process of, and are completely dependent on, Catalent, Evonik and Sandoz for compliance with applicable cGMP or similar requirements. If Catalent, Evonik, Sandoz, or any other third-party manufacturer we contract with in the future, cannot successfully manufacture material that conforms to our specifcatons and the strict regulatory requirements of the FDA or others, including requirements related to the manufacturing of high potency compounds, they will not be able to secure and/or maintain regulatory approval for their manufacturing facilites. In additon, we have no control over Catalent’s, Evonik’s, Sandoz’s, or any other third-party manufacturer’s ability to maintain adequate quality control, quality assurance and qualifed personnel. If the FDA or a comparable foreign regulatory authority does not approve of facilites of the third-party manufacturer for the manufacture of vonoprazan or if it withdraws any such approval in the future, we may need to fnd alternatve manufacturing facilites, which would signifcantly impact our ability to contnue to develop, obtain additonal regulatory approvals for or contnue to market our current products.</w:t>
      </w:r>
    </w:p>
    <w:p>
      <w:pPr>
        <w:spacing w:after="0" w:line="20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failure, or Catalent’s, Evonik’s, Sandoz’s or any other third-party manufacturer’s failure, to comply with applicable regulatons could result in sanctons being imposed on us, including clinical holds, fnes, injunctons, civil penaltes, delays, suspension or withdrawal of approvals, seizures or recalls of product candidates or products, operatng restrictons and criminal prosecutons, any of which could signifcantly and adversely afect supplies of our products.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or Catalent’s, Evonik’s or Sandoz’s failure, or the failure of any future third-party manufacturer, to execute on our manufacturing requirements, to do so on commercially reasonable terms and comply with cGMP or similar foreign requirements, could adversely afect our business in a number of ways, including:</w:t>
      </w:r>
    </w:p>
    <w:p>
      <w:pPr>
        <w:spacing w:after="0" w:line="119"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initate and contnue clinical trials of vonoprazan or any future product candidates;</w:t>
      </w:r>
    </w:p>
    <w:p>
      <w:pPr>
        <w:spacing w:after="0" w:line="122" w:lineRule="exact"/>
        <w:rPr>
          <w:rFonts w:ascii="Times New Roman" w:cs="Times New Roman" w:eastAsia="Times New Roman" w:hAnsi="Times New Roman"/>
          <w:sz w:val="18"/>
          <w:szCs w:val="18"/>
          <w:color w:val="auto"/>
        </w:rPr>
      </w:pPr>
    </w:p>
    <w:p>
      <w:pPr>
        <w:ind w:left="1020" w:right="440" w:hanging="503"/>
        <w:spacing w:after="0" w:line="235" w:lineRule="auto"/>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 in submitng regulatory applicatons, or receiving marketng approvals for new indicatons for vonoprazan or for any future product candidates;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subjectng third-party manufacturing facilites or our manufacturing facilites to additonal inspectons by regulatory authorites;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requirements to cease development or to recall batches of our current products and any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meet commercial demands for our current products or any future product candidates.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Reliance on third-party manufacturers entails additonal risks, including:</w:t>
      </w:r>
    </w:p>
    <w:p>
      <w:pPr>
        <w:spacing w:after="0" w:line="11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specifcatons;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misappropriaton of our proprietary informaton,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terminaton or nonrenewal of the agreement by the third party at a tme that is costly or inconvenient for 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9"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Our current products, including VOQUEZNA, and any product candidates that we may develop, may compete with other product candidates and products for access to manufacturing facilites. Moreover, there may be a limited number of manufacturers that operate under cGMP or similar regulatons and that might be capable of manufacturing for us.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Any performance failure on the part of Catalent, Evonik, Sandoz or any future manufacturers could delay clinical development or additonal marketng approvals, and any related remedial measures may be costly or tme consuming to implement. We do not currently have arrangements in place for redundant supply or a second source for all required raw materials used in the manufacture of our current products. If Catalent, Evonik, or Sandoz cannot perform as agreed, we may be required to replace them and we may be unable to replace them on a tmely basis or at all. Further, Catalent, Evonik, Sandoz and any other third-party manufacturers we may use may experience manufacturing or shipping difcultes due to resource constraints or as a result of natural disasters, labor disputes, unstable politcal environments, or public health emergencies such as the COVID-19 pandemic or ongoing hostlites in the Ukraine and the Middle East. If Catalent, Evonik, Sandoz or other third-party manufacturers were to encounter any manufacturing or shipping difcultes or delays due to these factors, our ability to provide vonoprazan to patents in clinical trials, or to provide product for treatment of patents if approved, would be jeopardized.</w:t>
      </w:r>
    </w:p>
    <w:p>
      <w:pPr>
        <w:spacing w:after="0" w:line="1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current and antcipated future dependence upon others for the manufacture of our current products or any future product candidates or products may adversely afect our future proft margins and our ability to commercialize any products that receive marketng approval on a tmely and compettve basis.</w:t>
      </w:r>
    </w:p>
    <w:p>
      <w:pPr>
        <w:spacing w:after="0" w:line="178" w:lineRule="exact"/>
        <w:rPr>
          <w:sz w:val="20"/>
          <w:szCs w:val="20"/>
          <w:color w:val="auto"/>
        </w:rPr>
      </w:pPr>
    </w:p>
    <w:p>
      <w:pPr>
        <w:ind w:right="800"/>
        <w:spacing w:after="0" w:line="235" w:lineRule="auto"/>
        <w:rPr>
          <w:sz w:val="20"/>
          <w:szCs w:val="20"/>
          <w:color w:val="auto"/>
        </w:rPr>
      </w:pPr>
      <w:r>
        <w:rPr>
          <w:rFonts w:ascii="Calibri" w:cs="Calibri" w:eastAsia="Calibri" w:hAnsi="Calibri"/>
          <w:sz w:val="18"/>
          <w:szCs w:val="18"/>
          <w:b w:val="1"/>
          <w:bCs w:val="1"/>
          <w:i w:val="1"/>
          <w:iCs w:val="1"/>
          <w:color w:val="auto"/>
        </w:rPr>
        <w:t>Our reliance on third partes, including Sandoz, Catalent and Evonik, requires us to share our trade secrets, which increases the possibility that a compettor will discover them or that our trade secrets will be misappropriated or disclosed.</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we rely, and expect to contnue to rely, on Sandoz, Catalent and Evonik to manufacture our current approved products and to perform quality testng, we must, at tmes, share our proprietary technology and confdental informaton, including trade secrets, with them. We seek to protect our proprietary technology, in part, by entering into confdentality agreements, consultng agreements or other similar agreements with our advisors, employees and consultants prior to beginning research or disclosing proprietary informaton. These agreements typically limit the rights of the third partes to use or disclose our confdental informaton. Despite the contractual provisions employed when working with third partes, the need to share trade secrets and other confdental informaton increases the risk that such trade secrets become known by our compettors, are intentonally or inadvertently incorporated into the technology of others or are disclosed or used in violaton of these agreements. Given that our proprietary positon is based, in part, on our know-how and trade secrets and despite our eforts to protect our trade secrets, a compettor’s discovery of our proprietary technology and confdental informaton or other unauthorized use or disclosure would impair our compettve positon and may have a material adverse efect on our business, fnancial conditon, results of operatons and prospects.</w:t>
      </w:r>
    </w:p>
    <w:p>
      <w:pPr>
        <w:spacing w:after="0" w:line="18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seek to enter into collaboratons, licenses and other similar arrangements and may not be successful in doing so, and even if we are, we may not realize the benefts of such relatonships.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may seek to enter into collaboratons, joint ventures, licenses and other similar arrangements for the development or commercializaton of our current products or any future product candidates due to, for example, capital costs required to develop or commercialize our current products or any future product candidates, or manufacturing constraints. We may not be successful in our eforts to establish such collaboratons because, among other reasons, third partes may not view our current products or future product candidates as having the requisite potental to demonstrate safety and efcacy or signifcant commercial opportunity. In additon, we face signifcant competton in seeking appropriate strategic partners, and the negotaton process can be tme consuming and complex. Further, any future collaboraton agreements may restrict us from entering into additonal agreements with potental collaborators. Following a strategic transacton or license, we may not achieve an economic beneft that justfes such transacton.</w:t>
      </w:r>
    </w:p>
    <w:p>
      <w:pPr>
        <w:spacing w:after="0" w:line="19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Even if we are successful in our eforts to establish such collaboratons, the terms that we agree upon may not be favorable to us, and we may not be able to maintain such collaboratons if, for example, development or approval of a product candidate is delayed, the safety of a product candidate is questoned or sales of an approved product candidate are unsatsfactory.</w:t>
      </w:r>
    </w:p>
    <w:p>
      <w:pPr>
        <w:spacing w:after="0" w:line="178"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additon, any potental future collaboratons may be terminable by our strategic partners, and we may not be able adequately to protect our rights under these agreements. Furthermore, strategic partners may negotate for certain rights to control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9" w:lineRule="exact"/>
        <w:rPr>
          <w:sz w:val="20"/>
          <w:szCs w:val="20"/>
          <w:color w:val="auto"/>
        </w:rPr>
      </w:pPr>
    </w:p>
    <w:p>
      <w:pPr>
        <w:ind w:right="180"/>
        <w:spacing w:after="0" w:line="252" w:lineRule="auto"/>
        <w:rPr>
          <w:sz w:val="20"/>
          <w:szCs w:val="20"/>
          <w:color w:val="auto"/>
        </w:rPr>
      </w:pPr>
      <w:r>
        <w:rPr>
          <w:rFonts w:ascii="Calibri" w:cs="Calibri" w:eastAsia="Calibri" w:hAnsi="Calibri"/>
          <w:sz w:val="17"/>
          <w:szCs w:val="17"/>
          <w:color w:val="auto"/>
        </w:rPr>
        <w:t>decisions regarding the development and commercializaton of vonoprazan and any future product candidates and may not conduct those actvites in the same manner as we do. Any terminaton of collaboratons we enter into in the future, or any delay in entering into collaboratons, could delay or impair the further development and commercializaton of vonoprazan or the development and commercializaton of any future product candidates and reduce their compettveness if they reach the market, which could have a material adverse efect on our business, fnancial conditon and results of operatons.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 Operatons and Industry</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Our operatng results may fuctuate signifcantly, which makes our future operatng results difcult to predict and could cause our operatng results to fall below expectatons or any guidance we may provide.</w:t>
      </w:r>
    </w:p>
    <w:p>
      <w:pPr>
        <w:spacing w:after="0" w:line="177"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Our quarterly and annual operatng results may fuctuate signifcantly, which makes it difcult for us to predict our future operatng results. These fuctuatons may occur due to a variety of factors, many of which are outside of our control, including, but not limited to:</w:t>
      </w:r>
    </w:p>
    <w:p>
      <w:pPr>
        <w:spacing w:after="0" w:line="123" w:lineRule="exact"/>
        <w:rPr>
          <w:sz w:val="20"/>
          <w:szCs w:val="20"/>
          <w:color w:val="auto"/>
        </w:rPr>
      </w:pPr>
    </w:p>
    <w:p>
      <w:pPr>
        <w:ind w:left="1020" w:right="16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cost of, and level of investment in, research, development, regulatory approval and commercializaton actvites relatng to our current products, or any future product candidates, which may change from tme to tme;</w:t>
      </w:r>
    </w:p>
    <w:p>
      <w:pPr>
        <w:spacing w:after="0" w:line="123"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coverage and reimbursement policies with respect to our current products, or any future product candidates, and potental future drugs that compete with such products, if approved;</w:t>
      </w:r>
    </w:p>
    <w:p>
      <w:pPr>
        <w:spacing w:after="0" w:line="123"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of our current products or any future product candidates, which may vary depending on the quantty of producton and the terms of our agreements with Catalent, Evonik, Sandoz and any future third-party manufacturers;</w:t>
      </w:r>
    </w:p>
    <w:p>
      <w:pPr>
        <w:spacing w:after="0" w:line="12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interruptons resultng from geopolitcal actons, including war, such as the ongoing hostlites in the Ukraine or the Middle East, and terrorism, or natural disasters such as earthquakes, typhoons, foods and fres or public health emergencies or pandemics such as the COVID-19 pandemic;</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will be required to pay to Takeda pursuant to the Takeda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expenditures that we may incur to acquire, develop or commercialize additonal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of demand for any approved products, which may vary signifcantly;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accountng pronouncements or changes in our accountng policies; and</w:t>
      </w:r>
    </w:p>
    <w:p>
      <w:pPr>
        <w:spacing w:after="0" w:line="122"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success or failure of additonal clinical trials for vonoprazan or preclinical studies or clinical trials for any future product candidates or competng product candidates, or any other change in the compettve landscape of our industry, including consolidaton among our compettors or partners.</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cumulatve efects of these factors could result in large fuctuatons and unpredictability in our quarterly and annual operatng results. As a result, comparing our operatng results on a period-to-period basis may not be meaningful. Investors should not rely on our past results as an indicaton of our future performance.</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variability and unpredictability could also result in our failing to meet the expectatons of industry or fnancial analysts or investors for any period. If our revenue or operatng results fall below the expectatons of analysts or investors or below any forecasts we may provide to the market, or if the forecasts we provide to the market are below the expectatons of analysts or investors, the price of our common stock could decline substantally. Such a stock price decline could occur even when we have met any previously publicly stated revenue or earnings guidance we may provide.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is subject to risks arising from epidemic diseases, such as the COVID-19 pandemic.</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public health pandemic, such as COVID-19, has the potental to impact worldwide economic actvity and poses the risk that we or our employees, contractors, including our CROs, suppliers, and other partners may be prevented from conductng business actvites for an indefnite period of tme, including due to spread of the disease within these groups or due to shutdowns that may be requested or mandated by governmental authorites. In March 2020, due to eforts to combat the COVID-19 pandemic, we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announced a temporary pause in randomizaton of new patents in our Phase 3 trials and did not recommence randomizatons in either trial untl June 2020. While it is not possible at this tme to estmate the full impact that a future public health pandemic could have on our business, measures taken by the governments of countries afected could, in additon to disruptng our commercial actvites and clinical trials, disrupt the supply chain and the manufacture or shipment of drug substance and fnished drug product of vonoprazan for use in our clinical trials or in commercial distributon, which could delay our ongoing clinical trials and increase development costs, or impair our ability to successfully commercialize our approved products, and in either case have a material adverse efect on our business, fnancial conditon and results of operatons. The COVID-19 pandemic and mitgaton measures had an adverse impact on global economic conditons and mitgaton measures regarding any future public health pandemic could have an adverse efect on our business and fnancial conditon, including impairing our ability to raise capital when needed. The extent to which a future public health pandemic impacts our results will depend on future developments that are highly uncertain and cannot be predicted.</w:t>
      </w:r>
    </w:p>
    <w:p>
      <w:pPr>
        <w:spacing w:after="0" w:line="19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Our indebtedness may limit our fexibility in operatng our business and adversely afect our fnancial health and compettve positon, and all of our obligatons under our indebtedness are secured by substantally all of our assets, excluding our intellectual property and certain other assets. If we default on these obligatons, our lenders could foreclose on our assets.</w:t>
      </w:r>
    </w:p>
    <w:p>
      <w:pPr>
        <w:spacing w:after="0" w:line="17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September 2021, we entered into, and in December 2023 we increased the amounts available under and extended the maturity date of, a Loan Agreement with Hercules. We borrowed $100 million at the incepton of the Loan Agreement, $40 million in December 2023, and may be eligible to borrow up to an additonal $160 million. All obligatons under the Loan Agreement are secured by a frst priority lien on substantally all of our assets, including intellectual property and certain other assets. As a result, if we default on any of our obligatons under the Loan Agreement, Hercules could foreclose on its security interest and liquidate some or all of the collateral, which would harm our business, fnancial conditon and results of operatons and could require us to reduce or cease operatons.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order to service our current indebtedness and any additonal indebtedness we may incur in the future, we need to generate cash from our operatng actvites or other fnancings. Our ability to generate cash is subject, in part, to our ability to successfully execute our business strategy, as well as general economic, fnancial, compettve, regulatory and other factors beyond our control. Our business may not be able to generate sufcient cash fow from operatons, and future borrowings or other fnancings may not be available to us in an amount sufcient to enable us to service our indebtedness and fund our other liquidity needs. To the extent we are required to use cash from operatons or the proceeds of any future fnancing to service our indebtedness instead of funding working capital or other general corporate purposes, we will be less able to plan for, or react to, changes in our business, industry and in the economy generally. This could place us at a compettve disadvantage compared to our compettors that have less indebtedness.</w:t>
      </w:r>
    </w:p>
    <w:p>
      <w:pPr>
        <w:spacing w:after="0" w:line="19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Loan Agreement contains customary afrmatve and negatve covenants that limit our ability to engage in certain transactons that may be in our long-term best interest. The afrmatve covenants include, among others, covenants requiring us to maintain certain levels of cash subject to a control agreement in favor of Hercules, and commencing on September 30, 2024, certain levels of trailing three-month net product revenue from the sale of VOQUEZNA and other products containing vonoprazan, deliver certain fnancial reports, maintain insurance coverage and satsfy certain requirements regarding our operatng accounts. The negatve covenants include, among others, limitatons on our ability to incur additonal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specifed transactons.</w:t>
      </w:r>
    </w:p>
    <w:p>
      <w:pPr>
        <w:spacing w:after="0" w:line="18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While we believe we are currently in compliance with the covenants contained in the Loan Agreement, we may breach these covenants in the future. Our ability to comply with these covenants may be afected by events and factors beyond our control. In the event that we breach one or more covenants, the lenders may choose to declare an event of default and require that we immediately repay all amounts outstanding under the applicable agreement, terminate any commitment to extend further credit and foreclose on the collateral. The occurrence of any of these events could have a material adverse efect on our business, fnancial conditon and results of operatons.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9"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Revenue Interest Financing Agreement could limit cash fow available for our operatons and expose us to risks that could adversely afect our business, fnancial conditon and results of operatons.</w:t>
      </w:r>
    </w:p>
    <w:p>
      <w:pPr>
        <w:spacing w:after="0" w:line="19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May 2022, we entered into a Revenue Interest Financing Agreement with the Inital Investors pursuant to which we can receive up to $260.0 million in funding from the Inital Investors, and in October 2022, we entered into the Joinder Agreement under which we can receive up to $40 million from the Additonal Investor, bringing the total funding available under the Revenue Interest Financing Agreement to up to $300 million. Under the terms of the Revenue Interest Financing Agreement and Joinder Agreement, we received $100 million at the inital closing and received an additonal $175 million in November 2023 following FDA approval of vonoprazan for treatment of Erosive GERD. In additon, we are eligible for $25 million in additonal funding for achievement of a sales milestone.</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w:t>
      </w:r>
    </w:p>
    <w:p>
      <w:pPr>
        <w:spacing w:after="0" w:line="179"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9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Pursuant to the Revenue Interest Financing Agreement, we also agreed to specifed afrmatve and negatve covenants, including covenants to use commercially reasonable eforts to promote products containing vonoprazan in the United States and covenants requiring us to maintain certain levels of cash. The Revenue Interest Financing Agreement also contains representatons and warrantes, other covenants, indemnifcaton obligatons, and other provisions customary for transactons of this nature. In the event of an event of default under the Revenue Interest Financing Agreement, the investors may be enttled to foreclose on the pledged collateral which includes the applicable royalty under the Royalty Interest Financing Agreement from net sales of VOQUEZNA and other products containing vonoprazan.</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future growth and ability to compete depends on retaining our key personnel and recruitng additonal qualifed personnel.</w:t>
      </w:r>
    </w:p>
    <w:p>
      <w:pPr>
        <w:spacing w:after="0" w:line="177"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are highly dependent on the management, commercial, development, clinical, and fnancial experience of our senior management. Although we have entered into employment agreements with our executve ofcers, each of them may terminate their employment with us at any tme. We do not maintain “key person” insurance for any of our executves or employees. This lack of insurance means that we may not have adequate compensaton for the loss of the services of these individuals. Competton for qualifed personnel in the biopharmaceutcal feld is intense, and our future success depends upon our ability to atract, retain and motvate highly skilled commercial, scientfc, technical and managerial employees. We face competton for personnel from other biopharmaceutcal companies and other organizatons. If our recruitment and retenton eforts are unsuccessful in the future, it may be difcult for us to implement business strategy, which could harm our business. In additon, we rely on consultants and advisors, including scientfc and clinical advisors, to assist us in formulatng and implementng our development and commercializaton strategy. Our consultants and advisors may be employed by employers other than us and may have commitments under consultng or advisory contracts with other enttes that may limit their availability to us. If we are unable to contnue to atract, retain and motvate necessary personnel to accomplish our business objectves, we may experience constraints that will signifcantly impede achievement of our commercial and development objectves, our ability to raise additonal capital and our ability to implement our business strategy.</w:t>
      </w:r>
    </w:p>
    <w:p>
      <w:pPr>
        <w:spacing w:after="0" w:line="18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have substantally increased the size of our organizaton over the past year, and we may encounter difcultes in managing our growth and expanding our operatons successfully.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number of employees increased substantally in 2023 to prepare for the commercializaton of VOQUEZNA, VOQUEZNA TRIPLE PAK and VOQUEZNA DUAL PAK. This expansion of our operatons has resulted in a signifcant increase in our commercial organizaton, which may divert our management and business development resources from our clinical development group. To manage our recent growth and antcipated future growth, we must contnue to implement and improve our managerial, operatonal and fnancial systems, and contnue to recruit and train additonal qualifed personnel. Due to our limited fnancial resources and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limited experience of our management team in managing a company with such antcipated growth, we may not be able to efectvely manage the expansion of our operatons or recruit and train additonal qualifed personnel. Any inability to manage growth could delay the executon of our business plans or disrupt our operatons.</w:t>
      </w:r>
    </w:p>
    <w:p>
      <w:pPr>
        <w:spacing w:after="0" w:line="19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are subject to various foreign, federal, and state healthcare laws and regulatons, and our failure to comply with these laws and regulatons could harm our results of operatons and fnancial conditon.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business operatons and current and future arrangements with investgators, healthcare professionals, consultants, third-party payers, patent organizatons and customers expose us to broadly applicable foreign, federal and state fraud and abuse and other healthcare laws and regulatons. These laws may constrain the business or fnancial arrangements and relatonships through which we conduct our operatons, including how we research, market, sell and distribute any products for which we obtain marketng approval. Such laws include, but are not limited to:</w:t>
      </w:r>
    </w:p>
    <w:p>
      <w:pPr>
        <w:spacing w:after="0" w:line="125" w:lineRule="exact"/>
        <w:rPr>
          <w:sz w:val="20"/>
          <w:szCs w:val="20"/>
          <w:color w:val="auto"/>
        </w:rPr>
      </w:pPr>
    </w:p>
    <w:p>
      <w:pPr>
        <w:ind w:left="1020" w:right="60" w:hanging="503"/>
        <w:spacing w:after="0" w:line="235" w:lineRule="auto"/>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Ant-Kickback Statute, which prohibits, among other things, persons or enttes from knowingly and willfully solicitng, ofering, receiving or providing any remuneraton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entty does not need to have actual knowledge of the federal Ant-Kickback Statute or specifc intent to violate it in order to have commited a violaton;</w:t>
      </w:r>
    </w:p>
    <w:p>
      <w:pPr>
        <w:spacing w:after="0" w:line="126"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civil and criminal federal false claims laws, including the civil False Claims Act, which can be enforced through civil whistleblower or qui tam actons, and civil monetary penaltes laws, which prohibit, among other things, individuals or enttes from knowingly presentng,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obligaton to pay money to the U.S. federal government. In additon, the government may assert that a claim including items or services resultng from a violaton of the federal Ant-Kickback Statute consttutes a false or fraudulent claim for purposes of the False Claims Act;</w:t>
      </w:r>
    </w:p>
    <w:p>
      <w:pPr>
        <w:spacing w:after="0" w:line="127"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Health Insurance Portability and Accountability Act of 1996, or HIPAA, which imposes criminal and civil liability for, among other things, knowingly and willfully executng, or atemptng to execute, a scheme to defraud any healthcare beneft program, or knowingly and willfully falsifying, concealing or covering up a material fact or making any materially false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26"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Physician Payments Sunshine Act, which requires certain manufacturers of drugs, devices, biologics and medical supplies for which payment is available under Medicare, Medicaid or the Children’s Health Insurance Program (with certain exceptons) to report annually to CMS, informaton related to certain payments and other “transfers of value” made to physicians (defned to include doctors, dentsts, optometrists, podiatrists and chiropractors) , certain non-physician practtoners (physician assistants, nurse practtoners, clinical nurse specialists, anesthesiologist assistants, certfed registered nurse anesthetsts, anesthesiology assistants and certfed nurse midwives)and teaching hospitals, as well as ownership and investment interests held by the physicians described above and their immediate family members; and</w:t>
      </w:r>
    </w:p>
    <w:p>
      <w:pPr>
        <w:spacing w:after="0" w:line="127"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analogous state and foreign laws and regulatons, such as state ant-kickback and false claims laws, which may apply to our business practces, including but not limited to, research, distributon, sales and marketng arrangements and claims involving healthcare items or services reimbursed by non-governmental third-party payers, including private insurers, or by the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and state laws and regulatons that require drug manufacturers to fle reports relatng to pricing and marketng informaton or which require tracking gifs and other remuneraton and items of value provided to physicians, other healthcare providers and enttes.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9" w:lineRule="exact"/>
        <w:rPr>
          <w:sz w:val="20"/>
          <w:szCs w:val="20"/>
          <w:color w:val="auto"/>
        </w:rPr>
      </w:pPr>
    </w:p>
    <w:p>
      <w:pPr>
        <w:ind w:right="160" w:firstLine="509"/>
        <w:spacing w:after="0" w:line="252" w:lineRule="auto"/>
        <w:rPr>
          <w:sz w:val="20"/>
          <w:szCs w:val="20"/>
          <w:color w:val="auto"/>
        </w:rPr>
      </w:pPr>
      <w:r>
        <w:rPr>
          <w:rFonts w:ascii="Calibri" w:cs="Calibri" w:eastAsia="Calibri" w:hAnsi="Calibri"/>
          <w:sz w:val="17"/>
          <w:szCs w:val="17"/>
          <w:color w:val="auto"/>
        </w:rPr>
        <w:t>We may also be subject to additonal regulaton in the conduct of our business. For example, we may be subject to the U.S. Foreign Corrupt Practces Act of 1977, as amended, which prohibits, among other things, U.S. companies and their employees and agents from authorizing, promising, ofering, or providing, directly or indirectly, corrupt or improper payments or anything else of value to foreign government ofcials, employees of public internatonal organizatons and foreign government owned or afliated enttes, candidates for foreign politcal ofce, and foreign politcal partes or ofcials thereof.</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Ensuring that our internal operatons and business arrangements with third partes comply with applicable healthcare laws and regulatons could involve substantal costs. It is possible that governmental authorites will conclude that our business practces do not comply with current or future statutes, regulatons, agency guidance or case law involving applicable fraud and abuse or other healthcare laws and regulatons. If our operatons are found to be in violaton of any of the laws described above or any other governmental laws and regulatons that may apply to us, we may be subject to signifcant penaltes, including civil, criminal and administratve penaltes, damages, fnes, exclusion from U.S. government funded healthcare programs, such as Medicare and Medicaid, or similar programs in other countries or jurisdictons, disgorgement, imprisonment, contractual damages, reputatonal harm, additonal reportng requirements and oversight if we become subject to a corporate integrity agreement or similar agreement to resolve allegatons of non-compliance with these laws, diminished profts and the curtailment or restructuring of our operatons. Further, defending against any such actons can be costly, tme consuming and may require signifcant fnancial and personnel resources. Therefore, even if we are successful in defending against any such actons that may be brought against us, our business may be impaired. If any of the physicians or other providers or enttes with whom we expect to do business are found not to be in compliance with applicable laws, they may be subject to signifcant criminal, civil or administratve sanctons, including exclusion from government funded healthcare programs and imprisonment. If any of the above occur, it could adversely afect our ability to operate our business and our results of operatons.</w:t>
      </w:r>
    </w:p>
    <w:p>
      <w:pPr>
        <w:spacing w:after="0" w:line="186"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Enacted and future legislaton and healthcare reform measures may increase the difculty and cost for us to commercialize vonoprazan and any future product candidates and may afect the prices we may set.</w:t>
      </w:r>
    </w:p>
    <w:p>
      <w:pPr>
        <w:spacing w:after="0" w:line="177" w:lineRule="exact"/>
        <w:rPr>
          <w:sz w:val="20"/>
          <w:szCs w:val="20"/>
          <w:color w:val="auto"/>
        </w:rPr>
      </w:pPr>
    </w:p>
    <w:p>
      <w:pPr>
        <w:ind w:right="200" w:firstLine="509"/>
        <w:spacing w:after="0" w:line="252" w:lineRule="auto"/>
        <w:rPr>
          <w:sz w:val="20"/>
          <w:szCs w:val="20"/>
          <w:color w:val="auto"/>
        </w:rPr>
      </w:pPr>
      <w:r>
        <w:rPr>
          <w:rFonts w:ascii="Calibri" w:cs="Calibri" w:eastAsia="Calibri" w:hAnsi="Calibri"/>
          <w:sz w:val="17"/>
          <w:szCs w:val="17"/>
          <w:color w:val="auto"/>
        </w:rPr>
        <w:t>In the United States and some foreign jurisdictons, there have been, and we expect there will contnue to be, a number of legislatve and regulatory changes and proposed changes to the healthcare system, including cost-containment measures, that may reduce or limit coverage and reimbursement for newly approved drugs and afect our ability to proftably sell any product candidates for which we obtain marketng approval. In partcular, there have been and contnue to be a number of initatves at the U.S. federal and state levels that seek to reduce healthcare costs and improve the quality of healthcare.</w:t>
      </w:r>
    </w:p>
    <w:p>
      <w:pPr>
        <w:spacing w:after="0" w:line="181"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For example, in March 2010, the Patent Protecton and Afordable Care Act, the Afordable Care Act, was enacted in the United States, which substantally changed the way healthcare is fnanced by both governmental and private insurers, and signifcantly afected the pharmaceutcal industry. Among other things, the Afordable Care Act includes:</w:t>
      </w:r>
    </w:p>
    <w:p>
      <w:pPr>
        <w:spacing w:after="0" w:line="124" w:lineRule="exact"/>
        <w:rPr>
          <w:sz w:val="20"/>
          <w:szCs w:val="20"/>
          <w:color w:val="auto"/>
        </w:rPr>
      </w:pPr>
    </w:p>
    <w:p>
      <w:pPr>
        <w:ind w:left="1020" w:right="30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annual, nondeductble fee on any entty that manufactures or imports specifed branded prescripton drugs and biologic agents, which is apportoned among these enttes according to their market share in certain government healthcare programs;</w:t>
      </w:r>
    </w:p>
    <w:p>
      <w:pPr>
        <w:spacing w:after="0" w:line="123" w:lineRule="exact"/>
        <w:rPr>
          <w:rFonts w:ascii="Times New Roman" w:cs="Times New Roman" w:eastAsia="Times New Roman" w:hAnsi="Times New Roman"/>
          <w:sz w:val="18"/>
          <w:szCs w:val="18"/>
          <w:color w:val="auto"/>
        </w:rPr>
      </w:pPr>
    </w:p>
    <w:p>
      <w:pPr>
        <w:jc w:val="both"/>
        <w:ind w:left="1020" w:right="16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Medicare Part D coverage gap discount program, in which manufacturers must agree to ofer point-of-sale discounts of negotated prices of applicable brand drugs to eligible benefciaries during their coverage gap period, as a conditon for the manufacturer’s outpatent drugs to be covered under Medicare Part D;</w:t>
      </w:r>
    </w:p>
    <w:p>
      <w:pPr>
        <w:spacing w:after="0" w:line="124"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increase in the statutory minimum rebates a manufacturer must pay under the Medicaid Drug Rebate Program to 23.1% and 13.0% of the AMP for branded and generic drugs, respectvely;</w:t>
      </w:r>
    </w:p>
    <w:p>
      <w:pPr>
        <w:spacing w:after="0" w:line="123" w:lineRule="exact"/>
        <w:rPr>
          <w:rFonts w:ascii="Times New Roman" w:cs="Times New Roman" w:eastAsia="Times New Roman" w:hAnsi="Times New Roman"/>
          <w:sz w:val="18"/>
          <w:szCs w:val="18"/>
          <w:color w:val="auto"/>
        </w:rPr>
      </w:pPr>
    </w:p>
    <w:p>
      <w:pPr>
        <w:ind w:left="1020" w:right="24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methodology by which rebates owed by manufacturers under the Medicaid Drug Rebate Program are calculated for drugs that are inhaled, infused, instlled, implanted or injected;</w:t>
      </w:r>
    </w:p>
    <w:p>
      <w:pPr>
        <w:spacing w:after="0" w:line="123"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extension of a manufacturers’ Medicaid rebate liability to covered drugs dispensed to individuals who are enrolled in Medicaid managed care organizatons;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expansion of the enttes eligible for discounts under the 340B drug pharmaceutcal pricing program;</w:t>
      </w:r>
    </w:p>
    <w:p>
      <w:pPr>
        <w:spacing w:after="0" w:line="122"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new Patent-Centered Outcomes Research Insttute to oversee, identfy priorites in and conduct comparatve clinical efectveness research, along with funding for such research;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95" w:lineRule="exact"/>
        <w:rPr>
          <w:sz w:val="20"/>
          <w:szCs w:val="20"/>
          <w:color w:val="auto"/>
        </w:rPr>
      </w:pPr>
    </w:p>
    <w:p>
      <w:pPr>
        <w:ind w:left="1020" w:right="44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a Center for Medicare Innovaton at CMS to test innovatve payment and service delivery models to lower Medicare and Medicaid spending, potentally including prescripton drug spending.</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On June 17, 2021, the U.S. Supreme Court dismissed the most recent judicial challenge to the Afordable Care Act without specifcally ruling on the consttutonality of the Afordable Care Act. Thus, the Afordable Care Act will remain in efect in its current form.</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other legislatve changes have been proposed and adopted since the Afordable Care Act was enacted. For example, beginning April 1, 2013, Medicare payments to providers were reduced under the sequestraton required by the Budget Control Act of 2011, which will remain in efect through 2032, unless additonal Congressional acton is taken. Additonally, on January 2, 2013, the American Taxpayer Relief Act of 2012 was signed into law, which, among other things, further reduced Medicare payments to several providers, including hospitals, imaging centers and cancer treatment centers, and increased the statute of limitatons period for the government to recover overpayments to providers from three to fve years. On March 11, 2021, the American Rescue Plan Act of 2021 was signed into law, which eliminates the statutory Medicaid drug rebate cap, beginning January 1, 2024. Previously, the rebate was capped at 100% of a drug’s AMP.</w:t>
      </w:r>
    </w:p>
    <w:p>
      <w:pPr>
        <w:spacing w:after="0" w:line="18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Further, there has been heightened governmental scrutny in the United States of pharmaceutcal pricing practces in light of the rising cost of prescripton drugs. At the federal level, such scrutny has resulted in several recent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products.</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Most signifcantly, on August 16, 2022, the Infaton Reducton Act of 2022, or IRA, was signed into law. This statute marks the most signifcant acton by Congress with respect to the pharmaceutcal industry since adopton of the Afordable Care Act in 2010.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(beginning in 2025). The IRA permits the Secretary of the Department of Health and Human Services, or HHS, to implement many of these provisions through guidance, as opposed to regulaton, for the inital years HHS has and will contnue to issue and update guidance as these programs are implemented. On August 29, 2023, HHS announced the list of the frst ten drugs that will be subject to price negotatons, although the Medicare drug price negotaton program is currently subject to legal challenges. The impact of the IRA on the pharmaceutcal industry cannot yet be fully determined, but is likely to be signifcant. The likelihood of implementaton of these and other reform initatves is uncertain. In the coming years, additonal legislatve and regulatory changes could be made to governmental health programs that could signifcantly impact pharmaceutcal companies and the success of our product candidates.</w:t>
      </w:r>
    </w:p>
    <w:p>
      <w:pPr>
        <w:spacing w:after="0" w:line="19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the state level, legislatures have increasingly passed legislaton and implemented regulatons designed to control pharmaceutcal and biological product pricing, including price or patent reimbursement constraints, discounts, restrictons on certain product access and marketng cost disclosure and transparency measures, and, in some cases, designed to encourage importaton from other countries and bulk purchasing. In additon, regional healthcare authorites and individual hospitals are increasingly using bidding procedures to determine what pharmaceutcal products and which suppliers will be included in their prescripton drug and other healthcare programs. Furthermore, there has been increased interest by third party payers and governmental authorites in reference pricing systems and publicaton of discounts and list prices. These reforms could reduce the ultmate demand for vonoprazan and any future product candidates, if approved, or put pressure on our product pricing, which could negatvely afect our business, results of operatons, fnancial conditon and prospects.</w:t>
      </w:r>
    </w:p>
    <w:p>
      <w:pPr>
        <w:spacing w:after="0" w:line="1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expect that these healthcare reform measures that may be adopted in the future may result in more rigorous coverage criteria, new payment methodologies and additonal downward pressure on the price that we receive for any approved product. Any reducton in reimbursement from Medicare or other government programs may result in a similar reducton in payments from private payers. The implementaton of cost containment measures or other healthcare reforms may prevent us from being able to generate revenue, atain proftability or commercialize vonoprazan and any future product candidates, if approved.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We and any of our third-party manufacturers or suppliers may use potent chemical agents and hazardous materials, and any claims relatng to improper handling, storage or disposal of these materials could be tme consuming or costly.</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operatons and the operatons of our third-party manufacturers and suppliers also produce hazardous waste products. Federal, state and local laws and regulatons govern the use, generaton, manufacture, storage, handling and disposal of these materials and wastes. Compliance with applicable environmental laws and regulatons may be expensive, and current or future environmental laws and regulatons may impair our product development eforts. In additon, we cannot eliminate the risk of accidental injury or contaminaton from these materials or wastes. We do not carry specifc biological or hazardous waste insurance coverage, and our property, casualty and general liability insurance policies specifcally exclude coverage for damages and fnes arising from biological or hazardous waste exposure or contaminaton. In the event of contaminaton or injury, we could be held liable for damages or be penalized with fnes in an amount exceeding our resources, and our clinical trials or regulatory approvals could be suspended.</w:t>
      </w:r>
    </w:p>
    <w:p>
      <w:pPr>
        <w:spacing w:after="0" w:line="1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Although we maintain workers’ compensaton insurance for certain costs and expenses we may incur due to injuries to our employees resultng from the use of hazardous materials or other work- related injuries, this insurance may not provide adequate coverage against potental liabilites. We do not maintain insurance for toxic tort claims that may be asserted against us in connecton with our storage or disposal of biologic, hazardous or radioactve materials.</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we may incur substantal costs in order to comply with current or future environmental, health and safety laws and regulatons, which have tended to become more stringent over tme. These current or future laws and regulatons may impair our research, development or producton eforts. Failure to comply with these laws and regulatons also may result in substantal fnes, penaltes or other sanctons or liabilites, which could materially adversely afect our business, fnancial conditon, results of operatons and prospects.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product liability lawsuits are brought against us, we may incur substantal liabilites and may be required to limit commercializaton of our products.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exposed to potental product liability risks that are inherent in the development, manufacturing, marketng, and use of pharmaceutcal products. The current and future use of product candidates by us in clinical trials, and the sale of VOQUEZNA, VOQUEZNA TRIPLE PAK, VOQUEZNA DUAL PAK, and any other approved products in the future, may expose us to liability claims. These claims might be made by patents that use the product, healthcare providers, pharmaceutcal companies, or others selling such products. Any claims against us, regardless of their merit, could be difcult and costly to defend or setle, and could compromise the market acceptance of our product candidates or any prospects for the commercializaton of our products and, if approved, product candidates.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the clinical trial process is designed to identfy and assess potental side efects, it is always possible that a drug, even afer regulatory approval, may exhibit unforeseen side efects. If any of our product candidates were to cause adverse side efects during clinical trials or afer approval of the product candidate, we may be exposed to substantal liabilites. Physicians and patents may not comply with any warnings that identfy known potental adverse efects and patents who should not use our product candidates.</w:t>
      </w:r>
    </w:p>
    <w:p>
      <w:pPr>
        <w:spacing w:after="0" w:line="192" w:lineRule="exact"/>
        <w:rPr>
          <w:sz w:val="20"/>
          <w:szCs w:val="20"/>
          <w:color w:val="auto"/>
        </w:rPr>
      </w:pPr>
    </w:p>
    <w:p>
      <w:pPr>
        <w:jc w:val="both"/>
        <w:ind w:right="340" w:firstLine="509"/>
        <w:spacing w:after="0" w:line="235" w:lineRule="auto"/>
        <w:rPr>
          <w:sz w:val="20"/>
          <w:szCs w:val="20"/>
          <w:color w:val="auto"/>
        </w:rPr>
      </w:pPr>
      <w:r>
        <w:rPr>
          <w:rFonts w:ascii="Calibri" w:cs="Calibri" w:eastAsia="Calibri" w:hAnsi="Calibri"/>
          <w:sz w:val="18"/>
          <w:szCs w:val="18"/>
          <w:color w:val="auto"/>
        </w:rPr>
        <w:t>If we cannot successfully defend ourselves against product liability claims, we may incur substantal liabilites or be required to limit or cease the commercializaton of our products. Even a successful defense would require signifcant fnancial and management resources. Regardless of the merits or eventual outcome, liability claims may result in:</w:t>
      </w:r>
    </w:p>
    <w:p>
      <w:pPr>
        <w:spacing w:after="0" w:line="11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injury to our reputaton and signifcant negatve media atenton;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withdrawal of clinical trial partcipants;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to defend the related litgaton;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diversion of management’s tme and our resources;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4" w:name="page85"/>
    <w:bookmarkEnd w:id="84"/>
    <w:p>
      <w:pPr>
        <w:spacing w:after="0" w:line="90"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substantal monetary awards to trial partcipants or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recalls, withdrawals or labeling, marketng or promotonal restrictons;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negatve fnancial impact;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to commercialize our current products and any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our stock price.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we maintain product liability insurance, any claim that may be brought against us could result in a court judgment or setlement in an amount that is not covered, in whole or in part, by our insurance or that is in excess of the limits of our insurance coverage. Our insurance policies also have various exclusions and deductbles, and we may be subject to a product liability claim for which we have no coverage. We will have to pay any amounts awarded by a court or negotated in a setlement that exceed our coverage limitatons or that are not covered by our insurance, and we may not have, or be able to obtain, sufcient capital to pay such amounts in which case our business operatons could be impaired. Moreover, in the future, we may not be able to maintain insurance coverage at a reasonable cost or in sufcient amounts to protect us against losses.</w:t>
      </w:r>
    </w:p>
    <w:p>
      <w:pPr>
        <w:spacing w:after="0" w:line="194" w:lineRule="exact"/>
        <w:rPr>
          <w:sz w:val="20"/>
          <w:szCs w:val="20"/>
          <w:color w:val="auto"/>
        </w:rPr>
      </w:pPr>
    </w:p>
    <w:p>
      <w:pPr>
        <w:ind w:right="380"/>
        <w:spacing w:after="0" w:line="258" w:lineRule="auto"/>
        <w:rPr>
          <w:sz w:val="20"/>
          <w:szCs w:val="20"/>
          <w:color w:val="auto"/>
        </w:rPr>
      </w:pPr>
      <w:r>
        <w:rPr>
          <w:rFonts w:ascii="Calibri" w:cs="Calibri" w:eastAsia="Calibri" w:hAnsi="Calibri"/>
          <w:sz w:val="17"/>
          <w:szCs w:val="17"/>
          <w:b w:val="1"/>
          <w:bCs w:val="1"/>
          <w:i w:val="1"/>
          <w:iCs w:val="1"/>
          <w:color w:val="auto"/>
        </w:rPr>
        <w:t>We and others, including any of our potental future collaborators, will be required to report to regulatory authorites if any of our approved products cause or contribute to adverse medical events, and any failure to do so would result in sanctons that would materially harm our business.</w:t>
      </w:r>
    </w:p>
    <w:p>
      <w:pPr>
        <w:spacing w:after="0" w:line="161"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FDA and foreign regulatory authorites will require that we and Takeda (with respect to products containing vonoprazan) and any of our potental future collaborators, report certain informaton about adverse medical events for our approved products if those products may have caused or contributed to those adverse events. The tming of our obligaton to report would be triggered by the date we become aware of the adverse event as well as the nature of the event. We, Takeda and any of our potental future collaborators or CROs may fail to report adverse events within the prescribed tmeframe. If we, Takeda or any of our potental future collaborators or CROs fail to comply with such reportng obligatons, the FDA or a foreign regulatory authority could take acton, including criminal prosecuton, the impositon of civil monetary penaltes, seizure of our products or delay in approval of future products.</w:t>
      </w:r>
    </w:p>
    <w:p>
      <w:pPr>
        <w:spacing w:after="0" w:line="16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Compliance with applicable data protecton, privacy and security laws, regulatons, standards and other requirements involves signifcant expenditure and resources, and any actual or perceived failures by us, our partners or vendors to comply could adversely afect our business, results of operatons, and fnancial conditon.</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global data protecton landscape is rapidly evolving, and we are or may become subject to numerous federal, state and foreign laws, regulatons, standards and other requirements governing the collecton, use, disclosure, retenton, security and other processing of personal data, such as informaton that we may collect in connecton with our marketng actvites in the U.S. and clinical trials in the U.S. and abroad. Implementaton standards and enforcement practces are likely to remain uncertain for the foreseeable future, and we cannot yet determine the impact future laws, regulatons, standards, or percepton of their requirements may have on our business. This evoluton may create uncertainty in our business, afect our ability to operate in certain jurisdictons or to collect, store, transfer, use, share and otherwise process personal informaton, necessitate the acceptance of more onerous obligatons in our contracts, result in liability or impose additonal costs on us. The cost of compliance with these laws, regulatons and standards is high and is likely to increase in the future. Any failure or perceived failure by us to comply with federal, state or foreign laws, regulatons or standards, our internal policies and procedures or our contracts relatng to privacy, security or our processing of personal informaton could result in negatve publicity, government investgatons and enforcement actons, claims by third partes, material penaltes, signifcant legal liability, changes in how we operate and damage to our reputaton, any of which could have a material adverse efect on our operatons, fnancial performance and business.</w:t>
      </w:r>
    </w:p>
    <w:p>
      <w:pPr>
        <w:spacing w:after="0" w:line="1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our operatons and business grow, we may become subject to or afected by new or additonal data protecton, privacy and security laws, regulatons, standards and other requirements, and face increased scrutny or atenton from regulatory authorites. In the U.S., HIPAA imposes, among other things, certain standards relatng to the privacy, security, transmission and breach reportng of individually identfable health informaton. While we are not a covered entty under HIPAA, we interact with healthcare providers regulated by HIPAA as covered enttes. Certain states have also adopted comprehensive and health-specifc privacy and security laws and regulatons, some of which may be more stringent than HIPAA. Such laws and regulatons will be subject to interpretaton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9"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by various courts and other governmental authorites, thus creatng potentally complex compliance issues for us and our future customers and strategic partners. For example, California enacted the CCPA on June 28, 2018, which went into efect on January 1, 2020. The CCPA creates individual privacy rights for California consumers and increases the privacy and security obligatons of covered businesses handling personal informaton about California residents. It provides for civil penaltes for violatons, as well as a private right of acton and statutory damages for certain data breaches. The CPRA amended the CCPA efectve January 1, 2023, imposing additonal data protecton obligatons on covered businesses, including additonal consumer rights processes, limitatons on data uses, and opt outs for certain uses of sensitve data. It also created a new California data protecton agency authorized to issue substantve regulatons, which will likely result in increased privacy and cybersecurity enforcement. Similar laws are already in efect in other states including Virginia, Connectcut, Colorado and Utah, and have been enacted or proposed in other states and at the federal level, refectng a trend toward more stringent regulaton in the United States of the collecton, use, disclosure and other processing of personal informaton. The enactment of such laws creates the potental for a patchwork of overlapping, but diferent and potentally confictng, requirements that may make compliance challenging. In the event that we become subject to HIPAA, the CCPA and similar state privacy laws, compliance will likely involve signifcant expenditure and resources, and any failure or perceived failure to comply with the requirements of these laws could adversely afect our business, results of operatons and fnancial conditon.</w:t>
      </w:r>
    </w:p>
    <w:p>
      <w:pPr>
        <w:spacing w:after="0" w:line="1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Furthermore, the FTC and many state Atorneys General contnue to enforce federal and state consumer protecton laws against in relaton to a variety of data privacy and security issues, such as promises made in privacy policies or failures to appropriately protect informaton about individuals, as unfair or deceptve acts or practces in or afectng commerce in violaton of Secton 5(a) of the Federal Trade Commission Act or similar state laws. The FTC expects a company’s cybersecurity measures to be reasonable and appropriate in light of the sensitvity and volume of consumer informaton it holds, the size and complexity of its business, and the cost of available tools to improve security and reduce vulnerabilites.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Given our past sponsorship of clinical trials at sites in Europe, we are also subject to the European Union General Data Protecton Regulaton, or the EU GDPR, and to the United Kingdom General Data Protecton Regulaton and Data Protecton Act 2018, or collectvely, the UK GDPR,(the EU GDPR and UK GDPR together referred to as the “GDPR”) which impose comprehensive data privacy compliance obligatons in relaton to processing the personal data of individuals within the EEA and UK. Companies that must comply with the GDPR face increased compliance obligatons and risk, including more robust regulatory enforcement of data protecton requirements and potental fnes for noncompliance of up to €20 million / GBP 17.5 million or up to 4% of the annual global revenues of the noncompliant company, whichever is greater.</w:t>
      </w:r>
    </w:p>
    <w:p>
      <w:pPr>
        <w:spacing w:after="0" w:line="181"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In additon, the GDPR increases the scrutny of transfers of personal data from the EEA and UK to the United States and other jurisdictons that the European Commission does not recognize as having “adequate” data protecton laws. Case law from the Court of Justce of the European Union, or CJEU, states that reliance on the standard contractual clauses – a standard form of contract approved by the European Commission as an adequate personal data transfer mechanism – alone may not necessarily be sufcient in all circumstances and that transfers must be assessed on a case-by-case basis. On October 7, 2022, President Biden signed an Executve Order on ‘Enhancing Safeguards for United States Intelligence Actvites’ which introduced new redress mechanisms and binding safeguards to address the concerns raised by the CJEU in relaton to data transfers from the EEA to the United States and which formed the basis of the new EU-US Data Privacy Framework, or DPF, as released on December 13, 2022. The European Commission adopted its Adequacy Decision in relaton to the DPF on July 10, 2023, rendering the DPF efectve as an EU GDPR transfer mechanism to U.S. enttes self-certfed under the DPF. On October 12, 2023, the UK Extension to the DPF came into efect (as approved by the UK Government), as a UK GDPR data transfer mechanism to U.S. enttes self-certfed under the UK Extension to the DPF. In the future, as applicable, we expect to rely on the DPF to transfer certain personal data from the EEA to the United States and on the UK Extension to the DPF to transfer certain personal data from the UK to the United States. In the past we have relied on EU standard contractual clauses and the UK Addendum to the EU standard contractual clauses as relevant to transfer personal data outside the EEA and the UK with respect to third party transfers. We expect the existng legal complexity and uncertainty regarding internatonal personal data transfers to contnue. In partcular, we expect the DPF Adequacy Decision to be challenged and internatonal transfers to the United States and to other jurisdictons more generally to contnue to be subject to enhanced scrutny by regulators. As the regulatory guidance and enforcement landscape in relaton to data transfers contnue to develop, we could sufer additonal costs, complaints and/or regulatory investgatons or fnes, we may have to stop using certain tools and vendors and make other operatonal changes, we have had to and will have to implement revised standard contractual clauses for existng customer and vendor arrangements within required tme frames, and/or if we are otherwise unable to transfer personal data</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49"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between and among countries and regions in which we operate, it could afect the manner in which we provide our services, the geographical locaton or segregaton of our relevant systems and operatons, and could adversely afect our fnancial results.</w:t>
      </w:r>
    </w:p>
    <w:p>
      <w:pPr>
        <w:spacing w:after="0" w:line="19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Our internal informaton systems, or those of any of our CROs, contract manufacturers, service providers, other contractors or consultants or potental future collaborators, may fail or sufer cybersecurity incidents or breaches, which could result in a material disrupton of our product development programs.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United States federal and various state and foreign governments have adopted or proposed requirements regarding the collecton, distributon, use, security, and storage of personally identfable informaton and other data relatng to individuals, and federal and state consumer protecton laws are being applied to enforce regulatons related to the online collecton, use, and disseminaton of data. Despite the implementaton of cybersecurity measures, our internal informaton systems and those of our current and any future CROs, contract manufacturers, and other service providers, contractors, consultants and collaborators are vulnerable to numerous and evolving cybersecurity risks that threaten the confdentality, integrity and availability of our informaton systems and confdental Informaton, including from diverse threat actors, such as state-sponsored organizatons, opportunistc hackers and hacktvists, as well as through diverse atack vectors, such as social engineering/phishing, malware (including ransomware), malfeasance by insiders, human or technological error, and as a result of malicious code embedded in open-source sofware, or misconfguratons, 'bugs' or other vulnerabilites in commercial sofware that is integrated into our (or our suppliers’ or service providers’) IT systems, products or services, alongside damage from natural disasters, terrorism, war and telecommunicaton and electrical failures. Atacks upon informaton technology systems are increasing in their frequency, levels of persistence, sophistcaton and intensity, and are being conducted by sophistcated and organized groups and individuals with a wide range of motves, expertse, technique and tools – including artfcial intelligence – to circumvent security controls, evade detecton and remove forensic evidence. For example, on February 22, 2024, UnitedHealth Group, or UHG, disclosed that a suspected naton-state associated cyber security threat actor had gained access to some of the informaton technology systems at Change Healthcare, one of UHG’s afliates that provides numerous services to the healthcare industry such as payment systems, claims submission, benefts verifcaton, and prior authorizaton. This breach has, among other things, disrupted the processing of transactons under our patent co-pay assistance card program, and the ability of certain pharmacies to fll prescriptons, including prescriptons for VOQUEZNA. At present, UHG is unable to estmate the duraton or extent of the disrupton. If this disrupton persists, it could have a material adverse efect on our business and fnancial conditon.</w:t>
      </w:r>
    </w:p>
    <w:p>
      <w:pPr>
        <w:spacing w:after="0" w:line="19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also face increased cybersecurity risks due to our reliance on internet technology and the increased number of our employees (and employees of our vendors, contractors and other organizatons with whom we have formed strategic relatonships) who are working remotely, which may create additonal opportunites for threat actors to exploit vulnerabilites. Furthermore, because the techniques used to obtain unauthorized access to, or to sabotage, systems change frequently and ofen are not recognized untl launched against a target, we may be unable to antcipate these techniques or implement adequate preventatve measures. We may also experience cybersecurity incidents or data breaches that may remain undetected for an extended period. If such an event were to occur and cause interruptons in our operatons, result in the unauthorized access to, disclosure, loss, processing or other compromise of, personal informaton or individually identfable health informaton (violatng certain privacy laws such as GDPR) or confdental informaton, or jeopardize the confdentality, integrity, or availability of our informaton systems or any informaton residing therein, it could result in a material disrupton of our development programs and our business operatons, whether due to a loss of our trade secrets or other similar disruptons. Some of the federal, state and foreign government requirements include obligatons of companies to notfy individuals of certain cybersecurity breaches involving partcular personal informaton, which could result from breaches experienced by us or by our vendors, contractors, or organizatons with which we have formed strategic relatonships. Even though we may have contractual protectons with such vendors, contractors, or other organizatons, notfcatons and follow-up actons related to a cybersecurity breach could impact our reputaton, cause us to incur signifcant costs, including legal expenses, harm customer confdence, hurt our expansion into new markets, cause us to incur remediaton costs, or cause us to lose existng customers. For example, the loss of clinical trial data from completed or future clinical trials could result in delays in our regulatory approval eforts and signifcantly increase our costs to recover or reproduce the data. We also rely on third partes to manufacture vonoprazan and any future product candidates, and similar events relatng to their computer systems could also have a material adverse efect on our business. There can no assurance that our cybersecurity risk management program and processes, including our policies, controls or procedures, will be fully implemented, complied with or efectve in protectng our informaton systems and personal or confdental Informaton. To the extent that any disrupton or cybersecurity incident were to jeopardize the confdentality, integrity, or availability of our informaton systems, or result in a loss of, or damage to, our data or applicatons, or inappropriate disclosure of confdental or proprietary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informaton, we could incur liability, the further development and commercializaton of vonoprazan and any future product candidates could be delayed, and we could be subject to signifcant fnes, penaltes or liabilites for any noncompliance to certain privacy and cybersecurity laws.</w:t>
      </w:r>
    </w:p>
    <w:p>
      <w:pPr>
        <w:spacing w:after="0" w:line="191"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employees and independent contractors, including principal investgators, CROs, consultants and vendors, may engage in misconduct or other improper actvites, including noncompliance with regulatory standards and requirements.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exposed to the risk that our employees and independent contractors, including principal investgators, CROs, consultants and vendors may engage in misconduct or other illegal actvity. Misconduct by these partes could include intentonal, reckless and/or negligent conduct or other unauthorized actvites that violate: (i) the laws and regulatons of the FDA and other similar regulatory bodies, including those laws that require the reportng of true, complete and accurate informaton to such regulatory bodies, (ii) manufacturing standards, including cGMP and similar requirements, or (iii) federal and state healthcare, security, fraud and abuse laws, data privacy and cybersecurity laws, and other similar non-U.S. laws that require the true, complete and accurate reportng of fnancial informaton or data. Actvites subject to these laws also involve the improper use or misrepresentaton of informaton obtained in the course of clinical trials, the creaton of fraudulent data in our preclinical studies or clinical trials, or illegal misappropriaton of product, which could result in regulatory sanctons and cause serious harm to our reputaton. It is not always possible to identfy and deter misconduct by employees and other third partes, and the precautons we take to detect and prevent this actvity may not be efectve in controlling unknown or unmanaged risks or losses or in protectng us from governmental investgatons or other actons or lawsuits stemming from a failure to be in compliance with such laws or regulatons. In additon, we are subject to the risk that a person or government could allege such fraud or other misconduct, even if none occurred. If any such actons are insttuted against us, and we are not successful in defending ourselves or assertng our rights, those actons could have a signifcant impact on our business and fnancial results, including, without limitaton, the impositon of signifcant civil, criminal and administratve penaltes, damages, monetary fnes, disgorgement, possible exclusion from partcipaton in Medicare, Medicaid and other U.S. federal healthcare programs or healthcare programs in other jurisdictons, integrity oversight and reportng obligatons to resolve allegatons of non-compliance, imprisonment, contractual damages, reputatonal harm, diminished profts and future earnings, and curtailment of our operatons, any of which could adversely afect our ability to operate our business and our results of operatons.</w:t>
      </w:r>
    </w:p>
    <w:p>
      <w:pPr>
        <w:spacing w:after="0" w:line="19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We are subject to U.S. and certain foreign export and import controls, sanctons, embargoes, ant-corrupton laws and ant-money laundering laws and regulatons. Compliance with these legal standards could impair our ability to compete in domestc and internatonal markets. We could face criminal liability and other serious consequences for violatons, which could harm our business.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subject to export control and import laws and regulatons, including the U.S. Export Administraton Regulatons, U.S. Customs regulatons, and various economic and trade sanctons regulatons administered by the U.S. Treasury Department’s Ofce of Foreign Assets Controls, and ant-corrupton and ant-money laundering laws and regulatons, including the U.S. Foreign Corrupt Practces Act of 1977, as amended, the U.S. domestc bribery statute contained in 18 U.S.C. § 201, the U.S. Travel Act, the USA PATRIOT Act, and other state and natonal ant-bribery and ant-money laundering laws in the countries in which we conduct actvites. Ant-corrupton laws are interpreted broadly and prohibit companies and their employees, agents, clinical research organizatons, contractors and other collaborators and partners from authorizing, promising, ofering, providing, solicitng or receiving, directly or indirectly, improper payments or anything else of value to recipients in the public or private sector. We have engaged, and may engage in the future, third partes for clinical trials outside of the United States, and may engage third partes to sell our products abroad once we enter a commercializaton phase, and/or to obtain necessary permits, licenses, patent registratons and other regulatory approvals. We have direct or indirect interactons with ofcials and employees of government agencies or government-afliated hospitals, universites and other organizatons. We can be held liable for the corrupt or other illegal actvites of our employees, agents, clinical research organizatons, contractors and other collaborators and partners, even if we do not explicitly authorize or have actual knowledge of such actvites. Any violatons of the laws and regulatons described above may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49"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result in substantal civil and criminal fnes and penaltes, imprisonment, the loss of export or import privileges, debarment, tax reassessments, breach of contract and fraud litgaton, reputatonal harm and other consequences.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engage in strategic transactons that could impact our liquidity, increase our expenses and present signifcant distractons to our management.</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From tme to tme, we may consider strategic transactons, such as acquisitons of companies, asset purchases and out-licensing or in-licensing of intellectual property, products or technologies, similar to our approach in in-licensing and acquiring our current product candidates. Any future transactons could increase our near and long-term expenditures, result in potentally dilutve issuances of our equity securites, including our common stock, or the incurrence of debt, contngent liabilites, amortzaton expenses or acquired in-process research and development expenses, any of which could afect our fnancial conditon, liquidity and results of operatons. Additonal potental transactons that we may consider in the future include a variety of business arrangements, including spin-ofs, strategic partnerships, joint ventures, restructurings, divesttures, business combinatons and investments. Future acquisitons may also require us to obtain additonal fnancing, which may not be available on favorable terms or at all. These transactons may never be successful and may require signifcant tme and atenton of management. In additon, the integraton of any business that we may acquire in the future may disrupt our existng business and may be a complex, risky and costly endeavor for which we may never realize the full benefts of the acquisiton. Accordingly, although we may not undertake or successfully complete any additonal transactons of the nature described above, any additonal transactons that we do complete could have a material adverse efect on our business, results of operatons, fnancial conditon and prospects.</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success depends on our ability to protect our intellectual property and our proprietary technologies.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commercial success depends in part on our ability to obtain and maintain patent protecton and trade secret protecton for our current products containing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compettve positon could be harmed. We generally seek to protect our proprietary positon by fling patent applicatons in the United States and abroad related to vonoprazan or any future product candidates, proprietary technologies and their uses that are important to our business. We do not currently own any issued patents or pending patent applicatons. We also seek to protect our proprietary positon by acquiring or in-licensing relevant issued patents or pending patent applicatons from third partes. We have in-licensed from Takeda a number of United States, European, and Canadian patents and patent applicatons relatng to the compound vonoprazan as well as the use and manufacture of vonoprazan products.</w:t>
      </w:r>
    </w:p>
    <w:p>
      <w:pPr>
        <w:spacing w:after="0" w:line="1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Pending patent applicatons cannot be enforced against third partes practcing the technology claimed in such applicatons unless, and untl, patents issue from such applicatons, and then only to the extent the issued claims cover the technology. There can be no assurance that our future patent applicatons or the patent applicatons of our current and future licensors will result in patents being issued or that issued patents will aford sufcient protecton against compettors with similar technology, nor can there be any assurance that the patents if issued will not be infringed, designed around or invalidated by third partes.</w:t>
      </w:r>
    </w:p>
    <w:p>
      <w:pPr>
        <w:spacing w:after="0" w:line="193"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Even issued patents may later be found invalid or unenforceable or may be modifed or revoked in proceedings insttuted by third partes before various patent ofces or in courts. The degree of future protecton for our proprietary rights is uncertain. Only limited protecton may be available and may not adequately protect our rights or permit us to gain or keep any compettve advantage. These uncertaintes and/or limitatons in our ability to properly protect the intellectual property rights relatng to vonoprazan and any future product candidates could have a material adverse efect on our fnancial conditon and results of operatons.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cannot be certain that the claims in our licensor’s U.S. pending patent applicatons, corresponding internatonal patent applicatons and patent applicatons in certain foreign countries will be considered patentable by the United States Patent and Trademark Ofce, or USPTO, courts in the United States or by the patent ofces and courts in foreign countries, nor can we be certain that the claims in our licensor’s issued patents will not be found invalid or unenforceable if challenged.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patent applicaton process is subject to numerous risks and uncertaintes, and there can be no assurance that we or any of our potental future collaborators will be successful in protectng vonoprazan and any future product candidates by obtaining and defending patents. These risks and uncertaintes include the following:</w:t>
      </w:r>
    </w:p>
    <w:p>
      <w:pPr>
        <w:spacing w:after="0" w:line="205" w:lineRule="exact"/>
        <w:rPr>
          <w:sz w:val="20"/>
          <w:szCs w:val="20"/>
          <w:color w:val="auto"/>
        </w:rPr>
      </w:pPr>
    </w:p>
    <w:p>
      <w:pPr>
        <w:ind w:left="900" w:right="8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applicaton, and partal or complete loss of patent rights in the relevant jurisdicton;</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 applicatons may not result in any patents being issued;</w:t>
      </w:r>
    </w:p>
    <w:p>
      <w:pPr>
        <w:spacing w:after="0" w:line="190" w:lineRule="exact"/>
        <w:rPr>
          <w:rFonts w:ascii="Times New Roman" w:cs="Times New Roman" w:eastAsia="Times New Roman" w:hAnsi="Times New Roman"/>
          <w:sz w:val="18"/>
          <w:szCs w:val="18"/>
          <w:color w:val="auto"/>
        </w:rPr>
      </w:pPr>
    </w:p>
    <w:p>
      <w:pPr>
        <w:ind w:left="900" w:right="70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may be challenged, invalidated, modifed, revoked, circumvented, found to be unenforceable or otherwise may not provide any compettve advantage;</w:t>
      </w:r>
    </w:p>
    <w:p>
      <w:pPr>
        <w:spacing w:after="0" w:line="204" w:lineRule="exact"/>
        <w:rPr>
          <w:rFonts w:ascii="Times New Roman" w:cs="Times New Roman" w:eastAsia="Times New Roman" w:hAnsi="Times New Roman"/>
          <w:sz w:val="18"/>
          <w:szCs w:val="18"/>
          <w:color w:val="auto"/>
        </w:rPr>
      </w:pPr>
    </w:p>
    <w:p>
      <w:pPr>
        <w:ind w:left="900" w:right="20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many of whom have substantally greater resources than we do and many of whom have made signifcant investments in competng technologies, may seek or may have already obtained patents that will limit, interfere with or block our ability to make, use and sell vonoprazan and any future product candidates;</w:t>
      </w:r>
    </w:p>
    <w:p>
      <w:pPr>
        <w:spacing w:after="0" w:line="191"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there may be signifcant pressure on the U.S. government and internatonal governmental bodies to limit the scope of patent protecton both inside and outside the United States for disease treatments that prove successful, as a mater of public policy regarding worldwide health concerns; and</w:t>
      </w:r>
    </w:p>
    <w:p>
      <w:pPr>
        <w:spacing w:after="0" w:line="191" w:lineRule="exact"/>
        <w:rPr>
          <w:rFonts w:ascii="Times New Roman" w:cs="Times New Roman" w:eastAsia="Times New Roman" w:hAnsi="Times New Roman"/>
          <w:sz w:val="18"/>
          <w:szCs w:val="18"/>
          <w:color w:val="auto"/>
        </w:rPr>
      </w:pPr>
    </w:p>
    <w:p>
      <w:pPr>
        <w:ind w:left="900" w:right="480" w:hanging="383"/>
        <w:spacing w:after="0" w:line="235" w:lineRule="auto"/>
        <w:tabs>
          <w:tab w:leader="none" w:pos="90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countries other than the United States may have patent laws less favorable to patentees than those upheld by U.S. courts, allowing foreign compettors a beter opportunity to create, develop and market competng products.</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patent prosecuton process is also expensive and tme consuming, and we and our licensor may not be able to fle and prosecute all necessary or desirable patent applicatons at a reasonable cost or in a tmely manner or in all jurisdictons where protecton may be commercially advantageous. It is also possible that we and our licensor will fail to identfy patentable aspects of our research and development output before it is too late to obtain patent protecton. Moreover, in some circumstances such as under the Takeda License, we do not have the right to control the preparaton, fling and prosecuton of patent applicatons, or to maintain the patents, directed to technology that we license from third partes. We may also require the cooperaton of our licensors in order to enforce the licensed patent rights, and such cooperaton may not be provided. Therefore, these patents and applicatons may not be prosecuted and enforced in a manner consistent with the best interests of our business.</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cannot be certain that patent prosecuton and maintenance actvites by our licensors have been or will be conducted in compliance with applicable laws and regulatons, which may afect the validity and enforceability of such patents or any patents that may issue from such applicatons. If they fail to do so, this could cause us to lose rights in any applicable intellectual property that we in-license, and as a result our ability to develop and commercialize products or product candidates may be adversely afected and we may be unable to prevent compettors from making, using and selling competng products.</w:t>
      </w:r>
    </w:p>
    <w:p>
      <w:pPr>
        <w:spacing w:after="0" w:line="18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although we enter into non-disclosure and confdentality agreements with partes who have access to patentable aspects of our research and development output, such as our employees, outside scientfc collaborators, CROs, third-party manufacturers, consultants, advisors and other third partes, any of these partes may breach such agreements and disclose such output before a patent applicaton is fled, thereby jeopardizing our ability to seek patent protecton.</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our obligatons in the agreements under which we license intellectual property rights from third partes, including our rights in vonoprazan licensed from Takeda, or otherwise experience disruptons to our business relatonships with our licensors, we could lose license rights that are important to our business.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 party to the Takeda License under which we are granted rights to intellectual property that are important to our business and we may enter into additonal license agreements in the future with other third partes. The Takeda License imposes, and we expect that any future license agreements where we in-license intellectual property, will impose on us, various development, regulatory and/or commercial diligence obligatons, payment of milestones and/or royaltes and other obligatons. If we fail to comply with our obligatons under these agreements, or we are subject to bankruptcy-related proceedings, the licensor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may have the right to terminate the license, in which event we would not be able to market products covered by the license. Additonally, if a future license agreement includes a sublicense from a third party who is not the original licensor of the intellectual property at issue, then we must rely on our direct licensor to comply with its obligatons under the primary license agreements under which such licensor obtained rights in the applicable intellectual property, where we may have no relatonship with the original licensor of such rights. If such a licensor fails to comply with its obligatons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contnue to develop and commercialize vonoprazan and any future product candidates incorporatng the relevant intellectual property.</w:t>
      </w:r>
    </w:p>
    <w:p>
      <w:pPr>
        <w:spacing w:after="0" w:line="196"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We may need to obtain further licenses from third partes to advance our research or allow commercializaton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compettors access to the same technologies licensed to us. In that event, we may be required to expend signifcant tme and resources to develop or license replacement technology. If we are unable to do so, we may be unable to develop or commercialize the afected product candidates, which could materially harm our business and the third partes owning such intellectual property rights could seek either an injuncton prohibitng our sales, or, with respect to our sales, an obligaton on our part to pay royaltes and/or other forms of compensaton.</w:t>
      </w:r>
    </w:p>
    <w:p>
      <w:pPr>
        <w:spacing w:after="0" w:line="16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Licensing of intellectual property is of critcal importance to our business and involves complex legal, business and scientfc issues. Disputes may arise between us and our licensors regarding intellectual property subject to a license agreement, including:</w:t>
      </w:r>
    </w:p>
    <w:p>
      <w:pPr>
        <w:spacing w:after="0" w:line="186"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rights granted under the license agreement and other interpretaton-related issues;</w:t>
      </w:r>
    </w:p>
    <w:p>
      <w:pPr>
        <w:spacing w:after="0" w:line="203"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sublicense patents and other rights to third partes;</w:t>
      </w:r>
    </w:p>
    <w:p>
      <w:pPr>
        <w:spacing w:after="0" w:line="190"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diligence obligatons with respect to the use of the licensed technology in relaton to our development and commercializaton of vonoprazan and any future product candidates, and what actvites satsfy those diligence obligatons;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transfer or assign the license; and</w:t>
      </w:r>
    </w:p>
    <w:p>
      <w:pPr>
        <w:spacing w:after="0" w:line="190" w:lineRule="exact"/>
        <w:rPr>
          <w:rFonts w:ascii="Times New Roman" w:cs="Times New Roman" w:eastAsia="Times New Roman" w:hAnsi="Times New Roman"/>
          <w:sz w:val="18"/>
          <w:szCs w:val="18"/>
          <w:color w:val="auto"/>
        </w:rPr>
      </w:pPr>
    </w:p>
    <w:p>
      <w:pPr>
        <w:ind w:left="900" w:right="52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ownership of inventons and know-how resultng from the joint creaton or use of intellectual property by our licensors and us and our partners.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If disputes over intellectual property that we have licensed prevent or impair our ability to maintain our current licensing arrangements on acceptable terms, we may not be able to successfully develop and commercialize the afected product candidates, which would have a material adverse efect on our business.</w:t>
      </w:r>
    </w:p>
    <w:p>
      <w:pPr>
        <w:spacing w:after="0" w:line="19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additon, certain of our agreements may limit or delay our ability to consummate certain transactons, may impact the value of those transactons, or may limit our ability to pursue certain actvites. For example, if we choose to sublicense or assign to any third partes our rights under our existng license agreement with Takeda with respect to any licensed product, we may be required to wait for a certain period or untl the occurrence of certain funding or development milestones.</w:t>
      </w:r>
    </w:p>
    <w:p>
      <w:pPr>
        <w:spacing w:after="0" w:line="17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the scope of any patent protecton or non-patent regulatory exclusivity we obtain is not sufciently broad, or if we lose or fail to obtain any of our patent protecton or non-patent regulatory exclusivity, our ability to prevent our compettors from commercializing similar or identcal product candidates would be adversely afected.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49"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patent positon of biopharmaceutcal companies generally is highly uncertain, involves complex legal and factual questons, and has been the subject of much litgaton in recent years. As a result, the issuance, scope, validity, enforceability and commercial value of our patent rights are highly uncertain. Our in-licensed pending and future patent applicatons may not result in patents being issued which protect vonoprazan or any future product candidates or which efectvely prevent others from commercializing compettve product candidates.</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Moreover, the coverage claimed in a patent applicaton can be signifcantly reduced before the patent is issued, and its scope can be reinterpreted afer issuance. Even if patent applicatons we own in the future or license currently issue as patents, they may not issue in a form that will provide us with any meaningful protecton, prevent compettors or other third partes from competng with us, or otherwise provide us with any compettve advantage. Any future patents that we own or license, now or in the future, may be challenged or circumvented by third partes or may be narrowed or invalidated as a result of challenges by third partes. Consequently, we do not know whether vonoprazan or any future product candidates will be protectable or remain protected by valid and enforceable patents. Our compettors or other third partes may be able to circumvent our future patents or the patents of our current and future licensors by developing similar or alternatve technologies or products in a non-infringing manner which could materially adversely afect our business, fnancial conditon, results of operatons and prospects.</w:t>
      </w:r>
    </w:p>
    <w:p>
      <w:pPr>
        <w:spacing w:after="0" w:line="18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ofces in the United States and abroad. We may be subject to a third party pre-issuance submission of prior art to the USPTO, or become involved in oppositon, derivaton, revocaton, reexaminaton, post-grant review, or PGR, and inter partes review, or IPR, or other similar proceedings in the USPTO or foreign patent ofces challenging our patent rights. The outcome following legal assertons of invalidity and unenforceability is unpredictable. With respect to the validity queston, for example, we cannot be certain that there is no invalidatng prior art, of which we or our predecessors and the patent examiner were unaware during prosecuton. There is no assurance that all potentally relevant prior art relatng to our in-licensed patents and patent applicatons has been found. There is also no assurance that there is not prior art of which we, our predecessors or licensors are aware, but which we do not believe afects the validity or enforceability of a claim in our in-licensed patents and patent applicatons, which may, nonetheless, ultmately be found to afect the validity or enforceability of a claim. An adverse determinaton in any such submission, proceeding or litgaton could reduce the scope of, or invalidate or render unenforceable, our patent rights, allow third partes to commercialize vonoprazan or any future product candidates and compete directly with us, without payment to us. It is possible that defects of form in the preparaton or fling of our or our current and future licensors’ patents or patent applicatons may exist, or may arise in the future, for example with respect to proper priority claims, inventorship, claim scope, or requests for patent term adjustments. If there are material defects in the form, preparaton, prosecuton, or enforcement of our future patents or future patent applicatons or our current and future licensors’ patents or patent applicatons, such patents may be invalid and/or unenforceable, and such applicatons may never result in valid, enforceable patents.</w:t>
      </w:r>
    </w:p>
    <w:p>
      <w:pPr>
        <w:spacing w:after="0" w:line="17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Any loss of patent rights, loss of exclusivity or in patent claims being narrowed, invalidated or held unenforceable could limit our ability to stop others from using or commercializing similar or identcal technology and products, or limit the duraton of the patent protecton of vonoprazan or any future product candidates, which could materially and adversely impact our business. Such proceedings also may result in substantal cost and require signifcant tme from our scientsts and management, even if the eventual outcome is favorable to us. In additon, if the breadth or strength of protecton provided by our future patents and future patent applicatons or the patents and patent applicatons of our current and future licensors is threatened, regardless of the outcome, it could dissuade companies from collaboratng with us to license, develop or commercialize vonoprazan or any future product candidates.</w:t>
      </w:r>
    </w:p>
    <w:p>
      <w:pPr>
        <w:spacing w:after="0" w:line="183"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 xml:space="preserve">In additon to patent exclusivity, the successful commercializaton of our products also depends, in part, on our ability to obtain and maintain periods of non-patent exclusivity during which tme the FDA is precluded from acceptng new drug applicatons, or NDAs, submited under Secton 505(b)(2) of the FDCA or abbreviated new drug applicatons, or ANDAs, for certain compettve products. In May 2021, FDA granted qualifed infectous disease product, or QIDP, designatons to vonoprazan tablets in combinaton with both amoxicillin capsules and clarithromycin tablets, and with amoxicillin capsules alone, respectvely, for the treatment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On May 3, 2022, the FDA approved our NDAs for these products, branded as VOQUEZNA TRIPLE PAK and VOQUEZNA DUAL PAK, respectvely. Because these approvals were for QIDP-designated drugs containing the actve moiety,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vonoprazan, which had not previously been approved, the FDA granted fve-years of NCE exclusivity, which was extended by an additonal fve-years pursuant to the GAIN Act, resultng in a total of ten-years of NCE exclusivity, untl May 3, 2032.</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2023, we received approval for VOQUEZNA, which also contains vonoprazan. NCE exclusivity protects against the submission and the FDA’s acceptance of a 505(b)(2) NDA or ANDA referencing that NCE for the duraton of the exclusivity period, and the FDA interprets this form of exclusivity to atach to the actve moiety such that the submission and the FDA’s acceptance of ANDAs and 505(b)(2) NDAs for a drug with that actve moiety may not occur untl the innovator’s exclusivity has expired, whether or not FDA has approved other versions of the drugs enttled to exclusivity, and regardless of the specifc listed drug product to which the ANDA or 505(b)(2) applicaton refers. Consequently, we believe that VOQUEZNA, because it contains vonoprazan, should beneft from the same extended period of NCE exclusivity granted in connecton with our NDAs for VOQUEZNA DUAL PAK and VOQUEZNA TRIPLE PACK, untl May 3, 2032.</w:t>
      </w:r>
    </w:p>
    <w:p>
      <w:pPr>
        <w:spacing w:after="0" w:line="181"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The FDA publicaton, “Approved Drug Products with Therapeutc Equivalence Evaluatons,” referred to as the Orange Book, identfes that VOQUEZNA benefts from the same fve-year period of NCE exclusivity as VOQUEZNA DUAL PAK and VOQUEZNA TRIPLE PAK, but does not currently identfy the GAIN Act extension of an additonal fve-years of NCE exclusivity to which we believe it is enttled. We informally requested that the FDA correct the VOQUEZNA listngs to refect the same extended NCE exclusivity period as VOQUEZNA TRIPLE PAK and VOQUEZNA DUAL PAK. However, the FDA so far declined to update those listngs. We are therefore further engaging with the FDA regarding VOQUEZNA’s Orange Book listngs and the applicaton to VOQUEZNA of the extended NCE exclusivity ted to vonoprazan. If the FDA ultmately concludes that the GAIN Act extension of NCE exclusivity granted in connecton with our VOQUEZNA TRIPLE PAK and VOQUEZNA DUAL PAK NDAs does not extend to our VOQUEZNA NDA, there is the potental we could be subject to competton much earlier than we currently antcipate. If this occurs, it would have a material adverse efect on our business and fnancial conditon.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patent protecton and patent prosecuton for vonoprazan or any future product candidates may be dependent on third partes.</w:t>
      </w:r>
    </w:p>
    <w:p>
      <w:pPr>
        <w:spacing w:after="0" w:line="19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may rely on third partes to fle and prosecute patent applicatons and maintain patents and otherwise protect the licensed intellectual property under certain current and future license agreements, such as the Takeda License. Under such arrangements, we may not have primary control over these actvites for certain of licensed patents or patent applicatons and other intellectual property rights. We cannot be certain that such actvites by third partes have been or will be conducted in compliance with applicable laws and regulatons or will result in valid and enforceable patents or other intellectual property rights. In additon, our current and future licensors may not be fully cooperatve or disagree with us as to the prosecuton, maintenance or enforcement of any patent rights, which could compromise such patent rights. We may in the future enter into license agreements where the licensors may have the right to control enforcement of our licensed patents or defense of any claims assertng the invalidity of these patents and even if we are permited to pursue such enforcement or defense, we will require the cooperaton of our licensors. We cannot be certain that our licensors will allocate sufcient resources or prioritze their or our enforcement of such patents or defense of such claims to protect our interests in the licensed patents. Even if we are not a party to these legal actons, an adverse outcome could harm our business because it might prevent us from contnuing to license intellectual property that we may need to operate our business. If any of our licensors or any of our future licensors or future collaborators fail to appropriately prosecute and maintain patent protecton for patents covering VOQUEZNA or any future product candidates, our ability to develop and commercialize those product candidates may be adversely afected and we may not be able to prevent compettors from making, using and selling competng products.</w:t>
      </w:r>
    </w:p>
    <w:p>
      <w:pPr>
        <w:spacing w:after="0" w:line="173"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In additon, even where we have the right to control prosecuton of patent applicatons or enforcement of patents we have acquired or licensed from third partes, we may stll be adversely afected or prejudiced by actons or inactons of our predecessors or licensors and their counsel that took place prior to us assuming control over such actvites.</w:t>
      </w:r>
    </w:p>
    <w:p>
      <w:pPr>
        <w:spacing w:after="0" w:line="178"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Third partes may retain certain rights to the technology that they license to us, including the right to use the underlying technology for noncommercial academic and research use, to publish general scientfc fndings from research related to the technology, and to make customary scientfc and scholarly disclosures of informaton relatng to the technology. For example, under the Takeda License, Takeda retained the rights to the inventons in all countries other than the United States, Europe, and Canada. Takeda also retained the right to develop certain drug products that contain vonoprazan where vonoprazan is not the only actve pharmaceutcal ingredient. It is difcult to monitor whether our predecessors or licensors limit their use of the technology to these uses, and we could incur substantal expenses to enforce our rights to our licensed technology in the event of misuse.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we are limited in our ability to utlize acquired or licensed technologies, or if we lose our rights to critcal in-licensed technology, we may be unable to successfully develop, out-license, market and sell our products, which could prevent or delay new product introductons. Our business strategy depends on the successful development of licensed and acquired technologies into commercial products. Therefore, any limitatons on our ability to utlize these technologies may impair our ability to develop, out-license or market and sell our product candidate.</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Intellectual property rights do not necessarily address all potental threats to our compettve advantage.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degree of future protecton aforded by our intellectual property rights is uncertain because intellectual property rights have limitatons and may not adequately protect our business or permit us to maintain our compettve advantage. For example:</w:t>
      </w:r>
    </w:p>
    <w:p>
      <w:pPr>
        <w:spacing w:after="0" w:line="191" w:lineRule="exact"/>
        <w:rPr>
          <w:sz w:val="20"/>
          <w:szCs w:val="20"/>
          <w:color w:val="auto"/>
        </w:rPr>
      </w:pPr>
    </w:p>
    <w:p>
      <w:pPr>
        <w:ind w:left="9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be able to develop products that are similar to VOQUEZNA or any future product candidates but that are not covered by the claims of the patents that we own in the future or license;</w:t>
      </w:r>
    </w:p>
    <w:p>
      <w:pPr>
        <w:spacing w:after="0" w:line="204"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make the inventons covered by the issued patents or patent applicatons that we own in the future or license;</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fle patent applicatons covering certain of the claimed inventons;</w:t>
      </w:r>
    </w:p>
    <w:p>
      <w:pPr>
        <w:spacing w:after="0" w:line="190"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independently develop similar or alternatve technologies or duplicate any of our technologies without infringing our intellectual property rights;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it is possible that the pending patent applicatons we own or license will not lead to issued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patents that we own in the future or license may be held invalid or unenforceable, as a result of legal challenges by our compettors;</w:t>
      </w:r>
    </w:p>
    <w:p>
      <w:pPr>
        <w:spacing w:after="0" w:line="190" w:lineRule="exact"/>
        <w:rPr>
          <w:rFonts w:ascii="Times New Roman" w:cs="Times New Roman" w:eastAsia="Times New Roman" w:hAnsi="Times New Roman"/>
          <w:sz w:val="18"/>
          <w:szCs w:val="18"/>
          <w:color w:val="auto"/>
        </w:rPr>
      </w:pPr>
    </w:p>
    <w:p>
      <w:pPr>
        <w:ind w:left="900" w:right="780" w:hanging="383"/>
        <w:spacing w:after="0" w:line="235" w:lineRule="auto"/>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might conduct research and development actvites in countries where we do not have patent rights and then use the informaton learned from such actvites to develop compettve products for sale in our major commercial markets;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develop additonal proprietary technologies that are patentable;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patents of others may have an adverse efect on our business.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Should any of these events occur, it could signifcantly harm our business, results of operatons and prospects.</w:t>
      </w:r>
    </w:p>
    <w:p>
      <w:pPr>
        <w:spacing w:after="0" w:line="190"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b w:val="1"/>
          <w:bCs w:val="1"/>
          <w:i w:val="1"/>
          <w:iCs w:val="1"/>
          <w:color w:val="auto"/>
        </w:rPr>
        <w:t>Our commercial success depends signifcantly on our ability to operate without infringing the patents and other proprietary rights of third partes. Claims by third partes that we infringe their proprietary rights may result in liability for damages or prevent or delay our developmental and commercializaton eforts.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commercial success depends in part on avoiding infringement of the patents and proprietary rights of third partes. However, our research, development and commercializaton actvites may be subject to claims that we infringe or otherwise violate patents or other intellectual property rights owned or controlled by third partes. Other enttes may have or obtain patents or proprietary rights that could limit our ability to make, use, sell, ofer for sale or import VOQUEZNA and any future product candidates and products that may be approved in the future, or impair our compettve positon. There is a substantal amount of litgaton, both within and outside the United States, involving patent and other intellectual property rights in the biopharmaceutcal industry, including patent infringement lawsuits, oppositons, reexaminatons, IPR proceedings and PGR proceedings before the USPTO and/ or foreign patent ofces. Numerous third-party U.S. and foreign issued patents and pending patent applicatons exist in the felds in which we are developing product candidates. There may be third-party patents or patent applicatons with claims to materials, formulatons, methods of manufacture or methods for treatment related to the use or manufacture of VOQUEZNA and any future product candidates.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4" w:name="page95"/>
    <w:bookmarkEnd w:id="94"/>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the biopharmaceutcal industry expands and more patents are issued, the risk increases that VOQUEZNA and any future product candidates may be subject to claims of infringement of the patent rights of third partes. Because patent applicatons are maintained as confdental for a certain period of tme, untl the relevant applicaton is published we may be unaware of third-party patents that may be infringed by commercializaton of VOQUEZNA and any future product candidates, and we cannot be certain that we were the frst to fle a patent applicaton related to a product candidate or technology. Moreover, because patent applicatons can take many years to issue, there may be currently pending patent applicatons that may later result in issued patents that VOQUEZNA and any future product candidates may infringe. In additon, identfcaton of third-party patent rights that may be relevant to our technology is difcult because patent searching is imperfect due to diferences in terminology among patents, incomplete databases and the difculty in assessing the meaning of patent claims. In additon, third partes may obtain patents in the future and claim that use of our technologies infringes upon these patents. Any claims of patent infringement asserted by third partes would be tme consuming and could:</w:t>
      </w:r>
    </w:p>
    <w:p>
      <w:pPr>
        <w:spacing w:after="0" w:line="205"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 in costly litgaton that may cause negatve publicity;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divert the tme and atenton of our technical personnel and management;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cause development delays;</w:t>
      </w:r>
    </w:p>
    <w:p>
      <w:pPr>
        <w:spacing w:after="0" w:line="203"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 us from commercializing, or contnuing to commercialize, VOQUEZNA (and/or other approved products containing vonoprazan), and any future product candidates untl the asserted patent expires or is held fnally invalid or not infringed in a court of law;</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develop non-infringing technology, which may not be possible on a cost-efectve basis;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us to signifcant liability to third partes; or</w:t>
      </w:r>
    </w:p>
    <w:p>
      <w:pPr>
        <w:spacing w:after="0" w:line="203"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enter into royalty or licensing agreements, which may not be available on commercially reasonable terms, or at all, or which might be non-exclusive, which could result in our compettors gaining access to the same technology.</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Although no third party has asserted a claim of patent infringement against us as of the date of this annual report, others may hold proprietary rights that could prevent VOQUEZNA and any future product candidates from being marketed.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Any patent-related legal acton against us claiming damages and seeking to enjoin actvites relatng to VOQUEZNA and any future product candidates or processes could subject us to potental liability for damages, including treble damages if we were determined to willfully infringe, and require us to obtain a license to manufacture or develop VOQUEZNA and any future product candidates. Defense of these claims, regardless of their merit, would involve substantal litgaton expense and would be a substantal diversion of employee resources from our business. We cannot predict whether we would prevail in any such actons or that any license required under any of these patents would be made available on commercially acceptable terms, if at all. Moreover, even if we or our future strategic partners were able to obtain a license, the rights may be nonexclusive, which could result in our compettors gaining access to the same intellectual property. In additon, we cannot be certain that we could redesign VOQUEZNA and any future product candidates or processes to avoid infringement, if necessary. Accordingly, an adverse determinaton in a judicial or administratve proceeding, or the failure to obtain necessary licenses, could prevent us from developing and commercializing VOQUEZNA and any future product candidates, which could harm our business, fnancial conditon and operatng results.</w:t>
      </w:r>
    </w:p>
    <w:p>
      <w:pPr>
        <w:spacing w:after="0" w:line="19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Partes making claims against us may be able to sustain the costs of complex patent litgaton more efectvely than we can because they have substantally greater resources. Furthermore, because of the substantal amount of discovery required in connecton with intellectual property litgaton or administratve proceedings, there is a risk that some of our confdental informaton could be compromised by disclosure. In additon, any uncertaintes resultng from the initaton and contnuaton of any litgaton could have a material adverse efect on our ability to raise additonal funds or otherwise have a material adverse efect on our business, results of operatons, fnancial conditon and prospects.</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obtaining or maintaining necessary rights to our current products and any future product candidates through acquisitons and in-licenses.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our development programs may in the future require the use of proprietary rights held by other third partes, the growth of our business may depend in part on our ability to acquire, in-license, or use these third-party proprietary rights. We may be unable to acquire or in-license any compositons, methods of use, processes or other third-party intellectual property rights from third partes that we identfy as necessary for our current products, including VOQUEZNA, and any future product candidates. The licensing and acquisiton of third-party intellectual property rights is a compettve area, and a number of more established companies are also pursuing strategies to license or acquire third-party intellectual property rights that we may consider atractve. These established companies may have a compettve advantage over us due to their size, cash resources and greater clinical development and commercializaton capabilites. In additon, companies that perceive us to be a compettor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existng intellectual property rights we have, we may have to abandon development of that program and our business and fnancial conditon could sufer.</w:t>
      </w:r>
    </w:p>
    <w:p>
      <w:pPr>
        <w:spacing w:after="0" w:line="19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may be involved in lawsuits to protect or enforce our future patents or the patents of our current and future licensors, which could be expensive, tme consuming and unsuccessful. Further, our future issued patents or the patents of our current and future licensors could be found invalid or unenforceable if challenged in court.</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Compettors may infringe our intellectual property rights or those of our current and future licensors. To prevent infringement or unauthorized use, we and/or any such licensors may be required to fle infringement claims, which can be expensive and tme consuming. In additon, in a patent infringement proceeding, a court may decide that a patent we own or license is not valid, is unenforceable and/or is not infringed. If we or any of our current and future licensors were to initate legal proceedings against a third party to enforce a patent directed at VOQUEZNA and any future product candidates, the defendant could counterclaim that our patent or the patent of our current or future licensor is invalid and/or unenforceable in whole or in part. In patent litgaton, defendant counterclaims alleging invalidity and/or unenforceability are commonplace. Grounds for a validity challenge include an alleged failure to meet any of several statutory requirements, including lack of novelty, obviousness, writen descripton, non-enablement, or obviousness-type double patentng. Grounds for an unenforceability asserton could include an allegaton that someone connected with prosecuton of the patent withheld relevant informaton from the USPTO or made a misleading statement during prosecuton.</w:t>
      </w:r>
    </w:p>
    <w:p>
      <w:pPr>
        <w:spacing w:after="0" w:line="1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If a defendant were to prevail on a legal asserton of invalidity and/or unenforceability, we would lose at least part, and perhaps all, of the patent protecton on such product candidate. In additon, if the breadth or strength of protecton provided by our future patents and future patent applicatons or those of our current and future licensors is threatened, it could dissuade companies from collaboratng with us to license, develop or commercialize current or future product candidates. Such a loss of patent protecton would have a material adverse impact on our business.</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Even if resolved in our favor, litgaton or other legal proceedings relatng to our intellectual property rights may cause us to incur signifcant expenses and could distract our technical and management personnel from their normal responsibilites. Such litgaton or proceedings could substantally increase our operatng losses and reduce the resources available for development actvites or any future sales, marketng or distributon actvites. We may not have sufcient fnancial or other resources to conduct such litgaton or proceedings adequately. Some of our compettors may be able to sustain the costs of such litgaton or proceedings more efectvely than we can because of their greater fnancial resources. Uncertaintes resultng from the initaton and contnuaton of patent litgaton or other proceedings could compromise our ability to compete in the marketplace.</w:t>
      </w:r>
    </w:p>
    <w:p>
      <w:pPr>
        <w:spacing w:after="0" w:line="181" w:lineRule="exact"/>
        <w:rPr>
          <w:sz w:val="20"/>
          <w:szCs w:val="20"/>
          <w:color w:val="auto"/>
        </w:rPr>
      </w:pPr>
    </w:p>
    <w:p>
      <w:pPr>
        <w:jc w:val="both"/>
        <w:ind w:right="280" w:firstLine="509"/>
        <w:spacing w:after="0" w:line="235" w:lineRule="auto"/>
        <w:rPr>
          <w:sz w:val="20"/>
          <w:szCs w:val="20"/>
          <w:color w:val="auto"/>
        </w:rPr>
      </w:pPr>
      <w:r>
        <w:rPr>
          <w:rFonts w:ascii="Calibri" w:cs="Calibri" w:eastAsia="Calibri" w:hAnsi="Calibri"/>
          <w:sz w:val="18"/>
          <w:szCs w:val="18"/>
          <w:color w:val="auto"/>
        </w:rPr>
        <w:t>Furthermore, because of the substantal amount of discovery required in connecton with intellectual property litgaton or other legal proceedings relatng to our intellectual property rights, there is a risk that some of our confdental informaton could be compromised by disclosure during this type of litgaton or other proceedings.</w:t>
      </w:r>
    </w:p>
    <w:p>
      <w:pPr>
        <w:spacing w:after="0" w:line="178"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Intellectual property litgaton may lead to unfavorable publicity that harms our reputaton and causes the market price of our common shares to decline.</w:t>
      </w:r>
    </w:p>
    <w:p>
      <w:pPr>
        <w:spacing w:after="0" w:line="19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During the course of any intellectual property litgaton, there could be public announcements of the initaton of the litgaton as well as results of hearings, rulings on motons, and other interim proceedings in the litgaton. If securites analysts or investors regard these announcements as negatve, the perceived value of our existng products, programs or intellectual property could be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diminished. Accordingly, the market price of shares of our common stock may decline. Such announcements could also harm our reputaton or the market for our future products, which could have a material adverse efect on our business.</w:t>
      </w:r>
    </w:p>
    <w:p>
      <w:pPr>
        <w:spacing w:after="0" w:line="19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Derivaton or interference proceedings may be necessary to determine priority of inventons, and an unfavorable outcome may require us to cease using the related technology or to atempt to license rights from the prevailing party.</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Derivaton or interference proceedings provoked by third partes or brought by us or declared by the USPTO or similar proceedings in foreign patent ofces may be necessary to determine the priority of inventons with respect to our future patents or future patent applicatons or those of our current and future licensors. An unfavorable outcome could require us to cease using the related technology or to atempt to license rights to it from the prevailing party. Our business could be harmed if the prevailing party does not ofer us a license on commercially reasonable terms. Our defense of such proceedings may fail and, even if successful, may result in substantal costs and distract our management and other employees. In additon, the uncertaintes associated with such proceedings could have a material adverse efect on our ability to raise the funds necessary to contnue our commercial actvites, clinical trials, license necessary technology from third partes or enter into development or manufacturing partnerships that would help us contnue commercializing our current products and bring any future product candidates to market.</w:t>
      </w:r>
    </w:p>
    <w:p>
      <w:pPr>
        <w:spacing w:after="0" w:line="182"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Patent reform legislaton could increase the uncertaintes and costs surrounding the prosecuton of our future patent applicatons or those of our current and future licensors and the enforcement or defense of our future issued patents or those of our current and future licensors.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September 16, 2011, the Leahy-Smith America Invents Act, or Leahy-Smith Act, was signed into law. The Leahy-Smith Act includes a number of signifcant changes to U.S. patent law. These include provisions that afect the way patent applicatons will be prosecuted and may also afect patent litgaton. In partcular, under the Leahy-Smith Act, the United States transitoned in March 2013 to a “frst inventor to fle” system in which, assuming that other requirements of patentability are met, the frst inventor to fle a patent applicaton will be enttled to the patent regardless of whether a third party was frst to invent the claimed inventon. A third party that fles a patent applicaton in the USPTO afer March 2013 but before us could therefore be awarded a patent covering an inventon of ours even if we had made the inventon before it was made by such third party. This will require us to be cognizant going forward of the tme from inventon to fling of a patent applicaton. Furthermore, our ability to obtain and maintain valid and enforceable patents depends on whether the diferences between our technology and the prior art allow our technology to be patentable over the prior art. Since patent applicatons in the United States and most other countries are confdental for a period of tme afer fling or untl issuance, we may not be certain that we or our current and future licensors are the frst to either (1) fle any patent applicaton related to VOQUEZNA and any future product candidates or (2) invent any of the inventons claimed in the patents or patent applicatons.</w:t>
      </w:r>
    </w:p>
    <w:p>
      <w:pPr>
        <w:spacing w:after="0" w:line="185" w:lineRule="exact"/>
        <w:rPr>
          <w:sz w:val="20"/>
          <w:szCs w:val="20"/>
          <w:color w:val="auto"/>
        </w:rPr>
      </w:pPr>
    </w:p>
    <w:p>
      <w:pPr>
        <w:ind w:right="140" w:firstLine="509"/>
        <w:spacing w:after="0" w:line="252" w:lineRule="auto"/>
        <w:rPr>
          <w:sz w:val="20"/>
          <w:szCs w:val="20"/>
          <w:color w:val="auto"/>
        </w:rPr>
      </w:pPr>
      <w:r>
        <w:rPr>
          <w:rFonts w:ascii="Calibri" w:cs="Calibri" w:eastAsia="Calibri" w:hAnsi="Calibri"/>
          <w:sz w:val="17"/>
          <w:szCs w:val="17"/>
          <w:color w:val="auto"/>
        </w:rPr>
        <w:t>The Leahy-Smith Act also includes a number of signifcant changes that afect the way patent applicatons will be prosecuted and also may afect patent litgaton. These include allowing third-party submission of prior art to the USPTO during patent prosecuton and additonal procedures to atack the validity of a patent by USPTO administered post-grant proceedings, including PGR, IPR, and derivaton proceedings. An adverse determinaton in any such submission or proceeding could reduce the scope or enforceability of, or invalidate, our patent rights, which could adversely afect our compettve positon.</w:t>
      </w:r>
    </w:p>
    <w:p>
      <w:pPr>
        <w:spacing w:after="0" w:line="16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Because of a lower evidentary standard in USPTO proceedings compared to the evidentary standard in United States federal courts necessary to invalidate a patent claim, a third party could potentally provide evidence in a USPTO proceeding sufcient for the USPTO to hold a claim invalid even though the same evidence would be insufcient to invalidate the claim if frst presented in a district court acton. Accordingly, a third party may atempt to use the USPTO procedures to invalidate our patent claims that would not have been invalidated if frst challenged by the third party as a defendant in a district court acton. Thus, the Leahy-Smith Act and its implementaton could increase the uncertaintes and costs surrounding the prosecuton of our future patent applicatons or those of our current and future licensors and the enforcement or defense of our future issued patents or those of our current and future licensors, all of which could have a material adverse efect on our business, fnancial conditon, results of operatons and prospects.</w:t>
      </w:r>
    </w:p>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2012, the European Patent Package, or EU Patent Package, regulatons were passed with the goal of providing a single pan-European Unitary Patent and a new European Unifed Patent Court, or UPC, for litgaton involving European patents. Implementaton of the EU Patent Package occurred on June 1, 2023. Under the UPC, all European patents, including those issued prior to ratfcaton of the European Patent Package, will by default automatcally fall under the jurisdicton of the UPC. The UPC will</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4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provide our compettors with a new forum to centrally revoke our European patents, and allow for the possibility of a compettor to obtain pan-European injunctons. Such a loss of patent protecton could have a material adverse impact on our business and our ability to commercialize our technology and product candidates and, resultantly, on our business, fnancial conditon, prospects and results of operatons.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frst seven years of the court’s existence, but doing so may preclude us from realizing the benefts of the new unifed court. Moreover, if we do not meet all of the formalites and requirements for opt-out under the UPC, our future European patents could remain under the jurisdicton of the UPC.</w:t>
      </w:r>
    </w:p>
    <w:p>
      <w:pPr>
        <w:spacing w:after="0" w:line="195"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Changes in U.S. patent law, or laws in other countries, could diminish the value of patents in general, thereby impairing our ability to protect our current products and any future product candidates.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is the case with other biopharmaceutcal companies, our success is heavily dependent on intellectual property, partcularly patents. Obtaining and enforcing patents in the biopharmaceutcal industry involve a high degree of technological and legal complexity. Therefore, obtaining and enforcing biopharmaceutcal patents is costly, tme consuming and inherently uncertain. Changes in either the patent laws or in the interpretatons of patent laws in the United States and other countries may diminish the value of our intellectual property and may increase the uncertaintes and costs surrounding the prosecuton of patent applicatons and the enforcement or defense of issued patents. We cannot predict the breadth of claims that may be allowed or enforced in our future patents or in third-party patents. In additon, Congress or other foreign legislatve bodies may pass patent reform legislaton that is unfavorable to us. Evolving judicial interpretaton of patent law could also adversely afect our business. For example, the U.S. Supreme Court has ruled on several patent cases in recent years, either narrowing the scope of patent protecton available in certain circumstances or weakening the rights of patent owners in certain situatons. In additon to increasing uncertainty with regard to our ability to obtain patents in the future, this combinaton of events has created uncertainty with respect to the value of patents, once obtained. Depending on decisions by the U.S. Congress, the U.S. federal courts, the USPTO, or similar authorites in foreign jurisdictons, the laws and regulatons governing patents could change in unpredictable ways that would weaken our ability to obtain new patents or to enforce the existng licensed patents and the patents we might obtain or license in the future.</w:t>
      </w:r>
    </w:p>
    <w:p>
      <w:pPr>
        <w:spacing w:after="0" w:line="186"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Calibri" w:cs="Calibri" w:eastAsia="Calibri" w:hAnsi="Calibri"/>
          <w:sz w:val="18"/>
          <w:szCs w:val="18"/>
          <w:color w:val="auto"/>
        </w:rPr>
        <w:t>.</w:t>
      </w:r>
    </w:p>
    <w:p>
      <w:pPr>
        <w:spacing w:after="0" w:line="19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may also be subject to claims that former employees or other third partes have an ownership interest in our future patents, the patents of our current and future licensors or other intellectual property. Litgaton may be necessary to defend against these and other claims challenging inventorship or ownership. If we fail in defending any such claims, in additon to paying monetary damages, we may lose valuable intellectual property rights. Such an outcome could have a material adverse efect on our business. Even if we are successful in defending against such claims, litgaton could result in substantal costs and distracton to management and other employees.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Patent terms may be inadequate to protect our compettve positon on VOQUEZNA and any future product candidates for an adequate amount of tme.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Patents have a limited lifespan. In the United States, if all maintenance fees are tmely paid, the natural expiraton of a patent is generally 20 years from its earliest U.S. non-provisional fling date. Various extensions may be available, but the life of a patent, and the protecton it afords, is limited. Even if patents covering our current products including VOQUEZNA and any future product candidates are obtained, once the patent life has expired, we may be open to competton from compettve products. Given the amount of tme required for the development, testng and regulatory review of product candidates, patents protectng our current products and any future product candidates might expire before or shortly afer such candidates are commercialized. As a result, our patent portolio may not provide us with sufcient rights to exclude others from commercializing products similar or identcal to ours.</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do not obtain patent term extension for our current products and any future product candidates, our business may be materially harmed.</w:t>
      </w:r>
    </w:p>
    <w:p>
      <w:pPr>
        <w:spacing w:after="0" w:line="177"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Based on the frst marketng approval by the FDA for vonoprazan, we believe one or more of our U.S. patents or those of our current and future licensors, may be eligible for limited patent term restoraton under the Drug Price Competton and Patent Term</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Restoraton Act of 1984, or the Hatch-Waxman Amendments. The Hatch- Waxman Amendments permit a patent restoraton term of up to fve years as compensaton for patent term lost during product development and the FDA regulatory review process. A maximum of one patent may be extended per FDA approved product as compensaton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expiraton of relevant patents or otherwise failing to satsfy applicable requirements. Moreover, the applicable tme period or the scope of patent protecton aforded could be less than we request. If we are unable to obtain patent term extension or restoraton or the term of any such extension is less than we request, our compettors may obtain approval of competng products following our patent expiraton, and our revenue could be reduced, possibly materially. Further, if this occurs, our compettors may take advantage of our investment in development and trials by referencing our clinical and preclinical data and launch their product earlier than might otherwise be the case.</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our licensed territories.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Although we have issued patents and pending patent applicatons in the United States and certain other countries in which we intend to commercialize our products, fling, prosecutng and defending patents in all relevant countries throughout our licensed territories could be prohibitvely expensive, and our intellectual property rights in some countries outside the United States can be less extensive than those in the United States. In additon, the laws of some foreign countries do not protect intellectual property rights to the same extent as federal and state laws in the United States. Consequently, we may not be able to prevent third partes from practcing our inventons in all countries outside the United States or from selling or importng products made using our inventons in and into the United States or other jurisdictons. Compettors may use our technologies in jurisdictons where we have not obtained patent protecton to develop their own products and, further, may export otherwise infringing products to territories where we have patent protecton but enforcement is not as strong as that in the United States. These products may compete with VOQUEZNA or any future product candidates, and our patents, the patents of our current and future licensors or other intellectual property rights may not be efectve or sufcient to prevent them from competng.</w:t>
      </w:r>
    </w:p>
    <w:p>
      <w:pPr>
        <w:spacing w:after="0" w:line="1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foreign jurisdictons. The legal systems of many foreign countries do not favor the enforcement of patents and other intellectual property protecton, which could make it difcult for us to stop the infringement of our intellectual property rights or marketng of competng products in violaton of our proprietary rights. Proceedings to enforce our patent rights in foreign jurisdictons could result in substantal costs and divert our eforts and atenton from other aspects of our business, could put our future patents or the patents of our current and future licensors at risk of being invalidated or interpreted narrowly and our future patent applicatons or the patent applicatons of our current and future licensors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from the intellectual property that we develop or license.</w:t>
      </w:r>
    </w:p>
    <w:p>
      <w:pPr>
        <w:spacing w:after="0" w:line="197"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Many countries have compulsory licensing laws under which a patent owner may be compelled to grant licenses to third partes. In additon, many countries limit the enforceability of patents against government agencies or government contractors. In these countries, the patent owner may have limited remedies, which could materially diminish the value of such patent. If we are forced to grant a license to third partes with respect to any patents relevant to our business, our compettve positon may be impaired, and our business, fnancial conditon, results of operatons and prospects may be adversely afected.</w:t>
      </w:r>
    </w:p>
    <w:p>
      <w:pPr>
        <w:spacing w:after="0" w:line="168"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Obtaining and maintaining our patent protecton depends on compliance with various procedural, documentary, fee payment and other requirements imposed by regulatons and governmental patent agencies, and our patent protecton could be reduced or eliminated for non-compliance with these requirements.</w:t>
      </w:r>
    </w:p>
    <w:p>
      <w:pPr>
        <w:spacing w:after="0" w:line="178"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Periodic maintenance fees, renewal fees, annuity fees and various other governmental fees on patents and/or applicatons will be due to the USPTO and various foreign patent ofces at various points over the lifetme of our future patents and/or future applicatons and those of our current and future licensors. We have systems in place to remind us to pay these fees, and we rely on third partes to pay these fees when due. Additonally, the USPTO and various foreign patent ofces require compliance with a number of procedural, documentary, fee payment and other similar provisions during the patent applicaton process. We employ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reputable law frms and other professionals to help us comply, and in many cases, an inadvertent lapse can be cured by payment of a late fee or by other means in accordance with rules applicable to the partcular jurisdicton. However, there are situatons in which noncompliance can result in abandonment or lapse of the patent or patent applicaton, resultng in partal or complete loss of patent rights in the relevant jurisdicton. If such an event were to occur, it could have a material adverse efect on our business.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are unable to protect the confdentality of our trade secrets, our business and compettve positon would be harmed.</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additon, we rely on the protecton of our trade secrets, including unpatented know-how, technology and other proprietary informaton to maintain our compettve positon. Although we have taken steps to protect our trade secrets and unpatented know-how, including entering into confdentality agreements with third partes, and confdental informaton and inventons agreements with employees, consultants and advisors, we cannot provide any assurances that all such agreements have been duly executed, and any of these partes may breach the agreements and disclose our proprietary informaton, including our trade secrets, and we may not be able to obtain adequate remedies for such breaches. Enforcing a claim that a party illegally disclosed or misappropriated a trade secret is difcult, expensive and tme consuming, and the outcome is unpredictable. In additon, some courts inside and outside the United States are less willing or unwilling to protect trade secrets. We may need to share our trade secrets and proprietary know-how with current or future partners, collaborators, contractors and others located in countries at heightened risk of thef of trade secrets, including through direct intrusion by private partes or foreign actors, and those afliated with or controlled by state actors. As a result, we may encounter signifcant problems in protectng and defending our intellectual property both in the United States and other countries.</w:t>
      </w:r>
    </w:p>
    <w:p>
      <w:pPr>
        <w:spacing w:after="0" w:line="184" w:lineRule="exact"/>
        <w:rPr>
          <w:sz w:val="20"/>
          <w:szCs w:val="20"/>
          <w:color w:val="auto"/>
        </w:rPr>
      </w:pPr>
    </w:p>
    <w:p>
      <w:pPr>
        <w:ind w:right="100" w:firstLine="509"/>
        <w:spacing w:after="0" w:line="252" w:lineRule="auto"/>
        <w:rPr>
          <w:sz w:val="20"/>
          <w:szCs w:val="20"/>
          <w:color w:val="auto"/>
        </w:rPr>
      </w:pPr>
      <w:r>
        <w:rPr>
          <w:rFonts w:ascii="Calibri" w:cs="Calibri" w:eastAsia="Calibri" w:hAnsi="Calibri"/>
          <w:sz w:val="17"/>
          <w:szCs w:val="17"/>
          <w:color w:val="auto"/>
        </w:rPr>
        <w:t>Moreover, third partes may stll obtain this informaton or may come upon this or similar informaton independently, and we would have no right to prevent them from using that technology or informaton to compete with us. If any of these events occurs or if we otherwise lose protecton for our trade secrets, the value of this informaton may be greatly reduced and our compettve positon would be harmed. If we cannot otherwise maintain the confdentality of our proprietary technology and other confdental informaton, then our ability to protect our trade secret informaton may be jeopardized.</w:t>
      </w:r>
    </w:p>
    <w:p>
      <w:pPr>
        <w:spacing w:after="0" w:line="181"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we have wrongfully hired an employee from a compettor or that we or our employees have wrongfully used or disclosed alleged confdental informaton or trade secrets of their former employers.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is common in the biopharmaceutcal industry, in additon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consultng services to, other biopharmaceutcal companies including our compettors or potental compettors. We may become subject to claims that we, our employees or a consultant inadvertently or otherwise used or disclosed trade secrets or other informaton proprietary to their former employers or their former or current clients. Litgaton may be necessary to defend against these claims. If we fail in defending any such claims, in additon to paying monetary damages, we may lose valuable intellectual property rights or personnel, which could adversely afect our business. Even if we are successful in defending against these claims, litgaton could result in substantal costs and be a distracton to our management team and other employees.</w:t>
      </w:r>
    </w:p>
    <w:p>
      <w:pPr>
        <w:spacing w:after="0" w:line="18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If our trademarks and trade names are not adequately protected, then we may not be able to build name recogniton in our markets of interest and our business may be adversely afected.</w:t>
      </w:r>
    </w:p>
    <w:p>
      <w:pPr>
        <w:spacing w:after="0" w:line="19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recogniton among potental partners or customers in our markets of interest. At tmes, compettors may adopt trade names or trademarks similar to ours, thereby impeding our ability to build brand identty and possibly leading to market confusion. In additon, there could be potental trade name or trademark infringement claims brought by owners of other trademarks or trademarks that incorporate variatons of our registered or unregistered trademarks or trade names. Over the long term, if we are unable to establish name recogniton based on our trademarks and trade names, then we may not be able to compete efectvely and our business may be adversely afected. We may license our trademarks and trade names to third partes,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eforts to enforce or protect our proprietary rights related to trademarks,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9"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trade names, trade secrets, domain names, copyrights or other intellectual property may be inefectve and could result in substantal costs and diversion of resources and could adversely afect our fnancial conditon or results of operatons.</w:t>
      </w:r>
    </w:p>
    <w:p>
      <w:pPr>
        <w:spacing w:after="0" w:line="19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b w:val="1"/>
          <w:bCs w:val="1"/>
          <w:i w:val="1"/>
          <w:iCs w:val="1"/>
          <w:color w:val="auto"/>
        </w:rPr>
        <w:t>Any collaboraton arrangements that we have or may enter into in the future may not be successful, which could adversely afect our ability to develop and commercialize our products.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success of our collaboraton arrangements will depend heavily on the eforts and actvites of our collaborators and partners. Under the Takeda License, for example, Takeda had certain obligatons with respect to assistng with the transiton of informaton and materials to us as well as providing clinical and commercial supply of the vonoprazan product. Collaboratons and partnerships are subject to numerous risks, which may include that:</w:t>
      </w:r>
    </w:p>
    <w:p>
      <w:pPr>
        <w:spacing w:after="0" w:line="187"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have signifcant discreton in determining the eforts and resources that they will apply to collaboratons;</w:t>
      </w:r>
    </w:p>
    <w:p>
      <w:pPr>
        <w:spacing w:after="0" w:line="203" w:lineRule="exact"/>
        <w:rPr>
          <w:rFonts w:ascii="Times New Roman" w:cs="Times New Roman" w:eastAsia="Times New Roman" w:hAnsi="Times New Roman"/>
          <w:sz w:val="18"/>
          <w:szCs w:val="18"/>
          <w:color w:val="auto"/>
        </w:rPr>
      </w:pPr>
    </w:p>
    <w:p>
      <w:pPr>
        <w:ind w:left="900" w:right="560" w:hanging="383"/>
        <w:spacing w:after="0" w:line="254" w:lineRule="auto"/>
        <w:tabs>
          <w:tab w:leader="none" w:pos="900" w:val="left"/>
        </w:tabs>
        <w:numPr>
          <w:ilvl w:val="0"/>
          <w:numId w:val="45"/>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collaborators may not pursue development and commercializaton of our products or may elect not to contnue or renew development or commercializaton programs based on trial or test results, changes in their strategic focus due to the acquisiton of compettve products, availability of funding or other external factors, such as a business combinaton that diverts resources or creates competng priorites;</w:t>
      </w:r>
    </w:p>
    <w:p>
      <w:pPr>
        <w:spacing w:after="0" w:line="178" w:lineRule="exact"/>
        <w:rPr>
          <w:rFonts w:ascii="Times New Roman" w:cs="Times New Roman" w:eastAsia="Times New Roman" w:hAnsi="Times New Roman"/>
          <w:sz w:val="17"/>
          <w:szCs w:val="17"/>
          <w:color w:val="auto"/>
        </w:rPr>
      </w:pPr>
    </w:p>
    <w:p>
      <w:pPr>
        <w:ind w:left="900" w:right="5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could independently develop, or develop with third partes, products that compete directly or indirectly with our products or product candidates;</w:t>
      </w:r>
    </w:p>
    <w:p>
      <w:pPr>
        <w:spacing w:after="0" w:line="190" w:lineRule="exact"/>
        <w:rPr>
          <w:rFonts w:ascii="Times New Roman" w:cs="Times New Roman" w:eastAsia="Times New Roman" w:hAnsi="Times New Roman"/>
          <w:sz w:val="18"/>
          <w:szCs w:val="18"/>
          <w:color w:val="auto"/>
        </w:rPr>
      </w:pPr>
    </w:p>
    <w:p>
      <w:pPr>
        <w:ind w:left="900" w:right="7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 with marketng, manufacturing and distributon rights to one or more products may not commit sufcient resources to or otherwise not perform satsfactorily in carrying out these actvites;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grant exclusive rights to our collaborators that would prevent us from collaboratng with others;</w:t>
      </w:r>
    </w:p>
    <w:p>
      <w:pPr>
        <w:spacing w:after="0" w:line="190" w:lineRule="exact"/>
        <w:rPr>
          <w:rFonts w:ascii="Times New Roman" w:cs="Times New Roman" w:eastAsia="Times New Roman" w:hAnsi="Times New Roman"/>
          <w:sz w:val="18"/>
          <w:szCs w:val="18"/>
          <w:color w:val="auto"/>
        </w:rPr>
      </w:pPr>
    </w:p>
    <w:p>
      <w:pPr>
        <w:jc w:val="both"/>
        <w:ind w:left="9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not properly maintain or defend our intellectual property rights or may use our intellectual property or proprietary informaton in a way that gives rise to actual or threatened litgaton that could jeopardize or invalidate our intellectual property or proprietary informaton or expose us to potental liability;</w:t>
      </w:r>
    </w:p>
    <w:p>
      <w:pPr>
        <w:spacing w:after="0" w:line="191"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disputes may arise between us and a collaborator that causes the delay or terminaton of the research, development or commercializaton of our current or future products or that results in costly litgaton or arbitraton that diverts management atenton and resources;</w:t>
      </w:r>
    </w:p>
    <w:p>
      <w:pPr>
        <w:spacing w:after="0" w:line="204" w:lineRule="exact"/>
        <w:rPr>
          <w:rFonts w:ascii="Times New Roman" w:cs="Times New Roman" w:eastAsia="Times New Roman" w:hAnsi="Times New Roman"/>
          <w:sz w:val="18"/>
          <w:szCs w:val="18"/>
          <w:color w:val="auto"/>
        </w:rPr>
      </w:pPr>
    </w:p>
    <w:p>
      <w:pPr>
        <w:ind w:left="900" w:right="11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collaboratons may be terminated, and, if terminated, may result in a need for additonal capital to pursue further development or commercializaton of the applicable current or future products;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own or co-own intellectual property covering our products that results from our collaboratng with them, and in such cases, we would not have the exclusive right to develop or commercialize such intellectual property; and</w:t>
      </w:r>
    </w:p>
    <w:p>
      <w:pPr>
        <w:spacing w:after="0" w:line="190"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collaborator’s sales and marketng actvites or other operatons may not be in compliance with applicable laws resultng in civil or criminal proceedings.</w:t>
      </w:r>
    </w:p>
    <w:p>
      <w:pPr>
        <w:spacing w:after="0" w:line="191"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Intellectual property discovered through government funded programs may be subject to federal regulatons such as “march-in” rights, certain reportng requirements and a preference for U.S.-based companies. Compliance with such regulatons may limit our exclusive rights and limit our ability to contract with non-U.S. manufacturers.</w:t>
      </w:r>
    </w:p>
    <w:p>
      <w:pPr>
        <w:spacing w:after="0" w:line="178"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We may acquire or license in the future intellectual property rights that have been generated through the use of U.S. government funding or grant. Pursuant to the Bayh-Dole Act of 1980, the U.S. government has certain rights in inventons developed with government funding. These U.S. government rights include a non-exclusive, non-transferable, irrevocable worldwide license to use inventons for any governmental purpose. In additon, the U.S. government has the right, under certain limited circumstances, to require us to grant exclusive, partally exclusive, or non-exclusive licenses to any of these inventons to a third party if it determines that: (i) adequate steps have not been taken to commercialize the inventon; (ii) government acton is necessary to meet public health or safety needs; or (iii) government acton is necessary to meet requirements for public use under federal regulatons (also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referred to as “march-in rights”). The U.S. government also has the right to take ttle to these inventons if the grant recipient fails to disclose the inventon to the government or fails to fle an applicaton to register the intellectual property within specifed tme limits. Intellectual property generated under a government funded program is also subject to certain reportng requirements, compliance with which may require us to expend substantal resources. In additon, the U.S. government requires that any products embodying any of these inventons or produced through the use of any of these inventons be manufactured substantally in the United States. This preference for industry may be waived by the federal agency that provided the funding if the owner or assignee of the intellectual property can show that reasonable but unsuccessful eforts have been made to grant licenses on similar terms to potental licensees that would be likely to manufacture substantally in the United States or that under the circumstances domestc manufacture is not commercially feasible. This preference for U.S. industry may limit our ability to contract with non-U.S. product manufacturers for products covered by such intellectual property.</w:t>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Common Stock</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The trading price of the shares of our common stock has been, and is likely to contnue to be, highly volatle, and purchasers of our common stock could incur substantal losses.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stock market in general and the market for stock of biopharmaceutcal companies in partcular have experienced extreme volatlity that has ofen been unrelated to the operatng performance of partcular companies. As a result of this volatlity, investors may not be able to sell their common stock at or above the price at which they paid. Our common stock has a limited trading history and the market price has fuctuated widely, and may in the future fuctuate widely, depending upon many factors such as those discussed in this “Risk Factors” secton and many others, some of which are beyond our control, including the following:</w:t>
      </w:r>
    </w:p>
    <w:p>
      <w:pPr>
        <w:spacing w:after="0" w:line="207" w:lineRule="exact"/>
        <w:rPr>
          <w:sz w:val="20"/>
          <w:szCs w:val="20"/>
          <w:color w:val="auto"/>
        </w:rPr>
      </w:pPr>
    </w:p>
    <w:p>
      <w:pPr>
        <w:ind w:left="900" w:right="34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relatvely low-volume trading market for our shares of common stock that could cause trades of small blocks of shares to have a signifcant impact on the price of our shares of common stock;</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market conditons in the biopharmaceutcal sector and issuance of securites analysts’ reports or recommendatons;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short positons by holders or non-holders of our common stock;</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obtain additonal funding;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our stock by insiders and stockholders, including Takeda;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enroll patents in our ongoing and any future clinical trials;</w:t>
      </w:r>
    </w:p>
    <w:p>
      <w:pPr>
        <w:spacing w:after="0" w:line="203"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results of our clinical trials and preclinical studies, the results of clinical trials conducted by Takeda and others for vonoprazan, and the results of trials of our compettors or those of other companies in our market sector;</w:t>
      </w:r>
    </w:p>
    <w:p>
      <w:pPr>
        <w:spacing w:after="0" w:line="190"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regulatory approvals of vonoprazan and approvals of any future product candidates, or limitatons to specifc label indicatons or patent populatons for use of any approved products, or changes or delays in the regulatory review process;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terminaton or loss of rights under the Takeda License;</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developments in the United States and foreign countries;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structure of healthcare payment systems, especially in light of reforms to the U.S. healthcare system;</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 or failure of our eforts to acquire, license or develop additonal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innovatons or new products developed by us or our compettors;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announcements by us or our compettors of signifcant acquisitons, strategic partnerships, joint ventures or capital commitments;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2" w:name="page103"/>
    <w:bookmarkEnd w:id="102"/>
    <w:p>
      <w:pPr>
        <w:spacing w:after="0" w:line="158"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supply or distributon delays or shortages;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relatonship with any manufacturers, suppliers, licensors, future collaborators or other strategic partners;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achievement of expected product sales and proftability;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variatons in our fnancial results or those of companies that are perceived to be similar to us;</w:t>
      </w:r>
    </w:p>
    <w:p>
      <w:pPr>
        <w:spacing w:after="0" w:line="2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7"/>
          <w:szCs w:val="17"/>
          <w:color w:val="auto"/>
        </w:rPr>
      </w:pPr>
      <w:r>
        <w:rPr>
          <w:rFonts w:ascii="Calibri" w:cs="Calibri" w:eastAsia="Calibri" w:hAnsi="Calibri"/>
          <w:sz w:val="17"/>
          <w:szCs w:val="17"/>
          <w:color w:val="auto"/>
        </w:rPr>
        <w:t>general economic, industry and market conditons, public health emergencies or other events or factors, many of which are beyond our control;</w:t>
      </w:r>
    </w:p>
    <w:p>
      <w:pPr>
        <w:spacing w:after="0" w:line="192"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additons or departures of key personnel;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intellectual property, product liability or other litgaton against us;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our capital structure, such as future issuances of securites and the incurrence of additonal debt;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accountng standards, policies, guidelines, interpretatons or principles.</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additon, in the past, stockholders have initated class acton lawsuits against biopharmaceutcal companies following periods of volatlity in the market prices of these companies’ stock. Such litgaton, if insttuted against us, could cause us to incur substantal costs and divert management’s atenton and resources, which could have a material adverse efect on our business, fnancial conditon and results of operatons.</w:t>
      </w:r>
    </w:p>
    <w:p>
      <w:pPr>
        <w:spacing w:after="0" w:line="19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Our executve ofcers, directors and principal stockholders, if they choose to act together, have the ability to control or signifcantly infuence all maters submited to stockholders for approval. Furthermore, many of our current directors were appointed by our principal stockholders.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executve ofcers, directors and greater than 5% stockholders, in the aggregate, own a majority of our outstanding common stock. As a result, such persons actng together have the ability to control or signifcantly infuence all maters submited to our board of directors or stockholders for approval, including the appointment of our management, the electon and removal of directors and approval of any signifcant transacton, as well as our management and business afairs. This concentraton of ownership may have the efect of delaying, deferring or preventng a change in control, impeding a merger, consolidaton, takeover or other business combinaton involving us, or discouraging a potental acquiror from making a tender ofer or otherwise atemptng to obtain control of our business, even if such a transacton would beneft other stockholders.</w:t>
      </w:r>
    </w:p>
    <w:p>
      <w:pPr>
        <w:spacing w:after="0" w:line="18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We do not currently intend to pay dividends on our common stock, and, consequently, your ability to achieve a return on your investment will depend on appreciaton, if any, in the price of our common stock.</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declared or paid any cash dividend on our common stock. We currently antcipate that we will retain future earnings for the development, operaton and expansion of our business and do not antcipate declaring or paying any cash dividends for the foreseeable future. In additon, under the terms of the Loan Agreement, we are prohibited from paying any cash dividends without the consent of the lenders. Any return to stockholders will therefore be limited to the appreciaton of their stock. Shares of our common stock may not appreciate in value or even maintain the price at which stockholders have purchased their shares.</w:t>
      </w:r>
    </w:p>
    <w:p>
      <w:pPr>
        <w:spacing w:after="0" w:line="180"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Sales of a substantal number of shares of our common stock by our existng stockholders, including Takeda, in the public market could cause our stock price to fall.</w:t>
      </w:r>
    </w:p>
    <w:p>
      <w:pPr>
        <w:spacing w:after="0" w:line="177" w:lineRule="exact"/>
        <w:rPr>
          <w:sz w:val="20"/>
          <w:szCs w:val="20"/>
          <w:color w:val="auto"/>
        </w:rPr>
      </w:pPr>
    </w:p>
    <w:p>
      <w:pPr>
        <w:ind w:right="280" w:firstLine="509"/>
        <w:spacing w:after="0" w:line="258" w:lineRule="auto"/>
        <w:rPr>
          <w:sz w:val="20"/>
          <w:szCs w:val="20"/>
          <w:color w:val="auto"/>
        </w:rPr>
      </w:pPr>
      <w:r>
        <w:rPr>
          <w:rFonts w:ascii="Calibri" w:cs="Calibri" w:eastAsia="Calibri" w:hAnsi="Calibri"/>
          <w:sz w:val="17"/>
          <w:szCs w:val="17"/>
          <w:color w:val="auto"/>
        </w:rPr>
        <w:t>Sales of a substantal number of shares of our common stock in the public market or the percepton that these sales might occur could signifcantly reduce the market price of our common stock and impair our ability to raise adequate capital through the sale of additonal equity securites.</w:t>
      </w:r>
    </w:p>
    <w:p>
      <w:pPr>
        <w:spacing w:after="0" w:line="17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As of December 31, 2023, Takeda owned 7,459,286 shares of common stock that are eligible for sale in the public market to the extent permited by Rule 144 under the Securites Act. In additon, as of December 31, 2023, up to 9,378,875 shares of common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stock that are either subject to outstanding optons, warrants or other rights or reserved for future issuance under our employee beneft plans will become eligible for sale in the public market to the extent permited by the provisions of various vestng schedules, exercise limitatons, and Rule 144 and Rule 701 under the Securites Act. If these additonal shares of common stock are sold, or if it is perceived that they will be sold, in the public market, the trading price of our common stock could decline.</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Further, we fled a registraton statement, which became efectve on November 17, 2023, registering the resale of up to 5,827,415 shares of common stock held by Frazier Life Sciences IX, L.P., or Frazier. As a result of the registraton statement, Frazier is able to freely sell some or all of its shares of our common stock. Any sales by these stockholders could have a material adverse efect on the trading price of our common stock.</w:t>
      </w:r>
    </w:p>
    <w:p>
      <w:pPr>
        <w:spacing w:after="0" w:line="178"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b w:val="1"/>
          <w:bCs w:val="1"/>
          <w:i w:val="1"/>
          <w:iCs w:val="1"/>
          <w:color w:val="auto"/>
        </w:rPr>
        <w:t>We are an emerging growth company and a smaller reportng company, and the reduced disclosure requirements applicable to emerging growth companies and smaller reportng company may make our common stock less atractve to investors.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an emerging growth company, as defned in the JOBS Act, and may remain an emerging growth company untl the last day of the fscal year following the ffh anniversary of the completon of our IPO. However, if certain events occur prior to the end of such fve-year period, including if we become a “large accelerated fler” as defned in Rule 12b-2 under the Exchange Act, our annual gross revenues exceed $1.235 billion or we issue more than $1 billion of non-convertble debt in any three- year period, we will cease to be an emerging growth company prior to the end of such fve-year period. For so long as we remain an emerging growth company, we are permited and intend to rely on exemptons from certain disclosure requirements that are applicable to other public companies that are not emerging growth companies. These exemptons include:</w:t>
      </w:r>
    </w:p>
    <w:p>
      <w:pPr>
        <w:spacing w:after="0" w:line="208" w:lineRule="exact"/>
        <w:rPr>
          <w:sz w:val="20"/>
          <w:szCs w:val="20"/>
          <w:color w:val="auto"/>
        </w:rPr>
      </w:pPr>
    </w:p>
    <w:p>
      <w:pPr>
        <w:ind w:left="900" w:right="280" w:hanging="383"/>
        <w:spacing w:after="0" w:line="258" w:lineRule="auto"/>
        <w:tabs>
          <w:tab w:leader="none" w:pos="900" w:val="left"/>
        </w:tabs>
        <w:numPr>
          <w:ilvl w:val="0"/>
          <w:numId w:val="48"/>
        </w:numPr>
        <w:rPr>
          <w:rFonts w:ascii="Times New Roman" w:cs="Times New Roman" w:eastAsia="Times New Roman" w:hAnsi="Times New Roman"/>
          <w:sz w:val="17"/>
          <w:szCs w:val="17"/>
          <w:color w:val="auto"/>
        </w:rPr>
      </w:pPr>
      <w:r>
        <w:rPr>
          <w:rFonts w:ascii="Calibri" w:cs="Calibri" w:eastAsia="Calibri" w:hAnsi="Calibri"/>
          <w:sz w:val="17"/>
          <w:szCs w:val="17"/>
          <w:color w:val="auto"/>
        </w:rPr>
        <w:t>being permited to provide only two years of audited fnancial statements, in additon to any required unaudited interim fnancial statements, with correspondingly reduced “Management’s Discussion and Analysis of Financial Conditon and Results of Operatons” disclosure;</w:t>
      </w:r>
    </w:p>
    <w:p>
      <w:pPr>
        <w:spacing w:after="0" w:line="174" w:lineRule="exact"/>
        <w:rPr>
          <w:rFonts w:ascii="Times New Roman" w:cs="Times New Roman" w:eastAsia="Times New Roman" w:hAnsi="Times New Roman"/>
          <w:sz w:val="17"/>
          <w:szCs w:val="17"/>
          <w:color w:val="auto"/>
        </w:rPr>
      </w:pPr>
    </w:p>
    <w:p>
      <w:pPr>
        <w:ind w:left="900" w:right="62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not being required to comply with the auditor atestaton requirements in the assessment of our internal control over fnancial reportng pursuant to the Sarbanes-Oxley Act;</w:t>
      </w:r>
    </w:p>
    <w:p>
      <w:pPr>
        <w:spacing w:after="0" w:line="190" w:lineRule="exact"/>
        <w:rPr>
          <w:rFonts w:ascii="Times New Roman" w:cs="Times New Roman" w:eastAsia="Times New Roman" w:hAnsi="Times New Roman"/>
          <w:sz w:val="18"/>
          <w:szCs w:val="18"/>
          <w:color w:val="auto"/>
        </w:rPr>
      </w:pPr>
    </w:p>
    <w:p>
      <w:pPr>
        <w:ind w:left="900" w:right="64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not being required to comply with any requirement that may be adopted by the Public Company Accountng Oversight Board regarding mandatory audit frm rotaton or a supplement to the auditor’s report providing additonal informaton about the audit and the fnancial statements, unless the SEC, determines the new rules are necessary for protectng the public;</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disclosure obligatons regarding executve compensaton; and</w:t>
      </w:r>
    </w:p>
    <w:p>
      <w:pPr>
        <w:spacing w:after="0" w:line="190"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exemptons from the requirements of holding a nonbinding advisory vote on executve compensaton and shareholder approval of any golden parachute payments not previously approved.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Investors may fnd our common stock less atractve if we rely on these exemptons. If some investors fnd our common stock less atractve as a result, there may be a less actve trading market for our common stock and our stock price may be reduced or more volatle. In additon, the JOBS Act provides that an emerging growth company can take advantage of an extended transiton period for complying with new or revised accountng standards. This allows an emerging growth company to delay the adopton of these accountng standards untl they would otherwise apply to private companies. We have irrevocably elected not to avail ourselves of this exempton and, therefore, we will be subject to the same new or revised accountng standards as other public companies that are not emerging growth companies.</w:t>
      </w:r>
    </w:p>
    <w:p>
      <w:pPr>
        <w:spacing w:after="0" w:line="194"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We are also a smaller reportng company as defned in the Exchange Act. We may contnue to be a smaller reportng company even afer we are no longer an emerging growth company. We may take advantage of certain of the scaled disclosures available to smaller reportng companies and will be able to take advantage of these scaled disclosures for so long as our votng and non-votng common stock held by non-afliates is less than $250 million measured on the last business day of our second fscal quarter, or our annual revenue is less than $100 million during the most recently completed fscal year and our votng and non-votng common stock held by non-afliates is less than $700 million measured on the last business day of our second fscal quarter.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49"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contain provisions that could signifcantly reduce the value of our shares to a potental acquiror or delay or prevent changes in control or changes in our management without the consent of our board of directors. The provisions in our charter documents include the following:</w:t>
      </w:r>
    </w:p>
    <w:p>
      <w:pPr>
        <w:spacing w:after="0" w:line="192" w:lineRule="exact"/>
        <w:rPr>
          <w:sz w:val="20"/>
          <w:szCs w:val="20"/>
          <w:color w:val="auto"/>
        </w:rPr>
      </w:pPr>
    </w:p>
    <w:p>
      <w:pPr>
        <w:ind w:left="900" w:right="48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classifed board of directors with three-year staggered terms, which may delay the ability of stockholders to change the membership of a majority of our board of directors;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cumulatve votng in the electon of directors, which limits the ability of minority stockholders to elect director candidates;</w:t>
      </w:r>
    </w:p>
    <w:p>
      <w:pPr>
        <w:spacing w:after="0" w:line="203"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exclusive right of our board of directors, unless the board of directors grants such right to the stockholders, to elect a director to fll a vacancy created by the expansion of the board of directors or the resignaton, death or removal of a director, which prevents stockholders from being able to fll vacancies on our board of directors;</w:t>
      </w:r>
    </w:p>
    <w:p>
      <w:pPr>
        <w:spacing w:after="0" w:line="191" w:lineRule="exact"/>
        <w:rPr>
          <w:rFonts w:ascii="Times New Roman" w:cs="Times New Roman" w:eastAsia="Times New Roman" w:hAnsi="Times New Roman"/>
          <w:sz w:val="18"/>
          <w:szCs w:val="18"/>
          <w:color w:val="auto"/>
        </w:rPr>
      </w:pPr>
    </w:p>
    <w:p>
      <w:pPr>
        <w:ind w:left="900" w:right="60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remove a director for cause, and the prohibiton on removal of directors without cause;</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authorize the issuance of shares of preferred stock and to determine the price and other terms of those shares, including preferences and votng rights, without stockholder approval, which could be used to signifcantly dilute the ownership of a hostle acquiror;</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alter our amended and restated bylaws without obtaining stockholder approval;</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adopt, amend or repeal our amended and restated bylaws or repeal the provisions of our amended and restated certfcate of incorporaton regarding the electon and removal of directors;</w:t>
      </w:r>
    </w:p>
    <w:p>
      <w:pPr>
        <w:spacing w:after="0" w:line="190" w:lineRule="exact"/>
        <w:rPr>
          <w:rFonts w:ascii="Times New Roman" w:cs="Times New Roman" w:eastAsia="Times New Roman" w:hAnsi="Times New Roman"/>
          <w:sz w:val="18"/>
          <w:szCs w:val="18"/>
          <w:color w:val="auto"/>
        </w:rPr>
      </w:pPr>
    </w:p>
    <w:p>
      <w:pPr>
        <w:ind w:left="900" w:right="52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prohibiton on stockholder acton by writen consent, which forces stockholder acton to be taken at an annual or special meetng of our stockholders;</w:t>
      </w:r>
    </w:p>
    <w:p>
      <w:pPr>
        <w:spacing w:after="0" w:line="204"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exclusive forum provision providing that the federal district courts will be the exclusive forum for actons and proceedings a cause of acton arising under the Securites Act of 1933, as amended, and that the Court of Chancery of the State of Delaware will be the exclusive forum for certain other actons and proceedings;</w:t>
      </w:r>
    </w:p>
    <w:p>
      <w:pPr>
        <w:spacing w:after="0" w:line="191" w:lineRule="exact"/>
        <w:rPr>
          <w:rFonts w:ascii="Times New Roman" w:cs="Times New Roman" w:eastAsia="Times New Roman" w:hAnsi="Times New Roman"/>
          <w:sz w:val="18"/>
          <w:szCs w:val="18"/>
          <w:color w:val="auto"/>
        </w:rPr>
      </w:pPr>
    </w:p>
    <w:p>
      <w:pPr>
        <w:ind w:left="900" w:right="74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a special meetng of stockholders may be called only by the board of directors, which may delay the ability of our stockholders to force consideraton of a proposal or to take acton, including the removal of directors; and</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procedures that stockholders must comply with in order to nominate candidates to our board of directors or to propose maters to be acted upon at a stockholders’ meetng, which may discourage or deter a potental acquiror from conductng a solicitaton of proxies to elect the acquiror’s own slate of directors or otherwise atemptng to obtain control of us.</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also subject to the ant-takeover provisions contained in Secton 203 of the Delaware General Corporaton Law. Under Secton 203, a corporaton may not, in general, engage in a business combinaton with any holder of 15% or more of its capital stock unless the holder has held the stock for three years or, among other exceptons, the board of directors has approved the transacton.</w:t>
      </w:r>
    </w:p>
    <w:p>
      <w:pPr>
        <w:spacing w:after="0" w:line="17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Our amended and restated certfcate of incorporaton and amended and restated bylaws provide that the Court of Chancery of the State of Delaware will be the exclusive forum for substantally all disputes between us and our stockholders, which could limit our stockholders’ ability to obtain a favorable judicial forum for disputes with us or our directors, ofcers or employees.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provide that the Court of Chancery of the State of Delaware is the exclusive forum for any derivatve acton or proceeding brought on our behalf under Delaware statutory or common law, including any acton assertng a breach of fduciary duty, any acton assertng a claim against us arising pursuant to the Delaware General Corporaton Law, our amended and restated certfcate of incorporaton or our amended and restated bylaws, or any acton assertng a claim against us that is governed by the internal afairs doctrine; provided, that, this provision would not apply to suits brought to enforce a duty or liability created by the Securites Act or the Exchange Act, or any other claim for which the federal courts have exclusive jurisdicton. To the extent that any such claims may be based upon federal law claims, Secton 27 of the Exchange Act creates exclusive federal jurisdicton over all suits brought to enforce any duty or liability created by the Exchange Act or the rules and regulatons thereunder. The choice of forum provisions in our amended and restated certfcate of incorporaton may limit a stockholder’s ability to bring a claim in a judicial forum that it fnds favorable for disputes with us or our directors, ofcers or other employees, which may discourage such lawsuits against us and our directors, ofcers and other employees. By agreeing to these provisions, however, stockholders will not be deemed to have waived our compliance with the federal securites laws and the rules and regulatons thereunder. Furthermore, the enforceability of similar choice of forum provisions in other companies’ certfcates of incorporaton has been challenged in legal proceedings, and it is possible that a court could fnd these types of provisions to be inapplicable or unenforceable. If a court were to fnd the choice of forum provisions in our amended and restated certfcate of incorporaton to be inapplicable or unenforceable in an acton, we may incur additonal costs associated with resolving such acton in other jurisdictons, which could adversely afect our business and fnancial conditon.</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net operatng loss carryforwards and other tax atributes may be limited.</w:t>
      </w:r>
    </w:p>
    <w:p>
      <w:pPr>
        <w:spacing w:after="0" w:line="177"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We have incurred substantal losses during our history and do not expect to become proftable in the near future, and we may never achieve proftability. To the extent that we contnue to generate taxable losses, unused losses will carry forward and, subject to limitatons, ofset future taxable income, if any, untl such unused losses expire (if at all).</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Under prevailing U.S. tax law, federal net operatng loss, or NOL, carryforwards generated in periods afer December 31, 2017, may be carried forward indefnitely but may only be used to ofset 80% of our taxable income annually. Our NOL carryforwards are subject to review and possible adjustment by the Internal Revenue Service, or the IRS, and state tax authorites. Under Secton 382 of the Internal Revenue Code of 1986, as amended, or the Code, our federal NOL carryforwards may become subject to an annual limitaton in the event of certain cumulatve changes in the ownership interest of signifcant stockholders over a three-year period in excess of 50 percentage points. Our ability to utlize our NOL carryforwards and other tax atributes to ofset future taxable income or tax liabilites may be limited as a result of ownership changes, including changes in connecton with our IPO or future oferings. Similar rules may apply under state tax laws. We have not yet determined the amount of the cumulatve change in our ownership resultng from our IPO or other transactons, or any resultng limitatons on our ability to utlize our NOL carryforwards and other tax atributes. If we earn taxable income, such limitatons could result in increased future tax liability to us and our future cash fows could be adversely afected. We have recorded a full valuaton allowance related to our NOLs and other deferred tax assets due to the uncertainty of the ultmate realizaton of the future benefts of those assets.</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U.S. tax legislaton may materially adversely afect our fnancial conditon, results of operatons and cash fows.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Tax Cuts and Jobs Act of 2017 has signifcantly changed the U.S. federal income taxaton of U.S. corporatons, including by reducing the U.S. corporate income tax rate and revising the rules governing NOLs. Many of these changes became efectve beginning in 2018, without any transiton periods or grandfathering for existng transactons. The legislaton is unclear in many respects and may contnue to be subject to potental amendments and technical correctons, as well as interpretatons and implementng regulatons by the U.S. Treasury Department and the IRS, which have lessened or increased certain adverse impacts of the legislaton and may do so in the future. We contnue to work with our tax advisors to determine the full impact that the recent tax legislaton as a whole will have on us. We urge our investors to consult with their legal and tax advisors with respect to such legislaton and the potental tax consequences of investng in our common stock.</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Risk Factors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Business disruptons could seriously harm our future revenue and fnancial conditon and increase our costs and expenses.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Our operatons could be subject to earthquakes, power shortages, telecommunicatons failures, water shortages, foods, hurricanes, typhoons, fres, extreme weather conditons, medical epidemics and other natural or manmade disasters or business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interruptons, for which we are predominantly self-insured. We rely, and expect to contnue to rely, on third-party manufacturers to produce vonoprazan, including VOQUEZNA, VOQUEZNA TRIPLE PAK and VOQUEZNA DUAL PAK and any future product candidates. Our ability to obtain clinical supplies of vonoprazan and any future product candidates could be disrupted if the operatons of these suppliers were afected by a manmade or natural disaster or other business interrupton. The occurrence of any of these business disruptons could seriously harm our operatons and fnancial conditon and increase our costs and expenses.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failure to meet the contnued listng requirements of the Nasdaq could result in a delistng of our common stock.</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we fail to satsfy the contnued listng requirements of the Nasdaq, such as the corporate governance requirements or the minimum closing bid price requirement, Nasdaq may take steps to delist our common stock. Such a delistng would likely have a negatve efect on the price of our common stock and would impair your ability to sell or purchase our common stock when you wish to do so. In the event of a delistng, any acton taken by us to restore compliance with listng requirements may not allow our common stock to become listed again, stabilize the market price or improve the liquidity of our common stock, prevent our common stock from dropping below the Nasdaq minimum bid price requirement or prevent future non-compliance with Nasdaq’s listng requirements.</w:t>
      </w:r>
    </w:p>
    <w:p>
      <w:pPr>
        <w:spacing w:after="0" w:line="181"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b w:val="1"/>
          <w:bCs w:val="1"/>
          <w:i w:val="1"/>
          <w:iCs w:val="1"/>
          <w:color w:val="auto"/>
        </w:rPr>
        <w:t>We incur signifcant costs as a result of operatng as a public company, and our management will be required to devote substantal tme to new compliance initatves.</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a public company, we incur signifcant legal, accountng and other expenses. We are subject to the reportng requirements of the Exchange Act, which require, among other things, that we fle with the SEC, annual, quarterly and current reports with respect to our business and fnancial conditon. In additon, the Sarbanes-Oxley Act, as well as rules subsequently adopted by the SEC and Nasdaq to implement provisions of the Sarbanes-Oxley Act, impose signifcant requirements on public companies, including requiring establishment and maintenance of efectve disclosure and fnancial controls and changes in corporate governance practces. Further, pursuant to the Dodd-Frank Wall Street Reform and Consumer Protecton Act of 2010, the SEC has adopted additonal rules and regulatons in these areas, such as mandatory “say on pay” votng requirements that will apply to us when we cease to be an emerging growth company. Stockholder actvism, the current politcal environment and the current high level of government interventon and regulatory reform may lead to substantal new regulatons and disclosure obligatons, which may lead to additonal compliance costs and impact the manner in which we operate our business in ways we cannot currently antcipate.</w:t>
      </w:r>
    </w:p>
    <w:p>
      <w:pPr>
        <w:spacing w:after="0" w:line="1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expect the rules and regulatons applicable to public companies to substantally increase our legal and fnancial compliance costs and to make some actvites more tme consuming and costly. If these requirements divert the atenton of our management and personnel from other business concerns, they could have a material adverse efect on our business, fnancial conditon and results of operatons. The costs we incur as a public company will decrease our net income or increase our net loss, and may require us to reduce costs in other areas of our business. For example, these rules and regulatons make it more difcult and more expensive for us to obtain director and ofcer liability insurance, and we may be required to incur substantal costs to maintain the same or similar coverage in the future. We cannot predict or estmate the amount or tming of additonal costs we may incur to respond to these requirements. The impact of these requirements could also make it more difcult for us to atract and retain qualifed persons to serve on our board of directors, our board commitees or as executve ofcers.</w:t>
      </w:r>
    </w:p>
    <w:p>
      <w:pPr>
        <w:spacing w:after="0" w:line="182"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b w:val="1"/>
          <w:bCs w:val="1"/>
          <w:i w:val="1"/>
          <w:iCs w:val="1"/>
          <w:color w:val="auto"/>
        </w:rPr>
        <w:t>If securites or industry analysts do not publish research or reports or publish unfavorable research or reports about our business, our stock price and trading volume could decline.</w:t>
      </w:r>
    </w:p>
    <w:p>
      <w:pPr>
        <w:spacing w:after="0" w:line="19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trading market for our common stock depends in part on the research and reports that securites or industry analysts publish about us, our business, our market or our compettors. If securites or industry analysts do not contnue coverage of our company, the trading price for our stock would be negatvely impacted. In additon,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we fail to maintain proper and efectve internal control over fnancial reportng, our ability to produce accurate and tmely fnancial statements could be impaired, investors may lose confdence in our fnancial reportng and the trading price of our common stock may decline.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Secton 404 of Sarbanes-Oxley, our management is required to report upon the efectveness of our internal control over fnancial reportng. When we lose our status as an “emerging growth company” and reach an accelerated fler threshold, our independent registered public accountng frm will be required to atest to the efectveness of our internal control over fnancial reportng. The rules governing the standards that must be met for management to assess our internal control over fnancial reportng are complex and require signifcant documentaton, testng and possible remediaton. To comply with the requirements of being a reportng company under the Exchange Act, we are in the process of implementng additonal fnancial and management controls, reportng systems and procedures; and hiring additonal accountng and fnance staf. If we or, if required, our auditors are unable to conclude that our internal control over fnancial reportng is efectve, investors may lose confdence in our fnancial reportng and the trading price of our common stock may decline.</w:t>
      </w:r>
    </w:p>
    <w:p>
      <w:pPr>
        <w:spacing w:after="0" w:line="19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There could be material weaknesses or signifcant defciencies in our internal control over fnancial reportng in the future. Any failure to maintain internal control over fnancial reportng could severely inhibit our ability to accurately report our fnancial conditon, results of operatons or cash fows. If we are unable to conclude that our internal control over fnancial reportng is efectve, or if our independent registered public accountng frm determines we have a material weakness or signifcant defciency in our internal control over fnancial reportng once that frm begin its Secton 404 reviews, investors may lose confdence in the accuracy and completeness of our fnancial reports, the market price of our common stock could decline, and we could be subject to sanctons or investgatons by Nasdaq, the SEC or other regulatory authorites. Failure to remedy any material weakness in our internal control over fnancial reportng, or to implement or maintain other efectve control systems required of public companies, could also restrict our future access to the capital markets.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could be subject to securites class acton litgaton.</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past, securites class acton litgaton has ofen been brought against a company following a decline in the market price of its securites. This risk is especially relevant for us, because we, like many other biotechnology and pharmaceutcal companies, have recently experienced signifcant stock price volatlity. If we face such litgaton, it could result in substantal costs and a diversion of management’s atenton and resources, which could harm our business.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 Risk Management and Strategy</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We have developed and implemented a cybersecurity risk management program intended to protect the confdentality, integrity, and availability of our critcal systems and informaton. Our cybersecurity risk management program includes a cybersecurity incident response plan.</w:t>
      </w:r>
    </w:p>
    <w:p>
      <w:pPr>
        <w:spacing w:after="0" w:line="19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We design and assess our program based on the Natonal Insttute of Standards and Technology Cybersecurity Framework, or NIST CSF. This means that we use the NIST CSF as a guide to help us identfy, assess, and manage cybersecurity risks relevant to our business. It does not, however, mean that we meet any technical standards, specifcatons, or requirements.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cybersecurity risk management program is part of our overall enterprise risk management program and shares similar governance processes and reportng channels that apply across the enterprise risk management program to fnancial, legal, compliance, and other operatonal risk areas. However, there can be no assurance that our cybersecurity risk management program and processes, including our policies, controls or procedures, will be fully implemented, complied with or efectve in protectng our systems and informaton.</w:t>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cybersecurity risk management program includes:</w:t>
      </w:r>
    </w:p>
    <w:p>
      <w:pPr>
        <w:spacing w:after="0" w:line="204" w:lineRule="exact"/>
        <w:rPr>
          <w:sz w:val="20"/>
          <w:szCs w:val="20"/>
          <w:color w:val="auto"/>
        </w:rPr>
      </w:pPr>
    </w:p>
    <w:p>
      <w:pPr>
        <w:ind w:left="900" w:right="280" w:hanging="383"/>
        <w:spacing w:after="0" w:line="235" w:lineRule="auto"/>
        <w:tabs>
          <w:tab w:leader="none" w:pos="885"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risk assessments designed to help identfy material cybersecurity risks to our critcal systems, informaton, products, services, and our broader enterprise IT environment;</w:t>
      </w:r>
    </w:p>
    <w:p>
      <w:pPr>
        <w:spacing w:after="0" w:line="177" w:lineRule="exact"/>
        <w:rPr>
          <w:rFonts w:ascii="Calibri" w:cs="Calibri" w:eastAsia="Calibri" w:hAnsi="Calibri"/>
          <w:sz w:val="18"/>
          <w:szCs w:val="18"/>
          <w:color w:val="auto"/>
        </w:rPr>
      </w:pPr>
    </w:p>
    <w:p>
      <w:pPr>
        <w:ind w:left="900" w:right="600" w:hanging="383"/>
        <w:spacing w:after="0" w:line="235" w:lineRule="auto"/>
        <w:tabs>
          <w:tab w:leader="none" w:pos="843"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an internal team responsible for, inter alia, managing (1) our cybersecurity risk assessment processes, (2) our security controls, and (3) our response to cybersecurity incidents;</w:t>
      </w:r>
    </w:p>
    <w:p>
      <w:pPr>
        <w:spacing w:after="0" w:line="177" w:lineRule="exact"/>
        <w:rPr>
          <w:rFonts w:ascii="Calibri" w:cs="Calibri" w:eastAsia="Calibri" w:hAnsi="Calibri"/>
          <w:sz w:val="18"/>
          <w:szCs w:val="18"/>
          <w:color w:val="auto"/>
        </w:rPr>
      </w:pPr>
    </w:p>
    <w:p>
      <w:pPr>
        <w:ind w:left="900" w:right="440" w:hanging="383"/>
        <w:spacing w:after="0" w:line="235" w:lineRule="auto"/>
        <w:tabs>
          <w:tab w:leader="none" w:pos="843"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the use of external service providers with subject mater expertse, where appropriate, to assess, test or otherwise assist with aspects of our security controls;</w:t>
      </w:r>
    </w:p>
    <w:p>
      <w:pPr>
        <w:spacing w:after="0" w:line="185" w:lineRule="exact"/>
        <w:rPr>
          <w:rFonts w:ascii="Calibri" w:cs="Calibri" w:eastAsia="Calibri" w:hAnsi="Calibri"/>
          <w:sz w:val="18"/>
          <w:szCs w:val="18"/>
          <w:color w:val="auto"/>
        </w:rPr>
      </w:pPr>
    </w:p>
    <w:p>
      <w:pPr>
        <w:ind w:left="840" w:hanging="323"/>
        <w:spacing w:after="0"/>
        <w:tabs>
          <w:tab w:leader="none" w:pos="8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cybersecurity awareness training of our employees, incident response personnel, and senior management;</w:t>
      </w:r>
    </w:p>
    <w:p>
      <w:pPr>
        <w:spacing w:after="0" w:line="171" w:lineRule="exact"/>
        <w:rPr>
          <w:rFonts w:ascii="Calibri" w:cs="Calibri" w:eastAsia="Calibri" w:hAnsi="Calibri"/>
          <w:sz w:val="18"/>
          <w:szCs w:val="18"/>
          <w:color w:val="auto"/>
        </w:rPr>
      </w:pPr>
    </w:p>
    <w:p>
      <w:pPr>
        <w:ind w:left="840" w:hanging="323"/>
        <w:spacing w:after="0"/>
        <w:tabs>
          <w:tab w:leader="none" w:pos="8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cybersecurity incident response plan that includes procedures for responding to cybersecurity incidents; and</w:t>
      </w:r>
    </w:p>
    <w:p>
      <w:pPr>
        <w:spacing w:after="0" w:line="171" w:lineRule="exact"/>
        <w:rPr>
          <w:rFonts w:ascii="Calibri" w:cs="Calibri" w:eastAsia="Calibri" w:hAnsi="Calibri"/>
          <w:sz w:val="18"/>
          <w:szCs w:val="18"/>
          <w:color w:val="auto"/>
        </w:rPr>
      </w:pPr>
    </w:p>
    <w:p>
      <w:pPr>
        <w:ind w:left="840" w:hanging="323"/>
        <w:spacing w:after="0"/>
        <w:tabs>
          <w:tab w:leader="none" w:pos="8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third-party risk management evaluaton process for service providers, suppliers, and vendors with access to our informaton systems or data.</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have not identfed risks from known cybersecurity threats, including as a result of any prior cybersecurity incidents, that have materially afected or are reasonably likely to materially afect us, including our operatons, business strategy, results of operatons, or fnancial conditon.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Cybersecurity Governance</w:t>
      </w:r>
    </w:p>
    <w:p>
      <w:pPr>
        <w:spacing w:after="0" w:line="177"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Our Board considers cybersecurity risk as part of its risk oversight functon and has delegated to the Audit Commitee (Commitee) oversight of cybersecurity and other informaton technology risks. The Commitee oversees management’s implementaton of our cybersecurity risk management program. The Commitee receives periodic reports from management on our cybersecurity risks. In additon, management is required to update the Commitee, as necessary, regarding any material cybersecurity incidents.</w:t>
      </w:r>
    </w:p>
    <w:p>
      <w:pPr>
        <w:spacing w:after="0" w:line="19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Commitee reports to the full Board regarding its actvites, including those related to cybersecurity. The full Board also receives briefngs from management on our cyber risk management program.</w:t>
      </w:r>
    </w:p>
    <w:p>
      <w:pPr>
        <w:spacing w:after="0" w:line="177"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Our management team, including our Chief Financial and Business Ofcer, is responsible for assessing and managing our material risks from cybersecurity threats. The team has primary responsibility for our overall cybersecurity risk management program and supervises both our internal IT personnel who in turn manage our retained external cybersecurity consultants. Our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management team’s experience includes signifcant responsibility for developing and maintaining cybersecurity risk management programs and for managing cybersecurity risks prior to joining us.</w:t>
      </w:r>
    </w:p>
    <w:p>
      <w:pPr>
        <w:spacing w:after="0" w:line="191"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Our management team supervises eforts to prevent, detect, mitgate, and remediate cybersecurity risks and incidents through various means, which may include briefngs from internal IT personnel; threat intelligence and other informaton obtained from governmental, public or private sources, including external consultants engaged by us; and alerts and reports produced by security tools deployed in our internal IT environment.</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Propertes</w:t>
      </w:r>
    </w:p>
    <w:p>
      <w:pPr>
        <w:spacing w:after="0" w:line="177"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Our corporate ofces are located in Bufalo Grove, Illinois, and Florham Park, New Jersey. We believe that our facilites are adequate to meet our current needs, and that suitable additonal alternatve spaces will be available in the future on commercially reasonable terms, if required.</w:t>
      </w:r>
    </w:p>
    <w:p>
      <w:pPr>
        <w:spacing w:after="0" w:line="22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additonal informaton, see Note 5, Lease Commitments included in Item 15 of this Annual Report on Form 10-K.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0" w:name="page111"/>
    <w:bookmarkEnd w:id="110"/>
    <w:p>
      <w:pPr>
        <w:jc w:val="center"/>
        <w:ind w:right="-39"/>
        <w:spacing w:after="0"/>
        <w:rPr>
          <w:sz w:val="20"/>
          <w:szCs w:val="20"/>
          <w:color w:val="auto"/>
        </w:rPr>
      </w:pPr>
      <w:r>
        <w:rPr>
          <w:rFonts w:ascii="Calibri" w:cs="Calibri" w:eastAsia="Calibri" w:hAnsi="Calibri"/>
          <w:sz w:val="18"/>
          <w:szCs w:val="18"/>
          <w:b w:val="1"/>
          <w:bCs w:val="1"/>
          <w:color w:val="auto"/>
        </w:rPr>
        <w:t>PART II</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common stock has been publicly traded on the Nasdaq Global Select Market under the symbol “PHAT” since our inital public ofering on October 25, 2019, which was completed at a price to the public of $19.00 per share. Prior to our inital public ofering, there was no public market for our common stock.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 of Common Stock</w:t>
      </w:r>
    </w:p>
    <w:p>
      <w:pPr>
        <w:spacing w:after="0" w:line="190"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As of March 4, 2024, there were 58,477,351 shares of our common stock outstanding held by approximately 46 holders of record of our common stock. This number was derived from our shareholder records and does not include benefcial owners of our common stock whose shares are held in the name of various dealers, clearing agencies, banks, brokers and other fduciaries.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Policy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declared or paid any cash dividends on our capital stock. We intend to retain future earnings, if any, to fnance the operaton of our business and do not antcipate paying any cash dividends in the foreseeable future. Any future determinaton related to dividend policy will be made at the discreton of our board of directors afer considering our fnancial conditon, results of operatons, capital requirements, business prospects and other factors the board of directors deems relevant, and subject to the restrictons contained in any future fnancing instruments. In additon, under the terms of our Loan Agreement, we are prohibited from paying any cash dividends without the consent of the lenders.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Securites Authorized for Issuance Under Equity Compensaton Plans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Item 12 of Part III of this annual report on Form 10-K for informaton about our equity compensaton plans which is incorporated by reference</w:t>
      </w:r>
    </w:p>
    <w:p>
      <w:pPr>
        <w:spacing w:after="0" w:line="235" w:lineRule="auto"/>
        <w:rPr>
          <w:sz w:val="20"/>
          <w:szCs w:val="20"/>
          <w:color w:val="auto"/>
        </w:rPr>
      </w:pPr>
      <w:r>
        <w:rPr>
          <w:rFonts w:ascii="Calibri" w:cs="Calibri" w:eastAsia="Calibri" w:hAnsi="Calibri"/>
          <w:sz w:val="18"/>
          <w:szCs w:val="18"/>
          <w:color w:val="auto"/>
        </w:rPr>
        <w:t>herein.</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Graph</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Proceeds from Registered Securites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Repurchases of Equity Securites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11" w:name="page112"/>
    <w:bookmarkEnd w:id="111"/>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together with our fnancial statements and related notes included elsewhere in this annual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including those set forth under “Risk Factors” or in other parts of this annual report.</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approved products, VOQUEZNA®, VOQUEZNA® TRIPLE PAK® and VOQUEZNA® DUAL PAK®, contain vonoprazan, an oral small molecule potassium-compettve acid blocker, or PCAB. PCABs are a novel class of medicines that block acid secreton in the stomach. Vonoprazan is the frst gastric ant-secretory agent from a novel class approved in the United States, Europe, or Canada in over 30 years, and has shown rapid, potent, and durable ant-secretory efects. Vonoprazan has also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infecton. Takeda Pharmaceutcal Company Limited, or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2021 we reported positve topline data from two pivotal Phase 3 clinical trials for vonoprazan: one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or PHALCON-HP, and a second for the treatment of Erosive GERD, or PHALCON-EE. These data are supplemented by the extensive existng clinical data generated by Takeda as part of its development program for vonoprazan in Japan and other markets. In September 2021, we submited two new drug applicatons, or NDAs, for combinaton packs that contain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one in combinaton with amoxicillin and clarithromycin (vonoprazan triple therapy) and the other in combinaton with amoxicillin alone (vonoprazan dual therapy). In May 2022, the U.S. Food and Drug Administraton, or FDA, approved the NDAs for vonoprazan triple therapy, under the brand name VOQUEZNA TRIPLE PAK, and vonoprazan dual therapy, under the brand name VOQUEZNA DUAL PAK. Based on our qualifed infectous disease product, or QIDP, designatons for VOQUEZNA TRIPLE PAK and VOQUEZNA DUAL PAK, we received an extension of fve years of new chemical entty, or NCE, exclusivity based on the vonoprazan component in those NDAs. We believe the extended NCE exclusivity should apply to any other approved or future products containing vonoprazan we develop and for which we obtain FDA approval.</w:t>
      </w:r>
    </w:p>
    <w:p>
      <w:pPr>
        <w:spacing w:after="0" w:line="19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While the NDAs for VOQUEZNA TRIPLE PAK and VOQUEZNA DUAL PAK were stll under review by the FDA, in March 2022, we submited an additonal NDA for vonoprazan, under the brand name VOQUEZNA, as a treatment for adults for the healing of all grades of Erosive GERD, maintenance of healing of all grades of Erosive GERD, and relief of heartburn associated with Erosive GERD. In August 2022, following approval of VOQUEZNA TRIPLE PAK and VOQUEZNA DUAL PAK but before launch, and while the NDA for VOQUEZNA for Erosive GERD was stll under review, we announced that trace levels of a nitrosamine impurity, </w:t>
      </w:r>
      <w:r>
        <w:rPr>
          <w:rFonts w:ascii="Calibri" w:cs="Calibri" w:eastAsia="Calibri" w:hAnsi="Calibri"/>
          <w:sz w:val="18"/>
          <w:szCs w:val="18"/>
          <w:i w:val="1"/>
          <w:iCs w:val="1"/>
          <w:color w:val="auto"/>
        </w:rPr>
        <w:t>N</w:t>
      </w:r>
      <w:r>
        <w:rPr>
          <w:rFonts w:ascii="Calibri" w:cs="Calibri" w:eastAsia="Calibri" w:hAnsi="Calibri"/>
          <w:sz w:val="18"/>
          <w:szCs w:val="18"/>
          <w:color w:val="auto"/>
        </w:rPr>
        <w:t xml:space="preserve">-nitroso-vonoprazan, or NVP, were present in our inital commercial drug product for VOQUEZNA TRIPLE PAK and VOQUEZNA DUAL PAK. Afer identfying this impurity, and prior to launching VOQUEZNA TRIPLE PAK and VOQUEZNA DUAL PAK, we submited supplements to our approved NDAs with the goal of addressing this issue. However, in February 2023, we received complete response leters from the FDA relatng both to our Erosive GERD NDA and to the NDA supplements for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The complete response leters formalized the FDA’s prior request that we provide additonal stability data to demonstrate that levels of NVP will remain at or below 96 ng/day, the acceptable daily intake level (AI) for NVP established by the FDA, throughout the proposed shelf life of the product. No additonal defciencies were cited by the FDA in the complete response leters. In May 2023, we resubmited our Erosive GERD NDA to the FDA, and in June 2023 we submited new prior approval supplements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On October 27 and November 1, 2023, the FDA approved the prior approval supplements to our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and our Erosive GERD NDA, respectvely. As a result, we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the fourth quarter of 2023.</w:t>
      </w:r>
    </w:p>
    <w:p>
      <w:pPr>
        <w:spacing w:after="0" w:line="18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are also contnuing to develop vonoprazan as a treatment for heartburn symptoms associated with Non-Erosive GERD. In January 2023, we reported positve topline results from PHALCON-NERD-301, a Phase 3 study evaluatng the safety and efcacy of vonoprazan for the daily treatment of adults with Non-Erosive GERD, and in August 2023, we announced successful completon of the 20-week extension period of PHALCON-NERD-301. Based on the results of this study, in September 2023, we submited an NDA</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2" w:name="page113"/>
    <w:bookmarkEnd w:id="112"/>
    <w:p>
      <w:pPr>
        <w:spacing w:after="0" w:line="14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seeking approval of vonoprazan as a once-daily treatment for heartburn symptoms associated with Non-Erosive GERD in adults. The FDA has assigned this NDA a Prescripton Drug User Fee Act, or PDUFA, target acton date of July 19, 2024, and if approved, we antcipate launching vonoprazan for this new indicaton in the third quarter of 2024. In additon, in 2024 we plan to initate a Phase 3 trial evaluatng the novel dosing regimen of vonoprazan as an "as-needed" treatment for episodic heartburn relief in patents with Non-Erosive GERD, a dosing regimen not approved in the United States for PPIs. This trial would consttute our fourth Phase 3 trial for vonoprazan. In February 2022, we reported positve topline results from PHALCON-NERD-201, a Phase 2 proof-of-concept study evaluatng this novel dosing regimen. We plan to expand the clinical development of vonoprazan in the U.S. into eosinophilic esophagits, or EoE, the most common type of eosinophilic gastrointestnal disease. Given the limited treatment optons for EoE and vonoprazan’s demonstrated potental, we believe EoE is an important indicaton for future study and expect to initate a Phase 2 trial evaluatng vonoprazan as a treatment for EoE in adult and adolescent patents later in 2024.</w:t>
      </w:r>
    </w:p>
    <w:p>
      <w:pPr>
        <w:spacing w:after="0" w:line="19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We are independently commercializing VOQUEZNA, VOQUEZNA TRIPLE PAK, and VOQUEZNA DUAL PAK in the United States. We plan to evaluate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commenced our operatons in 2018 and have devoted substantally all of our resources to date to organizing and stafng our company, business planning, raising capital, in-licensing our inital and approved product candidate, vonoprazan, meetng with regulatory authorites, conductng our Phase 3 clinical trials of vonoprazan, preparing applicatons for regulatory approval for vonoprazan and preparing our commercial launch. Our operatons to date have been funded primarily through the issuance of convertble promissory notes, commercial bank debt, the proceeds from our inital public ofering, our follow-on public ofering, our ATM ofering, and our Revenue Interest Financing Agreement. From our incepton through December 31, 2023, we have raised aggregate gross proceeds of $90.3 million from the issuance of convertble promissory notes, $140 million of debt, net proceeds from our inital public ofering of $191.5 million from the sale of 10,997,630 shares of common stock, which included the exercise in full by the underwriters of their opton to purchase 1,434,473 additonal shares at a public ofering price of $19.00 per share, afer deductng underwritng discounts, commissions and ofering costs, and net proceeds of $88.6 million from the sale of 2,250,000 shares of common stock at a public ofering price of $39.48 per share afer deductng underwritng discounts and commissions, and an additonal $0.2 million in ofering costs, net proceeds of $268.1 million from the Revenue Interest Financing Agreement, net proceeds of $38.7 million from the sale of 3,929,116 shares under the ATM Ofering and net proceeds of $141.4 million from the sale of 12,793,750 shares of common stock, which included the exercise in full by the underwriters of their opton to purchase 1,668,750 shares, at a price of $11.75 per share, afer deductng underwritng discounts and commissions. As of December 31, 2023, we had cash and cash equivalents of $381.4 million. Based on our current operatng plan, we believe that our existng cash and cash equivalents together with the drawdown of the remaining $160 million under our Loan Agreement with Hercules together with antcipated product revenues, are sufcient to fund operatons for at least the next twelve months and will be sufcient to fund our operatons through the end of 2026.</w:t>
      </w:r>
    </w:p>
    <w:p>
      <w:pPr>
        <w:spacing w:after="0" w:line="18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Since incepton, we have incurred signifcant operatng losses. Our net loss was $201.6 million and $197.7 million for the years ended December 31, 2023 and 2022, respectvely. As of December 31, 2023, we had an accumulated defcit of $928.7 million. We expect to contnue to incur operatng losses for the foreseeable future. It could be several years, if ever, before VOQUEZNA, VOQUEZNA TRIPLE PAK and VOQUEZNA DUAL PAK or other product candidates, if approved, generate signifcant revenues to ofset these operatng losses. As a result, we are uncertain when or if we will achieve proftability and, if so, whether we will be able to sustain it. The net losses we incur may fuctuate signifcantly from quarter to quarter and year to year.</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generated limited revenue to date, untl such tme as we can generate signifcant revenue from sales of our approved products containing vonoprazan,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ongoing conficts throughout the world and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On May 7, 2019, we and Takeda entered into an exclusive license, or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80"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78"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paid Takeda upfront consideraton consistng of a cash fee of $25 million, 1,084,000 shares of our common stock, a warrant to purchase 7,588,000 shares of our common stock at an exercise price of $0.00004613 per share, or the Takeda Warrant,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 million. We also agreed to make tered royalty payments at percentages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Components of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began to recognize revenue from product sales, net of rebates, chargebacks, discounts, and other adjustments, in November 2023 in conjuncton with the commercial launch of VOQUEZNA, VOQUEZNA TRIPLE PAK, and VOQUEZNA DUAL PAK in the United States.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Cost of revenue includes the cost of producing and distributng inventories that are related to product sales. This also includes royaltes payable to Takeda, pursuant to the Takeda License Agreement (Refer to Note 4 for further details). In additon, shipping and handling costs for product sales are recorded as incurred. Finally, cost of revenue may also include costs related to excess or obsolete inventory adjustment charges.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development expenses include:</w:t>
      </w:r>
    </w:p>
    <w:p>
      <w:pPr>
        <w:spacing w:after="0" w:line="204" w:lineRule="exact"/>
        <w:rPr>
          <w:sz w:val="20"/>
          <w:szCs w:val="20"/>
          <w:color w:val="auto"/>
        </w:rPr>
      </w:pPr>
    </w:p>
    <w:p>
      <w:pPr>
        <w:ind w:left="900" w:right="3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salaries, payroll taxes, employee benefts, and stock-based compensaton charges for those individuals involved in research and development eforts;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63" w:lineRule="exact"/>
        <w:rPr>
          <w:sz w:val="20"/>
          <w:szCs w:val="20"/>
          <w:color w:val="auto"/>
        </w:rPr>
      </w:pPr>
    </w:p>
    <w:p>
      <w:pPr>
        <w:ind w:left="900" w:hanging="383"/>
        <w:spacing w:after="0" w:line="235" w:lineRule="auto"/>
        <w:tabs>
          <w:tab w:leader="none" w:pos="900" w:val="left"/>
        </w:tabs>
        <w:numPr>
          <w:ilvl w:val="0"/>
          <w:numId w:val="5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external research and development expenses incurred under agreements with CROs, and consultants to conduct and support our ongoing clinical trials of vonoprazan; and</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related to the manufacturing of vonoprazan for our clinical trials.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plan to contnue to invest in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 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7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clinical development costs may vary signifcantly based on factors such as:</w:t>
      </w:r>
    </w:p>
    <w:p>
      <w:pPr>
        <w:spacing w:after="0" w:line="199"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 patent trial costs;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trials required for approval;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sites included in the trials;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countries in which the trials are conducted;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length of tme required to enroll eligible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patents that partcipate in the trials;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doses evaluated in the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drop-out or discontnuaton rates of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additonal safety monitoring requested by regulatory agencies;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duraton of patent partcipaton in the trials and follow-up;</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phase of development of the product candidate;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efcacy and safety profle of the product candidate.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Selling, general and administratve expenses consist of salaries and employee-related costs, including stock-based compensaton, for personnel in commercial, executve, fnance, accountng, legal, human resources and other administratve functons, legal fees relatng to intellectual property and corporate maters, and professional fees for accountng and consultng services. We antcipate that our general and administratve expenses will increase in the future to support our contnued research and development actvites and commercializaton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Interest income consists of interest on our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Expense</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Beginning on May 3, 2022, interest expense includes interest on the Revenue Interest Financing Agreement, which is based on the imputed efectve rate derived from expected future payments and the carrying value of the obligaton. We recalculate the efectve interest rate each period based on the current carrying value and the revised estmated future payments. Changes in future payments from previous estmates are included in current and future fnancing expense.</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Beginning on December 14, 2023, interest expense under the Hercules Loan consists of (i) cash interest at a variable annual rate equal to the greater of (a) 9.85% and (b) the Prime Rate (as reported in the Wall Street Journal) plus 1.35% and provided that the cash interest rate shall be capped at 10.35% and upon Company achieving the certain milestones, the cash interest shall be decreased by 0.35%, (ii) payment-in-kind interest at a per annum rate of interest equal to 2.15%, and (iii) amortzaton of the Hercules Loan Agreement debt discount recorded in connecton with the fair value of warrants issued to the lenders, the debt issuance costs incurred, and the obligaton to make a fnal payment.</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From September 17, 2021 through December 13, 2023, interest expense under the Hercules Loan consisted of (i) cash interest at a variable annual rate equal to the greater of (a) 5.50% and (b) the Prime Rate (as reported in the Wall Street Journal) plus 2.25% or the Interest Rate, (ii) payment-in-kind interest at a per annum rate of interest equal to 3.35%, and (iii) amortzaton of the Hercules Loan Agreement debt discount recorded in connecton with the fair value of warrants issued to the lenders, the debt issuance costs incurred, and the obligaton to make a fnal payment.</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years ended December 31, 2023 and 2022</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results of operatons for the years ended December 31, 2023 and 2022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Calibri" w:cs="Calibri" w:eastAsia="Calibri" w:hAnsi="Calibri"/>
                <w:sz w:val="18"/>
                <w:szCs w:val="18"/>
                <w:b w:val="1"/>
                <w:bCs w:val="1"/>
                <w:color w:val="auto"/>
              </w:rPr>
              <w:t>Years Ended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670"/>
              <w:spacing w:after="0" w:line="216" w:lineRule="exact"/>
              <w:rPr>
                <w:sz w:val="20"/>
                <w:szCs w:val="20"/>
                <w:color w:val="auto"/>
              </w:rPr>
            </w:pPr>
            <w:r>
              <w:rPr>
                <w:rFonts w:ascii="Calibri" w:cs="Calibri" w:eastAsia="Calibri" w:hAnsi="Calibri"/>
                <w:sz w:val="18"/>
                <w:szCs w:val="18"/>
                <w:b w:val="1"/>
                <w:bCs w:val="1"/>
                <w:color w:val="auto"/>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ind w:right="25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w w:val="93"/>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Product revenue, net</w:t>
            </w: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682</w:t>
            </w:r>
          </w:p>
        </w:tc>
        <w:tc>
          <w:tcPr>
            <w:tcW w:w="480" w:type="dxa"/>
            <w:vAlign w:val="bottom"/>
            <w:tcBorders>
              <w:bottom w:val="single" w:sz="8" w:color="CFF0FC"/>
            </w:tcBorders>
            <w:gridSpan w:val="2"/>
            <w:shd w:val="clear" w:color="auto" w:fill="CFF0FC"/>
          </w:tcPr>
          <w:p>
            <w:pPr>
              <w:jc w:val="right"/>
              <w:ind w:right="24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tcBorders>
            <w:gridSpan w:val="2"/>
            <w:shd w:val="clear" w:color="auto" w:fill="CFF0FC"/>
          </w:tcPr>
          <w:p>
            <w:pPr>
              <w:jc w:val="right"/>
              <w:ind w:right="8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682</w:t>
            </w:r>
          </w:p>
        </w:tc>
        <w:tc>
          <w:tcPr>
            <w:tcW w:w="0" w:type="dxa"/>
            <w:vAlign w:val="bottom"/>
          </w:tcPr>
          <w:p>
            <w:pPr>
              <w:spacing w:after="0"/>
              <w:rPr>
                <w:sz w:val="1"/>
                <w:szCs w:val="1"/>
                <w:color w:val="auto"/>
              </w:rPr>
            </w:pPr>
          </w:p>
        </w:tc>
      </w:tr>
      <w:tr>
        <w:trPr>
          <w:trHeight w:val="215"/>
        </w:trPr>
        <w:tc>
          <w:tcPr>
            <w:tcW w:w="5300" w:type="dxa"/>
            <w:vAlign w:val="bottom"/>
          </w:tcPr>
          <w:p>
            <w:pPr>
              <w:spacing w:after="0" w:line="215" w:lineRule="exact"/>
              <w:rPr>
                <w:sz w:val="20"/>
                <w:szCs w:val="20"/>
                <w:color w:val="auto"/>
              </w:rPr>
            </w:pPr>
            <w:r>
              <w:rPr>
                <w:rFonts w:ascii="Calibri" w:cs="Calibri" w:eastAsia="Calibri" w:hAnsi="Calibri"/>
                <w:sz w:val="18"/>
                <w:szCs w:val="18"/>
                <w:color w:val="auto"/>
              </w:rPr>
              <w:t>Cost of revenue</w:t>
            </w:r>
          </w:p>
        </w:tc>
        <w:tc>
          <w:tcPr>
            <w:tcW w:w="240" w:type="dxa"/>
            <w:vAlign w:val="bottom"/>
          </w:tcPr>
          <w:p>
            <w:pPr>
              <w:spacing w:after="0"/>
              <w:rPr>
                <w:sz w:val="18"/>
                <w:szCs w:val="18"/>
                <w:color w:val="auto"/>
              </w:rPr>
            </w:pPr>
          </w:p>
        </w:tc>
        <w:tc>
          <w:tcPr>
            <w:tcW w:w="9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167</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Gross proft</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515</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515</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Operatng expenses:</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Pr>
          <w:p>
            <w:pPr>
              <w:ind w:left="180"/>
              <w:spacing w:after="0" w:line="215" w:lineRule="exact"/>
              <w:rPr>
                <w:sz w:val="20"/>
                <w:szCs w:val="20"/>
                <w:color w:val="auto"/>
              </w:rPr>
            </w:pPr>
            <w:r>
              <w:rPr>
                <w:rFonts w:ascii="Calibri" w:cs="Calibri" w:eastAsia="Calibri" w:hAnsi="Calibri"/>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49,899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71,441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(21,542 )</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117,928</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100,999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16,929</w:t>
            </w:r>
          </w:p>
        </w:tc>
        <w:tc>
          <w:tcPr>
            <w:tcW w:w="0" w:type="dxa"/>
            <w:vAlign w:val="bottom"/>
          </w:tcPr>
          <w:p>
            <w:pPr>
              <w:spacing w:after="0"/>
              <w:rPr>
                <w:sz w:val="1"/>
                <w:szCs w:val="1"/>
                <w:color w:val="auto"/>
              </w:rPr>
            </w:pPr>
          </w:p>
        </w:tc>
      </w:tr>
      <w:tr>
        <w:trPr>
          <w:trHeight w:val="208"/>
        </w:trPr>
        <w:tc>
          <w:tcPr>
            <w:tcW w:w="53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operatng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167,827</w:t>
            </w: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172,440</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(4,613 )</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Loss from operatons</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(167,312 )</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(172,440 )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5,128</w:t>
            </w:r>
          </w:p>
        </w:tc>
        <w:tc>
          <w:tcPr>
            <w:tcW w:w="0" w:type="dxa"/>
            <w:vAlign w:val="bottom"/>
          </w:tcPr>
          <w:p>
            <w:pPr>
              <w:spacing w:after="0"/>
              <w:rPr>
                <w:sz w:val="1"/>
                <w:szCs w:val="1"/>
                <w:color w:val="auto"/>
              </w:rPr>
            </w:pPr>
          </w:p>
        </w:tc>
      </w:tr>
      <w:tr>
        <w:trPr>
          <w:trHeight w:val="208"/>
        </w:trPr>
        <w:tc>
          <w:tcPr>
            <w:tcW w:w="53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Other income (expense):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Interest income</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7,876</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2,132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5,744</w:t>
            </w:r>
          </w:p>
        </w:tc>
        <w:tc>
          <w:tcPr>
            <w:tcW w:w="0" w:type="dxa"/>
            <w:vAlign w:val="bottom"/>
          </w:tcPr>
          <w:p>
            <w:pPr>
              <w:spacing w:after="0"/>
              <w:rPr>
                <w:sz w:val="1"/>
                <w:szCs w:val="1"/>
                <w:color w:val="auto"/>
              </w:rPr>
            </w:pPr>
          </w:p>
        </w:tc>
      </w:tr>
      <w:tr>
        <w:trPr>
          <w:trHeight w:val="215"/>
        </w:trPr>
        <w:tc>
          <w:tcPr>
            <w:tcW w:w="5300" w:type="dxa"/>
            <w:vAlign w:val="bottom"/>
          </w:tcPr>
          <w:p>
            <w:pPr>
              <w:ind w:left="180"/>
              <w:spacing w:after="0" w:line="215" w:lineRule="exact"/>
              <w:rPr>
                <w:sz w:val="20"/>
                <w:szCs w:val="20"/>
                <w:color w:val="auto"/>
              </w:rPr>
            </w:pPr>
            <w:r>
              <w:rPr>
                <w:rFonts w:ascii="Calibri" w:cs="Calibri" w:eastAsia="Calibri" w:hAnsi="Calibri"/>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(41,968 )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(27,305 )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(14,663 )</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 expense</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(188 )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(78 )</w:t>
            </w:r>
          </w:p>
        </w:tc>
        <w:tc>
          <w:tcPr>
            <w:tcW w:w="0" w:type="dxa"/>
            <w:vAlign w:val="bottom"/>
          </w:tcPr>
          <w:p>
            <w:pPr>
              <w:spacing w:after="0"/>
              <w:rPr>
                <w:sz w:val="1"/>
                <w:szCs w:val="1"/>
                <w:color w:val="auto"/>
              </w:rPr>
            </w:pPr>
          </w:p>
        </w:tc>
      </w:tr>
      <w:tr>
        <w:trPr>
          <w:trHeight w:val="208"/>
        </w:trPr>
        <w:tc>
          <w:tcPr>
            <w:tcW w:w="53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other expense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(34,280 )</w:t>
            </w: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(25,283 )</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(8,997 )</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3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loss</w:t>
            </w:r>
          </w:p>
        </w:tc>
        <w:tc>
          <w:tcPr>
            <w:tcW w:w="240" w:type="dxa"/>
            <w:vAlign w:val="bottom"/>
            <w:tcBorders>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(201,592 )</w:t>
            </w:r>
          </w:p>
        </w:tc>
        <w:tc>
          <w:tcPr>
            <w:tcW w:w="480" w:type="dxa"/>
            <w:vAlign w:val="bottom"/>
            <w:tcBorders>
              <w:bottom w:val="single" w:sz="8" w:color="CFF0FC"/>
            </w:tcBorders>
            <w:gridSpan w:val="2"/>
            <w:shd w:val="clear" w:color="auto" w:fill="CFF0FC"/>
          </w:tcPr>
          <w:p>
            <w:pPr>
              <w:jc w:val="right"/>
              <w:ind w:right="24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(197,723 )</w:t>
            </w:r>
          </w:p>
        </w:tc>
        <w:tc>
          <w:tcPr>
            <w:tcW w:w="300" w:type="dxa"/>
            <w:vAlign w:val="bottom"/>
            <w:tcBorders>
              <w:bottom w:val="single" w:sz="8" w:color="CFF0FC"/>
            </w:tcBorders>
            <w:gridSpan w:val="2"/>
            <w:shd w:val="clear" w:color="auto" w:fill="CFF0FC"/>
          </w:tcPr>
          <w:p>
            <w:pPr>
              <w:jc w:val="right"/>
              <w:ind w:right="8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(3,869 )</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-1302385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-1302385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-976630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-976630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-350520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-350520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i w:val="1"/>
          <w:iCs w:val="1"/>
          <w:color w:val="auto"/>
        </w:rPr>
        <w:t xml:space="preserve">Revenue. </w:t>
      </w:r>
      <w:r>
        <w:rPr>
          <w:rFonts w:ascii="Calibri" w:cs="Calibri" w:eastAsia="Calibri" w:hAnsi="Calibri"/>
          <w:sz w:val="18"/>
          <w:szCs w:val="18"/>
          <w:color w:val="auto"/>
        </w:rPr>
        <w:t>Product revenues were $0.7 million for the year ended December 31, 2023 related to sales of VOQUEZNA which was launched in the fourth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quarter of 2023.</w:t>
      </w:r>
    </w:p>
    <w:p>
      <w:pPr>
        <w:spacing w:after="0" w:line="21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i w:val="1"/>
          <w:iCs w:val="1"/>
          <w:color w:val="auto"/>
        </w:rPr>
        <w:t xml:space="preserve">Cost of Revenue. </w:t>
      </w:r>
      <w:r>
        <w:rPr>
          <w:rFonts w:ascii="Calibri" w:cs="Calibri" w:eastAsia="Calibri" w:hAnsi="Calibri"/>
          <w:sz w:val="18"/>
          <w:szCs w:val="18"/>
          <w:color w:val="auto"/>
        </w:rPr>
        <w:t>Cost of revenue was $0.2 million for the year ended December 31, 2023. In periods prior to receiving FDA approval for VOQUEZNA,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 recognized inventory and related costs associated with the manufacture of VOQUEZNA as research and development expense and as such, the cost of goods sold and related gross margins are not necessarily indicatve of future costs of goods sold and gross margin. Therefore, the manufacturing costs related to the inventory build-up incurred before FDA approval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ind w:right="340"/>
        <w:spacing w:after="0" w:line="235" w:lineRule="auto"/>
        <w:rPr>
          <w:sz w:val="20"/>
          <w:szCs w:val="20"/>
          <w:color w:val="auto"/>
        </w:rPr>
      </w:pPr>
      <w:r>
        <w:rPr>
          <w:rFonts w:ascii="Calibri" w:cs="Calibri" w:eastAsia="Calibri" w:hAnsi="Calibri"/>
          <w:sz w:val="18"/>
          <w:szCs w:val="18"/>
          <w:color w:val="auto"/>
        </w:rPr>
        <w:t>were already expensed in a prior period and are therefore excluded from the cost of goods sold for the year ended December 31, 2023. These previously expensed costs were not material for the year ended December 31, 2023.</w:t>
      </w:r>
    </w:p>
    <w:p>
      <w:pPr>
        <w:spacing w:after="0" w:line="177"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i w:val="1"/>
          <w:iCs w:val="1"/>
          <w:color w:val="auto"/>
        </w:rPr>
        <w:t xml:space="preserve">Research and Development Expenses. </w:t>
      </w:r>
      <w:r>
        <w:rPr>
          <w:rFonts w:ascii="Calibri" w:cs="Calibri" w:eastAsia="Calibri" w:hAnsi="Calibri"/>
          <w:sz w:val="18"/>
          <w:szCs w:val="18"/>
          <w:color w:val="auto"/>
        </w:rPr>
        <w:t>Research and development expenses were $49.9 million and $71.4 million for the years ended December 31,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2023 and 2022, respectvely. The decrease of $21.5 million consisted of a reducton of $24.8 million of clinical study related expenses, $4.6 million of chemistry manufacturing and controls, or CMC, costs related to vonoprazan and $1.8 million related to consultng and other research expenses, partally ofset by increases of $7.8 million of personnel-related expenses and $1.9 million of regulatory expenses.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Selling, General and Administratve Expenses. </w:t>
      </w:r>
      <w:r>
        <w:rPr>
          <w:rFonts w:ascii="Calibri" w:cs="Calibri" w:eastAsia="Calibri" w:hAnsi="Calibri"/>
          <w:sz w:val="18"/>
          <w:szCs w:val="18"/>
          <w:color w:val="auto"/>
        </w:rPr>
        <w:t>Selling, general and administratve expenses were $117.9 million and $101.0 million for the years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December 31, 2023 and 2022, respectvely. The increase of $16.9 million was due to increases of $31.1 million in personnel-related expenses and $0.6 million of legal and other expenses, ofset by decreases of $13.3 million of professional services expenses for commercial, medical afairs and other services, $1.1 million of insurance expense and $0.4 million in consultng expense.</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i w:val="1"/>
          <w:iCs w:val="1"/>
          <w:color w:val="auto"/>
        </w:rPr>
        <w:t xml:space="preserve">Other Income (Expense). </w:t>
      </w:r>
      <w:r>
        <w:rPr>
          <w:rFonts w:ascii="Calibri" w:cs="Calibri" w:eastAsia="Calibri" w:hAnsi="Calibri"/>
          <w:sz w:val="18"/>
          <w:szCs w:val="18"/>
          <w:color w:val="auto"/>
        </w:rPr>
        <w:t>Other expense of $34.3 million for the year ended December 31, 2023 consisted of $42.0 million of interest expense under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Hercules Loan and Revenue Interest Financing Agreements, partally ofset by $7.9 million of interest income on deposits. Other expense of $25.3 million for the year ended December 31, 2022 consisted of $27.4 million of interest expense under the Hercules Loan and Revenue Interest Financing Agreements, partally ofset by $2.1 million of interest income on deposits.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have incurred net losses and negatve cash fows from operatons since our incepton and antcipate we will contnue to incur net losses for the foreseeable future. As of December 31, 2023, we had cash and cash equivalents of $381.4 million.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Loan Agreement with Hercules</w:t>
      </w:r>
    </w:p>
    <w:p>
      <w:pPr>
        <w:spacing w:after="0" w:line="177"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On September 17, 2021, or the Closing Date, we entered into a Loan and Security Agreement, as amended, the Loan Agreement, with Hercules Capital, Inc. (in such capacity, the Agent or Hercules), as administratve agent and collateral agent and as a lender and the other fnancial insttutons that from tme to tme become partes to the Loan Agreement as lenders (collectvely, the Lenders).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Loan Agreement provides for term loans in an aggregate principal amount of up to $200 million, or the Term Loan, under multple tranches. The tranches consist of (i) a frst tranche consistng of term loans in an aggregate principal amount of $100 million, all of which was funded on the Closing Date, or the First Advance, (ii) a second tranche consistng of up to an additonal $50 million, (iii) a third and fourth tranches consistng of an additonal total $50 million, which became available to us in May 2022.</w:t>
      </w:r>
    </w:p>
    <w:p>
      <w:pPr>
        <w:spacing w:after="0" w:line="219" w:lineRule="exact"/>
        <w:rPr>
          <w:sz w:val="20"/>
          <w:szCs w:val="20"/>
          <w:color w:val="auto"/>
        </w:rPr>
      </w:pPr>
    </w:p>
    <w:p>
      <w:pPr>
        <w:ind w:right="300" w:firstLine="509"/>
        <w:spacing w:after="0" w:line="258" w:lineRule="auto"/>
        <w:rPr>
          <w:sz w:val="20"/>
          <w:szCs w:val="20"/>
          <w:color w:val="auto"/>
        </w:rPr>
      </w:pPr>
      <w:r>
        <w:rPr>
          <w:rFonts w:ascii="Calibri" w:cs="Calibri" w:eastAsia="Calibri" w:hAnsi="Calibri"/>
          <w:sz w:val="17"/>
          <w:szCs w:val="17"/>
          <w:color w:val="auto"/>
        </w:rPr>
        <w:t>On September 27, 2022, we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6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color w:val="auto"/>
        </w:rPr>
        <w:t>recorded as debt discount and are being amortzed to interest expense using the efectve interest method over the remaining term of the Term Loan.</w:t>
      </w:r>
    </w:p>
    <w:p>
      <w:pPr>
        <w:spacing w:after="0" w:line="190" w:lineRule="exact"/>
        <w:rPr>
          <w:sz w:val="20"/>
          <w:szCs w:val="20"/>
          <w:color w:val="auto"/>
        </w:rPr>
      </w:pPr>
    </w:p>
    <w:p>
      <w:pPr>
        <w:ind w:right="60" w:firstLine="509"/>
        <w:spacing w:after="0" w:line="249" w:lineRule="auto"/>
        <w:rPr>
          <w:sz w:val="20"/>
          <w:szCs w:val="20"/>
          <w:color w:val="auto"/>
        </w:rPr>
      </w:pPr>
      <w:r>
        <w:rPr>
          <w:rFonts w:ascii="Calibri" w:cs="Calibri" w:eastAsia="Calibri" w:hAnsi="Calibri"/>
          <w:sz w:val="17"/>
          <w:szCs w:val="17"/>
          <w:color w:val="auto"/>
        </w:rPr>
        <w:t>On December 14, 2023, we entered into a Fourth Amendment to Loan and Security Agreement, or the Fourth Loan Amendment, with the lenders, pursuant to which, among other things, (i) increases the aggregate principal amount of the term loans from $200 million to $300 million; (ii) provides for the possibility of accessing the $200 million commitment through fve additonal tranches referred to as tranches 2 through 6, which are available subject to certain milestones and conditons: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specifed revenue milestone, through June 30, 2025, and (e) Tranche 6: $50 million available, subject to the achievement of a specifed revenue milestone, through December 31, 2025; (iii) extends the interest only period and the maturity date from October 2026 to December 2027,</w:t>
      </w:r>
    </w:p>
    <w:p>
      <w:pPr>
        <w:spacing w:after="0" w:line="5" w:lineRule="exact"/>
        <w:rPr>
          <w:sz w:val="20"/>
          <w:szCs w:val="20"/>
          <w:color w:val="auto"/>
        </w:rPr>
      </w:pPr>
    </w:p>
    <w:p>
      <w:pPr>
        <w:ind w:firstLine="8"/>
        <w:spacing w:after="0" w:line="251" w:lineRule="auto"/>
        <w:tabs>
          <w:tab w:leader="none" w:pos="266"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reduces the cash interest rate from 10.75% (foatng annual rate equal to the greater of (a) 5.50% and (b) the Prime Rate (as reported in the Wall Street Journal) plus 2.25% to 9.85% (foatng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connecton with the Fourth Loan Amendment, an amendment fee of $250,000 was paid to the Agent and was recorded as a debt discount and being amortzed to interest expense using the efectve interest method over the remaining term of the Term Loan.</w:t>
      </w:r>
    </w:p>
    <w:p>
      <w:pPr>
        <w:spacing w:after="0" w:line="170" w:lineRule="exact"/>
        <w:rPr>
          <w:sz w:val="20"/>
          <w:szCs w:val="20"/>
          <w:color w:val="auto"/>
        </w:rPr>
      </w:pPr>
    </w:p>
    <w:p>
      <w:pPr>
        <w:ind w:right="140" w:firstLine="549"/>
        <w:spacing w:after="0" w:line="235" w:lineRule="auto"/>
        <w:rPr>
          <w:sz w:val="20"/>
          <w:szCs w:val="20"/>
          <w:color w:val="auto"/>
        </w:rPr>
      </w:pPr>
      <w:r>
        <w:rPr>
          <w:rFonts w:ascii="Calibri" w:cs="Calibri" w:eastAsia="Calibri" w:hAnsi="Calibri"/>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Afer the interest-only period, the principal balance and related interest will be required to be repaid in full on the Maturity Date.</w:t>
      </w:r>
    </w:p>
    <w:p>
      <w:pPr>
        <w:spacing w:after="0" w:line="179"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In additon, we are obligated to pay a fnal payment fee of 7.50% of the original principal amount of amounts actually advanced under the Term Loan, or each a Term Loan Advance and together, the Term Loan Advances. In connecton with the Fourth Loan Amendment, the fnal payment fee was amended to be $1 million plus 3.00% of any future tranche drawdowns under the agreement, due upon fnal maturity. Additonally, the inital fnal payment fee for the frst term Loan advance was amended to become payable on October 1, 2026. As of December 31, 2023, the aggregate fnal payment fee for the frst Term Loan Advance of $7.5 million and $2.2 million for the second Term Loan Advance, and have both been recorded within other long-term liabilites.</w:t>
      </w:r>
    </w:p>
    <w:p>
      <w:pPr>
        <w:spacing w:after="0" w:line="184"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Under the Fourth Loan Amendment, we may elect to prepay all or a porton of the Term Loan Advances prior to maturity, subject to a prepayment fee of up to 1.25% of the then outstanding principal balance of the Term Loan Advances being prepaid when such prepayment occurs prior to October 1, 2026, or 0.50% if such prepayment occurs on or afer October 1, 2026. Afer repayment, no Term Loan amounts may be borrowed again.</w:t>
      </w:r>
    </w:p>
    <w:p>
      <w:pPr>
        <w:spacing w:after="0" w:line="178"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fnancial covenants. The fnancial covenants under the Fourth Loan Amendment include (i) a minimum cash covenant and (ii) a performance covenant as follows:</w:t>
      </w:r>
    </w:p>
    <w:p>
      <w:pPr>
        <w:spacing w:after="0" w:line="111" w:lineRule="exact"/>
        <w:rPr>
          <w:sz w:val="20"/>
          <w:szCs w:val="20"/>
          <w:color w:val="auto"/>
        </w:rPr>
      </w:pPr>
    </w:p>
    <w:p>
      <w:pPr>
        <w:ind w:left="1020" w:right="200" w:hanging="503"/>
        <w:spacing w:after="0" w:line="235" w:lineRule="auto"/>
        <w:tabs>
          <w:tab w:leader="none" w:pos="10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Minimum cash covenant - We must maintain a minimum cash balance of 20% of the outstanding principal balance at all tmes. The minimum cash balance may be increased to 35% or 50% under performance covenant (b) below if the performance covenants (a) or (c) are not met beginning September 30, 2024 and all tmes thereafer.</w:t>
      </w:r>
    </w:p>
    <w:p>
      <w:pPr>
        <w:spacing w:after="0" w:line="105" w:lineRule="exact"/>
        <w:rPr>
          <w:rFonts w:ascii="Calibri" w:cs="Calibri" w:eastAsia="Calibri" w:hAnsi="Calibri"/>
          <w:sz w:val="18"/>
          <w:szCs w:val="18"/>
          <w:color w:val="auto"/>
        </w:rPr>
      </w:pPr>
    </w:p>
    <w:p>
      <w:pPr>
        <w:ind w:left="1020" w:hanging="503"/>
        <w:spacing w:after="0"/>
        <w:tabs>
          <w:tab w:leader="none" w:pos="102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Performance covenant- Beginning September 30, 2024 and all tmes there afer we must satsfy any one of the following:</w:t>
      </w:r>
    </w:p>
    <w:p>
      <w:pPr>
        <w:spacing w:after="0" w:line="104" w:lineRule="exact"/>
        <w:rPr>
          <w:rFonts w:ascii="Calibri" w:cs="Calibri" w:eastAsia="Calibri" w:hAnsi="Calibri"/>
          <w:sz w:val="18"/>
          <w:szCs w:val="18"/>
          <w:color w:val="auto"/>
        </w:rPr>
      </w:pPr>
    </w:p>
    <w:p>
      <w:pPr>
        <w:ind w:left="1540" w:hanging="514"/>
        <w:spacing w:after="0"/>
        <w:tabs>
          <w:tab w:leader="none" w:pos="1540" w:val="left"/>
        </w:tabs>
        <w:numPr>
          <w:ilvl w:val="1"/>
          <w:numId w:val="55"/>
        </w:numPr>
        <w:rPr>
          <w:rFonts w:ascii="Calibri" w:cs="Calibri" w:eastAsia="Calibri" w:hAnsi="Calibri"/>
          <w:sz w:val="18"/>
          <w:szCs w:val="18"/>
          <w:color w:val="auto"/>
        </w:rPr>
      </w:pPr>
      <w:r>
        <w:rPr>
          <w:rFonts w:ascii="Calibri" w:cs="Calibri" w:eastAsia="Calibri" w:hAnsi="Calibri"/>
          <w:sz w:val="18"/>
          <w:szCs w:val="18"/>
          <w:color w:val="auto"/>
        </w:rPr>
        <w:t>Market capitalizaton exceeding $900 million;</w:t>
      </w:r>
    </w:p>
    <w:p>
      <w:pPr>
        <w:spacing w:after="0" w:line="109" w:lineRule="exact"/>
        <w:rPr>
          <w:rFonts w:ascii="Calibri" w:cs="Calibri" w:eastAsia="Calibri" w:hAnsi="Calibri"/>
          <w:sz w:val="18"/>
          <w:szCs w:val="18"/>
          <w:color w:val="auto"/>
        </w:rPr>
      </w:pPr>
    </w:p>
    <w:p>
      <w:pPr>
        <w:ind w:left="1540" w:right="240" w:hanging="514"/>
        <w:spacing w:after="0" w:line="235" w:lineRule="auto"/>
        <w:tabs>
          <w:tab w:leader="none" w:pos="1540" w:val="left"/>
        </w:tabs>
        <w:numPr>
          <w:ilvl w:val="1"/>
          <w:numId w:val="55"/>
        </w:numPr>
        <w:rPr>
          <w:rFonts w:ascii="Calibri" w:cs="Calibri" w:eastAsia="Calibri" w:hAnsi="Calibri"/>
          <w:sz w:val="18"/>
          <w:szCs w:val="18"/>
          <w:color w:val="auto"/>
        </w:rPr>
      </w:pPr>
      <w:r>
        <w:rPr>
          <w:rFonts w:ascii="Calibri" w:cs="Calibri" w:eastAsia="Calibri" w:hAnsi="Calibri"/>
          <w:sz w:val="18"/>
          <w:szCs w:val="18"/>
          <w:color w:val="auto"/>
        </w:rPr>
        <w:t>Minimum cash balance exceeding (x) outstanding principal amount of term loans, multplied by (y) (A) 50%, prior to achieving trailing three months net product revenue of greater than $35 million, and (B) 35% thereafer;</w:t>
      </w:r>
    </w:p>
    <w:p>
      <w:pPr>
        <w:spacing w:after="0" w:line="109" w:lineRule="exact"/>
        <w:rPr>
          <w:rFonts w:ascii="Calibri" w:cs="Calibri" w:eastAsia="Calibri" w:hAnsi="Calibri"/>
          <w:sz w:val="18"/>
          <w:szCs w:val="18"/>
          <w:color w:val="auto"/>
        </w:rPr>
      </w:pPr>
    </w:p>
    <w:p>
      <w:pPr>
        <w:ind w:left="1540" w:right="300" w:hanging="514"/>
        <w:spacing w:after="0" w:line="235" w:lineRule="auto"/>
        <w:tabs>
          <w:tab w:leader="none" w:pos="1540" w:val="left"/>
        </w:tabs>
        <w:numPr>
          <w:ilvl w:val="1"/>
          <w:numId w:val="55"/>
        </w:numPr>
        <w:rPr>
          <w:rFonts w:ascii="Calibri" w:cs="Calibri" w:eastAsia="Calibri" w:hAnsi="Calibri"/>
          <w:sz w:val="18"/>
          <w:szCs w:val="18"/>
          <w:color w:val="auto"/>
        </w:rPr>
      </w:pPr>
      <w:r>
        <w:rPr>
          <w:rFonts w:ascii="Calibri" w:cs="Calibri" w:eastAsia="Calibri" w:hAnsi="Calibri"/>
          <w:sz w:val="18"/>
          <w:szCs w:val="18"/>
          <w:color w:val="auto"/>
        </w:rPr>
        <w:t>Trailing three months net product revenue of at least (x) 30% of agreed upon projected net revenues for periods in the calendar year 2024 and 25% for all periods thereafer or (y) $120 million.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9" w:lineRule="exact"/>
        <w:rPr>
          <w:sz w:val="20"/>
          <w:szCs w:val="20"/>
          <w:color w:val="auto"/>
        </w:rPr>
      </w:pPr>
    </w:p>
    <w:p>
      <w:pPr>
        <w:ind w:right="340" w:firstLine="549"/>
        <w:spacing w:after="0" w:line="258" w:lineRule="auto"/>
        <w:rPr>
          <w:sz w:val="20"/>
          <w:szCs w:val="20"/>
          <w:color w:val="auto"/>
        </w:rPr>
      </w:pPr>
      <w:r>
        <w:rPr>
          <w:rFonts w:ascii="Calibri" w:cs="Calibri" w:eastAsia="Calibri" w:hAnsi="Calibri"/>
          <w:sz w:val="17"/>
          <w:szCs w:val="17"/>
          <w:color w:val="auto"/>
        </w:rPr>
        <w:t>Upon the occurrence of an event of default, subject to any specifed cure periods, all amounts owed by us may be declared immediately due and payable by Hercules, as collateral agent. As of December 31, 2023, we were in compliance with all applicable covenants under the Loan Agreement.</w:t>
      </w:r>
    </w:p>
    <w:p>
      <w:pPr>
        <w:spacing w:after="0" w:line="17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collateral for the obligatons, we granted Hercules a senior security interest in all of our right, ttle, and interest in, to and under substantally all of our property, inclusive of intellectual property.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we issued to Hercules a warrant, or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connecton with the entry into the Fourth Amendment, we eliminated the warrant agreement for all future tranches. The Warrant issued with the inital tranche was not modifed as part of this amendment. The exercise price and terms of the outstanding Warrant remain unchanged.</w:t>
      </w:r>
    </w:p>
    <w:p>
      <w:pPr>
        <w:spacing w:after="0" w:line="183" w:lineRule="exact"/>
        <w:rPr>
          <w:sz w:val="20"/>
          <w:szCs w:val="20"/>
          <w:color w:val="auto"/>
        </w:rPr>
      </w:pPr>
    </w:p>
    <w:p>
      <w:pPr>
        <w:ind w:right="600" w:firstLine="509"/>
        <w:spacing w:after="0" w:line="235" w:lineRule="auto"/>
        <w:rPr>
          <w:sz w:val="20"/>
          <w:szCs w:val="20"/>
          <w:color w:val="auto"/>
        </w:rPr>
      </w:pPr>
      <w:r>
        <w:rPr>
          <w:rFonts w:ascii="Calibri" w:cs="Calibri" w:eastAsia="Calibri" w:hAnsi="Calibri"/>
          <w:sz w:val="18"/>
          <w:szCs w:val="18"/>
          <w:color w:val="auto"/>
        </w:rPr>
        <w:t>The inital $1.3 million fair value of the Warrant, the $9.7 million fnal interest payment fees and $3.5 million of debt issuance costs have been recorded as debt discount and are being amortzed to interest expense using the efectve interest method over the term of the Term Loan.</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Agreement</w:t>
      </w:r>
    </w:p>
    <w:p>
      <w:pPr>
        <w:spacing w:after="0" w:line="177" w:lineRule="exact"/>
        <w:rPr>
          <w:sz w:val="20"/>
          <w:szCs w:val="20"/>
          <w:color w:val="auto"/>
        </w:rPr>
      </w:pPr>
    </w:p>
    <w:p>
      <w:pPr>
        <w:ind w:right="60" w:firstLine="509"/>
        <w:spacing w:after="0" w:line="250" w:lineRule="auto"/>
        <w:rPr>
          <w:sz w:val="20"/>
          <w:szCs w:val="20"/>
          <w:color w:val="auto"/>
        </w:rPr>
      </w:pPr>
      <w:r>
        <w:rPr>
          <w:rFonts w:ascii="Calibri" w:cs="Calibri" w:eastAsia="Calibri" w:hAnsi="Calibri"/>
          <w:sz w:val="17"/>
          <w:szCs w:val="17"/>
          <w:color w:val="auto"/>
        </w:rPr>
        <w:t>On May 3, 2022, we entered into a Revenue Interest Financing Agreement, or the Revenue Interest Financing Agreement, with enttes managed or advised by NovaQuest Capital Management, or NQ, Sagard Holdings Manager LP, or Sagard, and Hercules Capital, Inc., or Hercules, together with NQ and Sagard, or the Inital Investors, pursuant to which we could receive up to $260 million in funding from the Inital Investors. Under the terms of the Revenue Interest Financing Agreement, we received $100 million at the inital closing and received an additonal $160 million upon FDA approval of vonoprazan for treatment of Erosive GERD in the fourth quarter of 2023. Additonally, 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Under the terms of the Joinder Agreement, we received $15 million in additonal funding upon FDA approval of vonoprazan for Erosive GERD, or Approval Additonal Funding, in the fourth quarter of 2023 and provides for $25 million in additonal funding for achievement of a sales milestone, or Milestone Additonal Funding, and, together with the Approval Additonal Funding, or the Additonal Investor Funding. The Inital Investors waived their right of frst ofer for any Additonal Investor Funding. The total amount funded by the Inital Investors and any subsequent investors is referred to herein as the Investment Amount.</w:t>
      </w:r>
    </w:p>
    <w:p>
      <w:pPr>
        <w:spacing w:after="0" w:line="17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Inital Investors and the Additonal Investor,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194"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14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we previously paid pursuant to the agreement.</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At-the-Market-Oferings</w:t>
      </w:r>
    </w:p>
    <w:p>
      <w:pPr>
        <w:spacing w:after="0" w:line="193" w:lineRule="exact"/>
        <w:rPr>
          <w:sz w:val="20"/>
          <w:szCs w:val="20"/>
          <w:color w:val="auto"/>
        </w:rPr>
      </w:pPr>
    </w:p>
    <w:p>
      <w:pPr>
        <w:ind w:right="20" w:firstLine="509"/>
        <w:spacing w:after="0" w:line="228" w:lineRule="auto"/>
        <w:rPr>
          <w:sz w:val="20"/>
          <w:szCs w:val="20"/>
          <w:color w:val="auto"/>
        </w:rPr>
      </w:pPr>
      <w:r>
        <w:rPr>
          <w:rFonts w:ascii="Calibri" w:cs="Calibri" w:eastAsia="Calibri" w:hAnsi="Calibri"/>
          <w:sz w:val="18"/>
          <w:szCs w:val="18"/>
          <w:color w:val="auto"/>
        </w:rPr>
        <w:t>On November 10, 2020, we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Sales Agreement, with Jeferies LLC, or the Sales Agent, under which we may, from tme to tme, sell shares of our common stock having an aggregate ofering price of up to $125 million through the Sales Agent, or the 2020 ATM Ofering. Sales of our common stock made pursuant to the Sales Agreement, if any, will be made under our shelf registraton statement on Form S-3 which was fled on November 10, 2020 and declared efectve by the SEC on November 16, 2020. We are not obligated to, and we cannot provide any assurances that we will, make any sales of the shares under the Sales Agreement. The Sales Agreement may be terminated by the Sales Agent or us at any tme. The sales agreement expired on November 9, 2023 For the year ended December 31, 2022, we sold 2,414,897 shares of our common stock under the ATM Ofering for net proceeds of approximately $24.6 million afer deductng $0.8 million of issuance costs. For the year ended December 31, 2023, we sold 1,514,219 shares of our common stock under the ATM Ofering for net proceeds of approximately $14.1 million afer deductng $0.4 million of issuance costs. As of December 31, 2023, we utlized $39.9 million of the available $125 million under the 2020 ATM Ofering.</w:t>
      </w:r>
    </w:p>
    <w:p>
      <w:pPr>
        <w:spacing w:after="0" w:line="198" w:lineRule="exact"/>
        <w:rPr>
          <w:sz w:val="20"/>
          <w:szCs w:val="20"/>
          <w:color w:val="auto"/>
        </w:rPr>
      </w:pPr>
    </w:p>
    <w:p>
      <w:pPr>
        <w:ind w:firstLine="509"/>
        <w:spacing w:after="0" w:line="225" w:lineRule="auto"/>
        <w:rPr>
          <w:sz w:val="20"/>
          <w:szCs w:val="20"/>
          <w:color w:val="auto"/>
        </w:rPr>
      </w:pPr>
      <w:r>
        <w:rPr>
          <w:rFonts w:ascii="Calibri" w:cs="Calibri" w:eastAsia="Calibri" w:hAnsi="Calibri"/>
          <w:sz w:val="18"/>
          <w:szCs w:val="18"/>
          <w:color w:val="auto"/>
        </w:rPr>
        <w:t>On November 9, 2023, we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Sales Agreement, with Jeferies LLC, or the Sales Agent, under which we may, from tme to tme, sell shares of our common stock having an aggregate ofering price of up to $150 million through the Sales Agent, or the ATM Ofering. Sales of our common stock made pursuant to the Sales Agreement, if any, will be made under our shelf registraton statement on Form S-3 which was fled on November 9, 2023 and declared efectve by the SEC on November 17, 2023. We are not obligated to, and we cannot provide any assurances that we will, make any sales of the shares under the Sales Agreement. As of December 31, 2023, we utlized none of the available $150 million under the ATM Ofering.</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Underwriten Public Ofering</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On May 23, 2023, we completed an underwriten public ofering, in which we sold 12,793,750 shares of our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We incurred an additonal $0.4 million of ofering expenses in connecton with this public ofering.</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Funding Requirements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Based on our current operatng plan, we believe that our existng cash and cash equivalents together with the drawdown of the remaining $160 million under our Loan Agreement with Hercules together with antcipated product revenues, are sufcient to fund operatons for at least the next twelve months and will be sufcient to fund our operatons through the end of 2026. We expect such amounts will allow us to complete our ongoing Phase 3 clinical trial studying vonoprazan for Non-Erosive GERD (daily dosing), and commercial actvites for VOQUEZNA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Erosive GERD. However, our forecast of the period of tme through which our fnancial resources will be adequate to support our operatons is a forward-looking statement that involves risks and uncertaintes and actual results could vary materially. We have based this estmate on assumptons that may prove to be wrong, and we could deplete our capital resources sooner than we expect. Additonally, the process of testng product candidates in clinical trials is costly, and the tming of progress and expenses in these trials is uncertain.</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23" w:lineRule="exact"/>
        <w:rPr>
          <w:sz w:val="20"/>
          <w:szCs w:val="20"/>
          <w:color w:val="auto"/>
        </w:rPr>
      </w:pPr>
    </w:p>
    <w:p>
      <w:pPr>
        <w:ind w:left="1020" w:right="120" w:hanging="503"/>
        <w:spacing w:after="0" w:line="235" w:lineRule="auto"/>
        <w:tabs>
          <w:tab w:leader="none" w:pos="1020" w:val="left"/>
        </w:tabs>
        <w:numPr>
          <w:ilvl w:val="0"/>
          <w:numId w:val="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23"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0"/>
          <w:numId w:val="5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90"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vonoprazan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22"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123"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including additonal executve ofcers and clinical development personnel;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establishing or securing sales and marketng capabilites for vonoprazan or any future product candidate;</w:t>
      </w:r>
    </w:p>
    <w:p>
      <w:pPr>
        <w:spacing w:after="0" w:line="122"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23"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associated with any products or technologies that we may in-license or acquire.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 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19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$160 million under our Loan Agreement with Hercules together with antcipated product revenues, are sufcient to fund operatons for at least the next twelve months and will be sufcient to fund our operatons through the end of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a summary of the net cash fow actvity for each of the periods indicated (in thousands):</w:t>
      </w:r>
    </w:p>
    <w:p>
      <w:pPr>
        <w:spacing w:after="0" w:line="22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ind w:right="120"/>
              <w:spacing w:after="0"/>
              <w:rPr>
                <w:sz w:val="20"/>
                <w:szCs w:val="20"/>
                <w:color w:val="auto"/>
              </w:rPr>
            </w:pPr>
            <w:r>
              <w:rPr>
                <w:rFonts w:ascii="Calibri" w:cs="Calibri" w:eastAsia="Calibri" w:hAnsi="Calibri"/>
                <w:sz w:val="18"/>
                <w:szCs w:val="18"/>
                <w:b w:val="1"/>
                <w:bCs w:val="1"/>
                <w:color w:val="auto"/>
              </w:rPr>
              <w:t>Years 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ind w:right="40"/>
              <w:spacing w:after="0" w:line="216" w:lineRule="exact"/>
              <w:rPr>
                <w:sz w:val="20"/>
                <w:szCs w:val="20"/>
                <w:color w:val="auto"/>
              </w:rPr>
            </w:pPr>
            <w:r>
              <w:rPr>
                <w:rFonts w:ascii="Calibri" w:cs="Calibri" w:eastAsia="Calibri" w:hAnsi="Calibri"/>
                <w:sz w:val="18"/>
                <w:szCs w:val="18"/>
                <w:b w:val="1"/>
                <w:bCs w:val="1"/>
                <w:color w:val="auto"/>
              </w:rPr>
              <w:t>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vMerge w:val="restart"/>
          </w:tcPr>
          <w:p>
            <w:pPr>
              <w:jc w:val="right"/>
              <w:ind w:right="27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0"/>
              <w:spacing w:after="0" w:line="208"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cash provided by (used in):</w:t>
            </w: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actvites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(137,580 )</w:t>
            </w:r>
          </w:p>
        </w:tc>
        <w:tc>
          <w:tcPr>
            <w:tcW w:w="5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(146,530 )</w:t>
            </w:r>
          </w:p>
        </w:tc>
        <w:tc>
          <w:tcPr>
            <w:tcW w:w="3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8,950</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Investng actvites</w:t>
            </w:r>
          </w:p>
        </w:tc>
        <w:tc>
          <w:tcPr>
            <w:tcW w:w="3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(1,634 )</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(1,041 )</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(593 )</w:t>
            </w:r>
          </w:p>
        </w:tc>
        <w:tc>
          <w:tcPr>
            <w:tcW w:w="0" w:type="dxa"/>
            <w:vAlign w:val="bottom"/>
          </w:tcPr>
          <w:p>
            <w:pPr>
              <w:spacing w:after="0"/>
              <w:rPr>
                <w:sz w:val="1"/>
                <w:szCs w:val="1"/>
                <w:color w:val="auto"/>
              </w:rPr>
            </w:pPr>
          </w:p>
        </w:tc>
      </w:tr>
      <w:tr>
        <w:trPr>
          <w:trHeight w:val="215"/>
        </w:trPr>
        <w:tc>
          <w:tcPr>
            <w:tcW w:w="4840" w:type="dxa"/>
            <w:vAlign w:val="bottom"/>
          </w:tcPr>
          <w:p>
            <w:pPr>
              <w:ind w:left="200"/>
              <w:spacing w:after="0" w:line="215" w:lineRule="exact"/>
              <w:rPr>
                <w:sz w:val="20"/>
                <w:szCs w:val="20"/>
                <w:color w:val="auto"/>
              </w:rPr>
            </w:pPr>
            <w:r>
              <w:rPr>
                <w:rFonts w:ascii="Calibri" w:cs="Calibri" w:eastAsia="Calibri" w:hAnsi="Calibri"/>
                <w:sz w:val="18"/>
                <w:szCs w:val="18"/>
                <w:color w:val="auto"/>
              </w:rPr>
              <w:t>Financing actvites</w:t>
            </w:r>
          </w:p>
        </w:tc>
        <w:tc>
          <w:tcPr>
            <w:tcW w:w="300" w:type="dxa"/>
            <w:vAlign w:val="bottom"/>
          </w:tcPr>
          <w:p>
            <w:pPr>
              <w:spacing w:after="0"/>
              <w:rPr>
                <w:sz w:val="18"/>
                <w:szCs w:val="18"/>
                <w:color w:val="auto"/>
              </w:rPr>
            </w:pPr>
          </w:p>
        </w:tc>
        <w:tc>
          <w:tcPr>
            <w:tcW w:w="11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367,580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120,042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247,538</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increase (decrease) in cash</w:t>
            </w:r>
          </w:p>
        </w:tc>
        <w:tc>
          <w:tcPr>
            <w:tcW w:w="300" w:type="dxa"/>
            <w:vAlign w:val="bottom"/>
            <w:tcBorders>
              <w:bottom w:val="single" w:sz="8" w:color="CFF0FC"/>
            </w:tcBorders>
            <w:shd w:val="clear" w:color="auto" w:fill="CFF0FC"/>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228,366</w:t>
            </w:r>
          </w:p>
        </w:tc>
        <w:tc>
          <w:tcPr>
            <w:tcW w:w="520" w:type="dxa"/>
            <w:vAlign w:val="bottom"/>
            <w:tcBorders>
              <w:bottom w:val="single" w:sz="8" w:color="CFF0FC"/>
            </w:tcBorders>
            <w:gridSpan w:val="2"/>
            <w:shd w:val="clear" w:color="auto" w:fill="CFF0FC"/>
          </w:tcPr>
          <w:p>
            <w:pPr>
              <w:jc w:val="right"/>
              <w:ind w:right="280"/>
              <w:spacing w:after="0" w:line="208"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(27,529 )</w:t>
            </w:r>
          </w:p>
        </w:tc>
        <w:tc>
          <w:tcPr>
            <w:tcW w:w="30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255,895</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Net cash used in operatng actvites was approximately $137.6 million and $146.5 million for the years ended December 31, 2023 and 2022, respectvely. The net cash used in operatng actvites for the year ended December 31, 2023 was due to approximately $123.9 million spent on ongoing research and development and selling, general and administratve actvites and a $13.6 million net change in operatng assets and liabilites. The net change in operatng assets and liabilites primarily related to a $6.9 million increase in accounts payable and accrued expenses (including interest, operatng lease assets and liabilites, and clinical trial expenses), and a $20.5 million increase in prepaid assets and other current assets, accounts receivable, inventory, and other long-term assets, in support of our growth and commercial operatons. The net cash used in operatng actvites for the year ended December 31, 2022 was due to approximately $152.0 million spent on ongoing research and development and general and administratve actvites ofset by a $5.5 million change in operatng assets and liabilites. The net change in operatng assets and liabilites primarily related to a $7.7 million increase in accounts payable and accrued expenses in support of the growth in our operatng actvites, partally ofset by a $2.2 million increase in prepaid assets and other assets.</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90"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Net cash used in investng actvites for the years ended December 31, 2023 and 2022 was primarily due to the cash we paid for acquiring property, plant and equipment.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Net cash provided by fnancing actvites for the year ended December 31, 2023 was $367.6 million, due to $172.7 million of net proceeds from the Revenue Interest Financing Agreement, $155.6 million due to the proceeds from the sale of common stock, and $39.3 million from the issuance of debt under our Loan Agreement, as amended, with Hercules. Net cash provided by fnancing actvites for the year ended December 31, 2022 was $120.0 million, due to $95.4 million of net proceeds from the Revenue Interest Financing Agreement and $24.6 million of net proceeds from the issuance of common stock under the 2020 ATM Ofering.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May 5, 2020, we entered into a Commercial Supply Agreement with Takeda, pursuant to which Takeda will supply commercial quanttes of vonoprazan bulk drug product. We incurred $0.7 million of expenses related to the Commercial Supply Agreement during the year ended December 31, 2022. We have no remaining minimum purchase obligaton related to this agreement.</w:t>
      </w:r>
    </w:p>
    <w:p>
      <w:pPr>
        <w:spacing w:after="0" w:line="17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On December 30, 2020, we entered into a Supply and Packaging Services Agreement with Sandoz, pursuant to which Sandoz has agreed to supply commercial quanttes of amoxicillin capsules and clarithromycin tablets, to package these antbiotcs with vonoprazan, in fnished convenience packs, and to supply us with these convenience packs. The supply agreement commits us to a minimum purchase obligaton of approximately $3.2 million during the frst 24-month period following the launch of the fnal product. We have incurred $0.3 million of expenses under the agreement during the year ended December 31, 2023.</w:t>
      </w:r>
    </w:p>
    <w:p>
      <w:pPr>
        <w:spacing w:after="0" w:line="18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Additonally, on May 3, 2022, we entered into a Revenue Interest Financing Agreement, or the Revenue Interest Financing Agreement, with enttes managed or advised by NovaQuest Capital Management, or NQ, Sagard Holdings Manager LP, or Sagard, and Hercules Capital, Inc. , or Hercules, together with NQ and Sagard, the Inital Investors, and 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We received $100 million at the inital closing and an additonal $175 million in fourth quarter 2023 following FDA approval of vonoprazan for treatment of Erosive GERD, or the Investment Amount. In additon, we were eligible for $25 million in additonal funding for achievement of a sales milestone. Under the Revenue Interest Financing Agreement, the Inital Investors and Additonal Investor are enttled to receive a 10% royalty on net sales of products containing vonoprazan. The investors’ right to receive royaltes on net sales will terminate when the investors have aggregate payments equal to 200% of the Investment Amount. We have not made any payments under the Revenue Interest Financing Agreement during the years ended December 31, 2023 and 2022.</w:t>
      </w:r>
    </w:p>
    <w:p>
      <w:pPr>
        <w:spacing w:after="0" w:line="18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enter into contracts in the normal course of business for our contract research services, contract manufacturing services, professional services and other services and products for operatng purposes. These contracts generally provide for terminaton afer a notce period, and, therefore, are cancelable contracts.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revenues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95"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While our signifcant accountng policies are more fully described in Note 1 to our fnancial statements, we believe that the following accountng policies are the most critcal for fully understanding and evaluatng our fnancial conditon and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77" w:lineRule="exact"/>
        <w:rPr>
          <w:sz w:val="20"/>
          <w:szCs w:val="20"/>
          <w:color w:val="auto"/>
        </w:rPr>
      </w:pPr>
    </w:p>
    <w:p>
      <w:pPr>
        <w:ind w:right="200" w:firstLine="509"/>
        <w:spacing w:after="0" w:line="251" w:lineRule="auto"/>
        <w:rPr>
          <w:sz w:val="20"/>
          <w:szCs w:val="20"/>
          <w:color w:val="auto"/>
        </w:rPr>
      </w:pPr>
      <w:r>
        <w:rPr>
          <w:rFonts w:ascii="Calibri" w:cs="Calibri" w:eastAsia="Calibri" w:hAnsi="Calibri"/>
          <w:sz w:val="17"/>
          <w:szCs w:val="17"/>
          <w:color w:val="auto"/>
        </w:rPr>
        <w:t>Revenues from product sales are recorded at the net sales price, or transacton price, which includes estmates of variable consideraton that result from (a) invoice discounts for prompt payment and distributon service fees, (b) government and private payor rebates, chargebacks, discounts and fees, (c) product returns and (d) costs of co-pay assistance programs for patents, as well as other incentves for certain indirect customers. Reserves are established for the estmates of variable consideraton based on the amounts earned or to be claimed on the related sales. The reserves are classifed as reductons to trade receivable, net if payable to a customer or accrued expenses if payable to a third-party. Where appropriate, we utlize the expected value method to determine the appropriate amount for estmates of variable consideraton based on factors such as current contractual and statutory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requirements, specifc known market events and trends, industry data and forecasted customer buying and payment paterns. The amount of variable consideraton that is included in the transacton price may be constrained and is included in net product revenues only to the extent that it is probable that a signifcant reversal in the amount of the cumulatve revenue recognized will not occur in a future period. Actual amounts of consideraton ultmately received may difer from our estmates. If actual results vary from our estmates, we will adjust these estmates, which would afect net product revenue and earnings in the period such variances become known.</w:t>
      </w:r>
    </w:p>
    <w:p>
      <w:pPr>
        <w:spacing w:after="0" w:line="193"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We make signifcant estmates and judgments that materially afect our recogniton of net product revenue. Claims by third-party payors for rebates, chargebacks and discounts frequently are submited to us signifcantly afer the related sales, potentally resultng in adjustments in the period in which the new informaton becomes known. We will adjust our estmates based on new informaton, including informaton regarding actual rebates, chargebacks and discounts for our products, as it becomes available.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Accrued Research and Development Expenses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part of the process of preparing our fnancial statements, we are required to estmate our accrued expenses as of each balance sheet date. This process involves reviewing open contracts and purchase orders, communicatng with our personnel to identfy services that have been performed on our behalf and estmatng the level of service performed and the associated cost incurred for the service when we have not yet been invoiced or otherwise notfed of the actual cost. We make estmates of our accrued expenses as of each balance sheet date based on facts and circumstances known to us at that tme. We periodically confrm the accuracy of our estmates with the service providers and make adjustments, if necessary. The signifcant estmates in our accrued research and development expenses include the costs incurred for services performed by our vendors in connecton with research and development actvites for which we have not yet been invoiced.</w:t>
      </w:r>
    </w:p>
    <w:p>
      <w:pPr>
        <w:spacing w:after="0" w:line="195"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Our research and development actvites include estmates of the services received and eforts expended pursuant to quotes and contracts with vendors that conduct research and development on our behalf. The fnancial terms of these agreements are subject to negotaton, vary from contract to contract and may result in uneven payment fows. There may be instances in which payments made to our vendors will exceed the level of services provided and result in a prepayment of the research and development expense. In accruing service fees, we estmate the tme period over which services will be performed and the level of efort to be expended in each period. If the actual tming of the performance of services or the level of efort varies from our estmate, we adjust the accrual or prepaid expense accordingly. Advance payments for goods and services that will be used in future research and development actvites are expensed when the actvity has been performed or when the goods have been received rather than when the payment is made.</w:t>
      </w:r>
    </w:p>
    <w:p>
      <w:pPr>
        <w:spacing w:after="0" w:line="168"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Although we do not expect our estmates to be materially diferent from amounts actually incurred, if our estmates of the status and tming of services performed difer from the actual status and tming of services performed, it could result in us reportng amounts that are too high or too low in any partcular period. To date, there have been no material diferences between our estmates of such expenses and the amounts actually incurred.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have accounted for the Revenue Interest Financing Agreement as a debt instrument. Accordingly, we recognized the transacton as a debt obligaton with interest expense based on an imputed efectve rate derived from the inital carrying value of the obligaton and the expected future payments. We recalculate the efectve interest rate each period based on the current carrying value and the revised estmated future payments. Changes in future payments from previous estmates are included in the current and future fnancing expense. See Note 7 "Revenue Interest Financing Liability" for additonal details.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 We use the Black-Scholes valuaton model to determine the fair value of our stock awards. Through December 31, 2023, our stock-based compensaton expense consisted of recognized fair value related to our issuance of restricted stock awards, for which the fair value is determined based on the fair value of the underlying common stock, performance-based awards, stock optons, and ESPP awards.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Company Informaton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JOBS Act</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an emerging growth company under the Jumpstart Our Business Startups Act of 2012, or the JOBS Act, we can take advantage of an extended transiton period for complying with new or revised accountng standards. This allows an emerging growth company to delay the adopton of certain accountng standards untl those standards would otherwise apply to private companies. We have irrevocably elected not to avail ourselves of this exempton and, therefore, we will be subject to the same new or revised accountng standards as other public companies that are not emerging growth companies. We intend to rely on other exemptons provided by the JOBS Act, including without limitaton, not being required to comply with the auditor atestaton requirements of Secton 404(b) of Sarbanes-Oxley.</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will remain an emerging growth company untl the earliest of (i) the last day of the fscal year following the ffh anniversary of the consummaton of our IPO, (ii) the last day of the fscal year in which we have total annual gross revenue of at least $1.235 billion, (iii) the last day of the fscal year in which we are deemed to be a “large accelerated fler” as defned in Rule 12b-2 under the Exchange Act, which would occur if the market value of our common stock held by non-afliates exceeded $700 million as of the last business day of the second fscal quarter of such year, or (iv) the date on which we have issued more than $1 billion in non-convertble debt securites during the prior three-year period.</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177"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The informaton required by this item is included in Note 1, Organizaton, Basis of Presentaton and Summary of Signifcant Accountng Policies included in Item 15 of this annual report.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During the periods presented we did not have, nor do we currently have, any of-balance sheet arrangements as defned under SEC rules.</w:t>
      </w:r>
    </w:p>
    <w:p>
      <w:pPr>
        <w:spacing w:after="0" w:line="17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7A.</w:t>
      </w:r>
      <w:r>
        <w:rPr>
          <w:sz w:val="20"/>
          <w:szCs w:val="20"/>
          <w:color w:val="auto"/>
        </w:rPr>
        <w:tab/>
      </w:r>
      <w:r>
        <w:rPr>
          <w:rFonts w:ascii="Calibri" w:cs="Calibri" w:eastAsia="Calibri" w:hAnsi="Calibri"/>
          <w:sz w:val="17"/>
          <w:szCs w:val="17"/>
          <w:b w:val="1"/>
          <w:bCs w:val="1"/>
          <w:color w:val="auto"/>
        </w:rPr>
        <w:t>Quanttatve and Qualitatve Disclosures About Market Risk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90" w:lineRule="exact"/>
        <w:rPr>
          <w:sz w:val="20"/>
          <w:szCs w:val="20"/>
          <w:color w:val="auto"/>
        </w:rPr>
      </w:pPr>
    </w:p>
    <w:p>
      <w:pPr>
        <w:ind w:right="420" w:firstLine="509"/>
        <w:spacing w:after="0" w:line="254" w:lineRule="auto"/>
        <w:rPr>
          <w:sz w:val="20"/>
          <w:szCs w:val="20"/>
          <w:color w:val="auto"/>
        </w:rPr>
      </w:pPr>
      <w:r>
        <w:rPr>
          <w:rFonts w:ascii="Calibri" w:cs="Calibri" w:eastAsia="Calibri" w:hAnsi="Calibri"/>
          <w:sz w:val="17"/>
          <w:szCs w:val="17"/>
          <w:color w:val="auto"/>
        </w:rPr>
        <w:t>Our cash and cash equivalents consist of cash in readily available checking accounts and money market funds. As a result, the fair value of our investment portolio is relatvely insensitve to interest rate changes. Additonally, our long-term debt bears interest at a variable rate. A 10% increase or decrease in the interest rate on our long-term debt would not have a material efect on our fnancial positon, results of operatons or cash fows.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Efects of Infaton</w:t>
      </w:r>
    </w:p>
    <w:p>
      <w:pPr>
        <w:spacing w:after="0" w:line="17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Infaton generally afects us by increasing our cost of labor and research and development contract costs. We do not believe infaton has had a material efect on our results of operatons during the periods presented.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fnancial statements required pursuant to this item are incorporated by reference herein from the applicable informaton included in Item 15 of this annual report and are presented beginning on page F-1.</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Accountng and Financial Disclosure</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44"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Conclusion Regarding the Efectveness of Disclosure Controls and Procedures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annual report. Based on such evaluaton, our principal executve ofcer and principal fnancial ofcer have concluded that as of such date, our disclosure controls and procedures were efectve at the reasonable assurance level.</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Rules 13a-15(f) and 15d-15(f) of the Exchange Act). Internal control over fnancial reportng is a process designed under the supervision and with the partcipaton of our management to provide reasonable assurance regarding the reliability of fnancial reportng and the preparaton of fnancial statements for external purposes in accordance with accountng principles generally accepted in the United States of America. Management conducted an assessment of the efectveness of our internal control over fnancial reportng based on the criteria set forth by the Commitee of Sponsoring Organizatons of the Treadway Commission in Internal Control—Integrated Framework (2013 Framework). Based on this assessment, our management concluded that, as of December 31, 2023, our internal control over fnancial reportng was efectve.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Atestaton Report of the Registered Public Accountng Firm</w:t>
      </w:r>
    </w:p>
    <w:p>
      <w:pPr>
        <w:spacing w:after="0" w:line="1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This annual report does not include an atestaton report of our registered public accountng frm due to an exempton provided by the JOBS Act for “emerging growth companies.”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the quarter ended December 31, 2023, we implemented processes and internal controls to record product revenue, cost of product revenues, accounts receivable, and inventory as a result of the FDA approval and the U.S commercial launch of VOQUEZNA, VOQUEZNA TRIPLE PAK, and VOQUEZNA DUAL PAK. The implementaton of these processes resulted in material changes to our internal controls over fnancial reportng. There were no other changes in our internal control over fnancial reportng (as defned in Rules 13a-15(f) and 15d-15(f) under the Exchange Act), identfed in connecton with the evaluaton of such internal control that occurred during the fourth quarter ended December 31, 2023 that have materially afected, or are reasonably likely to materially afect, our internal control over fnancial reportng.</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Informaton</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 that Prevent Inspecton</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90" w:lineRule="exact"/>
        <w:rPr>
          <w:sz w:val="20"/>
          <w:szCs w:val="20"/>
          <w:color w:val="auto"/>
        </w:rPr>
      </w:pPr>
    </w:p>
    <w:p>
      <w:pPr>
        <w:ind w:right="140" w:firstLine="509"/>
        <w:spacing w:after="0" w:line="254" w:lineRule="auto"/>
        <w:rPr>
          <w:sz w:val="20"/>
          <w:szCs w:val="20"/>
          <w:color w:val="auto"/>
        </w:rPr>
      </w:pPr>
      <w:r>
        <w:rPr>
          <w:rFonts w:ascii="Calibri" w:cs="Calibri" w:eastAsia="Calibri" w:hAnsi="Calibri"/>
          <w:sz w:val="17"/>
          <w:szCs w:val="17"/>
          <w:color w:val="auto"/>
        </w:rPr>
        <w:t>The informaton required by this item will be contained in our Defnitve Proxy Statement to be fled with the SEC in connecton with our 2024 Annual Meetng of Stockholders, or the Defnitve Proxy Statement, which is expected to be fled not later than 120 days afer the end of our fscal year ended December 31, 2023, under the headings “Electon of Directors,” “Executve Ofcers,” and “Corporate Governance,” and is incorporated herein by reference.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Conduct and Ethics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adopted a Code of Conduct and Ethics that applies to our ofcers, directors and employees, which is available on our website at www.phathompharma.com. The Code of Conduct and Ethics contains general guidelines for conductng the business of our company consistent with the highest standards of business ethics and is intended to qualify as a “code of ethics” within the meaning of Secton 406 of the Sarbanes-Oxley Act of 2002 and Item 406 of Regulaton S-K. In additon, we intend to promptly disclose (1) the nature of any amendment to our Code of Business Conduct and Ethics that applies to our principal executve ofcer, principal fnancial ofcer, principal accountng ofcer or controller or persons performing similar functons and (2) the nature of any waiver, including an implicit waiver, from a provision of our code of ethics that is granted to one of these specifed ofcers, the name of such person who is granted the waiver and the date of the waiver on our website in the future.</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Executive Compensaton</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“Executve Compensaton and Other Informaton”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“Security Ownership of Certain Benefcial Owners and Management” in our Defnitve Proxy Statement and is incorporated herein by reference.</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informaton required by Item 201(d) of Regulaton S-K will be set forth in the secton headed “Executve Compensaton and Other Informaton”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90"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“Certain Relatonships and Related Person Transactons,” “Director Independence” and “Board Commitees and Independence”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“Independent Registered Public Accountng Firm's Fees” in our Defnitve Proxy Statement and is incorporated herein by reference.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center"/>
        <w:ind w:right="-159"/>
        <w:spacing w:after="0"/>
        <w:rPr>
          <w:sz w:val="20"/>
          <w:szCs w:val="20"/>
          <w:color w:val="auto"/>
        </w:rPr>
      </w:pPr>
      <w:r>
        <w:rPr>
          <w:rFonts w:ascii="Calibri" w:cs="Calibri" w:eastAsia="Calibri" w:hAnsi="Calibri"/>
          <w:sz w:val="18"/>
          <w:szCs w:val="18"/>
          <w:b w:val="1"/>
          <w:bCs w:val="1"/>
          <w:color w:val="auto"/>
        </w:rPr>
        <w:t>PART IV</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Financial Statement Schedules</w:t>
      </w:r>
    </w:p>
    <w:p>
      <w:pPr>
        <w:spacing w:after="0" w:line="104" w:lineRule="exact"/>
        <w:rPr>
          <w:sz w:val="20"/>
          <w:szCs w:val="20"/>
          <w:color w:val="auto"/>
        </w:rPr>
      </w:pPr>
    </w:p>
    <w:p>
      <w:pPr>
        <w:ind w:left="520" w:hanging="512"/>
        <w:spacing w:after="0"/>
        <w:tabs>
          <w:tab w:leader="none" w:pos="520" w:val="left"/>
        </w:tabs>
        <w:numPr>
          <w:ilvl w:val="0"/>
          <w:numId w:val="5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All fnancial statements.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fnancial statements of Phathom Pharmaceutcals, Inc., together with the report thereon of Ernst &amp; Young LLP, an independent registered public accountng frm, are included in this annual report on Form 10-K beginning on page F-1.</w:t>
      </w:r>
    </w:p>
    <w:p>
      <w:pPr>
        <w:spacing w:after="0" w:line="172" w:lineRule="exact"/>
        <w:rPr>
          <w:sz w:val="20"/>
          <w:szCs w:val="20"/>
          <w:color w:val="auto"/>
        </w:rPr>
      </w:pPr>
    </w:p>
    <w:p>
      <w:pPr>
        <w:ind w:left="520" w:hanging="512"/>
        <w:spacing w:after="0"/>
        <w:tabs>
          <w:tab w:leader="none" w:pos="520" w:val="left"/>
        </w:tabs>
        <w:numPr>
          <w:ilvl w:val="0"/>
          <w:numId w:val="5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Financial statement schedules.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schedules have been omited because the informaton required to be set forth therein is not applicable or is shown in the fnancial statements or notes thereto.</w:t>
      </w:r>
    </w:p>
    <w:p>
      <w:pPr>
        <w:spacing w:after="0" w:line="186" w:lineRule="exact"/>
        <w:rPr>
          <w:sz w:val="20"/>
          <w:szCs w:val="20"/>
          <w:color w:val="auto"/>
        </w:rPr>
      </w:pPr>
    </w:p>
    <w:p>
      <w:pPr>
        <w:ind w:left="520" w:hanging="512"/>
        <w:spacing w:after="0"/>
        <w:tabs>
          <w:tab w:leader="none" w:pos="520" w:val="left"/>
        </w:tabs>
        <w:numPr>
          <w:ilvl w:val="0"/>
          <w:numId w:val="6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Exhibits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 list of exhibits is set forth on the Exhibit Index immediately preceding the signature page of this annual report on Form 10-K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bookmarkStart w:id="128" w:name="page129"/>
    <w:bookmarkEnd w:id="128"/>
    <w:p>
      <w:pPr>
        <w:ind w:left="4460"/>
        <w:spacing w:after="0"/>
        <w:rPr>
          <w:sz w:val="20"/>
          <w:szCs w:val="20"/>
          <w:color w:val="auto"/>
        </w:rPr>
      </w:pPr>
      <w:r>
        <w:rPr>
          <w:rFonts w:ascii="Calibri" w:cs="Calibri" w:eastAsia="Calibri" w:hAnsi="Calibri"/>
          <w:sz w:val="18"/>
          <w:szCs w:val="18"/>
          <w:b w:val="1"/>
          <w:bCs w:val="1"/>
          <w:color w:val="auto"/>
        </w:rPr>
        <w:t>Phathom Pharmaceutcals, Inc.</w:t>
      </w:r>
    </w:p>
    <w:p>
      <w:pPr>
        <w:spacing w:after="0" w:line="104" w:lineRule="exact"/>
        <w:rPr>
          <w:sz w:val="20"/>
          <w:szCs w:val="20"/>
          <w:color w:val="auto"/>
        </w:rPr>
      </w:pPr>
    </w:p>
    <w:p>
      <w:pPr>
        <w:ind w:left="4520"/>
        <w:spacing w:after="0"/>
        <w:rPr>
          <w:sz w:val="20"/>
          <w:szCs w:val="20"/>
          <w:color w:val="auto"/>
        </w:rPr>
      </w:pPr>
      <w:r>
        <w:rPr>
          <w:rFonts w:ascii="Calibri" w:cs="Calibri" w:eastAsia="Calibri" w:hAnsi="Calibri"/>
          <w:sz w:val="18"/>
          <w:szCs w:val="18"/>
          <w:b w:val="1"/>
          <w:bCs w:val="1"/>
          <w:color w:val="auto"/>
        </w:rPr>
        <w:t>Index to Financial Statements</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alibri" w:cs="Calibri" w:eastAsia="Calibri" w:hAnsi="Calibri"/>
                <w:sz w:val="14"/>
                <w:szCs w:val="14"/>
                <w:b w:val="1"/>
                <w:bCs w:val="1"/>
                <w:color w:val="auto"/>
              </w:rPr>
              <w:t>Page</w:t>
            </w:r>
          </w:p>
        </w:tc>
      </w:tr>
      <w:tr>
        <w:trPr>
          <w:trHeight w:val="33"/>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000000"/>
              </w:rPr>
              <w:t>(PCAOB ID: 42)</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F-2</w:t>
            </w:r>
          </w:p>
        </w:tc>
      </w:tr>
      <w:tr>
        <w:trPr>
          <w:trHeight w:val="20"/>
        </w:trPr>
        <w:tc>
          <w:tcPr>
            <w:tcW w:w="1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Balance Sheets</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F-3</w:t>
            </w:r>
          </w:p>
        </w:tc>
      </w:tr>
      <w:tr>
        <w:trPr>
          <w:trHeight w:val="20"/>
        </w:trPr>
        <w:tc>
          <w:tcPr>
            <w:tcW w:w="1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Statements of Operatons and Comprehensive Loss</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F-4</w:t>
            </w:r>
          </w:p>
        </w:tc>
      </w:tr>
      <w:tr>
        <w:trPr>
          <w:trHeight w:val="20"/>
        </w:trPr>
        <w:tc>
          <w:tcPr>
            <w:tcW w:w="1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Statements of Stockholders’ Equity (Defcit)</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F-5</w:t>
            </w:r>
          </w:p>
        </w:tc>
      </w:tr>
      <w:tr>
        <w:trPr>
          <w:trHeight w:val="20"/>
        </w:trPr>
        <w:tc>
          <w:tcPr>
            <w:tcW w:w="1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Statements of Cash Flows</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F-6</w:t>
            </w:r>
          </w:p>
        </w:tc>
      </w:tr>
      <w:tr>
        <w:trPr>
          <w:trHeight w:val="20"/>
        </w:trPr>
        <w:tc>
          <w:tcPr>
            <w:tcW w:w="1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Calibri" w:cs="Calibri" w:eastAsia="Calibri" w:hAnsi="Calibri"/>
                <w:sz w:val="18"/>
                <w:szCs w:val="18"/>
                <w:color w:val="0000FF"/>
              </w:rPr>
              <w:t>Notes to Financial Statements</w:t>
            </w: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F-7</w:t>
            </w:r>
          </w:p>
        </w:tc>
      </w:tr>
      <w:tr>
        <w:trPr>
          <w:trHeight w:val="20"/>
        </w:trPr>
        <w:tc>
          <w:tcPr>
            <w:tcW w:w="1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129" w:name="page130"/>
    <w:bookmarkEnd w:id="129"/>
    <w:p>
      <w:pPr>
        <w:jc w:val="center"/>
        <w:ind w:right="40"/>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Phathom Pharmaceutcals,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have audited the accompanying balance sheets of Phathom Pharmaceutcals, Inc. (the Company) as of December 31, 2023 and 2022, the related statements of operatons and comprehensive loss, stockholders' equity (defcit) and cash fows for each of the two years in the period ended December 31, 2023, and the related notes (collectvely referred to as the “fnancial statements”). In our opinion, the fnancial statements present fairly, in all material respects, the fnancial positon of the Company at December 31, 2023 and 2022, and the results of its operatons and its cash fows for each of the two years in the period ended December 31, 2023, in conformity with U.S. generally accepted accountng principles.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We conducted our audits in accordance with the standards of the PCAOB. Those standards require that we plan and perform the audit to obtain reasonable assurance about whether the fnancial statements are free of material misstatement, whether due to error or fraud. </w:t>
      </w:r>
      <w:r>
        <w:rPr>
          <w:rFonts w:ascii="Calibri" w:cs="Calibri" w:eastAsia="Calibri" w:hAnsi="Calibri"/>
          <w:sz w:val="18"/>
          <w:szCs w:val="18"/>
          <w:color w:val="030303"/>
        </w:rPr>
        <w:t>The Company is not required to have, nor</w:t>
      </w:r>
      <w:r>
        <w:rPr>
          <w:rFonts w:ascii="Calibri" w:cs="Calibri" w:eastAsia="Calibri" w:hAnsi="Calibri"/>
          <w:sz w:val="18"/>
          <w:szCs w:val="18"/>
          <w:color w:val="auto"/>
        </w:rPr>
        <w:t xml:space="preserve"> </w:t>
      </w:r>
      <w:r>
        <w:rPr>
          <w:rFonts w:ascii="Calibri" w:cs="Calibri" w:eastAsia="Calibri" w:hAnsi="Calibri"/>
          <w:sz w:val="18"/>
          <w:szCs w:val="18"/>
          <w:color w:val="030303"/>
        </w:rPr>
        <w:t>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w:t>
      </w:r>
    </w:p>
    <w:p>
      <w:pPr>
        <w:spacing w:after="0" w:line="220" w:lineRule="exact"/>
        <w:rPr>
          <w:sz w:val="20"/>
          <w:szCs w:val="20"/>
          <w:color w:val="auto"/>
        </w:rPr>
      </w:pPr>
    </w:p>
    <w:p>
      <w:pPr>
        <w:ind w:right="180"/>
        <w:spacing w:after="0" w:line="252" w:lineRule="auto"/>
        <w:rPr>
          <w:sz w:val="20"/>
          <w:szCs w:val="20"/>
          <w:color w:val="auto"/>
        </w:rPr>
      </w:pPr>
      <w:r>
        <w:rPr>
          <w:rFonts w:ascii="Calibri" w:cs="Calibri" w:eastAsia="Calibri" w:hAnsi="Calibri"/>
          <w:sz w:val="17"/>
          <w:szCs w:val="17"/>
          <w:color w:val="auto"/>
        </w:rPr>
        <w:t>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35" w:lineRule="auto"/>
        <w:rPr>
          <w:sz w:val="20"/>
          <w:szCs w:val="20"/>
          <w:color w:val="auto"/>
        </w:rPr>
      </w:pPr>
      <w:r>
        <w:rPr>
          <w:rFonts w:ascii="Calibri" w:cs="Calibri" w:eastAsia="Calibri" w:hAnsi="Calibri"/>
          <w:sz w:val="18"/>
          <w:szCs w:val="18"/>
          <w:color w:val="auto"/>
        </w:rPr>
        <w:t>We have served as the Company’s auditor since 2019.</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Iselin, New Jersey</w:t>
      </w:r>
    </w:p>
    <w:p>
      <w:pPr>
        <w:spacing w:after="0" w:line="235" w:lineRule="auto"/>
        <w:rPr>
          <w:sz w:val="20"/>
          <w:szCs w:val="20"/>
          <w:color w:val="auto"/>
        </w:rPr>
      </w:pPr>
      <w:r>
        <w:rPr>
          <w:rFonts w:ascii="Calibri" w:cs="Calibri" w:eastAsia="Calibri" w:hAnsi="Calibri"/>
          <w:sz w:val="18"/>
          <w:szCs w:val="18"/>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jc w:val="center"/>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par value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Calibri" w:cs="Calibri" w:eastAsia="Calibri" w:hAnsi="Calibri"/>
                <w:sz w:val="18"/>
                <w:szCs w:val="18"/>
                <w:b w:val="1"/>
                <w:bCs w:val="1"/>
                <w:color w:val="auto"/>
              </w:rPr>
              <w:t>December 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2022</w:t>
            </w:r>
          </w:p>
        </w:tc>
      </w:tr>
      <w:tr>
        <w:trPr>
          <w:trHeight w:val="37"/>
        </w:trPr>
        <w:tc>
          <w:tcPr>
            <w:tcW w:w="78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7"/>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381,393</w:t>
            </w:r>
          </w:p>
        </w:tc>
        <w:tc>
          <w:tcPr>
            <w:tcW w:w="34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155,385</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13,194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5,127</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receivable, net</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1,637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397,432</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160,512</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2,146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1,207</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1,475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2,287</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Restricted cash</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505</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Inventory, noncurrent</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8,234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299</w:t>
            </w:r>
          </w:p>
        </w:tc>
      </w:tr>
      <w:tr>
        <w:trPr>
          <w:trHeight w:val="28"/>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2"/>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413,842</w:t>
            </w:r>
          </w:p>
        </w:tc>
        <w:tc>
          <w:tcPr>
            <w:tcW w:w="340" w:type="dxa"/>
            <w:vAlign w:val="bottom"/>
            <w:tcBorders>
              <w:bottom w:val="single" w:sz="8" w:color="CFF0FC"/>
            </w:tcBorders>
            <w:gridSpan w:val="2"/>
            <w:shd w:val="clear" w:color="auto" w:fill="CFF0FC"/>
          </w:tcPr>
          <w:p>
            <w:pPr>
              <w:jc w:val="right"/>
              <w:ind w:right="60"/>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164,810</w:t>
            </w:r>
          </w:p>
        </w:tc>
      </w:tr>
      <w:tr>
        <w:trPr>
          <w:trHeight w:val="195"/>
        </w:trPr>
        <w:tc>
          <w:tcPr>
            <w:tcW w:w="786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b w:val="1"/>
                <w:bCs w:val="1"/>
                <w:color w:val="auto"/>
              </w:rPr>
              <w:t>Liabilites and Stockholders’ Defcit</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 (including related party amounts of $25 and $35, respectvely)</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12,601</w:t>
            </w:r>
          </w:p>
        </w:tc>
        <w:tc>
          <w:tcPr>
            <w:tcW w:w="3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9,997</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Accrued expenses (including related party amounts of $2,694 and $2,499, respectvely)</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17,197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14,678</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interest</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854</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726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708</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Current porton of revenue interest fnancing liability</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current liabilites</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38,781</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26,237</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net of discount</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137,842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95,264</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Revenue interest fnancing liability</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299,816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109,525</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1,098</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7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long-term liabilites</w:t>
            </w:r>
          </w:p>
        </w:tc>
        <w:tc>
          <w:tcPr>
            <w:tcW w:w="1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9,700</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7,500</w:t>
            </w:r>
          </w:p>
        </w:tc>
      </w:tr>
      <w:tr>
        <w:trPr>
          <w:trHeight w:val="208"/>
        </w:trPr>
        <w:tc>
          <w:tcPr>
            <w:tcW w:w="78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liabilites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486,601</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239,624</w:t>
            </w:r>
          </w:p>
        </w:tc>
      </w:tr>
      <w:tr>
        <w:trPr>
          <w:trHeight w:val="28"/>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Commitments and contngencies (Note 4)</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defcit: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786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Preferred stock, $0.0001 par value; authorized shares — 40,000,000 at December 31, 2023 and</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2"/>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December 31, 2022; no shares issued and outstanding at December 31, 2023 and December 31, 2022</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7"/>
        </w:trPr>
        <w:tc>
          <w:tcPr>
            <w:tcW w:w="7860" w:type="dxa"/>
            <w:vAlign w:val="bottom"/>
          </w:tcPr>
          <w:p>
            <w:pPr>
              <w:ind w:left="200"/>
              <w:spacing w:after="0" w:line="207" w:lineRule="exact"/>
              <w:rPr>
                <w:sz w:val="20"/>
                <w:szCs w:val="20"/>
                <w:color w:val="auto"/>
              </w:rPr>
            </w:pPr>
            <w:r>
              <w:rPr>
                <w:rFonts w:ascii="Calibri" w:cs="Calibri" w:eastAsia="Calibri" w:hAnsi="Calibri"/>
                <w:sz w:val="18"/>
                <w:szCs w:val="18"/>
                <w:color w:val="auto"/>
              </w:rPr>
              <w:t>Common stock, $0.0001 par value; authorized shares — 400,000,000 at December 31, 2023 and</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December 31, 2022; issued shares — 57,970,044 and 41,723,308 at December 31, 2023 and December</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860" w:type="dxa"/>
            <w:vAlign w:val="bottom"/>
          </w:tcPr>
          <w:p>
            <w:pPr>
              <w:ind w:left="200"/>
              <w:spacing w:after="0" w:line="216" w:lineRule="exact"/>
              <w:rPr>
                <w:sz w:val="20"/>
                <w:szCs w:val="20"/>
                <w:color w:val="auto"/>
              </w:rPr>
            </w:pPr>
            <w:r>
              <w:rPr>
                <w:rFonts w:ascii="Calibri" w:cs="Calibri" w:eastAsia="Calibri" w:hAnsi="Calibri"/>
                <w:sz w:val="18"/>
                <w:szCs w:val="18"/>
                <w:color w:val="auto"/>
              </w:rPr>
              <w:t>31, 2022, respectvely; outstanding shares — 57,970,044 and 41,468,871 at December 31, 2023 and</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860" w:type="dxa"/>
            <w:vAlign w:val="bottom"/>
          </w:tcPr>
          <w:p>
            <w:pPr>
              <w:ind w:left="200"/>
              <w:spacing w:after="0" w:line="216" w:lineRule="exact"/>
              <w:rPr>
                <w:sz w:val="20"/>
                <w:szCs w:val="20"/>
                <w:color w:val="auto"/>
              </w:rPr>
            </w:pPr>
            <w:r>
              <w:rPr>
                <w:rFonts w:ascii="Calibri" w:cs="Calibri" w:eastAsia="Calibri" w:hAnsi="Calibri"/>
                <w:sz w:val="18"/>
                <w:szCs w:val="18"/>
                <w:color w:val="auto"/>
              </w:rPr>
              <w:t>December 31, 2022, respectvely</w:t>
            </w:r>
          </w:p>
        </w:tc>
        <w:tc>
          <w:tcPr>
            <w:tcW w:w="180" w:type="dxa"/>
            <w:vAlign w:val="bottom"/>
          </w:tcPr>
          <w:p>
            <w:pPr>
              <w:spacing w:after="0"/>
              <w:rPr>
                <w:sz w:val="18"/>
                <w:szCs w:val="18"/>
                <w:color w:val="auto"/>
              </w:rPr>
            </w:pPr>
          </w:p>
        </w:tc>
        <w:tc>
          <w:tcPr>
            <w:tcW w:w="14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3</w:t>
            </w:r>
          </w:p>
        </w:tc>
      </w:tr>
      <w:tr>
        <w:trPr>
          <w:trHeight w:val="37"/>
        </w:trPr>
        <w:tc>
          <w:tcPr>
            <w:tcW w:w="7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Treasury stock — 19 shares at December 31, 2023 and December 31, 2022</w:t>
            </w:r>
          </w:p>
        </w:tc>
        <w:tc>
          <w:tcPr>
            <w:tcW w:w="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18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855,921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652,276</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8"/>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Accumulated defcit</w:t>
            </w:r>
          </w:p>
        </w:tc>
        <w:tc>
          <w:tcPr>
            <w:tcW w:w="1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(928,685 )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(727,093 )</w:t>
            </w:r>
          </w:p>
        </w:tc>
      </w:tr>
      <w:tr>
        <w:trPr>
          <w:trHeight w:val="208"/>
        </w:trPr>
        <w:tc>
          <w:tcPr>
            <w:tcW w:w="78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stockholders’ defcit</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(72,759 )</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(74,814 )</w:t>
            </w:r>
          </w:p>
        </w:tc>
      </w:tr>
      <w:tr>
        <w:trPr>
          <w:trHeight w:val="28"/>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1"/>
        </w:trPr>
        <w:tc>
          <w:tcPr>
            <w:tcW w:w="78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defcit</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413,842</w:t>
            </w:r>
          </w:p>
        </w:tc>
        <w:tc>
          <w:tcPr>
            <w:tcW w:w="340" w:type="dxa"/>
            <w:vAlign w:val="bottom"/>
            <w:tcBorders>
              <w:bottom w:val="single" w:sz="8" w:color="CFF0FC"/>
            </w:tcBorders>
            <w:gridSpan w:val="2"/>
            <w:shd w:val="clear" w:color="auto" w:fill="CFF0FC"/>
          </w:tcPr>
          <w:p>
            <w:pPr>
              <w:jc w:val="right"/>
              <w:ind w:right="60"/>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164,810</w:t>
            </w: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-4036695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-4019550</wp:posOffset>
            </wp:positionV>
            <wp:extent cx="1028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-2150745</wp:posOffset>
            </wp:positionV>
            <wp:extent cx="102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ind w:left="3760"/>
        <w:spacing w:after="0" w:line="235" w:lineRule="auto"/>
        <w:rPr>
          <w:sz w:val="20"/>
          <w:szCs w:val="20"/>
          <w:color w:val="auto"/>
        </w:rPr>
      </w:pPr>
      <w:r>
        <w:rPr>
          <w:rFonts w:ascii="Calibri" w:cs="Calibri" w:eastAsia="Calibri" w:hAnsi="Calibri"/>
          <w:sz w:val="18"/>
          <w:szCs w:val="18"/>
          <w:b w:val="1"/>
          <w:bCs w:val="1"/>
          <w:color w:val="auto"/>
        </w:rPr>
        <w:t>Statements of Operatons and Comprehensive Loss</w:t>
      </w:r>
    </w:p>
    <w:p>
      <w:pPr>
        <w:ind w:left="3740"/>
        <w:spacing w:after="0" w:line="236" w:lineRule="auto"/>
        <w:rPr>
          <w:sz w:val="20"/>
          <w:szCs w:val="20"/>
          <w:color w:val="auto"/>
        </w:rPr>
      </w:pPr>
      <w:r>
        <w:rPr>
          <w:rFonts w:ascii="Calibri" w:cs="Calibri" w:eastAsia="Calibri" w:hAnsi="Calibri"/>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3"/>
          </w:tcPr>
          <w:p>
            <w:pPr>
              <w:jc w:val="right"/>
              <w:ind w:right="90"/>
              <w:spacing w:after="0"/>
              <w:rPr>
                <w:sz w:val="20"/>
                <w:szCs w:val="20"/>
                <w:color w:val="auto"/>
              </w:rPr>
            </w:pPr>
            <w:r>
              <w:rPr>
                <w:rFonts w:ascii="Calibri" w:cs="Calibri" w:eastAsia="Calibri" w:hAnsi="Calibri"/>
                <w:sz w:val="18"/>
                <w:szCs w:val="18"/>
                <w:b w:val="1"/>
                <w:bCs w:val="1"/>
                <w:color w:val="auto"/>
              </w:rPr>
              <w:t>Years Ended</w:t>
            </w:r>
          </w:p>
        </w:tc>
        <w:tc>
          <w:tcPr>
            <w:tcW w:w="1180" w:type="dxa"/>
            <w:vAlign w:val="bottom"/>
          </w:tcPr>
          <w:p>
            <w:pPr>
              <w:spacing w:after="0"/>
              <w:rPr>
                <w:sz w:val="19"/>
                <w:szCs w:val="19"/>
                <w:color w:val="auto"/>
              </w:rPr>
            </w:pPr>
          </w:p>
        </w:tc>
      </w:t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December 31,</w:t>
            </w:r>
          </w:p>
        </w:tc>
        <w:tc>
          <w:tcPr>
            <w:tcW w:w="1180" w:type="dxa"/>
            <w:vAlign w:val="bottom"/>
          </w:tcPr>
          <w:p>
            <w:pPr>
              <w:spacing w:after="0"/>
              <w:rPr>
                <w:sz w:val="18"/>
                <w:szCs w:val="18"/>
                <w:color w:val="auto"/>
              </w:rPr>
            </w:pPr>
          </w:p>
        </w:tc>
      </w:tr>
      <w:tr>
        <w:trPr>
          <w:trHeight w:val="37"/>
        </w:trPr>
        <w:tc>
          <w:tcPr>
            <w:tcW w:w="7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8"/>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10"/>
              <w:spacing w:after="0" w:line="208"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610"/>
              <w:spacing w:after="0" w:line="208" w:lineRule="exact"/>
              <w:rPr>
                <w:sz w:val="20"/>
                <w:szCs w:val="20"/>
                <w:color w:val="auto"/>
              </w:rPr>
            </w:pPr>
            <w:r>
              <w:rPr>
                <w:rFonts w:ascii="Calibri" w:cs="Calibri" w:eastAsia="Calibri" w:hAnsi="Calibri"/>
                <w:sz w:val="18"/>
                <w:szCs w:val="18"/>
                <w:b w:val="1"/>
                <w:bCs w:val="1"/>
                <w:color w:val="auto"/>
              </w:rPr>
              <w:t>2022</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7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Product revenue, net</w:t>
            </w:r>
          </w:p>
        </w:tc>
        <w:tc>
          <w:tcPr>
            <w:tcW w:w="180" w:type="dxa"/>
            <w:vAlign w:val="bottom"/>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682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ind w:right="290"/>
              <w:spacing w:after="0" w:line="208"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revenue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7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7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Gross proft</w:t>
            </w:r>
          </w:p>
        </w:tc>
        <w:tc>
          <w:tcPr>
            <w:tcW w:w="180" w:type="dxa"/>
            <w:vAlign w:val="bottom"/>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515</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r>
      <w:tr>
        <w:trPr>
          <w:trHeight w:val="243"/>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3"/>
        </w:trPr>
        <w:tc>
          <w:tcPr>
            <w:tcW w:w="772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r>
      <w:tr>
        <w:trPr>
          <w:trHeight w:val="215"/>
        </w:trPr>
        <w:tc>
          <w:tcPr>
            <w:tcW w:w="77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Research and development (includes related party amounts of $760 and $2,123, respectvely)</w:t>
            </w:r>
          </w:p>
        </w:tc>
        <w:tc>
          <w:tcPr>
            <w:tcW w:w="3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49,899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71,441</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7720" w:type="dxa"/>
            <w:vAlign w:val="bottom"/>
            <w:tcBorders>
              <w:bottom w:val="single" w:sz="8" w:color="CFF0FC"/>
            </w:tcBorders>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Selling, general and administratve (includes related party amounts of $55 and $0, respectvely)</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117,928</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100,999</w:t>
            </w:r>
          </w:p>
        </w:tc>
      </w:tr>
      <w:tr>
        <w:trPr>
          <w:trHeight w:val="208"/>
        </w:trPr>
        <w:tc>
          <w:tcPr>
            <w:tcW w:w="7720" w:type="dxa"/>
            <w:vAlign w:val="bottom"/>
            <w:tcBorders>
              <w:top w:val="single" w:sz="8" w:color="CFF0FC"/>
            </w:tcBorders>
            <w:gridSpan w:val="2"/>
          </w:tcPr>
          <w:p>
            <w:pPr>
              <w:ind w:left="20"/>
              <w:spacing w:after="0" w:line="208" w:lineRule="exact"/>
              <w:rPr>
                <w:sz w:val="20"/>
                <w:szCs w:val="20"/>
                <w:color w:val="auto"/>
              </w:rPr>
            </w:pPr>
            <w:r>
              <w:rPr>
                <w:rFonts w:ascii="Calibri" w:cs="Calibri" w:eastAsia="Calibri" w:hAnsi="Calibri"/>
                <w:sz w:val="18"/>
                <w:szCs w:val="18"/>
                <w:color w:val="auto"/>
              </w:rPr>
              <w:t>Total operatng expenses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167,827</w:t>
            </w:r>
          </w:p>
        </w:tc>
        <w:tc>
          <w:tcPr>
            <w:tcW w:w="18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172,440</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772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Loss from operatons</w:t>
            </w: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(167,312 )</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(172,440 )</w:t>
            </w:r>
          </w:p>
        </w:tc>
      </w:tr>
      <w:tr>
        <w:trPr>
          <w:trHeight w:val="449"/>
        </w:trPr>
        <w:tc>
          <w:tcPr>
            <w:tcW w:w="7720" w:type="dxa"/>
            <w:vAlign w:val="bottom"/>
            <w:gridSpan w:val="2"/>
          </w:tcPr>
          <w:p>
            <w:pPr>
              <w:ind w:left="20"/>
              <w:spacing w:after="0"/>
              <w:rPr>
                <w:sz w:val="20"/>
                <w:szCs w:val="20"/>
                <w:color w:val="auto"/>
              </w:rPr>
            </w:pPr>
            <w:r>
              <w:rPr>
                <w:rFonts w:ascii="Calibri" w:cs="Calibri" w:eastAsia="Calibri" w:hAnsi="Calibri"/>
                <w:sz w:val="18"/>
                <w:szCs w:val="18"/>
                <w:color w:val="auto"/>
              </w:rPr>
              <w:t>Other income (expense):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7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3"/>
        </w:trPr>
        <w:tc>
          <w:tcPr>
            <w:tcW w:w="7720" w:type="dxa"/>
            <w:vAlign w:val="bottom"/>
            <w:tcBorders>
              <w:bottom w:val="single" w:sz="8" w:color="CFF0FC"/>
            </w:tcBorders>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Interest income</w:t>
            </w: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7,876</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2,132</w:t>
            </w:r>
          </w:p>
        </w:tc>
      </w:tr>
      <w:tr>
        <w:trPr>
          <w:trHeight w:val="215"/>
        </w:trPr>
        <w:tc>
          <w:tcPr>
            <w:tcW w:w="77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Interest expense</w:t>
            </w:r>
          </w:p>
        </w:tc>
        <w:tc>
          <w:tcPr>
            <w:tcW w:w="3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(41,968 )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(27,305 )</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7720" w:type="dxa"/>
            <w:vAlign w:val="bottom"/>
            <w:tcBorders>
              <w:bottom w:val="single" w:sz="8" w:color="CFF0FC"/>
            </w:tcBorders>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(expense), net</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(188 )</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(110 )</w:t>
            </w:r>
          </w:p>
        </w:tc>
      </w:tr>
      <w:tr>
        <w:trPr>
          <w:trHeight w:val="208"/>
        </w:trPr>
        <w:tc>
          <w:tcPr>
            <w:tcW w:w="7720" w:type="dxa"/>
            <w:vAlign w:val="bottom"/>
            <w:tcBorders>
              <w:top w:val="single" w:sz="8" w:color="CFF0FC"/>
            </w:tcBorders>
            <w:gridSpan w:val="2"/>
          </w:tcPr>
          <w:p>
            <w:pPr>
              <w:ind w:left="20"/>
              <w:spacing w:after="0" w:line="208" w:lineRule="exact"/>
              <w:rPr>
                <w:sz w:val="20"/>
                <w:szCs w:val="20"/>
                <w:color w:val="auto"/>
              </w:rPr>
            </w:pPr>
            <w:r>
              <w:rPr>
                <w:rFonts w:ascii="Calibri" w:cs="Calibri" w:eastAsia="Calibri" w:hAnsi="Calibri"/>
                <w:sz w:val="18"/>
                <w:szCs w:val="18"/>
                <w:color w:val="auto"/>
              </w:rPr>
              <w:t>Total other expense</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(34,280 )</w:t>
            </w:r>
          </w:p>
        </w:tc>
        <w:tc>
          <w:tcPr>
            <w:tcW w:w="18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(25,283 )</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1"/>
        </w:trPr>
        <w:tc>
          <w:tcPr>
            <w:tcW w:w="772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loss and comprehensive loss</w:t>
            </w:r>
          </w:p>
        </w:tc>
        <w:tc>
          <w:tcPr>
            <w:tcW w:w="36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(201,592 )</w:t>
            </w:r>
          </w:p>
        </w:tc>
        <w:tc>
          <w:tcPr>
            <w:tcW w:w="660" w:type="dxa"/>
            <w:vAlign w:val="bottom"/>
            <w:tcBorders>
              <w:bottom w:val="single" w:sz="8" w:color="CFF0FC"/>
            </w:tcBorders>
            <w:gridSpan w:val="2"/>
            <w:shd w:val="clear" w:color="auto" w:fill="CFF0FC"/>
          </w:tcPr>
          <w:p>
            <w:pPr>
              <w:jc w:val="right"/>
              <w:ind w:right="29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(197,723 )</w:t>
            </w:r>
          </w:p>
        </w:tc>
      </w:tr>
      <w:tr>
        <w:trPr>
          <w:trHeight w:val="195"/>
        </w:trPr>
        <w:tc>
          <w:tcPr>
            <w:tcW w:w="7720" w:type="dxa"/>
            <w:vAlign w:val="bottom"/>
            <w:tcBorders>
              <w:top w:val="single" w:sz="8" w:color="CFF0FC"/>
            </w:tcBorders>
            <w:gridSpan w:val="2"/>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360" w:type="dxa"/>
            <w:vAlign w:val="bottom"/>
            <w:tcBorders>
              <w:top w:val="single" w:sz="8" w:color="auto"/>
            </w:tcBorders>
          </w:tcPr>
          <w:p>
            <w:pPr>
              <w:jc w:val="right"/>
              <w:ind w:right="150"/>
              <w:spacing w:after="0" w:line="196"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(3.93 )</w:t>
            </w:r>
          </w:p>
        </w:tc>
        <w:tc>
          <w:tcPr>
            <w:tcW w:w="18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jc w:val="right"/>
              <w:ind w:right="290"/>
              <w:spacing w:after="0" w:line="196"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(5.05 )</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77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Weighted-average shares of common stock outstanding, basic and diluted</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51,289,092</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39,118,215</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-3235325</wp:posOffset>
            </wp:positionV>
            <wp:extent cx="136525"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6525" cy="1968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-1962150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-385445</wp:posOffset>
            </wp:positionV>
            <wp:extent cx="1111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-367665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spacing w:after="0" w:line="235" w:lineRule="auto"/>
        <w:rPr>
          <w:sz w:val="20"/>
          <w:szCs w:val="20"/>
          <w:color w:val="auto"/>
        </w:rPr>
      </w:pPr>
      <w:r>
        <w:rPr>
          <w:rFonts w:ascii="Calibri" w:cs="Calibri" w:eastAsia="Calibri" w:hAnsi="Calibri"/>
          <w:sz w:val="18"/>
          <w:szCs w:val="18"/>
          <w:b w:val="1"/>
          <w:bCs w:val="1"/>
          <w:color w:val="auto"/>
        </w:rPr>
        <w:t>Statements of Stockholders’ Equity (Defcit)</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 except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Calibri" w:cs="Calibri" w:eastAsia="Calibri" w:hAnsi="Calibri"/>
                <w:sz w:val="16"/>
                <w:szCs w:val="16"/>
                <w:b w:val="1"/>
                <w:bCs w:val="1"/>
                <w:color w:val="auto"/>
              </w:rPr>
              <w:t>Treasury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Calibri" w:cs="Calibri" w:eastAsia="Calibri" w:hAnsi="Calibri"/>
                <w:sz w:val="16"/>
                <w:szCs w:val="16"/>
                <w:b w:val="1"/>
                <w:bCs w:val="1"/>
                <w:color w:val="auto"/>
              </w:rPr>
              <w:t>Additonal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99"/>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2060" w:type="dxa"/>
            <w:vAlign w:val="bottom"/>
            <w:gridSpan w:val="4"/>
          </w:tcPr>
          <w:p>
            <w:pPr>
              <w:jc w:val="right"/>
              <w:ind w:right="499"/>
              <w:spacing w:after="0" w:line="193" w:lineRule="exact"/>
              <w:rPr>
                <w:sz w:val="20"/>
                <w:szCs w:val="20"/>
                <w:color w:val="auto"/>
              </w:rPr>
            </w:pPr>
            <w:r>
              <w:rPr>
                <w:rFonts w:ascii="Calibri" w:cs="Calibri" w:eastAsia="Calibri" w:hAnsi="Calibri"/>
                <w:sz w:val="16"/>
                <w:szCs w:val="16"/>
                <w:b w:val="1"/>
                <w:bCs w:val="1"/>
                <w:color w:val="auto"/>
              </w:rPr>
              <w:t>Common Stock</w:t>
            </w:r>
          </w:p>
        </w:tc>
        <w:tc>
          <w:tcPr>
            <w:tcW w:w="120" w:type="dxa"/>
            <w:vAlign w:val="bottom"/>
          </w:tcPr>
          <w:p>
            <w:pPr>
              <w:spacing w:after="0"/>
              <w:rPr>
                <w:sz w:val="18"/>
                <w:szCs w:val="18"/>
                <w:color w:val="auto"/>
              </w:rPr>
            </w:pPr>
          </w:p>
        </w:tc>
        <w:tc>
          <w:tcPr>
            <w:tcW w:w="920" w:type="dxa"/>
            <w:vAlign w:val="bottom"/>
          </w:tcPr>
          <w:p>
            <w:pPr>
              <w:jc w:val="center"/>
              <w:ind w:right="39"/>
              <w:spacing w:after="0" w:line="193" w:lineRule="exact"/>
              <w:rPr>
                <w:sz w:val="20"/>
                <w:szCs w:val="20"/>
                <w:color w:val="auto"/>
              </w:rPr>
            </w:pPr>
            <w:r>
              <w:rPr>
                <w:rFonts w:ascii="Calibri" w:cs="Calibri" w:eastAsia="Calibri" w:hAnsi="Calibri"/>
                <w:sz w:val="16"/>
                <w:szCs w:val="16"/>
                <w:b w:val="1"/>
                <w:bCs w:val="1"/>
                <w:color w:val="auto"/>
                <w:w w:val="99"/>
              </w:rPr>
              <w:t>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Calibri" w:cs="Calibri" w:eastAsia="Calibri" w:hAnsi="Calibri"/>
                <w:sz w:val="16"/>
                <w:szCs w:val="16"/>
                <w:b w:val="1"/>
                <w:bCs w:val="1"/>
                <w:color w:val="auto"/>
              </w:rPr>
              <w:t>Paid-in</w:t>
            </w:r>
          </w:p>
        </w:tc>
        <w:tc>
          <w:tcPr>
            <w:tcW w:w="160" w:type="dxa"/>
            <w:vAlign w:val="bottom"/>
          </w:tcPr>
          <w:p>
            <w:pPr>
              <w:spacing w:after="0"/>
              <w:rPr>
                <w:sz w:val="18"/>
                <w:szCs w:val="18"/>
                <w:color w:val="auto"/>
              </w:rPr>
            </w:pPr>
          </w:p>
        </w:tc>
        <w:tc>
          <w:tcPr>
            <w:tcW w:w="1100" w:type="dxa"/>
            <w:vAlign w:val="bottom"/>
            <w:gridSpan w:val="2"/>
          </w:tcPr>
          <w:p>
            <w:pPr>
              <w:jc w:val="center"/>
              <w:ind w:right="19"/>
              <w:spacing w:after="0"/>
              <w:rPr>
                <w:sz w:val="20"/>
                <w:szCs w:val="20"/>
                <w:color w:val="auto"/>
              </w:rPr>
            </w:pPr>
            <w:r>
              <w:rPr>
                <w:rFonts w:ascii="Calibri" w:cs="Calibri" w:eastAsia="Calibri" w:hAnsi="Calibri"/>
                <w:sz w:val="16"/>
                <w:szCs w:val="16"/>
                <w:b w:val="1"/>
                <w:bCs w:val="1"/>
                <w:color w:val="auto"/>
              </w:rPr>
              <w:t>Accumulated</w:t>
            </w:r>
          </w:p>
        </w:tc>
        <w:tc>
          <w:tcPr>
            <w:tcW w:w="160" w:type="dxa"/>
            <w:vAlign w:val="bottom"/>
          </w:tcPr>
          <w:p>
            <w:pPr>
              <w:spacing w:after="0"/>
              <w:rPr>
                <w:sz w:val="18"/>
                <w:szCs w:val="18"/>
                <w:color w:val="auto"/>
              </w:rPr>
            </w:pPr>
          </w:p>
        </w:tc>
        <w:tc>
          <w:tcPr>
            <w:tcW w:w="1100" w:type="dxa"/>
            <w:vAlign w:val="bottom"/>
            <w:gridSpan w:val="2"/>
          </w:tcPr>
          <w:p>
            <w:pPr>
              <w:jc w:val="center"/>
              <w:ind w:right="39"/>
              <w:spacing w:after="0"/>
              <w:rPr>
                <w:sz w:val="20"/>
                <w:szCs w:val="20"/>
                <w:color w:val="auto"/>
              </w:rPr>
            </w:pPr>
            <w:r>
              <w:rPr>
                <w:rFonts w:ascii="Calibri" w:cs="Calibri" w:eastAsia="Calibri" w:hAnsi="Calibri"/>
                <w:sz w:val="16"/>
                <w:szCs w:val="16"/>
                <w:b w:val="1"/>
                <w:bCs w:val="1"/>
                <w:color w:val="auto"/>
                <w:w w:val="99"/>
              </w:rPr>
              <w:t>Stockholders’</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center"/>
              <w:ind w:right="239"/>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Calibri" w:cs="Calibri" w:eastAsia="Calibri" w:hAnsi="Calibri"/>
                <w:sz w:val="16"/>
                <w:szCs w:val="16"/>
                <w:b w:val="1"/>
                <w:bCs w:val="1"/>
                <w:color w:val="auto"/>
                <w:w w:val="96"/>
              </w:rPr>
              <w:t>Amount</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Calibri" w:cs="Calibri" w:eastAsia="Calibri" w:hAnsi="Calibri"/>
                <w:sz w:val="16"/>
                <w:szCs w:val="16"/>
                <w:b w:val="1"/>
                <w:bCs w:val="1"/>
                <w:color w:val="auto"/>
                <w:w w:val="99"/>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Calibri" w:cs="Calibri" w:eastAsia="Calibri" w:hAnsi="Calibri"/>
                <w:sz w:val="16"/>
                <w:szCs w:val="16"/>
                <w:b w:val="1"/>
                <w:bCs w:val="1"/>
                <w:color w:val="auto"/>
              </w:rPr>
              <w:t>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99"/>
              <w:spacing w:after="0"/>
              <w:rPr>
                <w:sz w:val="20"/>
                <w:szCs w:val="20"/>
                <w:color w:val="auto"/>
              </w:rPr>
            </w:pPr>
            <w:r>
              <w:rPr>
                <w:rFonts w:ascii="Calibri" w:cs="Calibri" w:eastAsia="Calibri" w:hAnsi="Calibri"/>
                <w:sz w:val="16"/>
                <w:szCs w:val="16"/>
                <w:b w:val="1"/>
                <w:bCs w:val="1"/>
                <w:color w:val="auto"/>
              </w:rPr>
              <w:t>Defcit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99"/>
              <w:spacing w:after="0"/>
              <w:rPr>
                <w:sz w:val="20"/>
                <w:szCs w:val="20"/>
                <w:color w:val="auto"/>
              </w:rPr>
            </w:pPr>
            <w:r>
              <w:rPr>
                <w:rFonts w:ascii="Calibri" w:cs="Calibri" w:eastAsia="Calibri" w:hAnsi="Calibri"/>
                <w:sz w:val="16"/>
                <w:szCs w:val="16"/>
                <w:b w:val="1"/>
                <w:bCs w:val="1"/>
                <w:color w:val="auto"/>
              </w:rPr>
              <w:t>(Defcit)</w:t>
            </w:r>
          </w:p>
        </w:tc>
        <w:tc>
          <w:tcPr>
            <w:tcW w:w="0" w:type="dxa"/>
            <w:vAlign w:val="bottom"/>
          </w:tcPr>
          <w:p>
            <w:pPr>
              <w:spacing w:after="0"/>
              <w:rPr>
                <w:sz w:val="1"/>
                <w:szCs w:val="1"/>
                <w:color w:val="auto"/>
              </w:rPr>
            </w:pPr>
          </w:p>
        </w:tc>
      </w:tr>
      <w:tr>
        <w:trPr>
          <w:trHeight w:val="41"/>
        </w:trPr>
        <w:tc>
          <w:tcPr>
            <w:tcW w:w="4460" w:type="dxa"/>
            <w:vAlign w:val="bottom"/>
            <w:vMerge w:val="restart"/>
          </w:tcPr>
          <w:p>
            <w:pPr>
              <w:ind w:left="20"/>
              <w:spacing w:after="0"/>
              <w:rPr>
                <w:sz w:val="20"/>
                <w:szCs w:val="20"/>
                <w:color w:val="auto"/>
              </w:rPr>
            </w:pPr>
            <w:r>
              <w:rPr>
                <w:rFonts w:ascii="Calibri" w:cs="Calibri" w:eastAsia="Calibri" w:hAnsi="Calibri"/>
                <w:sz w:val="16"/>
                <w:szCs w:val="16"/>
                <w:color w:val="auto"/>
              </w:rPr>
              <w:t>Balance at December 31, 2022</w:t>
            </w: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vMerge w:val="continue"/>
          </w:tcPr>
          <w:p>
            <w:pPr>
              <w:spacing w:after="0"/>
              <w:rPr>
                <w:sz w:val="16"/>
                <w:szCs w:val="16"/>
                <w:color w:val="auto"/>
              </w:rPr>
            </w:pPr>
          </w:p>
        </w:tc>
        <w:tc>
          <w:tcPr>
            <w:tcW w:w="10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41,468,871</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78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3</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19</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652,276</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(727,093 )</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(74,814 )</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135,956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1,612</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1,612</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Vestng of restricted shares, performance stock units, and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20"/>
              <w:spacing w:after="0"/>
              <w:rPr>
                <w:sz w:val="20"/>
                <w:szCs w:val="20"/>
                <w:color w:val="auto"/>
              </w:rPr>
            </w:pPr>
            <w:r>
              <w:rPr>
                <w:rFonts w:ascii="Calibri" w:cs="Calibri" w:eastAsia="Calibri" w:hAnsi="Calibri"/>
                <w:sz w:val="16"/>
                <w:szCs w:val="16"/>
                <w:color w:val="auto"/>
              </w:rPr>
              <w:t>restricted stock units</w:t>
            </w:r>
          </w:p>
        </w:tc>
        <w:tc>
          <w:tcPr>
            <w:tcW w:w="1020" w:type="dxa"/>
            <w:vAlign w:val="bottom"/>
          </w:tcPr>
          <w:p>
            <w:pPr>
              <w:jc w:val="right"/>
              <w:ind w:right="59"/>
              <w:spacing w:after="0"/>
              <w:rPr>
                <w:sz w:val="20"/>
                <w:szCs w:val="20"/>
                <w:color w:val="auto"/>
              </w:rPr>
            </w:pPr>
            <w:r>
              <w:rPr>
                <w:rFonts w:ascii="Calibri" w:cs="Calibri" w:eastAsia="Calibri" w:hAnsi="Calibri"/>
                <w:sz w:val="16"/>
                <w:szCs w:val="16"/>
                <w:color w:val="auto"/>
              </w:rPr>
              <w:t>1,843,954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Calibri" w:cs="Calibri" w:eastAsia="Calibri" w:hAnsi="Calibri"/>
                <w:sz w:val="16"/>
                <w:szCs w:val="16"/>
                <w:color w:val="auto"/>
              </w:rPr>
              <w:t>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Calibri" w:cs="Calibri" w:eastAsia="Calibri" w:hAnsi="Calibri"/>
                <w:sz w:val="16"/>
                <w:szCs w:val="16"/>
                <w:color w:val="auto"/>
              </w:rPr>
              <w:t>6</w:t>
            </w: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45,025</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45,025</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196,873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1,417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1,417</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under ATM facility</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1,514,219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14,072</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14,073</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Issuance of common stock from exercise of stock optons</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16,421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124</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46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in connecton with underwriten</w:t>
            </w: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public ofering, net</w:t>
            </w: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12,793,750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141,389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141,390</w:t>
            </w:r>
          </w:p>
        </w:tc>
        <w:tc>
          <w:tcPr>
            <w:tcW w:w="0" w:type="dxa"/>
            <w:vAlign w:val="bottom"/>
          </w:tcPr>
          <w:p>
            <w:pPr>
              <w:spacing w:after="0"/>
              <w:rPr>
                <w:sz w:val="1"/>
                <w:szCs w:val="1"/>
                <w:color w:val="auto"/>
              </w:rPr>
            </w:pP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(201,592 )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(201,592 )</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46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Balance at December 31, 2023</w:t>
            </w:r>
          </w:p>
        </w:tc>
        <w:tc>
          <w:tcPr>
            <w:tcW w:w="102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rPr>
              <w:t>57,970,044</w:t>
            </w:r>
          </w:p>
        </w:tc>
        <w:tc>
          <w:tcPr>
            <w:tcW w:w="26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78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rPr>
              <w:t>5</w:t>
            </w:r>
          </w:p>
        </w:tc>
        <w:tc>
          <w:tcPr>
            <w:tcW w:w="1040" w:type="dxa"/>
            <w:vAlign w:val="bottom"/>
            <w:tcBorders>
              <w:bottom w:val="single" w:sz="8" w:color="CFF0FC"/>
            </w:tcBorders>
            <w:gridSpan w:val="2"/>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rPr>
              <w:t>19</w:t>
            </w:r>
          </w:p>
        </w:tc>
        <w:tc>
          <w:tcPr>
            <w:tcW w:w="24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855,921</w:t>
            </w:r>
          </w:p>
        </w:tc>
        <w:tc>
          <w:tcPr>
            <w:tcW w:w="34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(928,685 )</w:t>
            </w:r>
          </w:p>
        </w:tc>
        <w:tc>
          <w:tcPr>
            <w:tcW w:w="32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(72,759 )</w:t>
            </w:r>
          </w:p>
        </w:tc>
        <w:tc>
          <w:tcPr>
            <w:tcW w:w="0" w:type="dxa"/>
            <w:vAlign w:val="bottom"/>
          </w:tcPr>
          <w:p>
            <w:pPr>
              <w:spacing w:after="0"/>
              <w:rPr>
                <w:sz w:val="1"/>
                <w:szCs w:val="1"/>
                <w:color w:val="auto"/>
              </w:rPr>
            </w:pPr>
          </w:p>
        </w:tc>
      </w:tr>
      <w:tr>
        <w:trPr>
          <w:trHeight w:val="637"/>
        </w:trPr>
        <w:tc>
          <w:tcPr>
            <w:tcW w:w="44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jc w:val="center"/>
              <w:ind w:right="99"/>
              <w:spacing w:after="0"/>
              <w:rPr>
                <w:sz w:val="20"/>
                <w:szCs w:val="20"/>
                <w:color w:val="auto"/>
              </w:rPr>
            </w:pPr>
            <w:r>
              <w:rPr>
                <w:rFonts w:ascii="Calibri" w:cs="Calibri" w:eastAsia="Calibri" w:hAnsi="Calibri"/>
                <w:sz w:val="16"/>
                <w:szCs w:val="16"/>
                <w:b w:val="1"/>
                <w:bCs w:val="1"/>
                <w:color w:val="auto"/>
              </w:rPr>
              <w:t>Treasury</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99"/>
              <w:spacing w:after="0"/>
              <w:rPr>
                <w:sz w:val="20"/>
                <w:szCs w:val="20"/>
                <w:color w:val="auto"/>
              </w:rPr>
            </w:pPr>
            <w:r>
              <w:rPr>
                <w:rFonts w:ascii="Calibri" w:cs="Calibri" w:eastAsia="Calibri" w:hAnsi="Calibri"/>
                <w:sz w:val="16"/>
                <w:szCs w:val="16"/>
                <w:b w:val="1"/>
                <w:bCs w:val="1"/>
                <w:color w:val="auto"/>
              </w:rPr>
              <w:t>Additonal</w:t>
            </w: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199"/>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2060" w:type="dxa"/>
            <w:vAlign w:val="bottom"/>
            <w:gridSpan w:val="4"/>
          </w:tcPr>
          <w:p>
            <w:pPr>
              <w:jc w:val="right"/>
              <w:ind w:right="499"/>
              <w:spacing w:after="0" w:line="193" w:lineRule="exact"/>
              <w:rPr>
                <w:sz w:val="20"/>
                <w:szCs w:val="20"/>
                <w:color w:val="auto"/>
              </w:rPr>
            </w:pPr>
            <w:r>
              <w:rPr>
                <w:rFonts w:ascii="Calibri" w:cs="Calibri" w:eastAsia="Calibri" w:hAnsi="Calibri"/>
                <w:sz w:val="16"/>
                <w:szCs w:val="16"/>
                <w:b w:val="1"/>
                <w:bCs w:val="1"/>
                <w:color w:val="auto"/>
              </w:rPr>
              <w:t>Common Stock</w:t>
            </w:r>
          </w:p>
        </w:tc>
        <w:tc>
          <w:tcPr>
            <w:tcW w:w="120" w:type="dxa"/>
            <w:vAlign w:val="bottom"/>
          </w:tcPr>
          <w:p>
            <w:pPr>
              <w:spacing w:after="0"/>
              <w:rPr>
                <w:sz w:val="18"/>
                <w:szCs w:val="18"/>
                <w:color w:val="auto"/>
              </w:rPr>
            </w:pPr>
          </w:p>
        </w:tc>
        <w:tc>
          <w:tcPr>
            <w:tcW w:w="920" w:type="dxa"/>
            <w:vAlign w:val="bottom"/>
          </w:tcPr>
          <w:p>
            <w:pPr>
              <w:jc w:val="center"/>
              <w:ind w:right="39"/>
              <w:spacing w:after="0" w:line="193" w:lineRule="exact"/>
              <w:rPr>
                <w:sz w:val="20"/>
                <w:szCs w:val="20"/>
                <w:color w:val="auto"/>
              </w:rPr>
            </w:pPr>
            <w:r>
              <w:rPr>
                <w:rFonts w:ascii="Calibri" w:cs="Calibri" w:eastAsia="Calibri" w:hAnsi="Calibri"/>
                <w:sz w:val="16"/>
                <w:szCs w:val="16"/>
                <w:b w:val="1"/>
                <w:bCs w:val="1"/>
                <w:color w:val="auto"/>
                <w:w w:val="99"/>
              </w:rPr>
              <w:t>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19"/>
              <w:spacing w:after="0"/>
              <w:rPr>
                <w:sz w:val="20"/>
                <w:szCs w:val="20"/>
                <w:color w:val="auto"/>
              </w:rPr>
            </w:pPr>
            <w:r>
              <w:rPr>
                <w:rFonts w:ascii="Calibri" w:cs="Calibri" w:eastAsia="Calibri" w:hAnsi="Calibri"/>
                <w:sz w:val="16"/>
                <w:szCs w:val="16"/>
                <w:b w:val="1"/>
                <w:bCs w:val="1"/>
                <w:color w:val="auto"/>
              </w:rPr>
              <w:t>Paid-in</w:t>
            </w:r>
          </w:p>
        </w:tc>
        <w:tc>
          <w:tcPr>
            <w:tcW w:w="160" w:type="dxa"/>
            <w:vAlign w:val="bottom"/>
          </w:tcPr>
          <w:p>
            <w:pPr>
              <w:spacing w:after="0"/>
              <w:rPr>
                <w:sz w:val="18"/>
                <w:szCs w:val="18"/>
                <w:color w:val="auto"/>
              </w:rPr>
            </w:pPr>
          </w:p>
        </w:tc>
        <w:tc>
          <w:tcPr>
            <w:tcW w:w="1100" w:type="dxa"/>
            <w:vAlign w:val="bottom"/>
            <w:gridSpan w:val="2"/>
          </w:tcPr>
          <w:p>
            <w:pPr>
              <w:jc w:val="center"/>
              <w:ind w:right="19"/>
              <w:spacing w:after="0"/>
              <w:rPr>
                <w:sz w:val="20"/>
                <w:szCs w:val="20"/>
                <w:color w:val="auto"/>
              </w:rPr>
            </w:pPr>
            <w:r>
              <w:rPr>
                <w:rFonts w:ascii="Calibri" w:cs="Calibri" w:eastAsia="Calibri" w:hAnsi="Calibri"/>
                <w:sz w:val="16"/>
                <w:szCs w:val="16"/>
                <w:b w:val="1"/>
                <w:bCs w:val="1"/>
                <w:color w:val="auto"/>
              </w:rPr>
              <w:t>Accumulated</w:t>
            </w:r>
          </w:p>
        </w:tc>
        <w:tc>
          <w:tcPr>
            <w:tcW w:w="160" w:type="dxa"/>
            <w:vAlign w:val="bottom"/>
          </w:tcPr>
          <w:p>
            <w:pPr>
              <w:spacing w:after="0"/>
              <w:rPr>
                <w:sz w:val="18"/>
                <w:szCs w:val="18"/>
                <w:color w:val="auto"/>
              </w:rPr>
            </w:pPr>
          </w:p>
        </w:tc>
        <w:tc>
          <w:tcPr>
            <w:tcW w:w="1100" w:type="dxa"/>
            <w:vAlign w:val="bottom"/>
            <w:gridSpan w:val="2"/>
          </w:tcPr>
          <w:p>
            <w:pPr>
              <w:jc w:val="center"/>
              <w:ind w:right="39"/>
              <w:spacing w:after="0"/>
              <w:rPr>
                <w:sz w:val="20"/>
                <w:szCs w:val="20"/>
                <w:color w:val="auto"/>
              </w:rPr>
            </w:pPr>
            <w:r>
              <w:rPr>
                <w:rFonts w:ascii="Calibri" w:cs="Calibri" w:eastAsia="Calibri" w:hAnsi="Calibri"/>
                <w:sz w:val="16"/>
                <w:szCs w:val="16"/>
                <w:b w:val="1"/>
                <w:bCs w:val="1"/>
                <w:color w:val="auto"/>
                <w:w w:val="99"/>
              </w:rPr>
              <w:t>Stockholders’</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center"/>
              <w:ind w:right="239"/>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Calibri" w:cs="Calibri" w:eastAsia="Calibri" w:hAnsi="Calibri"/>
                <w:sz w:val="16"/>
                <w:szCs w:val="16"/>
                <w:b w:val="1"/>
                <w:bCs w:val="1"/>
                <w:color w:val="auto"/>
                <w:w w:val="96"/>
              </w:rPr>
              <w:t>Amount</w:t>
            </w: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Calibri" w:cs="Calibri" w:eastAsia="Calibri" w:hAnsi="Calibri"/>
                <w:sz w:val="16"/>
                <w:szCs w:val="16"/>
                <w:b w:val="1"/>
                <w:bCs w:val="1"/>
                <w:color w:val="auto"/>
                <w:w w:val="99"/>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Calibri" w:cs="Calibri" w:eastAsia="Calibri" w:hAnsi="Calibri"/>
                <w:sz w:val="16"/>
                <w:szCs w:val="16"/>
                <w:b w:val="1"/>
                <w:bCs w:val="1"/>
                <w:color w:val="auto"/>
              </w:rPr>
              <w:t>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99"/>
              <w:spacing w:after="0"/>
              <w:rPr>
                <w:sz w:val="20"/>
                <w:szCs w:val="20"/>
                <w:color w:val="auto"/>
              </w:rPr>
            </w:pPr>
            <w:r>
              <w:rPr>
                <w:rFonts w:ascii="Calibri" w:cs="Calibri" w:eastAsia="Calibri" w:hAnsi="Calibri"/>
                <w:sz w:val="16"/>
                <w:szCs w:val="16"/>
                <w:b w:val="1"/>
                <w:bCs w:val="1"/>
                <w:color w:val="auto"/>
              </w:rPr>
              <w:t>Defcit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99"/>
              <w:spacing w:after="0"/>
              <w:rPr>
                <w:sz w:val="20"/>
                <w:szCs w:val="20"/>
                <w:color w:val="auto"/>
              </w:rPr>
            </w:pPr>
            <w:r>
              <w:rPr>
                <w:rFonts w:ascii="Calibri" w:cs="Calibri" w:eastAsia="Calibri" w:hAnsi="Calibri"/>
                <w:sz w:val="16"/>
                <w:szCs w:val="16"/>
                <w:b w:val="1"/>
                <w:bCs w:val="1"/>
                <w:color w:val="auto"/>
              </w:rPr>
              <w:t>(Defcit)</w:t>
            </w:r>
          </w:p>
        </w:tc>
        <w:tc>
          <w:tcPr>
            <w:tcW w:w="0" w:type="dxa"/>
            <w:vAlign w:val="bottom"/>
          </w:tcPr>
          <w:p>
            <w:pPr>
              <w:spacing w:after="0"/>
              <w:rPr>
                <w:sz w:val="1"/>
                <w:szCs w:val="1"/>
                <w:color w:val="auto"/>
              </w:rPr>
            </w:pPr>
          </w:p>
        </w:tc>
      </w:tr>
      <w:tr>
        <w:trPr>
          <w:trHeight w:val="41"/>
        </w:trPr>
        <w:tc>
          <w:tcPr>
            <w:tcW w:w="4460" w:type="dxa"/>
            <w:vAlign w:val="bottom"/>
            <w:vMerge w:val="restart"/>
          </w:tcPr>
          <w:p>
            <w:pPr>
              <w:ind w:left="20"/>
              <w:spacing w:after="0"/>
              <w:rPr>
                <w:sz w:val="20"/>
                <w:szCs w:val="20"/>
                <w:color w:val="auto"/>
              </w:rPr>
            </w:pPr>
            <w:r>
              <w:rPr>
                <w:rFonts w:ascii="Calibri" w:cs="Calibri" w:eastAsia="Calibri" w:hAnsi="Calibri"/>
                <w:sz w:val="16"/>
                <w:szCs w:val="16"/>
                <w:color w:val="auto"/>
              </w:rPr>
              <w:t>Balance at December 31, 2021</w:t>
            </w:r>
          </w:p>
        </w:tc>
        <w:tc>
          <w:tcPr>
            <w:tcW w:w="10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vMerge w:val="continue"/>
          </w:tcPr>
          <w:p>
            <w:pPr>
              <w:spacing w:after="0"/>
              <w:rPr>
                <w:sz w:val="16"/>
                <w:szCs w:val="16"/>
                <w:color w:val="auto"/>
              </w:rPr>
            </w:pPr>
          </w:p>
        </w:tc>
        <w:tc>
          <w:tcPr>
            <w:tcW w:w="10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30,511,226</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78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3</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1</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601,523</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(529,370 )</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4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72,156</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Cashless exercise of common stock warrants</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7,359,285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Borders>
              <w:bottom w:val="single" w:sz="8" w:color="CFF0FC"/>
            </w:tcBorders>
            <w:gridSpan w:val="2"/>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101,540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1,116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1,116</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Vestng of restricted shares and restricted stock units</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992,825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Issuance of common stock under ATM facility</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2,414,897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24,595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24,595</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24,133</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24,133</w:t>
            </w:r>
          </w:p>
        </w:tc>
        <w:tc>
          <w:tcPr>
            <w:tcW w:w="0" w:type="dxa"/>
            <w:vAlign w:val="bottom"/>
          </w:tcPr>
          <w:p>
            <w:pPr>
              <w:spacing w:after="0"/>
              <w:rPr>
                <w:sz w:val="1"/>
                <w:szCs w:val="1"/>
                <w:color w:val="auto"/>
              </w:rPr>
            </w:pPr>
          </w:p>
        </w:tc>
      </w:tr>
      <w:tr>
        <w:trPr>
          <w:trHeight w:val="194"/>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10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89,098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909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909</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6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0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(197,723 )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(197,723 )</w:t>
            </w:r>
          </w:p>
        </w:tc>
        <w:tc>
          <w:tcPr>
            <w:tcW w:w="0" w:type="dxa"/>
            <w:vAlign w:val="bottom"/>
          </w:tcPr>
          <w:p>
            <w:pPr>
              <w:spacing w:after="0"/>
              <w:rPr>
                <w:sz w:val="1"/>
                <w:szCs w:val="1"/>
                <w:color w:val="auto"/>
              </w:rPr>
            </w:pPr>
          </w:p>
        </w:tc>
      </w:tr>
      <w:tr>
        <w:trPr>
          <w:trHeight w:val="187"/>
        </w:trPr>
        <w:tc>
          <w:tcPr>
            <w:tcW w:w="446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Balance at December 31, 2022</w:t>
            </w:r>
          </w:p>
        </w:tc>
        <w:tc>
          <w:tcPr>
            <w:tcW w:w="10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41,468,871</w:t>
            </w: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78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3</w:t>
            </w:r>
          </w:p>
        </w:tc>
        <w:tc>
          <w:tcPr>
            <w:tcW w:w="1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19</w:t>
            </w: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652,276</w:t>
            </w: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(727,093 )</w:t>
            </w:r>
          </w:p>
        </w:tc>
        <w:tc>
          <w:tcPr>
            <w:tcW w:w="1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(74,814 )</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-2228215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-2211070</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-2228215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-2211070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-2228215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-2211070</wp:posOffset>
            </wp:positionV>
            <wp:extent cx="94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-2228215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-2211070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-2228215</wp:posOffset>
            </wp:positionV>
            <wp:extent cx="94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-2211070</wp:posOffset>
            </wp:positionV>
            <wp:extent cx="94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-179705</wp:posOffset>
            </wp:positionV>
            <wp:extent cx="102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-179705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-179705</wp:posOffset>
            </wp:positionV>
            <wp:extent cx="946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-179705</wp:posOffset>
            </wp:positionV>
            <wp:extent cx="93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-179705</wp:posOffset>
            </wp:positionV>
            <wp:extent cx="946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Statements of Cash Flows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17" w:lineRule="exact"/>
        <w:rPr>
          <w:sz w:val="20"/>
          <w:szCs w:val="20"/>
          <w:color w:val="auto"/>
        </w:rPr>
      </w:pPr>
    </w:p>
    <w:p>
      <w:pPr>
        <w:jc w:val="center"/>
        <w:ind w:left="7640"/>
        <w:spacing w:after="0"/>
        <w:rPr>
          <w:sz w:val="20"/>
          <w:szCs w:val="20"/>
          <w:color w:val="auto"/>
        </w:rPr>
      </w:pPr>
      <w:r>
        <w:rPr>
          <w:rFonts w:ascii="Calibri" w:cs="Calibri" w:eastAsia="Calibri" w:hAnsi="Calibri"/>
          <w:sz w:val="16"/>
          <w:szCs w:val="16"/>
          <w:b w:val="1"/>
          <w:bCs w:val="1"/>
          <w:color w:val="auto"/>
        </w:rPr>
        <w:t>Years Ended</w:t>
      </w:r>
    </w:p>
    <w:p>
      <w:pPr>
        <w:spacing w:after="0" w:line="7" w:lineRule="exact"/>
        <w:rPr>
          <w:sz w:val="20"/>
          <w:szCs w:val="20"/>
          <w:color w:val="auto"/>
        </w:rPr>
      </w:pPr>
    </w:p>
    <w:p>
      <w:pPr>
        <w:jc w:val="center"/>
        <w:ind w:left="7640"/>
        <w:spacing w:after="0"/>
        <w:rPr>
          <w:sz w:val="20"/>
          <w:szCs w:val="20"/>
          <w:color w:val="auto"/>
        </w:rPr>
      </w:pPr>
      <w:r>
        <w:rPr>
          <w:rFonts w:ascii="Calibri" w:cs="Calibri" w:eastAsia="Calibri" w:hAnsi="Calibri"/>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13335</wp:posOffset>
            </wp:positionV>
            <wp:extent cx="220281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02815" cy="18859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19"/>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7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b w:val="1"/>
                <w:bCs w:val="1"/>
                <w:color w:val="auto"/>
              </w:rPr>
              <w:t>Cash fows from operatng actvites</w:t>
            </w:r>
          </w:p>
        </w:tc>
        <w:tc>
          <w:tcPr>
            <w:tcW w:w="9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r>
      <w:tr>
        <w:trPr>
          <w:trHeight w:val="193"/>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940" w:type="dxa"/>
            <w:vAlign w:val="bottom"/>
          </w:tcPr>
          <w:p>
            <w:pPr>
              <w:jc w:val="right"/>
              <w:ind w:right="779"/>
              <w:spacing w:after="0" w:line="193" w:lineRule="exact"/>
              <w:rPr>
                <w:sz w:val="20"/>
                <w:szCs w:val="20"/>
                <w:color w:val="auto"/>
              </w:rPr>
            </w:pPr>
            <w:r>
              <w:rPr>
                <w:rFonts w:ascii="Calibri" w:cs="Calibri" w:eastAsia="Calibri" w:hAnsi="Calibri"/>
                <w:sz w:val="16"/>
                <w:szCs w:val="16"/>
                <w:color w:val="auto"/>
                <w:w w:val="73"/>
              </w:rPr>
              <w:t>$</w:t>
            </w: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(201,592 )</w:t>
            </w:r>
          </w:p>
        </w:tc>
        <w:tc>
          <w:tcPr>
            <w:tcW w:w="52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(197,723 )</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Adjustments to reconcile net loss to net cash used in operatng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r>
      <w:tr>
        <w:trPr>
          <w:trHeight w:val="193"/>
        </w:trPr>
        <w:tc>
          <w:tcPr>
            <w:tcW w:w="7780" w:type="dxa"/>
            <w:vAlign w:val="bottom"/>
          </w:tcPr>
          <w:p>
            <w:pPr>
              <w:ind w:left="200"/>
              <w:spacing w:after="0" w:line="193" w:lineRule="exact"/>
              <w:rPr>
                <w:sz w:val="20"/>
                <w:szCs w:val="20"/>
                <w:color w:val="auto"/>
              </w:rPr>
            </w:pPr>
            <w:r>
              <w:rPr>
                <w:rFonts w:ascii="Calibri" w:cs="Calibri" w:eastAsia="Calibri" w:hAnsi="Calibri"/>
                <w:sz w:val="16"/>
                <w:szCs w:val="16"/>
                <w:color w:val="auto"/>
              </w:rPr>
              <w:t>Depreciaton and amortzaton</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575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620</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778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Stock-based compensaton</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45,025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24,133</w:t>
            </w:r>
          </w:p>
        </w:tc>
      </w:tr>
      <w:tr>
        <w:trPr>
          <w:trHeight w:val="193"/>
        </w:trPr>
        <w:tc>
          <w:tcPr>
            <w:tcW w:w="7780" w:type="dxa"/>
            <w:vAlign w:val="bottom"/>
          </w:tcPr>
          <w:p>
            <w:pPr>
              <w:ind w:left="200"/>
              <w:spacing w:after="0" w:line="193" w:lineRule="exact"/>
              <w:rPr>
                <w:sz w:val="20"/>
                <w:szCs w:val="20"/>
                <w:color w:val="auto"/>
              </w:rPr>
            </w:pPr>
            <w:r>
              <w:rPr>
                <w:rFonts w:ascii="Calibri" w:cs="Calibri" w:eastAsia="Calibri" w:hAnsi="Calibri"/>
                <w:sz w:val="16"/>
                <w:szCs w:val="16"/>
                <w:color w:val="auto"/>
              </w:rPr>
              <w:t>Issuance of PIK interest debt</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3,583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3,484</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Accrued interest on revenue interest fnancing liability</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24,727</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14,079</w:t>
            </w:r>
          </w:p>
        </w:tc>
      </w:tr>
      <w:tr>
        <w:trPr>
          <w:trHeight w:val="193"/>
        </w:trPr>
        <w:tc>
          <w:tcPr>
            <w:tcW w:w="7780" w:type="dxa"/>
            <w:vAlign w:val="bottom"/>
          </w:tcPr>
          <w:p>
            <w:pPr>
              <w:ind w:left="200"/>
              <w:spacing w:after="0" w:line="193" w:lineRule="exact"/>
              <w:rPr>
                <w:sz w:val="20"/>
                <w:szCs w:val="20"/>
                <w:color w:val="auto"/>
              </w:rPr>
            </w:pPr>
            <w:r>
              <w:rPr>
                <w:rFonts w:ascii="Calibri" w:cs="Calibri" w:eastAsia="Calibri" w:hAnsi="Calibri"/>
                <w:sz w:val="16"/>
                <w:szCs w:val="16"/>
                <w:color w:val="auto"/>
              </w:rPr>
              <w:t>Amortzaton of debt discount</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1,877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2,110</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Other</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1,869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1,329</w:t>
            </w:r>
          </w:p>
        </w:tc>
      </w:tr>
      <w:tr>
        <w:trPr>
          <w:trHeight w:val="193"/>
        </w:trPr>
        <w:tc>
          <w:tcPr>
            <w:tcW w:w="7780" w:type="dxa"/>
            <w:vAlign w:val="bottom"/>
          </w:tcPr>
          <w:p>
            <w:pPr>
              <w:ind w:left="200"/>
              <w:spacing w:after="0" w:line="193" w:lineRule="exact"/>
              <w:rPr>
                <w:sz w:val="20"/>
                <w:szCs w:val="20"/>
                <w:color w:val="auto"/>
              </w:rPr>
            </w:pPr>
            <w:r>
              <w:rPr>
                <w:rFonts w:ascii="Calibri" w:cs="Calibri" w:eastAsia="Calibri" w:hAnsi="Calibri"/>
                <w:sz w:val="16"/>
                <w:szCs w:val="16"/>
                <w:color w:val="auto"/>
              </w:rPr>
              <w:t>Changes in operatng assets and liabilites:</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778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(8,067 )</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(1,860 )</w:t>
            </w:r>
          </w:p>
        </w:tc>
      </w:tr>
      <w:tr>
        <w:trPr>
          <w:trHeight w:val="193"/>
        </w:trPr>
        <w:tc>
          <w:tcPr>
            <w:tcW w:w="7780" w:type="dxa"/>
            <w:vAlign w:val="bottom"/>
          </w:tcPr>
          <w:p>
            <w:pPr>
              <w:ind w:left="380"/>
              <w:spacing w:after="0" w:line="193" w:lineRule="exact"/>
              <w:rPr>
                <w:sz w:val="20"/>
                <w:szCs w:val="20"/>
                <w:color w:val="auto"/>
              </w:rPr>
            </w:pPr>
            <w:r>
              <w:rPr>
                <w:rFonts w:ascii="Calibri" w:cs="Calibri" w:eastAsia="Calibri" w:hAnsi="Calibri"/>
                <w:sz w:val="16"/>
                <w:szCs w:val="16"/>
                <w:color w:val="auto"/>
              </w:rPr>
              <w:t>Accounts receivable, net</w:t>
            </w:r>
          </w:p>
        </w:tc>
        <w:tc>
          <w:tcPr>
            <w:tcW w:w="94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(1,637 )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3"/>
        </w:trPr>
        <w:tc>
          <w:tcPr>
            <w:tcW w:w="7780" w:type="dxa"/>
            <w:vAlign w:val="bottom"/>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Accounts payable and accrued expenses (includes changes in related party amounts of $184 and $1,139,</w:t>
            </w:r>
          </w:p>
        </w:tc>
        <w:tc>
          <w:tcPr>
            <w:tcW w:w="9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218"/>
        </w:trPr>
        <w:tc>
          <w:tcPr>
            <w:tcW w:w="7780" w:type="dxa"/>
            <w:vAlign w:val="bottom"/>
            <w:tcBorders>
              <w:bottom w:val="single" w:sz="8" w:color="CFF0FC"/>
            </w:tcBorders>
            <w:shd w:val="clear" w:color="auto" w:fill="CFF0FC"/>
          </w:tcPr>
          <w:p>
            <w:pPr>
              <w:ind w:left="380"/>
              <w:spacing w:after="0"/>
              <w:rPr>
                <w:sz w:val="20"/>
                <w:szCs w:val="20"/>
                <w:color w:val="auto"/>
              </w:rPr>
            </w:pPr>
            <w:r>
              <w:rPr>
                <w:rFonts w:ascii="Calibri" w:cs="Calibri" w:eastAsia="Calibri" w:hAnsi="Calibri"/>
                <w:sz w:val="16"/>
                <w:szCs w:val="16"/>
                <w:color w:val="auto"/>
              </w:rPr>
              <w:t>respectvely)</w:t>
            </w:r>
          </w:p>
        </w:tc>
        <w:tc>
          <w:tcPr>
            <w:tcW w:w="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59"/>
              <w:spacing w:after="0"/>
              <w:rPr>
                <w:sz w:val="20"/>
                <w:szCs w:val="20"/>
                <w:color w:val="auto"/>
              </w:rPr>
            </w:pPr>
            <w:r>
              <w:rPr>
                <w:rFonts w:ascii="Calibri" w:cs="Calibri" w:eastAsia="Calibri" w:hAnsi="Calibri"/>
                <w:sz w:val="16"/>
                <w:szCs w:val="16"/>
                <w:color w:val="auto"/>
              </w:rPr>
              <w:t>6,410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ind w:right="39"/>
              <w:spacing w:after="0"/>
              <w:rPr>
                <w:sz w:val="20"/>
                <w:szCs w:val="20"/>
                <w:color w:val="auto"/>
              </w:rPr>
            </w:pPr>
            <w:r>
              <w:rPr>
                <w:rFonts w:ascii="Calibri" w:cs="Calibri" w:eastAsia="Calibri" w:hAnsi="Calibri"/>
                <w:sz w:val="16"/>
                <w:szCs w:val="16"/>
                <w:color w:val="auto"/>
              </w:rPr>
              <w:t>8,679</w:t>
            </w:r>
          </w:p>
        </w:tc>
      </w:tr>
      <w:tr>
        <w:trPr>
          <w:trHeight w:val="193"/>
        </w:trPr>
        <w:tc>
          <w:tcPr>
            <w:tcW w:w="7780" w:type="dxa"/>
            <w:vAlign w:val="bottom"/>
          </w:tcPr>
          <w:p>
            <w:pPr>
              <w:ind w:left="380"/>
              <w:spacing w:after="0" w:line="193" w:lineRule="exact"/>
              <w:rPr>
                <w:sz w:val="20"/>
                <w:szCs w:val="20"/>
                <w:color w:val="auto"/>
              </w:rPr>
            </w:pPr>
            <w:r>
              <w:rPr>
                <w:rFonts w:ascii="Calibri" w:cs="Calibri" w:eastAsia="Calibri" w:hAnsi="Calibri"/>
                <w:sz w:val="16"/>
                <w:szCs w:val="16"/>
                <w:color w:val="auto"/>
              </w:rPr>
              <w:t>Accrued clinical trial expenses</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(1,402 )</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Accrued interest</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292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377</w:t>
            </w:r>
          </w:p>
        </w:tc>
      </w:tr>
      <w:tr>
        <w:trPr>
          <w:trHeight w:val="193"/>
        </w:trPr>
        <w:tc>
          <w:tcPr>
            <w:tcW w:w="7780" w:type="dxa"/>
            <w:vAlign w:val="bottom"/>
          </w:tcPr>
          <w:p>
            <w:pPr>
              <w:ind w:left="380"/>
              <w:spacing w:after="0" w:line="193" w:lineRule="exact"/>
              <w:rPr>
                <w:sz w:val="20"/>
                <w:szCs w:val="20"/>
                <w:color w:val="auto"/>
              </w:rPr>
            </w:pPr>
            <w:r>
              <w:rPr>
                <w:rFonts w:ascii="Calibri" w:cs="Calibri" w:eastAsia="Calibri" w:hAnsi="Calibri"/>
                <w:sz w:val="16"/>
                <w:szCs w:val="16"/>
                <w:color w:val="auto"/>
              </w:rPr>
              <w:t>Operatng right-of-use assets and lease liabilites</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194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(238 )</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Inventory</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(9,442 )</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780" w:type="dxa"/>
            <w:vAlign w:val="bottom"/>
          </w:tcPr>
          <w:p>
            <w:pPr>
              <w:ind w:left="380"/>
              <w:spacing w:after="0" w:line="193" w:lineRule="exact"/>
              <w:rPr>
                <w:sz w:val="20"/>
                <w:szCs w:val="20"/>
                <w:color w:val="auto"/>
              </w:rPr>
            </w:pPr>
            <w:r>
              <w:rPr>
                <w:rFonts w:ascii="Calibri" w:cs="Calibri" w:eastAsia="Calibri" w:hAnsi="Calibri"/>
                <w:sz w:val="16"/>
                <w:szCs w:val="16"/>
                <w:color w:val="auto"/>
              </w:rPr>
              <w:t>Other long-term assets</w:t>
            </w:r>
          </w:p>
        </w:tc>
        <w:tc>
          <w:tcPr>
            <w:tcW w:w="94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(1,394 )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(118 )</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8"/>
        </w:trPr>
        <w:tc>
          <w:tcPr>
            <w:tcW w:w="7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used in operatng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6"/>
              </w:rPr>
              <w:t>(137,580 )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(146,530 )</w:t>
            </w:r>
          </w:p>
        </w:tc>
      </w:tr>
      <w:tr>
        <w:trPr>
          <w:trHeight w:val="223"/>
        </w:trPr>
        <w:tc>
          <w:tcPr>
            <w:tcW w:w="77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Cash fows from investng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r>
      <w:tr>
        <w:trPr>
          <w:trHeight w:val="193"/>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Cash paid for property, plant and equipment</w:t>
            </w:r>
          </w:p>
        </w:tc>
        <w:tc>
          <w:tcPr>
            <w:tcW w:w="94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(1,634 )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(1,041 )</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8"/>
        </w:trPr>
        <w:tc>
          <w:tcPr>
            <w:tcW w:w="7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used in investng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(1,634 )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(1,041 )</w:t>
            </w:r>
          </w:p>
        </w:tc>
      </w:tr>
      <w:tr>
        <w:trPr>
          <w:trHeight w:val="223"/>
        </w:trPr>
        <w:tc>
          <w:tcPr>
            <w:tcW w:w="77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Cash fows from fnancing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r>
      <w:tr>
        <w:trPr>
          <w:trHeight w:val="193"/>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Proceeds from issuance of common stock from exercise of stock optons</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proceeds from issuance of debt</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39,318</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194"/>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Net proceeds from underwriten public ofering</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141,390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7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proceeds from revenue interest fnancing transacton</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172,675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95,446</w:t>
            </w:r>
          </w:p>
        </w:tc>
      </w:tr>
      <w:tr>
        <w:trPr>
          <w:trHeight w:val="193"/>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Net proceeds from issuance of common stock under ATM facility</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14,073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24,596</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8"/>
        </w:trPr>
        <w:tc>
          <w:tcPr>
            <w:tcW w:w="7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provided by fnancing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rPr>
              <w:t>367,580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120,042</w:t>
            </w:r>
          </w:p>
        </w:tc>
      </w:tr>
      <w:tr>
        <w:trPr>
          <w:trHeight w:val="223"/>
        </w:trPr>
        <w:tc>
          <w:tcPr>
            <w:tcW w:w="77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increase (decrease) in cash and cash equivalents and restricted cash</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rPr>
              <w:t>228,366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(27,529 )</w:t>
            </w:r>
          </w:p>
        </w:tc>
      </w:tr>
      <w:tr>
        <w:trPr>
          <w:trHeight w:val="194"/>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Cash and cash equivalents and restricted cash – beginning of period</w:t>
            </w:r>
          </w:p>
        </w:tc>
        <w:tc>
          <w:tcPr>
            <w:tcW w:w="940" w:type="dxa"/>
            <w:vAlign w:val="bottom"/>
          </w:tcPr>
          <w:p>
            <w:pPr>
              <w:spacing w:after="0"/>
              <w:rPr>
                <w:sz w:val="16"/>
                <w:szCs w:val="16"/>
                <w:color w:val="auto"/>
              </w:rPr>
            </w:pP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155,890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183,419</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8"/>
        </w:trPr>
        <w:tc>
          <w:tcPr>
            <w:tcW w:w="778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Cash and cash equivalents and restricted cash – end of period</w:t>
            </w:r>
          </w:p>
        </w:tc>
        <w:tc>
          <w:tcPr>
            <w:tcW w:w="940" w:type="dxa"/>
            <w:vAlign w:val="bottom"/>
            <w:tcBorders>
              <w:bottom w:val="single" w:sz="8" w:color="CFF0FC"/>
            </w:tcBorders>
            <w:shd w:val="clear" w:color="auto" w:fill="CFF0FC"/>
          </w:tcPr>
          <w:p>
            <w:pPr>
              <w:jc w:val="right"/>
              <w:ind w:right="779"/>
              <w:spacing w:after="0" w:line="187" w:lineRule="exact"/>
              <w:rPr>
                <w:sz w:val="20"/>
                <w:szCs w:val="20"/>
                <w:color w:val="auto"/>
              </w:rPr>
            </w:pPr>
            <w:r>
              <w:rPr>
                <w:rFonts w:ascii="Calibri" w:cs="Calibri" w:eastAsia="Calibri" w:hAnsi="Calibri"/>
                <w:sz w:val="16"/>
                <w:szCs w:val="16"/>
                <w:color w:val="auto"/>
                <w:w w:val="73"/>
              </w:rPr>
              <w:t>$</w:t>
            </w:r>
          </w:p>
        </w:tc>
        <w:tc>
          <w:tcPr>
            <w:tcW w:w="72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rPr>
              <w:t>384,256</w:t>
            </w:r>
          </w:p>
        </w:tc>
        <w:tc>
          <w:tcPr>
            <w:tcW w:w="520" w:type="dxa"/>
            <w:vAlign w:val="bottom"/>
            <w:tcBorders>
              <w:bottom w:val="single" w:sz="8" w:color="CFF0FC"/>
            </w:tcBorders>
            <w:gridSpan w:val="2"/>
            <w:shd w:val="clear" w:color="auto" w:fill="CFF0FC"/>
          </w:tcPr>
          <w:p>
            <w:pPr>
              <w:jc w:val="right"/>
              <w:ind w:right="179"/>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155,890</w:t>
            </w:r>
          </w:p>
        </w:tc>
      </w:tr>
      <w:tr>
        <w:trPr>
          <w:trHeight w:val="210"/>
        </w:trPr>
        <w:tc>
          <w:tcPr>
            <w:tcW w:w="778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0"/>
        </w:trPr>
        <w:tc>
          <w:tcPr>
            <w:tcW w:w="77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Supplemental disclosure of cash fow informaton</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r>
      <w:tr>
        <w:trPr>
          <w:trHeight w:val="194"/>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Interest paid</w:t>
            </w:r>
          </w:p>
        </w:tc>
        <w:tc>
          <w:tcPr>
            <w:tcW w:w="940" w:type="dxa"/>
            <w:vAlign w:val="bottom"/>
          </w:tcPr>
          <w:p>
            <w:pPr>
              <w:jc w:val="right"/>
              <w:ind w:right="779"/>
              <w:spacing w:after="0" w:line="193" w:lineRule="exact"/>
              <w:rPr>
                <w:sz w:val="20"/>
                <w:szCs w:val="20"/>
                <w:color w:val="auto"/>
              </w:rPr>
            </w:pPr>
            <w:r>
              <w:rPr>
                <w:rFonts w:ascii="Calibri" w:cs="Calibri" w:eastAsia="Calibri" w:hAnsi="Calibri"/>
                <w:sz w:val="16"/>
                <w:szCs w:val="16"/>
                <w:color w:val="auto"/>
                <w:w w:val="73"/>
              </w:rPr>
              <w:t>$</w:t>
            </w: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11,133</w:t>
            </w:r>
          </w:p>
        </w:tc>
        <w:tc>
          <w:tcPr>
            <w:tcW w:w="52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7,033</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778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b w:val="1"/>
                <w:bCs w:val="1"/>
                <w:color w:val="auto"/>
              </w:rPr>
              <w:t>Supplemental disclosure of noncash investng and fnancing actvites:</w:t>
            </w:r>
          </w:p>
        </w:tc>
        <w:tc>
          <w:tcPr>
            <w:tcW w:w="9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r>
      <w:tr>
        <w:trPr>
          <w:trHeight w:val="194"/>
        </w:trPr>
        <w:tc>
          <w:tcPr>
            <w:tcW w:w="778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and equipment purchases included in accounts payable and accrued expenses</w:t>
            </w:r>
          </w:p>
        </w:tc>
        <w:tc>
          <w:tcPr>
            <w:tcW w:w="940" w:type="dxa"/>
            <w:vAlign w:val="bottom"/>
          </w:tcPr>
          <w:p>
            <w:pPr>
              <w:jc w:val="right"/>
              <w:ind w:right="779"/>
              <w:spacing w:after="0" w:line="193" w:lineRule="exact"/>
              <w:rPr>
                <w:sz w:val="20"/>
                <w:szCs w:val="20"/>
                <w:color w:val="auto"/>
              </w:rPr>
            </w:pPr>
            <w:r>
              <w:rPr>
                <w:rFonts w:ascii="Calibri" w:cs="Calibri" w:eastAsia="Calibri" w:hAnsi="Calibri"/>
                <w:sz w:val="16"/>
                <w:szCs w:val="16"/>
                <w:color w:val="auto"/>
                <w:w w:val="73"/>
              </w:rPr>
              <w:t>$</w:t>
            </w:r>
          </w:p>
        </w:tc>
        <w:tc>
          <w:tcPr>
            <w:tcW w:w="7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18</w:t>
            </w:r>
          </w:p>
        </w:tc>
        <w:tc>
          <w:tcPr>
            <w:tcW w:w="52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138</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5"/>
        </w:trPr>
        <w:tc>
          <w:tcPr>
            <w:tcW w:w="778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color w:val="auto"/>
              </w:rPr>
              <w:t>Final interest payment fee</w:t>
            </w:r>
          </w:p>
        </w:tc>
        <w:tc>
          <w:tcPr>
            <w:tcW w:w="940" w:type="dxa"/>
            <w:vAlign w:val="bottom"/>
            <w:tcBorders>
              <w:bottom w:val="single" w:sz="8" w:color="CFF0FC"/>
            </w:tcBorders>
            <w:shd w:val="clear" w:color="auto" w:fill="CFF0FC"/>
          </w:tcPr>
          <w:p>
            <w:pPr>
              <w:jc w:val="right"/>
              <w:ind w:right="779"/>
              <w:spacing w:after="0" w:line="174" w:lineRule="exact"/>
              <w:rPr>
                <w:sz w:val="20"/>
                <w:szCs w:val="20"/>
                <w:color w:val="auto"/>
              </w:rPr>
            </w:pPr>
            <w:r>
              <w:rPr>
                <w:rFonts w:ascii="Calibri" w:cs="Calibri" w:eastAsia="Calibri" w:hAnsi="Calibri"/>
                <w:sz w:val="16"/>
                <w:szCs w:val="16"/>
                <w:color w:val="auto"/>
                <w:w w:val="73"/>
              </w:rPr>
              <w:t>$</w:t>
            </w:r>
          </w:p>
        </w:tc>
        <w:tc>
          <w:tcPr>
            <w:tcW w:w="720" w:type="dxa"/>
            <w:vAlign w:val="bottom"/>
            <w:tcBorders>
              <w:bottom w:val="single" w:sz="8" w:color="CFF0FC"/>
            </w:tcBorders>
            <w:shd w:val="clear" w:color="auto" w:fill="CFF0FC"/>
          </w:tcPr>
          <w:p>
            <w:pPr>
              <w:jc w:val="right"/>
              <w:ind w:right="59"/>
              <w:spacing w:after="0" w:line="174" w:lineRule="exact"/>
              <w:rPr>
                <w:sz w:val="20"/>
                <w:szCs w:val="20"/>
                <w:color w:val="auto"/>
              </w:rPr>
            </w:pPr>
            <w:r>
              <w:rPr>
                <w:rFonts w:ascii="Calibri" w:cs="Calibri" w:eastAsia="Calibri" w:hAnsi="Calibri"/>
                <w:sz w:val="16"/>
                <w:szCs w:val="16"/>
                <w:color w:val="auto"/>
              </w:rPr>
              <w:t>2,200</w:t>
            </w:r>
          </w:p>
        </w:tc>
        <w:tc>
          <w:tcPr>
            <w:tcW w:w="520" w:type="dxa"/>
            <w:vAlign w:val="bottom"/>
            <w:tcBorders>
              <w:bottom w:val="single" w:sz="8" w:color="CFF0FC"/>
            </w:tcBorders>
            <w:gridSpan w:val="2"/>
            <w:shd w:val="clear" w:color="auto" w:fill="CFF0FC"/>
          </w:tcPr>
          <w:p>
            <w:pPr>
              <w:jc w:val="right"/>
              <w:ind w:right="179"/>
              <w:spacing w:after="0" w:line="174"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CFF0FC"/>
            </w:tcBorders>
            <w:shd w:val="clear" w:color="auto" w:fill="CFF0FC"/>
          </w:tcPr>
          <w:p>
            <w:pPr>
              <w:jc w:val="right"/>
              <w:ind w:right="39"/>
              <w:spacing w:after="0" w:line="174" w:lineRule="exact"/>
              <w:rPr>
                <w:sz w:val="20"/>
                <w:szCs w:val="20"/>
                <w:color w:val="auto"/>
              </w:rPr>
            </w:pPr>
            <w:r>
              <w:rPr>
                <w:rFonts w:ascii="Calibri" w:cs="Calibri" w:eastAsia="Calibri" w:hAnsi="Calibri"/>
                <w:sz w:val="16"/>
                <w:szCs w:val="16"/>
                <w:color w:val="auto"/>
              </w:rPr>
              <w:t>—</w:t>
            </w:r>
          </w:p>
        </w:tc>
      </w:tr>
      <w:tr>
        <w:trPr>
          <w:trHeight w:val="174"/>
        </w:trPr>
        <w:tc>
          <w:tcPr>
            <w:tcW w:w="7780" w:type="dxa"/>
            <w:vAlign w:val="bottom"/>
            <w:tcBorders>
              <w:top w:val="single" w:sz="8" w:color="CFF0FC"/>
            </w:tcBorders>
          </w:tcPr>
          <w:p>
            <w:pPr>
              <w:ind w:left="20"/>
              <w:spacing w:after="0" w:line="174" w:lineRule="exact"/>
              <w:rPr>
                <w:sz w:val="20"/>
                <w:szCs w:val="20"/>
                <w:color w:val="auto"/>
              </w:rPr>
            </w:pPr>
            <w:r>
              <w:rPr>
                <w:rFonts w:ascii="Calibri" w:cs="Calibri" w:eastAsia="Calibri" w:hAnsi="Calibri"/>
                <w:sz w:val="16"/>
                <w:szCs w:val="16"/>
                <w:color w:val="auto"/>
              </w:rPr>
              <w:t>Setlement of ESPP liability in common stock</w:t>
            </w:r>
          </w:p>
        </w:tc>
        <w:tc>
          <w:tcPr>
            <w:tcW w:w="940" w:type="dxa"/>
            <w:vAlign w:val="bottom"/>
            <w:tcBorders>
              <w:top w:val="single" w:sz="8" w:color="auto"/>
            </w:tcBorders>
          </w:tcPr>
          <w:p>
            <w:pPr>
              <w:jc w:val="right"/>
              <w:ind w:right="779"/>
              <w:spacing w:after="0" w:line="174" w:lineRule="exact"/>
              <w:rPr>
                <w:sz w:val="20"/>
                <w:szCs w:val="20"/>
                <w:color w:val="auto"/>
              </w:rPr>
            </w:pPr>
            <w:r>
              <w:rPr>
                <w:rFonts w:ascii="Calibri" w:cs="Calibri" w:eastAsia="Calibri" w:hAnsi="Calibri"/>
                <w:sz w:val="16"/>
                <w:szCs w:val="16"/>
                <w:color w:val="auto"/>
                <w:w w:val="73"/>
              </w:rPr>
              <w:t>$</w:t>
            </w:r>
          </w:p>
        </w:tc>
        <w:tc>
          <w:tcPr>
            <w:tcW w:w="720" w:type="dxa"/>
            <w:vAlign w:val="bottom"/>
            <w:tcBorders>
              <w:top w:val="single" w:sz="8" w:color="auto"/>
            </w:tcBorders>
          </w:tcPr>
          <w:p>
            <w:pPr>
              <w:jc w:val="right"/>
              <w:ind w:right="59"/>
              <w:spacing w:after="0" w:line="174" w:lineRule="exact"/>
              <w:rPr>
                <w:sz w:val="20"/>
                <w:szCs w:val="20"/>
                <w:color w:val="auto"/>
              </w:rPr>
            </w:pPr>
            <w:r>
              <w:rPr>
                <w:rFonts w:ascii="Calibri" w:cs="Calibri" w:eastAsia="Calibri" w:hAnsi="Calibri"/>
                <w:sz w:val="16"/>
                <w:szCs w:val="16"/>
                <w:color w:val="auto"/>
              </w:rPr>
              <w:t>1,417</w:t>
            </w: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jc w:val="right"/>
              <w:ind w:right="179"/>
              <w:spacing w:after="0" w:line="174"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ind w:right="39"/>
              <w:spacing w:after="0" w:line="174" w:lineRule="exact"/>
              <w:rPr>
                <w:sz w:val="20"/>
                <w:szCs w:val="20"/>
                <w:color w:val="auto"/>
              </w:rPr>
            </w:pPr>
            <w:r>
              <w:rPr>
                <w:rFonts w:ascii="Calibri" w:cs="Calibri" w:eastAsia="Calibri" w:hAnsi="Calibri"/>
                <w:sz w:val="16"/>
                <w:szCs w:val="16"/>
                <w:color w:val="auto"/>
              </w:rPr>
              <w:t>909</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5"/>
        </w:trPr>
        <w:tc>
          <w:tcPr>
            <w:tcW w:w="778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color w:val="auto"/>
              </w:rPr>
              <w:t>Setlement of 401(k) liability in common stock</w:t>
            </w:r>
          </w:p>
        </w:tc>
        <w:tc>
          <w:tcPr>
            <w:tcW w:w="940" w:type="dxa"/>
            <w:vAlign w:val="bottom"/>
            <w:tcBorders>
              <w:bottom w:val="single" w:sz="8" w:color="CFF0FC"/>
            </w:tcBorders>
            <w:shd w:val="clear" w:color="auto" w:fill="CFF0FC"/>
          </w:tcPr>
          <w:p>
            <w:pPr>
              <w:jc w:val="right"/>
              <w:ind w:right="779"/>
              <w:spacing w:after="0" w:line="174" w:lineRule="exact"/>
              <w:rPr>
                <w:sz w:val="20"/>
                <w:szCs w:val="20"/>
                <w:color w:val="auto"/>
              </w:rPr>
            </w:pPr>
            <w:r>
              <w:rPr>
                <w:rFonts w:ascii="Calibri" w:cs="Calibri" w:eastAsia="Calibri" w:hAnsi="Calibri"/>
                <w:sz w:val="16"/>
                <w:szCs w:val="16"/>
                <w:color w:val="auto"/>
                <w:w w:val="73"/>
              </w:rPr>
              <w:t>$</w:t>
            </w:r>
          </w:p>
        </w:tc>
        <w:tc>
          <w:tcPr>
            <w:tcW w:w="720" w:type="dxa"/>
            <w:vAlign w:val="bottom"/>
            <w:tcBorders>
              <w:bottom w:val="single" w:sz="8" w:color="CFF0FC"/>
            </w:tcBorders>
            <w:shd w:val="clear" w:color="auto" w:fill="CFF0FC"/>
          </w:tcPr>
          <w:p>
            <w:pPr>
              <w:jc w:val="right"/>
              <w:ind w:right="59"/>
              <w:spacing w:after="0" w:line="174" w:lineRule="exact"/>
              <w:rPr>
                <w:sz w:val="20"/>
                <w:szCs w:val="20"/>
                <w:color w:val="auto"/>
              </w:rPr>
            </w:pPr>
            <w:r>
              <w:rPr>
                <w:rFonts w:ascii="Calibri" w:cs="Calibri" w:eastAsia="Calibri" w:hAnsi="Calibri"/>
                <w:sz w:val="16"/>
                <w:szCs w:val="16"/>
                <w:color w:val="auto"/>
              </w:rPr>
              <w:t>1,612</w:t>
            </w:r>
          </w:p>
        </w:tc>
        <w:tc>
          <w:tcPr>
            <w:tcW w:w="520" w:type="dxa"/>
            <w:vAlign w:val="bottom"/>
            <w:tcBorders>
              <w:bottom w:val="single" w:sz="8" w:color="CFF0FC"/>
            </w:tcBorders>
            <w:gridSpan w:val="2"/>
            <w:shd w:val="clear" w:color="auto" w:fill="CFF0FC"/>
          </w:tcPr>
          <w:p>
            <w:pPr>
              <w:jc w:val="right"/>
              <w:ind w:right="179"/>
              <w:spacing w:after="0" w:line="174"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CFF0FC"/>
            </w:tcBorders>
            <w:shd w:val="clear" w:color="auto" w:fill="CFF0FC"/>
          </w:tcPr>
          <w:p>
            <w:pPr>
              <w:jc w:val="right"/>
              <w:ind w:right="39"/>
              <w:spacing w:after="0" w:line="174" w:lineRule="exact"/>
              <w:rPr>
                <w:sz w:val="20"/>
                <w:szCs w:val="20"/>
                <w:color w:val="auto"/>
              </w:rPr>
            </w:pPr>
            <w:r>
              <w:rPr>
                <w:rFonts w:ascii="Calibri" w:cs="Calibri" w:eastAsia="Calibri" w:hAnsi="Calibri"/>
                <w:sz w:val="16"/>
                <w:szCs w:val="16"/>
                <w:color w:val="auto"/>
              </w:rPr>
              <w:t>1,116</w:t>
            </w:r>
          </w:p>
        </w:tc>
      </w:tr>
      <w:tr>
        <w:trPr>
          <w:trHeight w:val="174"/>
        </w:trPr>
        <w:tc>
          <w:tcPr>
            <w:tcW w:w="7780" w:type="dxa"/>
            <w:vAlign w:val="bottom"/>
            <w:tcBorders>
              <w:top w:val="single" w:sz="8" w:color="CFF0FC"/>
            </w:tcBorders>
          </w:tcPr>
          <w:p>
            <w:pPr>
              <w:ind w:left="20"/>
              <w:spacing w:after="0" w:line="174" w:lineRule="exact"/>
              <w:rPr>
                <w:sz w:val="20"/>
                <w:szCs w:val="20"/>
                <w:color w:val="auto"/>
              </w:rPr>
            </w:pPr>
            <w:r>
              <w:rPr>
                <w:rFonts w:ascii="Calibri" w:cs="Calibri" w:eastAsia="Calibri" w:hAnsi="Calibri"/>
                <w:sz w:val="16"/>
                <w:szCs w:val="16"/>
                <w:color w:val="auto"/>
              </w:rPr>
              <w:t>Operatng lease liabilites arising from obtaining right-of-use assets</w:t>
            </w:r>
          </w:p>
        </w:tc>
        <w:tc>
          <w:tcPr>
            <w:tcW w:w="940" w:type="dxa"/>
            <w:vAlign w:val="bottom"/>
            <w:tcBorders>
              <w:top w:val="single" w:sz="8" w:color="auto"/>
            </w:tcBorders>
          </w:tcPr>
          <w:p>
            <w:pPr>
              <w:jc w:val="right"/>
              <w:ind w:right="779"/>
              <w:spacing w:after="0" w:line="174" w:lineRule="exact"/>
              <w:rPr>
                <w:sz w:val="20"/>
                <w:szCs w:val="20"/>
                <w:color w:val="auto"/>
              </w:rPr>
            </w:pPr>
            <w:r>
              <w:rPr>
                <w:rFonts w:ascii="Calibri" w:cs="Calibri" w:eastAsia="Calibri" w:hAnsi="Calibri"/>
                <w:sz w:val="16"/>
                <w:szCs w:val="16"/>
                <w:color w:val="auto"/>
                <w:w w:val="73"/>
              </w:rPr>
              <w:t>$</w:t>
            </w:r>
          </w:p>
        </w:tc>
        <w:tc>
          <w:tcPr>
            <w:tcW w:w="720" w:type="dxa"/>
            <w:vAlign w:val="bottom"/>
            <w:tcBorders>
              <w:top w:val="single" w:sz="8" w:color="auto"/>
            </w:tcBorders>
          </w:tcPr>
          <w:p>
            <w:pPr>
              <w:jc w:val="right"/>
              <w:ind w:right="59"/>
              <w:spacing w:after="0" w:line="174" w:lineRule="exact"/>
              <w:rPr>
                <w:sz w:val="20"/>
                <w:szCs w:val="20"/>
                <w:color w:val="auto"/>
              </w:rPr>
            </w:pPr>
            <w:r>
              <w:rPr>
                <w:rFonts w:ascii="Calibri" w:cs="Calibri" w:eastAsia="Calibri" w:hAnsi="Calibri"/>
                <w:sz w:val="16"/>
                <w:szCs w:val="16"/>
                <w:color w:val="auto"/>
              </w:rPr>
              <w:t>—</w:t>
            </w: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jc w:val="right"/>
              <w:ind w:right="179"/>
              <w:spacing w:after="0" w:line="174"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ind w:right="39"/>
              <w:spacing w:after="0" w:line="174" w:lineRule="exact"/>
              <w:rPr>
                <w:sz w:val="20"/>
                <w:szCs w:val="20"/>
                <w:color w:val="auto"/>
              </w:rPr>
            </w:pPr>
            <w:r>
              <w:rPr>
                <w:rFonts w:ascii="Calibri" w:cs="Calibri" w:eastAsia="Calibri" w:hAnsi="Calibri"/>
                <w:sz w:val="16"/>
                <w:szCs w:val="16"/>
                <w:color w:val="auto"/>
              </w:rPr>
              <w:t>554</w:t>
            </w:r>
          </w:p>
        </w:tc>
      </w:tr>
      <w:tr>
        <w:trPr>
          <w:trHeight w:val="36"/>
        </w:trPr>
        <w:tc>
          <w:tcPr>
            <w:tcW w:w="7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-3874135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-3274060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-2091055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-1490980</wp:posOffset>
            </wp:positionV>
            <wp:extent cx="111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-1473835</wp:posOffset>
            </wp:positionV>
            <wp:extent cx="1111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-539115</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-521970</wp:posOffset>
            </wp:positionV>
            <wp:extent cx="111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-196215</wp:posOffset>
            </wp:positionV>
            <wp:extent cx="1111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center"/>
        <w:ind w:right="-19"/>
        <w:spacing w:after="0"/>
        <w:rPr>
          <w:sz w:val="20"/>
          <w:szCs w:val="20"/>
          <w:color w:val="auto"/>
        </w:rPr>
      </w:pPr>
      <w:r>
        <w:rPr>
          <w:rFonts w:ascii="Calibri" w:cs="Calibri" w:eastAsia="Calibri" w:hAnsi="Calibri"/>
          <w:sz w:val="18"/>
          <w:szCs w:val="18"/>
          <w:b w:val="1"/>
          <w:bCs w:val="1"/>
          <w:color w:val="auto"/>
        </w:rPr>
        <w:t>PHATHOM PHARMACEUTICALS, INC.</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Financial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Organizaton, Basis of Presentaton and Summary of Signifcant Accountng Policies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Organizaton and Basis of Presentaton</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On October 27, 2023, the U.S. Food and Drug Administraton, or FDA, approved the prior approval supplements to our new drug applicatons, or NDAs, for VOQUEZNA TRIPLE PAK and VOQUEZNA DUAL PAK. Additonally, on November 1, 2023, the FDA approved our NDA for VOQUEZNA tablets. As a result, the Company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the fourth quarter of 2023.</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177"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From incepton to December 31, 2023, the Company has devoted substantally all of its eforts to organizing and stafng the Company, business planning, raising capital, in-licensing its inital and approved product candidate, vonoprazan, meetng with regulatory authorites, managing the clinical trials of vonoprazan, preparing for commercializaton of its inital products containing vonoprazan, commercial launch of approved products, and providing other selling, general and administratve support for these operatons. The Company has a limited operatng history, generated limited revenue to date, and the sales and income potental of its business is unproven. The Company has incurred net losses and negatve cash fows from operatng actvites since its incepton and expects to contnue to incur additonal net losses in the future. From incepton to December 31, 2023, the Company has funded its operatons through the issuance of convertble promissory notes, commercial bank debt, revenue interest fnancing debt, the sale of 10,997,630 shares of common stock for net proceeds of approximately $191.5 million in its 2019 IPO, the sale of 2,250,000 shares of common stock for net proceeds of approximately $88.6 million in its December 2020 follow-on public ofering, the sale of 3,929,116 shares of common stock for net proceeds of approximately $38.7 million in its issuances of common stock pursuant to the Open Market Sale Agreement</w:t>
      </w:r>
      <w:r>
        <w:rPr>
          <w:rFonts w:ascii="Calibri" w:cs="Calibri" w:eastAsia="Calibri" w:hAnsi="Calibri"/>
          <w:sz w:val="19"/>
          <w:szCs w:val="19"/>
          <w:color w:val="auto"/>
          <w:vertAlign w:val="superscript"/>
        </w:rPr>
        <w:t>SM</w:t>
      </w:r>
      <w:r>
        <w:rPr>
          <w:rFonts w:ascii="Calibri" w:cs="Calibri" w:eastAsia="Calibri" w:hAnsi="Calibri"/>
          <w:sz w:val="17"/>
          <w:szCs w:val="17"/>
          <w:color w:val="auto"/>
        </w:rPr>
        <w:t>, or the Sales Agreement, with Jeferies LLC, or the Sales Agent, under which the Company may, from tme to tme, sell shares of its common stock having an aggregate ofering price of up to $150 million, or the ATM Ofering, and the sale of 12,793,750 shares of common stock for net proceeds of approximately $141.4 million in its May 2023 public ofering.</w:t>
      </w:r>
    </w:p>
    <w:p>
      <w:pPr>
        <w:spacing w:after="0" w:line="17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9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Management believes that it has sufcient working capital on hand to fund operatons through at least the next twelve months from the date these fnancial statements were available to be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5" w:name="page136"/>
    <w:bookmarkEnd w:id="135"/>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1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preparaton of the Company’s fnancial statements requires management to make estmates and assumptons that impact the reported amounts of assets, liabilites, revenues and expenses, and the disclosure of contngent assets and liabilites in the Company’s fnancial statements and accompanying notes. The most signifcant estmates in the Company’s fnancial statements relate to accruals for net product revenues and research and development expenses, the valuaton for the revenue interest fnancing liability, and various other equity instruments. In additon, management’s assessment of the Company’s ability to contnue as a going concern involves the estmaton of the amount and tming of future cash infows and outlows. Although these estmates are based on the Company’s knowledge of current events and actons it may undertake in the future, actual results could difer materially from those estmates and assumptons.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Measurements</w:t>
      </w:r>
    </w:p>
    <w:p>
      <w:pPr>
        <w:spacing w:after="0" w:line="177" w:lineRule="exact"/>
        <w:rPr>
          <w:sz w:val="20"/>
          <w:szCs w:val="20"/>
          <w:color w:val="auto"/>
        </w:rPr>
      </w:pPr>
    </w:p>
    <w:p>
      <w:pPr>
        <w:ind w:right="140" w:firstLine="509"/>
        <w:spacing w:after="0" w:line="251" w:lineRule="auto"/>
        <w:rPr>
          <w:sz w:val="20"/>
          <w:szCs w:val="20"/>
          <w:color w:val="auto"/>
        </w:rPr>
      </w:pPr>
      <w:r>
        <w:rPr>
          <w:rFonts w:ascii="Calibri" w:cs="Calibri" w:eastAsia="Calibri" w:hAnsi="Calibri"/>
          <w:sz w:val="17"/>
          <w:szCs w:val="17"/>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 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color w:val="auto"/>
        </w:rPr>
        <w:t>Level 1: Observable inputs such as quoted prices in actve markets.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Level 2: Inputs, other than the quoted prices in actve markets that are observable either directly or indirectly.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Level 3: Unobservable inputs in which there is litle or no market data, which require the reportng entty to develop its own assumptons.</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carrying amounts of the Company’s fnancial instruments, including cash and cash equivalents, are classifed within the Level 1 designaton discussed above, while accounts receivable, prepaid and other current assets, accounts payable, and accrued liabilites, approximate fair value due to their short-term maturites.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of December 31, 2023 and 2022,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 Net</w:t>
      </w:r>
    </w:p>
    <w:p>
      <w:pPr>
        <w:spacing w:after="0" w:line="190" w:lineRule="exact"/>
        <w:rPr>
          <w:sz w:val="20"/>
          <w:szCs w:val="20"/>
          <w:color w:val="auto"/>
        </w:rPr>
      </w:pPr>
    </w:p>
    <w:p>
      <w:pPr>
        <w:ind w:right="20" w:firstLine="549"/>
        <w:spacing w:after="0" w:line="235" w:lineRule="auto"/>
        <w:rPr>
          <w:sz w:val="20"/>
          <w:szCs w:val="20"/>
          <w:color w:val="auto"/>
        </w:rPr>
      </w:pPr>
      <w:r>
        <w:rPr>
          <w:rFonts w:ascii="Calibri" w:cs="Calibri" w:eastAsia="Calibri" w:hAnsi="Calibri"/>
          <w:sz w:val="18"/>
          <w:szCs w:val="18"/>
          <w:color w:val="auto"/>
        </w:rPr>
        <w:t>Accounts receivable consists of amounts due from customers, primarily wholesale distributors, net of customer allowances for prompt pay discounts, distributon service fees, and other adjustments. Our contracts with customers have standard payment terms. The Company assesses the need for an allowance for doubtul accounts primarily based on creditworthiness, historical payment experience and general economic conditons. The Company has not experienced any credit losses to date given our limited commercial operatons with any of its customers, and has not currently recognized any allowance for doubtul accounts.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Concentratons of Credit Risk</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1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is also subject to credit risk from our accounts receivable related to our product sales. The Company monitors exposure within accounts receivable and records a reserve against uncollectble accounts receivable as necessary. The Company extends credit primarily to pharmaceutcal wholesale distributors. Customer creditworthiness is monitored and collateral is not required. The amount of the allowance for credit losses is determined primarily on the basis of collecton experience and known fnancial factors regarding specifc customers.</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December 31, 2023, three customers accounted for 87% of the accounts receivable balance, with each of these individual customers ranging from 28% to 30% of the accounts receivable balance. For the year ended December 31, 2023, three customers accounted for 86% of our product sales, with each of these individual customers ranging from 27% to 30% of our product sales.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177" w:lineRule="exact"/>
        <w:rPr>
          <w:sz w:val="20"/>
          <w:szCs w:val="20"/>
          <w:color w:val="auto"/>
        </w:rPr>
      </w:pPr>
    </w:p>
    <w:p>
      <w:pPr>
        <w:ind w:right="20" w:firstLine="549"/>
        <w:spacing w:after="0" w:line="235" w:lineRule="auto"/>
        <w:rPr>
          <w:sz w:val="20"/>
          <w:szCs w:val="20"/>
          <w:color w:val="auto"/>
        </w:rPr>
      </w:pPr>
      <w:r>
        <w:rPr>
          <w:rFonts w:ascii="Calibri" w:cs="Calibri" w:eastAsia="Calibri" w:hAnsi="Calibri"/>
          <w:sz w:val="18"/>
          <w:szCs w:val="18"/>
          <w:color w:val="auto"/>
        </w:rPr>
        <w:t>The Company capitalizes inventory costs related to products to be sold in the ordinary course of business. The Company makes a determinaton of capitalizing inventory costs for a product based on, among other factors, status of regulatory approval, informaton regarding safety, efcacy and expectatons relatng to commercial sales and recoverability of costs. Inventory currently consists of bulk actve pharmaceutcal ingredients that will be used to manufacture vonoprazan tablets. Inventory related to indicatons prior to regulatory approval has been included in research and development expense in the period of purchase.</w:t>
      </w:r>
    </w:p>
    <w:p>
      <w:pPr>
        <w:spacing w:after="0" w:line="180" w:lineRule="exact"/>
        <w:rPr>
          <w:sz w:val="20"/>
          <w:szCs w:val="20"/>
          <w:color w:val="auto"/>
        </w:rPr>
      </w:pPr>
    </w:p>
    <w:p>
      <w:pPr>
        <w:jc w:val="both"/>
        <w:ind w:right="60" w:firstLine="509"/>
        <w:spacing w:after="0" w:line="246" w:lineRule="auto"/>
        <w:rPr>
          <w:sz w:val="20"/>
          <w:szCs w:val="20"/>
          <w:color w:val="auto"/>
        </w:rPr>
      </w:pPr>
      <w:r>
        <w:rPr>
          <w:rFonts w:ascii="Calibri" w:cs="Calibri" w:eastAsia="Calibri" w:hAnsi="Calibri"/>
          <w:sz w:val="18"/>
          <w:szCs w:val="18"/>
          <w:color w:val="auto"/>
        </w:rPr>
        <w:t>The Company values its inventory at the lower of cost or net realizable value. The Company measures inventory using actual cost under a frst-in, frst-out basis. The Company assesses recoverability of inventory each reportng period to determine any write down to net realizable value resultng from excess or obsolete inventories</w:t>
      </w:r>
      <w:r>
        <w:rPr>
          <w:rFonts w:ascii="Times New Roman" w:cs="Times New Roman" w:eastAsia="Times New Roman" w:hAnsi="Times New Roman"/>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Property, plant and equipment are recorded at cost, less accumulated depreciaton. Depreciaton expense is recognized using the straight-line method over the useful life of the asset. Computer equipment and related sofware are depreciated over two to three years. Equipment is depreciated over fve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through December 31, 2023 and 2022.</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Long-Term Assets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Other long-term assets consist of deposits relatng to our copay and patent support programs and security deposits on our leased propertes.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 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in May 2022. Subsequently, in October 2022, the Company entered into a Joinder Agreement with the Inital Investors and CO Finance LVS XXXVII LLC or the Additonal Investor, together as the Investors. The net proceeds received under the transactons are recognized as short-term and long-term liabilites with interest expense based on an imputed efectve rate derived from the expected future payments to the Investors. The Company recalculates the efectve interest rate each period based on the current carrying value and the revised estmated future payments to the Investors. Changes in future payments to the Investors from previous estmates are included in current and future fnancing expense.</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Accountng Standards Codifcaton 606, Revenue from Contracts with Customers or ASC 606, the Company recognizes revenue when a customer obtains control of promised goods or services. The Company records the amount of revenue that refects the consideraton that it expects to receive in exchange for those goods or services. The Company applies the following fve-step model in order to determine this amount: (i) identfcaton of the promised goods or services in the contract; (ii) determinaton of whether the promised goods or services are performance obligatons, including whether they are distnct in the context of the contract; (iii) measurement of the transacton price, including the constraint on variable consideraton; (iv) allocaton of the transacton price to the performance obligatons; and (v) recogniton of revenue when (or as) the Company satsfes each performance obligaton. The Company only applies the fve-step model to contracts when it is probable that it will collect the consideraton to which it is enttled in exchange for the goods or services that it transfers to the customer. Once a contract is determined to be within the scope of ASC 606 at contract incepton, the Company reviews the contract to determine which performance obligatons it must deliver and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which of these performance obligatons are distnct. The Company recognizes as revenue the amount of the transacton price that is allocated to each performance obligaton when that performance obligaton is satsfed or as it is satsfed. Generally, the Company’s performance obligatons are transferred to customers at a point in tme, typically upon delivery.</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Revenue, Net</w:t>
      </w:r>
    </w:p>
    <w:p>
      <w:pPr>
        <w:spacing w:after="0" w:line="17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The Company sells its product to its customers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Revenues from product sales are recorded at the net sales price, or transacton price, which includes estmates of variable consideraton that result from (a) invoice discounts for prompt payment and distributon service fees, (b) government and private payor rebates, chargebacks, discounts and fees, (c) product returns and (d) costs of co-pay assistance programs for patents, as well as other incentves for certain indirect customers. Reserves are established for the estmates of variable consideraton based on the amounts earned or to be claimed on the related sales. The reserves are classifed as reductons to accounts receivable, net if payable to a customer or accrued expenses if payable to a third-party. Where appropriate, the Company utlizes the expected value method to determine the appropriate amount for estmates of variable consideraton based on factors such as current contractual and statutory requirements, specifc known market events and trends, industry data and forecasted customer buying and payment paterns. The amount of variable consideraton that is included in the transacton price may be constrained and is included in net product revenues only to the extent that it is probable that a signifcant reversal in the amount of the cumulatve revenue recognized will not occur in a future period. Actual amounts of consideraton ultmately received may difer from the Company’s estmates. If actual results vary from the Company’s estmates, the Company will adjust these estmates, which would afect net product revenue and earnings in the period such variances become known.</w:t>
      </w:r>
    </w:p>
    <w:p>
      <w:pPr>
        <w:spacing w:after="0" w:line="19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Distributon Service Fees: </w:t>
      </w:r>
      <w:r>
        <w:rPr>
          <w:rFonts w:ascii="Calibri" w:cs="Calibri" w:eastAsia="Calibri" w:hAnsi="Calibri"/>
          <w:sz w:val="18"/>
          <w:szCs w:val="18"/>
          <w:color w:val="auto"/>
        </w:rPr>
        <w:t>The Company engages with wholesalers to distribute its products to end customers. The Company pays the wholesalers a fee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 services such as: Data Reportng, Inventory Management, Chargeback Administraton and Service Level Commitment. The Company estmates the amount of distributon services fees to be paid to the customers and adjusts the transacton price with the amount of such estmate at the tme of sale to the customer.</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i w:val="1"/>
          <w:iCs w:val="1"/>
          <w:color w:val="auto"/>
        </w:rPr>
        <w:t xml:space="preserve">Prompt Pay Discounts: </w:t>
      </w:r>
      <w:r>
        <w:rPr>
          <w:rFonts w:ascii="Calibri" w:cs="Calibri" w:eastAsia="Calibri" w:hAnsi="Calibri"/>
          <w:sz w:val="18"/>
          <w:szCs w:val="18"/>
          <w:color w:val="auto"/>
        </w:rPr>
        <w:t>The Company provides its customers with a percentage discount on their invoice if the customers pay within the agreed upon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tmeframe. The Company estmates the probability of customers paying promptly and the percentage of discount outlined in the agreement, and deducts the full amount of these discounts from its gross product revenues and accounts receivable at the tme such revenues are recognized.</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i w:val="1"/>
          <w:iCs w:val="1"/>
          <w:color w:val="auto"/>
        </w:rPr>
        <w:t xml:space="preserve">Product Returns: </w:t>
      </w:r>
      <w:r>
        <w:rPr>
          <w:rFonts w:ascii="Calibri" w:cs="Calibri" w:eastAsia="Calibri" w:hAnsi="Calibri"/>
          <w:sz w:val="18"/>
          <w:szCs w:val="18"/>
          <w:color w:val="auto"/>
        </w:rPr>
        <w:t>The Company provides customers a return credit in the amount of the purchase price paid by customers for all products returned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accordance with the Company’s returned goods policy. In the inital sales period, the Company estmates its provision for sales returns based on industry data and adjusts the transacton price with such estmate at the tme of sale to the customer. Once sufcient history has been collected for product returns, the Company will utlize that history to inform its estmate assumpton. Once the product is returned, it is destroyed. The Company does not record a right-of-return asset.</w:t>
      </w:r>
    </w:p>
    <w:p>
      <w:pPr>
        <w:spacing w:after="0" w:line="19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i w:val="1"/>
          <w:iCs w:val="1"/>
          <w:color w:val="auto"/>
        </w:rPr>
        <w:t xml:space="preserve">Chargebacks: </w:t>
      </w:r>
      <w:r>
        <w:rPr>
          <w:rFonts w:ascii="Calibri" w:cs="Calibri" w:eastAsia="Calibri" w:hAnsi="Calibri"/>
          <w:sz w:val="18"/>
          <w:szCs w:val="18"/>
          <w:color w:val="auto"/>
        </w:rPr>
        <w:t>A chargeback is the diference between the manufacturer's invoice price to the wholesaler and the contract price the wholesaler’s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customer has negotated directly with the manufacturer. The wholesaler tracks these sales and "charges back" the manufacturer for the diference between the negotated prices paid between the wholesaler's customers and wholesaler's acquisiton cost. The Company estmates the percentage of goods sold that are eligible for chargeback and adjusts the transacton price for such discount at the tme of sale to the customer.</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i w:val="1"/>
          <w:iCs w:val="1"/>
          <w:color w:val="auto"/>
        </w:rPr>
        <w:t xml:space="preserve">Administraton Fees: </w:t>
      </w:r>
      <w:r>
        <w:rPr>
          <w:rFonts w:ascii="Calibri" w:cs="Calibri" w:eastAsia="Calibri" w:hAnsi="Calibri"/>
          <w:sz w:val="18"/>
          <w:szCs w:val="18"/>
          <w:color w:val="auto"/>
        </w:rPr>
        <w:t>The Company engages with Pharmacy Beneft Managers, or PBMs, to administer prescripton-drug plans for people with third-party insurance through a self-insured employer, health insurance plan, labor union or government plan. The Company pays PBMs “administratve fees” for their role in providing utlizaton data, administering rebates, and administering claims payments. The Company estmates the amount of administraton fees to be paid to PBMs and adjusts the transacton price with the amount of such estmate at the tme of sale to the customer.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Rebates</w:t>
      </w:r>
      <w:r>
        <w:rPr>
          <w:rFonts w:ascii="Calibri" w:cs="Calibri" w:eastAsia="Calibri" w:hAnsi="Calibri"/>
          <w:sz w:val="18"/>
          <w:szCs w:val="18"/>
          <w:color w:val="auto"/>
        </w:rPr>
        <w:t>: Rebates apply to:</w:t>
      </w:r>
    </w:p>
    <w:p>
      <w:pPr>
        <w:spacing w:after="0" w:line="123" w:lineRule="exact"/>
        <w:rPr>
          <w:sz w:val="20"/>
          <w:szCs w:val="20"/>
          <w:color w:val="auto"/>
        </w:rPr>
      </w:pPr>
    </w:p>
    <w:p>
      <w:pPr>
        <w:ind w:left="1020" w:right="720" w:hanging="503"/>
        <w:spacing w:after="0" w:line="235" w:lineRule="auto"/>
        <w:tabs>
          <w:tab w:leader="none" w:pos="1020"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Medicaid, managed care, and supplemental rebates to all applicable states as defned by the statutory government pricing calculaton requirements under the Medicaid Drug Rebate Program, and;</w:t>
      </w:r>
    </w:p>
    <w:p>
      <w:pPr>
        <w:spacing w:after="0" w:line="123" w:lineRule="exact"/>
        <w:rPr>
          <w:rFonts w:ascii="Times New Roman" w:cs="Times New Roman" w:eastAsia="Times New Roman" w:hAnsi="Times New Roman"/>
          <w:sz w:val="18"/>
          <w:szCs w:val="18"/>
          <w:color w:val="auto"/>
        </w:rPr>
      </w:pPr>
    </w:p>
    <w:p>
      <w:pPr>
        <w:jc w:val="both"/>
        <w:ind w:left="1020" w:right="40" w:hanging="503"/>
        <w:spacing w:after="0" w:line="235" w:lineRule="auto"/>
        <w:tabs>
          <w:tab w:leader="none" w:pos="1020"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Medicare Part D and Commercial Managed Care rebates are paid based on the contracts with PBMs and Managed Care Organizatons. Rebates are paid to these enttes upon receipt of an invoice from the contracted entty which is based on the utlizaton of the product by the members of the contracted entty. The Company estmates the percentage of goods sold that are eligible for rebates and adjusts the transacton price for such discounts at the tme of sale to the customers.</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i w:val="1"/>
          <w:iCs w:val="1"/>
          <w:color w:val="auto"/>
        </w:rPr>
        <w:t xml:space="preserve">Coverage Gap: </w:t>
      </w:r>
      <w:r>
        <w:rPr>
          <w:rFonts w:ascii="Calibri" w:cs="Calibri" w:eastAsia="Calibri" w:hAnsi="Calibri"/>
          <w:sz w:val="17"/>
          <w:szCs w:val="17"/>
          <w:color w:val="auto"/>
        </w:rPr>
        <w:t>The Medicare Part D coverage gap, also called the donut hole, is a period of consumer payment for prescripton medicaton costs which</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lies between the inital coverage limit and the catastrophic-coverage threshold, when the patent is a member of a Medicare Part D prescripton-drug program administered by the Centers for Medicare &amp; Medicaid Services. The Company estmates the percentage of goods sold under Coverage Gap and adjusts the transacton price for such discount at the tme of sale to the Customer. The Company makes signifcant estmates and judgments that materially afect its recogniton of net product revenue. Claims by third-party payors for rebates, chargebacks and discounts frequently are submited to the Company signifcantly afer the related sales, potentally resultng in adjustments in the period in which the new informaton becomes known. The Company will adjust its estmates based on new informaton, including informaton regarding actual rebates, chargebacks and discounts for its products, as it becomes available.</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Cost of revenue includes the cost of producing and distributng inventories that are related to product sales. This also includes royaltes payable to Takeda Pharmaceutcal Company Limited, or Takeda, pursuant to the Takeda License Agreement (Refer to Note 4 for further details). In additon, shipping and handling costs for product sales are recorded as incurred. Finally, cost of revenue may also include costs related to excess or obsolete inventory adjustment charges.</w:t>
      </w:r>
    </w:p>
    <w:p>
      <w:pPr>
        <w:spacing w:after="0" w:line="192"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In connecton with the FDA approvals of VOQUEZNA, VOQUEZNA TRIPLE PAK, and VOQUEZNA DUAL PAK , the Company began capitalizing inventory manufactured or purchased. As a result, certain manufacturing costs associated with product shipments were expensed prior to FDA approval and, therefore, are not included in cost of goods sold during the current period. These previously expensed costs were not material for the year ended December 31, 2023.</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Expenses and Accruals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or CROs, and consultants to conduct and support the Company’s ongoing clinical trials of vonoprazan, and costs related to manufacturing vonoprazan for clinical trials.</w:t>
      </w:r>
    </w:p>
    <w:p>
      <w:pPr>
        <w:spacing w:after="0" w:line="19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 Signifcant judgments and estmates may be made in determining the prepaid or accrued balances at the end of any reportng period. Actual results could difer from the Company’s estmates.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Selling, general and administratve expenses consist of salaries, stock-based compensaton, facilites and third-party expenses. Selling, general and administratve expenses are associated with the actvites of the commercial, executve, fnance, accountng, informaton technology, legal, medical afairs and human resource functons.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Advertsing and Marketng Costs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Advertsing and marketng costs are expensed as incurred. Advertsing and marketng costs are included in selling, general and administratve expenses and were not material for the years ended December 31, 2023 and 2022.</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191" w:lineRule="exact"/>
        <w:rPr>
          <w:sz w:val="20"/>
          <w:szCs w:val="20"/>
          <w:color w:val="auto"/>
        </w:rPr>
      </w:pPr>
    </w:p>
    <w:p>
      <w:pPr>
        <w:ind w:right="80" w:firstLine="509"/>
        <w:spacing w:after="0" w:line="254" w:lineRule="auto"/>
        <w:rPr>
          <w:sz w:val="20"/>
          <w:szCs w:val="20"/>
          <w:color w:val="auto"/>
        </w:rPr>
      </w:pPr>
      <w:r>
        <w:rPr>
          <w:rFonts w:ascii="Calibri" w:cs="Calibri" w:eastAsia="Calibri" w:hAnsi="Calibri"/>
          <w:sz w:val="17"/>
          <w:szCs w:val="17"/>
          <w:color w:val="auto"/>
        </w:rPr>
        <w:t>The Company also maintains an employee stock purchase program, or ESPP, under which it may issue shares. The Company estmates the fair value of shares that will be issued under the ESPP, and of stock optons using the Black-Scholes valuaton model, which requires the use of estmates. The Company recognizes stock-based compensaton cost for shares that it will issue under the ESPP on a straight-line basis over the requisite service period of the award.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statements of operatons in the period that includes the enactment date.</w:t>
      </w:r>
    </w:p>
    <w:p>
      <w:pPr>
        <w:spacing w:after="0" w:line="193"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180"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Beginning in 2022, the Tax Cuts and Jobs Act eliminates the opton to deduct research and development expenditures currently and requires taxpayers to amortze domestc and foreign research and development expenditures over 5 years and 15 years, respectvely. The requirement did not impact cash from operatons in the periods presented.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Comprehensive Loss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Comprehensive loss is defned as a change in equity during a period from transactons and other events and circumstances from non-owner sources.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comprehensive loss was the same as its reported net loss for all periods presented.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Reportng</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segments are identfed as components of an enterprise about which separate discrete fnancial informaton is available for evaluaton by the chief operatng decision maker in making decisions on how to allocate resources and assess performance. The Company views its operatons and manages its business as one operatng segment.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Per Share</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Basic net loss per share is computed by dividing the net loss by the weighted-average number of common shares outstanding for the period, without consideraton for potentally dilutve securites. For the years ended December 31, 2023 and 2022, the Company has excluded weighted-average unvested shares of 34,503 and 686,703, respectvely, from the weighted-average number of common shares outstanding.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 outstanding as inclusion of the potentally dilutve securites (warrants, stock optons, and common shares subject to repurchase) would be antdilutve.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Standards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June 2016, the FASB issued ASU 2016-13, Financial Instruments — Credit Losses, or ASU 2016-13, which changes the accountng for recognizing impairments of fnancial assets. Under the new guidance, credit losses for certain types of fnancial instruments will be estmated based on expected losses. ASU 2016-13 also modifes the impairment models for available-for-sale debt securites and for purchased fnancial assets with credit deterioraton since their originaton. ASU 2016-13 is efectve for annual periods beginning afer December 15, 2022 (fscal year 2023 for the Company), and interim periods within those periods, with early adopton permited. The Company adopted ASU 2016-13 efectve January 1, 2023. The standard did not have a material impact on the fnancial statements.</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assesses the adopton impacts of recently issued accountng standards by the Financial Accountng Standards Board or other standard setng bodies on the Company's fnancial statements as well as material updates to previous assessments. There were no new accountng standards issued or adopted in year of 2023 that materially impacted or are expected to materially impact the Company's fnancial statements.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Balance Sheet Details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Property, plant and equipment, net, consist of the following (in thousands):</w:t>
      </w:r>
    </w:p>
    <w:p>
      <w:pPr>
        <w:spacing w:after="0" w:line="280"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December 31,</w:t>
            </w:r>
          </w:p>
        </w:tc>
        <w:tc>
          <w:tcPr>
            <w:tcW w:w="1360" w:type="dxa"/>
            <w:vAlign w:val="bottom"/>
          </w:tcPr>
          <w:p>
            <w:pPr>
              <w:spacing w:after="0"/>
              <w:rPr>
                <w:sz w:val="19"/>
                <w:szCs w:val="19"/>
                <w:color w:val="auto"/>
              </w:rPr>
            </w:pPr>
          </w:p>
        </w:tc>
      </w:tr>
      <w:tr>
        <w:trPr>
          <w:trHeight w:val="37"/>
        </w:trPr>
        <w:tc>
          <w:tcPr>
            <w:tcW w:w="44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8"/>
        </w:trPr>
        <w:tc>
          <w:tcPr>
            <w:tcW w:w="4440" w:type="dxa"/>
            <w:vAlign w:val="bottom"/>
          </w:tcPr>
          <w:p>
            <w:pPr>
              <w:spacing w:after="0"/>
              <w:rPr>
                <w:sz w:val="18"/>
                <w:szCs w:val="18"/>
                <w:color w:val="auto"/>
              </w:rPr>
            </w:pPr>
          </w:p>
        </w:tc>
        <w:tc>
          <w:tcPr>
            <w:tcW w:w="1240" w:type="dxa"/>
            <w:vAlign w:val="bottom"/>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2023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ind w:right="730"/>
              <w:spacing w:after="0" w:line="208" w:lineRule="exact"/>
              <w:rPr>
                <w:sz w:val="20"/>
                <w:szCs w:val="20"/>
                <w:color w:val="auto"/>
              </w:rPr>
            </w:pPr>
            <w:r>
              <w:rPr>
                <w:rFonts w:ascii="Calibri" w:cs="Calibri" w:eastAsia="Calibri" w:hAnsi="Calibri"/>
                <w:sz w:val="18"/>
                <w:szCs w:val="18"/>
                <w:b w:val="1"/>
                <w:bCs w:val="1"/>
                <w:color w:val="auto"/>
              </w:rPr>
              <w:t>2022</w:t>
            </w:r>
          </w:p>
        </w:tc>
      </w:tr>
      <w:tr>
        <w:trPr>
          <w:trHeight w:val="28"/>
        </w:trPr>
        <w:tc>
          <w:tcPr>
            <w:tcW w:w="4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44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Computer equipment and sofware</w:t>
            </w:r>
          </w:p>
        </w:tc>
        <w:tc>
          <w:tcPr>
            <w:tcW w:w="1240" w:type="dxa"/>
            <w:vAlign w:val="bottom"/>
            <w:tcBorders>
              <w:bottom w:val="single" w:sz="8" w:color="CFF0FC"/>
            </w:tcBorders>
            <w:shd w:val="clear" w:color="auto" w:fill="CFF0FC"/>
          </w:tcPr>
          <w:p>
            <w:pPr>
              <w:jc w:val="right"/>
              <w:ind w:right="1050"/>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1,477</w:t>
            </w:r>
          </w:p>
        </w:tc>
        <w:tc>
          <w:tcPr>
            <w:tcW w:w="680" w:type="dxa"/>
            <w:vAlign w:val="bottom"/>
            <w:tcBorders>
              <w:bottom w:val="single" w:sz="8" w:color="CFF0FC"/>
            </w:tcBorders>
            <w:gridSpan w:val="2"/>
            <w:shd w:val="clear" w:color="auto" w:fill="CFF0FC"/>
          </w:tcPr>
          <w:p>
            <w:pPr>
              <w:jc w:val="right"/>
              <w:ind w:right="35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1,078</w:t>
            </w:r>
          </w:p>
        </w:tc>
      </w:tr>
      <w:tr>
        <w:trPr>
          <w:trHeight w:val="215"/>
        </w:trPr>
        <w:tc>
          <w:tcPr>
            <w:tcW w:w="444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1240" w:type="dxa"/>
            <w:vAlign w:val="bottom"/>
          </w:tcPr>
          <w:p>
            <w:pPr>
              <w:spacing w:after="0"/>
              <w:rPr>
                <w:sz w:val="18"/>
                <w:szCs w:val="18"/>
                <w:color w:val="auto"/>
              </w:rPr>
            </w:pPr>
          </w:p>
        </w:tc>
        <w:tc>
          <w:tcPr>
            <w:tcW w:w="7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1,089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1,086</w:t>
            </w:r>
          </w:p>
        </w:tc>
      </w:tr>
      <w:tr>
        <w:trPr>
          <w:trHeight w:val="28"/>
        </w:trPr>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1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139</w:t>
            </w: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115</w:t>
            </w:r>
          </w:p>
        </w:tc>
      </w:tr>
      <w:tr>
        <w:trPr>
          <w:trHeight w:val="215"/>
        </w:trPr>
        <w:tc>
          <w:tcPr>
            <w:tcW w:w="4440" w:type="dxa"/>
            <w:vAlign w:val="bottom"/>
          </w:tcPr>
          <w:p>
            <w:pPr>
              <w:spacing w:after="0" w:line="215" w:lineRule="exact"/>
              <w:rPr>
                <w:sz w:val="20"/>
                <w:szCs w:val="20"/>
                <w:color w:val="auto"/>
              </w:rPr>
            </w:pPr>
            <w:r>
              <w:rPr>
                <w:rFonts w:ascii="Calibri" w:cs="Calibri" w:eastAsia="Calibri" w:hAnsi="Calibri"/>
                <w:sz w:val="18"/>
                <w:szCs w:val="18"/>
                <w:color w:val="auto"/>
              </w:rPr>
              <w:t>Equipment</w:t>
            </w:r>
          </w:p>
        </w:tc>
        <w:tc>
          <w:tcPr>
            <w:tcW w:w="1240" w:type="dxa"/>
            <w:vAlign w:val="bottom"/>
          </w:tcPr>
          <w:p>
            <w:pPr>
              <w:spacing w:after="0"/>
              <w:rPr>
                <w:sz w:val="18"/>
                <w:szCs w:val="18"/>
                <w:color w:val="auto"/>
              </w:rPr>
            </w:pPr>
          </w:p>
        </w:tc>
        <w:tc>
          <w:tcPr>
            <w:tcW w:w="7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1,487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Constructon in process</w:t>
            </w:r>
          </w:p>
        </w:tc>
        <w:tc>
          <w:tcPr>
            <w:tcW w:w="1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399</w:t>
            </w:r>
          </w:p>
        </w:tc>
      </w:tr>
      <w:tr>
        <w:trPr>
          <w:trHeight w:val="208"/>
        </w:trPr>
        <w:tc>
          <w:tcPr>
            <w:tcW w:w="44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property, plant and equipment, gross</w:t>
            </w:r>
          </w:p>
        </w:tc>
        <w:tc>
          <w:tcPr>
            <w:tcW w:w="1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4,192</w:t>
            </w: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2,678</w:t>
            </w:r>
          </w:p>
        </w:tc>
      </w:tr>
      <w:tr>
        <w:trPr>
          <w:trHeight w:val="28"/>
        </w:trPr>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accumulated depreciaton and amortzaton</w:t>
            </w:r>
          </w:p>
        </w:tc>
        <w:tc>
          <w:tcPr>
            <w:tcW w:w="1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(2,046 )</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(1,471 )</w:t>
            </w:r>
          </w:p>
        </w:tc>
      </w:tr>
      <w:tr>
        <w:trPr>
          <w:trHeight w:val="208"/>
        </w:trPr>
        <w:tc>
          <w:tcPr>
            <w:tcW w:w="44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property, plant and equipment, net</w:t>
            </w:r>
          </w:p>
        </w:tc>
        <w:tc>
          <w:tcPr>
            <w:tcW w:w="1240" w:type="dxa"/>
            <w:vAlign w:val="bottom"/>
            <w:tcBorders>
              <w:top w:val="single" w:sz="8" w:color="auto"/>
            </w:tcBorders>
          </w:tcPr>
          <w:p>
            <w:pPr>
              <w:jc w:val="right"/>
              <w:ind w:right="1050"/>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2,146</w:t>
            </w: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jc w:val="right"/>
              <w:ind w:right="350"/>
              <w:spacing w:after="0" w:line="208"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1,207</w:t>
            </w:r>
          </w:p>
        </w:tc>
      </w:tr>
      <w:tr>
        <w:trPr>
          <w:trHeight w:val="28"/>
        </w:trPr>
        <w:tc>
          <w:tcPr>
            <w:tcW w:w="4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-504825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Depreciaton and amortzaton expense for both the years ended December 31, 2023 and 2022 was approximately $0.6 million. No property, plant or equipment was disposed of during the years ended December 31, 2023 and 2022.</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6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Accrued Expenses</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860" w:type="dxa"/>
            <w:vAlign w:val="bottom"/>
            <w:gridSpan w:val="2"/>
          </w:tcPr>
          <w:p>
            <w:pPr>
              <w:ind w:left="520"/>
              <w:spacing w:after="0"/>
              <w:rPr>
                <w:sz w:val="20"/>
                <w:szCs w:val="20"/>
                <w:color w:val="auto"/>
              </w:rPr>
            </w:pPr>
            <w:r>
              <w:rPr>
                <w:rFonts w:ascii="Calibri" w:cs="Calibri" w:eastAsia="Calibri" w:hAnsi="Calibri"/>
                <w:sz w:val="18"/>
                <w:szCs w:val="18"/>
                <w:color w:val="auto"/>
              </w:rPr>
              <w:t>Accrued expenses consist of the following (in thousands):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gridSpan w:val="3"/>
          </w:tcPr>
          <w:p>
            <w:pPr>
              <w:jc w:val="right"/>
              <w:ind w:right="730"/>
              <w:spacing w:after="0"/>
              <w:rPr>
                <w:sz w:val="20"/>
                <w:szCs w:val="20"/>
                <w:color w:val="auto"/>
              </w:rPr>
            </w:pPr>
            <w:r>
              <w:rPr>
                <w:rFonts w:ascii="Calibri" w:cs="Calibri" w:eastAsia="Calibri" w:hAnsi="Calibri"/>
                <w:sz w:val="18"/>
                <w:szCs w:val="18"/>
                <w:b w:val="1"/>
                <w:bCs w:val="1"/>
                <w:color w:val="auto"/>
              </w:rPr>
              <w:t>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820" w:type="dxa"/>
            <w:vAlign w:val="bottom"/>
          </w:tcPr>
          <w:p>
            <w:pPr>
              <w:spacing w:after="0"/>
              <w:rPr>
                <w:sz w:val="18"/>
                <w:szCs w:val="18"/>
                <w:color w:val="auto"/>
              </w:rPr>
            </w:pPr>
          </w:p>
        </w:tc>
        <w:tc>
          <w:tcPr>
            <w:tcW w:w="1340" w:type="dxa"/>
            <w:vAlign w:val="bottom"/>
            <w:gridSpan w:val="2"/>
          </w:tcPr>
          <w:p>
            <w:pPr>
              <w:jc w:val="right"/>
              <w:ind w:right="30"/>
              <w:spacing w:after="0" w:line="208" w:lineRule="exact"/>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Accrued research and development expenses</w:t>
            </w:r>
          </w:p>
        </w:tc>
        <w:tc>
          <w:tcPr>
            <w:tcW w:w="1120" w:type="dxa"/>
            <w:vAlign w:val="bottom"/>
            <w:tcBorders>
              <w:bottom w:val="single" w:sz="8" w:color="CFF0FC"/>
            </w:tcBorders>
            <w:shd w:val="clear" w:color="auto" w:fill="CFF0FC"/>
          </w:tcPr>
          <w:p>
            <w:pPr>
              <w:jc w:val="right"/>
              <w:ind w:right="930"/>
              <w:spacing w:after="0" w:line="208"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1,009</w:t>
            </w:r>
          </w:p>
        </w:tc>
        <w:tc>
          <w:tcPr>
            <w:tcW w:w="1340" w:type="dxa"/>
            <w:vAlign w:val="bottom"/>
            <w:tcBorders>
              <w:bottom w:val="single" w:sz="8" w:color="CFF0FC"/>
            </w:tcBorders>
            <w:gridSpan w:val="2"/>
            <w:shd w:val="clear" w:color="auto" w:fill="CFF0FC"/>
          </w:tcPr>
          <w:p>
            <w:pPr>
              <w:jc w:val="right"/>
              <w:ind w:right="1010"/>
              <w:spacing w:after="0" w:line="208"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3,080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4440" w:type="dxa"/>
            <w:vAlign w:val="bottom"/>
          </w:tcPr>
          <w:p>
            <w:pPr>
              <w:spacing w:after="0" w:line="215" w:lineRule="exact"/>
              <w:rPr>
                <w:sz w:val="20"/>
                <w:szCs w:val="20"/>
                <w:color w:val="auto"/>
              </w:rPr>
            </w:pPr>
            <w:r>
              <w:rPr>
                <w:rFonts w:ascii="Calibri" w:cs="Calibri" w:eastAsia="Calibri" w:hAnsi="Calibri"/>
                <w:sz w:val="18"/>
                <w:szCs w:val="18"/>
                <w:color w:val="auto"/>
              </w:rPr>
              <w:t>Accrued compensaton expenses</w:t>
            </w:r>
          </w:p>
        </w:tc>
        <w:tc>
          <w:tcPr>
            <w:tcW w:w="1120" w:type="dxa"/>
            <w:vAlign w:val="bottom"/>
          </w:tcPr>
          <w:p>
            <w:pPr>
              <w:spacing w:after="0"/>
              <w:rPr>
                <w:sz w:val="18"/>
                <w:szCs w:val="18"/>
                <w:color w:val="auto"/>
              </w:rPr>
            </w:pPr>
          </w:p>
        </w:tc>
        <w:tc>
          <w:tcPr>
            <w:tcW w:w="8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13,318</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Accrued professional &amp; consultng expenses</w:t>
            </w:r>
          </w:p>
        </w:tc>
        <w:tc>
          <w:tcPr>
            <w:tcW w:w="1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1,771</w:t>
            </w:r>
          </w:p>
        </w:tc>
        <w:tc>
          <w:tcPr>
            <w:tcW w:w="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4440" w:type="dxa"/>
            <w:vAlign w:val="bottom"/>
          </w:tcPr>
          <w:p>
            <w:pPr>
              <w:spacing w:after="0" w:line="215" w:lineRule="exact"/>
              <w:rPr>
                <w:sz w:val="20"/>
                <w:szCs w:val="20"/>
                <w:color w:val="auto"/>
              </w:rPr>
            </w:pPr>
            <w:r>
              <w:rPr>
                <w:rFonts w:ascii="Calibri" w:cs="Calibri" w:eastAsia="Calibri" w:hAnsi="Calibri"/>
                <w:sz w:val="18"/>
                <w:szCs w:val="18"/>
                <w:color w:val="auto"/>
              </w:rPr>
              <w:t>Accrued sales discounts and allowances</w:t>
            </w:r>
          </w:p>
        </w:tc>
        <w:tc>
          <w:tcPr>
            <w:tcW w:w="1120" w:type="dxa"/>
            <w:vAlign w:val="bottom"/>
          </w:tcPr>
          <w:p>
            <w:pPr>
              <w:spacing w:after="0"/>
              <w:rPr>
                <w:sz w:val="18"/>
                <w:szCs w:val="18"/>
                <w:color w:val="auto"/>
              </w:rPr>
            </w:pPr>
          </w:p>
        </w:tc>
        <w:tc>
          <w:tcPr>
            <w:tcW w:w="8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982</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42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Accrued other</w:t>
            </w:r>
          </w:p>
        </w:tc>
        <w:tc>
          <w:tcPr>
            <w:tcW w:w="1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117</w:t>
            </w: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44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accrued expenses</w:t>
            </w:r>
          </w:p>
        </w:tc>
        <w:tc>
          <w:tcPr>
            <w:tcW w:w="1120" w:type="dxa"/>
            <w:vAlign w:val="bottom"/>
            <w:tcBorders>
              <w:top w:val="single" w:sz="8" w:color="auto"/>
            </w:tcBorders>
          </w:tcPr>
          <w:p>
            <w:pPr>
              <w:jc w:val="right"/>
              <w:ind w:right="930"/>
              <w:spacing w:after="0" w:line="208"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17,197</w:t>
            </w:r>
          </w:p>
        </w:tc>
        <w:tc>
          <w:tcPr>
            <w:tcW w:w="14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jc w:val="right"/>
              <w:ind w:right="1010"/>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14,678</w:t>
            </w: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60" w:type="dxa"/>
            <w:vAlign w:val="bottom"/>
            <w:gridSpan w:val="2"/>
            <w:vMerge w:val="restart"/>
          </w:tcPr>
          <w:p>
            <w:pPr>
              <w:spacing w:after="0"/>
              <w:rPr>
                <w:sz w:val="20"/>
                <w:szCs w:val="20"/>
                <w:color w:val="auto"/>
              </w:rPr>
            </w:pPr>
            <w:r>
              <w:rPr>
                <w:rFonts w:ascii="Calibri" w:cs="Calibri" w:eastAsia="Calibri" w:hAnsi="Calibri"/>
                <w:sz w:val="18"/>
                <w:szCs w:val="18"/>
                <w:b w:val="1"/>
                <w:bCs w:val="1"/>
                <w:i w:val="1"/>
                <w:iCs w:val="1"/>
                <w:color w:val="auto"/>
              </w:rPr>
              <w:t>Inventory</w:t>
            </w: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8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60" w:type="dxa"/>
            <w:vAlign w:val="bottom"/>
            <w:gridSpan w:val="2"/>
          </w:tcPr>
          <w:p>
            <w:pPr>
              <w:ind w:left="520"/>
              <w:spacing w:after="0"/>
              <w:rPr>
                <w:sz w:val="20"/>
                <w:szCs w:val="20"/>
                <w:color w:val="auto"/>
              </w:rPr>
            </w:pPr>
            <w:r>
              <w:rPr>
                <w:rFonts w:ascii="Calibri" w:cs="Calibri" w:eastAsia="Calibri" w:hAnsi="Calibri"/>
                <w:sz w:val="18"/>
                <w:szCs w:val="18"/>
                <w:color w:val="auto"/>
              </w:rPr>
              <w:t>Inventory consist of the following (in thousands):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2"/>
          </w:tcPr>
          <w:p>
            <w:pPr>
              <w:jc w:val="right"/>
              <w:ind w:right="170"/>
              <w:spacing w:after="0"/>
              <w:rPr>
                <w:sz w:val="20"/>
                <w:szCs w:val="20"/>
                <w:color w:val="auto"/>
              </w:rPr>
            </w:pPr>
            <w:r>
              <w:rPr>
                <w:rFonts w:ascii="Calibri" w:cs="Calibri" w:eastAsia="Calibri" w:hAnsi="Calibri"/>
                <w:sz w:val="18"/>
                <w:szCs w:val="18"/>
                <w:b w:val="1"/>
                <w:bCs w:val="1"/>
                <w:color w:val="auto"/>
              </w:rPr>
              <w:t>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2"/>
          </w:tcPr>
          <w:p>
            <w:pPr>
              <w:jc w:val="right"/>
              <w:ind w:right="490"/>
              <w:spacing w:after="0"/>
              <w:rPr>
                <w:sz w:val="20"/>
                <w:szCs w:val="20"/>
                <w:color w:val="auto"/>
              </w:rPr>
            </w:pPr>
            <w:r>
              <w:rPr>
                <w:rFonts w:ascii="Calibri" w:cs="Calibri" w:eastAsia="Calibri" w:hAnsi="Calibri"/>
                <w:sz w:val="18"/>
                <w:szCs w:val="18"/>
                <w:b w:val="1"/>
                <w:bCs w:val="1"/>
                <w:color w:val="auto"/>
              </w:rPr>
              <w:t>2023</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4440" w:type="dxa"/>
            <w:vAlign w:val="bottom"/>
            <w:vMerge w:val="restart"/>
          </w:tcPr>
          <w:p>
            <w:pPr>
              <w:spacing w:after="0"/>
              <w:rPr>
                <w:sz w:val="20"/>
                <w:szCs w:val="20"/>
                <w:color w:val="auto"/>
              </w:rPr>
            </w:pPr>
            <w:r>
              <w:rPr>
                <w:rFonts w:ascii="Calibri" w:cs="Calibri" w:eastAsia="Calibri" w:hAnsi="Calibri"/>
                <w:sz w:val="18"/>
                <w:szCs w:val="18"/>
                <w:color w:val="auto"/>
              </w:rPr>
              <w:t>Finished goods</w:t>
            </w:r>
          </w:p>
        </w:tc>
        <w:tc>
          <w:tcPr>
            <w:tcW w:w="1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ind w:right="610"/>
              <w:spacing w:after="0" w:line="208"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line="208" w:lineRule="exact"/>
              <w:rPr>
                <w:sz w:val="20"/>
                <w:szCs w:val="20"/>
                <w:color w:val="auto"/>
              </w:rPr>
            </w:pPr>
            <w:r>
              <w:rPr>
                <w:rFonts w:ascii="Calibri" w:cs="Calibri" w:eastAsia="Calibri" w:hAnsi="Calibri"/>
                <w:sz w:val="18"/>
                <w:szCs w:val="18"/>
                <w:color w:val="auto"/>
              </w:rPr>
              <w:t>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42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Raw materials</w:t>
            </w:r>
          </w:p>
        </w:tc>
        <w:tc>
          <w:tcPr>
            <w:tcW w:w="1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44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inventory, current</w:t>
            </w:r>
          </w:p>
        </w:tc>
        <w:tc>
          <w:tcPr>
            <w:tcW w:w="112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1,208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42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Raw materials, noncurrent</w:t>
            </w:r>
          </w:p>
        </w:tc>
        <w:tc>
          <w:tcPr>
            <w:tcW w:w="1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8,234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20" w:type="dxa"/>
            <w:vAlign w:val="bottom"/>
          </w:tcPr>
          <w:p>
            <w:pPr>
              <w:spacing w:after="0"/>
              <w:rPr>
                <w:sz w:val="18"/>
                <w:szCs w:val="18"/>
                <w:color w:val="auto"/>
              </w:rPr>
            </w:pPr>
          </w:p>
        </w:tc>
        <w:tc>
          <w:tcPr>
            <w:tcW w:w="44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inventory</w:t>
            </w:r>
          </w:p>
        </w:tc>
        <w:tc>
          <w:tcPr>
            <w:tcW w:w="112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color w:val="auto"/>
              </w:rPr>
              <w:t>$</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9,442</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-1936750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-505460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Raw materials consist of materials, including actve pharmaceutcal ingredients, to be consumed in the producton of inventory related to FDA approved products. Prior to FDA approvals, all costs related to manufacturing were charged to research and development expense in the period incurred, therefore, inventory is not included as of December 31, 2022. Inventory that is used for clinical development purposes is expensed to research and development expense when consumed. Inventory, noncurrent includes inventory expected to remain on-hand beyond one year from the balance sheet date presented.</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Related Party Transactons</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Frazier is a principal stockholder of the Company with representaton on the Board of Directors. Frazier is compensated for their partcipaton on the Board of Directors and as of December 31, 2023 and December 31, 2022, the Company had $28,000 and $15,000, respectvely, outstanding accounts payable and accrued expenses related to these services. For the years ended December 31, 2023 and 2022, the Company incurred $55,000 and $15,000, respectvely, of expenses related to partcipaton on the Board of Directors. Frazier is also a principal stockholder in PCI Pharma Services, or PCI. Startng in the third quarter of 2019, the Company engaged PCI for clinical manufacturing services. As of December 31, 2023 and 2022, the Company had $1.2 million and $1.1 million, respectvely, in outstanding accounts payable and accrued expenses related to these manufacturing services. For the years ended December 31, 2023 and 2022, the Company incurred $0.6 million and $0.7 million, respectvely, of expenses related to services performed by PCI.</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Takeda became a common stockholder of the Company in connecton with the May 2019 license agreement (see Note 4). In connecton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terminaton of the Takeda License in accordance with its terms. As of December 31, 2023 and December 31, 2022, the Company had $1.5 million and $1.4 million, respectvely, in outstanding accounts payable and accrued expenses related to these agreements. For the years ended December 31, 2023 and 2022, the Company incurred $0.1 million and $1.4 million, respectvely, of expenses related to these agreements. The Company has no remaining minimum purchase obligaton related to these agreements.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Commitments and Contngencies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six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consideraton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All Takeda Warrants were exercised in 2022.</w:t>
      </w:r>
    </w:p>
    <w:p>
      <w:pPr>
        <w:spacing w:after="0" w:line="19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During the year ended December 31, 2023, the Company recorded $0.1 million of royalty expense under the Takeda License, which is included within accrued expenses as of December 31, 2023.</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Commitments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€2.9 million, or approximately $3.2 million, in the frst 24-month period following the launch of the fnal product. The Company has incurred $0.3 million and no expenses under the agreement during the years ended December 31, 2023 and 2022, respectvely.</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Lease Commitments</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December 31, 2023, the Company had operatng leases for ofce space in both Bufalo Grove, Illinois and Florham Park, New Jersey, with weighted average remaining lease terms of 1.3 years and 1.7 years, respectvely. All operatng leases contain an opton to extend the term for one additonal fve-year period, which was not considered in the determinaton of the right-of-use asset or lease liability as the Company did not consider it reasonably certain that it would exercise such optons.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total rent expense for the years ended December 31, 2023 and 2022 was approximately $1.1 million and $1.0 million, respectvely.</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supplemental balance sheet informaton related to the operatng leases (in thousands):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220"/>
        </w:trPr>
        <w:tc>
          <w:tcPr>
            <w:tcW w:w="4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Calibri" w:cs="Calibri" w:eastAsia="Calibri" w:hAnsi="Calibri"/>
                <w:sz w:val="18"/>
                <w:szCs w:val="18"/>
                <w:b w:val="1"/>
                <w:bCs w:val="1"/>
                <w:color w:val="auto"/>
                <w:w w:val="98"/>
              </w:rPr>
              <w:t>December 31,</w:t>
            </w:r>
          </w:p>
        </w:tc>
        <w:tc>
          <w:tcPr>
            <w:tcW w:w="960" w:type="dxa"/>
            <w:vAlign w:val="bottom"/>
          </w:tcPr>
          <w:p>
            <w:pPr>
              <w:spacing w:after="0"/>
              <w:rPr>
                <w:sz w:val="19"/>
                <w:szCs w:val="19"/>
                <w:color w:val="auto"/>
              </w:rPr>
            </w:pPr>
          </w:p>
        </w:tc>
      </w:tr>
      <w:tr>
        <w:trPr>
          <w:trHeight w:val="37"/>
        </w:trPr>
        <w:tc>
          <w:tcPr>
            <w:tcW w:w="4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8"/>
        </w:trPr>
        <w:tc>
          <w:tcPr>
            <w:tcW w:w="4500" w:type="dxa"/>
            <w:vAlign w:val="bottom"/>
          </w:tcPr>
          <w:p>
            <w:pPr>
              <w:spacing w:after="0"/>
              <w:rPr>
                <w:sz w:val="18"/>
                <w:szCs w:val="18"/>
                <w:color w:val="auto"/>
              </w:rPr>
            </w:pPr>
          </w:p>
        </w:tc>
        <w:tc>
          <w:tcPr>
            <w:tcW w:w="88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70"/>
              <w:spacing w:after="0" w:line="208" w:lineRule="exact"/>
              <w:rPr>
                <w:sz w:val="20"/>
                <w:szCs w:val="20"/>
                <w:color w:val="auto"/>
              </w:rPr>
            </w:pPr>
            <w:r>
              <w:rPr>
                <w:rFonts w:ascii="Calibri" w:cs="Calibri" w:eastAsia="Calibri" w:hAnsi="Calibri"/>
                <w:sz w:val="18"/>
                <w:szCs w:val="18"/>
                <w:b w:val="1"/>
                <w:bCs w:val="1"/>
                <w:color w:val="auto"/>
              </w:rPr>
              <w:t>2022</w:t>
            </w:r>
          </w:p>
        </w:tc>
      </w:tr>
      <w:tr>
        <w:trPr>
          <w:trHeight w:val="28"/>
        </w:trPr>
        <w:tc>
          <w:tcPr>
            <w:tcW w:w="4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5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8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r>
      <w:tr>
        <w:trPr>
          <w:trHeight w:val="215"/>
        </w:trPr>
        <w:tc>
          <w:tcPr>
            <w:tcW w:w="450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right-of-use assets</w:t>
            </w:r>
          </w:p>
        </w:tc>
        <w:tc>
          <w:tcPr>
            <w:tcW w:w="88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1,475</w:t>
            </w:r>
          </w:p>
        </w:tc>
        <w:tc>
          <w:tcPr>
            <w:tcW w:w="520" w:type="dxa"/>
            <w:vAlign w:val="bottom"/>
            <w:gridSpan w:val="2"/>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2,287</w:t>
            </w:r>
          </w:p>
        </w:tc>
      </w:tr>
      <w:tr>
        <w:trPr>
          <w:trHeight w:val="28"/>
        </w:trPr>
        <w:tc>
          <w:tcPr>
            <w:tcW w:w="4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450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Total right-of-use assets</w:t>
            </w:r>
          </w:p>
        </w:tc>
        <w:tc>
          <w:tcPr>
            <w:tcW w:w="8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1,475</w:t>
            </w:r>
          </w:p>
        </w:tc>
        <w:tc>
          <w:tcPr>
            <w:tcW w:w="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2,287</w:t>
            </w:r>
          </w:p>
        </w:tc>
      </w:tr>
      <w:tr>
        <w:trPr>
          <w:trHeight w:val="223"/>
        </w:trPr>
        <w:tc>
          <w:tcPr>
            <w:tcW w:w="450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8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r>
      <w:tr>
        <w:trPr>
          <w:trHeight w:val="215"/>
        </w:trPr>
        <w:tc>
          <w:tcPr>
            <w:tcW w:w="450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880" w:type="dxa"/>
            <w:vAlign w:val="bottom"/>
          </w:tcPr>
          <w:p>
            <w:pPr>
              <w:spacing w:after="0"/>
              <w:rPr>
                <w:sz w:val="18"/>
                <w:szCs w:val="18"/>
                <w:color w:val="auto"/>
              </w:rPr>
            </w:pPr>
          </w:p>
        </w:tc>
        <w:tc>
          <w:tcPr>
            <w:tcW w:w="5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708</w:t>
            </w:r>
          </w:p>
        </w:tc>
      </w:tr>
      <w:tr>
        <w:trPr>
          <w:trHeight w:val="28"/>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5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 lease liabilites, non-current</w:t>
            </w:r>
          </w:p>
        </w:tc>
        <w:tc>
          <w:tcPr>
            <w:tcW w:w="8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462</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1,098</w:t>
            </w:r>
          </w:p>
        </w:tc>
      </w:tr>
      <w:tr>
        <w:trPr>
          <w:trHeight w:val="208"/>
        </w:trPr>
        <w:tc>
          <w:tcPr>
            <w:tcW w:w="450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Total operatng lease liabilites</w:t>
            </w:r>
          </w:p>
        </w:tc>
        <w:tc>
          <w:tcPr>
            <w:tcW w:w="880" w:type="dxa"/>
            <w:vAlign w:val="bottom"/>
            <w:tcBorders>
              <w:top w:val="single" w:sz="8" w:color="auto"/>
            </w:tcBorders>
          </w:tcPr>
          <w:p>
            <w:pPr>
              <w:jc w:val="right"/>
              <w:ind w:right="690"/>
              <w:spacing w:after="0" w:line="208" w:lineRule="exact"/>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1,188</w:t>
            </w:r>
          </w:p>
        </w:tc>
        <w:tc>
          <w:tcPr>
            <w:tcW w:w="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1,806</w:t>
            </w:r>
          </w:p>
        </w:tc>
      </w:tr>
      <w:tr>
        <w:trPr>
          <w:trHeight w:val="28"/>
        </w:trPr>
        <w:tc>
          <w:tcPr>
            <w:tcW w:w="4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-830580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-813435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2023, the future minimum annual lease payments under the operatng leases were as follows (in thousands):</w:t>
      </w:r>
    </w:p>
    <w:p>
      <w:pPr>
        <w:spacing w:after="0" w:line="239" w:lineRule="exact"/>
        <w:rPr>
          <w:sz w:val="20"/>
          <w:szCs w:val="20"/>
          <w:color w:val="auto"/>
        </w:rPr>
      </w:pPr>
    </w:p>
    <w:tbl>
      <w:tblPr>
        <w:tblLayout w:type="fixed"/>
        <w:tblInd w:w="1880" w:type="dxa"/>
        <w:tblCellMar>
          <w:top w:w="0" w:type="dxa"/>
          <w:left w:w="0" w:type="dxa"/>
          <w:bottom w:w="0" w:type="dxa"/>
          <w:right w:w="0" w:type="dxa"/>
        </w:tblCellMar>
      </w:tblPr>
      <w:tr>
        <w:trPr>
          <w:trHeight w:val="243"/>
        </w:trPr>
        <w:tc>
          <w:tcPr>
            <w:tcW w:w="572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2024</w:t>
            </w:r>
          </w:p>
        </w:tc>
        <w:tc>
          <w:tcPr>
            <w:tcW w:w="700" w:type="dxa"/>
            <w:vAlign w:val="bottom"/>
            <w:shd w:val="clear" w:color="auto" w:fill="CFF0FC"/>
          </w:tcPr>
          <w:p>
            <w:pPr>
              <w:jc w:val="right"/>
              <w:ind w:right="51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ind w:right="10"/>
              <w:spacing w:after="0"/>
              <w:rPr>
                <w:sz w:val="20"/>
                <w:szCs w:val="20"/>
                <w:color w:val="auto"/>
              </w:rPr>
            </w:pPr>
            <w:r>
              <w:rPr>
                <w:rFonts w:ascii="Calibri" w:cs="Calibri" w:eastAsia="Calibri" w:hAnsi="Calibri"/>
                <w:sz w:val="18"/>
                <w:szCs w:val="18"/>
                <w:color w:val="auto"/>
              </w:rPr>
              <w:t>752</w:t>
            </w:r>
          </w:p>
        </w:tc>
        <w:tc>
          <w:tcPr>
            <w:tcW w:w="60" w:type="dxa"/>
            <w:vAlign w:val="bottom"/>
          </w:tcPr>
          <w:p>
            <w:pPr>
              <w:spacing w:after="0"/>
              <w:rPr>
                <w:sz w:val="21"/>
                <w:szCs w:val="21"/>
                <w:color w:val="auto"/>
              </w:rPr>
            </w:pPr>
          </w:p>
        </w:tc>
      </w:tr>
      <w:tr>
        <w:trPr>
          <w:trHeight w:val="215"/>
        </w:trPr>
        <w:tc>
          <w:tcPr>
            <w:tcW w:w="5720" w:type="dxa"/>
            <w:vAlign w:val="bottom"/>
          </w:tcPr>
          <w:p>
            <w:pPr>
              <w:ind w:left="180"/>
              <w:spacing w:after="0" w:line="215" w:lineRule="exact"/>
              <w:rPr>
                <w:sz w:val="20"/>
                <w:szCs w:val="20"/>
                <w:color w:val="auto"/>
              </w:rPr>
            </w:pPr>
            <w:r>
              <w:rPr>
                <w:rFonts w:ascii="Calibri" w:cs="Calibri" w:eastAsia="Calibri" w:hAnsi="Calibri"/>
                <w:sz w:val="18"/>
                <w:szCs w:val="18"/>
                <w:color w:val="auto"/>
              </w:rPr>
              <w:t>2025</w:t>
            </w:r>
          </w:p>
        </w:tc>
        <w:tc>
          <w:tcPr>
            <w:tcW w:w="700" w:type="dxa"/>
            <w:vAlign w:val="bottom"/>
          </w:tcPr>
          <w:p>
            <w:pPr>
              <w:spacing w:after="0"/>
              <w:rPr>
                <w:sz w:val="18"/>
                <w:szCs w:val="18"/>
                <w:color w:val="auto"/>
              </w:rPr>
            </w:pPr>
          </w:p>
        </w:tc>
        <w:tc>
          <w:tcPr>
            <w:tcW w:w="11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513</w:t>
            </w:r>
          </w:p>
        </w:tc>
        <w:tc>
          <w:tcPr>
            <w:tcW w:w="60" w:type="dxa"/>
            <w:vAlign w:val="bottom"/>
          </w:tcPr>
          <w:p>
            <w:pPr>
              <w:spacing w:after="0"/>
              <w:rPr>
                <w:sz w:val="18"/>
                <w:szCs w:val="18"/>
                <w:color w:val="auto"/>
              </w:rPr>
            </w:pPr>
          </w:p>
        </w:tc>
      </w:tr>
      <w:tr>
        <w:trPr>
          <w:trHeight w:val="28"/>
        </w:trPr>
        <w:tc>
          <w:tcPr>
            <w:tcW w:w="5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57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minimum lease payments</w:t>
            </w:r>
          </w:p>
        </w:tc>
        <w:tc>
          <w:tcPr>
            <w:tcW w:w="7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1,265</w:t>
            </w:r>
          </w:p>
        </w:tc>
        <w:tc>
          <w:tcPr>
            <w:tcW w:w="60" w:type="dxa"/>
            <w:vAlign w:val="bottom"/>
          </w:tcPr>
          <w:p>
            <w:pPr>
              <w:spacing w:after="0"/>
              <w:rPr>
                <w:sz w:val="18"/>
                <w:szCs w:val="18"/>
                <w:color w:val="auto"/>
              </w:rPr>
            </w:pPr>
          </w:p>
        </w:tc>
      </w:tr>
      <w:tr>
        <w:trPr>
          <w:trHeight w:val="215"/>
        </w:trPr>
        <w:tc>
          <w:tcPr>
            <w:tcW w:w="5720" w:type="dxa"/>
            <w:vAlign w:val="bottom"/>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7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(77 )</w:t>
            </w:r>
          </w:p>
        </w:tc>
        <w:tc>
          <w:tcPr>
            <w:tcW w:w="60" w:type="dxa"/>
            <w:vAlign w:val="bottom"/>
          </w:tcPr>
          <w:p>
            <w:pPr>
              <w:spacing w:after="0"/>
              <w:rPr>
                <w:sz w:val="18"/>
                <w:szCs w:val="18"/>
                <w:color w:val="auto"/>
              </w:rPr>
            </w:pPr>
          </w:p>
        </w:tc>
      </w:tr>
      <w:tr>
        <w:trPr>
          <w:trHeight w:val="28"/>
        </w:trPr>
        <w:tc>
          <w:tcPr>
            <w:tcW w:w="5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57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Present value of operatng lease liabilites</w:t>
            </w:r>
          </w:p>
        </w:tc>
        <w:tc>
          <w:tcPr>
            <w:tcW w:w="7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1,188</w:t>
            </w:r>
          </w:p>
        </w:tc>
        <w:tc>
          <w:tcPr>
            <w:tcW w:w="60" w:type="dxa"/>
            <w:vAlign w:val="bottom"/>
          </w:tcPr>
          <w:p>
            <w:pPr>
              <w:spacing w:after="0"/>
              <w:rPr>
                <w:sz w:val="18"/>
                <w:szCs w:val="18"/>
                <w:color w:val="auto"/>
              </w:rPr>
            </w:pPr>
          </w:p>
        </w:tc>
      </w:tr>
      <w:tr>
        <w:trPr>
          <w:trHeight w:val="215"/>
        </w:trPr>
        <w:tc>
          <w:tcPr>
            <w:tcW w:w="5720" w:type="dxa"/>
            <w:vAlign w:val="bottom"/>
          </w:tcPr>
          <w:p>
            <w:pPr>
              <w:spacing w:after="0" w:line="215" w:lineRule="exact"/>
              <w:rPr>
                <w:sz w:val="20"/>
                <w:szCs w:val="20"/>
                <w:color w:val="auto"/>
              </w:rPr>
            </w:pPr>
            <w:r>
              <w:rPr>
                <w:rFonts w:ascii="Calibri" w:cs="Calibri" w:eastAsia="Calibri" w:hAnsi="Calibri"/>
                <w:sz w:val="18"/>
                <w:szCs w:val="18"/>
                <w:color w:val="auto"/>
              </w:rPr>
              <w:t>Less: operatng lease liabilites, current</w:t>
            </w:r>
          </w:p>
        </w:tc>
        <w:tc>
          <w:tcPr>
            <w:tcW w:w="7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(726 )</w:t>
            </w:r>
          </w:p>
        </w:tc>
        <w:tc>
          <w:tcPr>
            <w:tcW w:w="60" w:type="dxa"/>
            <w:vAlign w:val="bottom"/>
          </w:tcPr>
          <w:p>
            <w:pPr>
              <w:spacing w:after="0"/>
              <w:rPr>
                <w:sz w:val="18"/>
                <w:szCs w:val="18"/>
                <w:color w:val="auto"/>
              </w:rPr>
            </w:pPr>
          </w:p>
        </w:tc>
      </w:tr>
      <w:tr>
        <w:trPr>
          <w:trHeight w:val="28"/>
        </w:trPr>
        <w:tc>
          <w:tcPr>
            <w:tcW w:w="5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1"/>
        </w:trPr>
        <w:tc>
          <w:tcPr>
            <w:tcW w:w="57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Operatng lease liabilites</w:t>
            </w:r>
          </w:p>
        </w:tc>
        <w:tc>
          <w:tcPr>
            <w:tcW w:w="700" w:type="dxa"/>
            <w:vAlign w:val="bottom"/>
            <w:tcBorders>
              <w:bottom w:val="single" w:sz="8" w:color="CFF0FC"/>
            </w:tcBorders>
            <w:shd w:val="clear" w:color="auto" w:fill="CFF0FC"/>
          </w:tcPr>
          <w:p>
            <w:pPr>
              <w:jc w:val="right"/>
              <w:ind w:right="510"/>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462</w:t>
            </w:r>
          </w:p>
        </w:tc>
        <w:tc>
          <w:tcPr>
            <w:tcW w:w="60" w:type="dxa"/>
            <w:vAlign w:val="bottom"/>
          </w:tcPr>
          <w:p>
            <w:pPr>
              <w:spacing w:after="0"/>
              <w:rPr>
                <w:sz w:val="24"/>
                <w:szCs w:val="24"/>
                <w:color w:val="auto"/>
              </w:rPr>
            </w:pPr>
          </w:p>
        </w:tc>
      </w:tr>
      <w:tr>
        <w:trPr>
          <w:trHeight w:val="224"/>
        </w:trPr>
        <w:tc>
          <w:tcPr>
            <w:tcW w:w="5720" w:type="dxa"/>
            <w:vAlign w:val="bottom"/>
            <w:tcBorders>
              <w:top w:val="single" w:sz="8" w:color="CFF0F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7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Weighted-average remaining lease term (in years)</w:t>
            </w:r>
          </w:p>
        </w:tc>
        <w:tc>
          <w:tcPr>
            <w:tcW w:w="7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1.6</w:t>
            </w:r>
          </w:p>
        </w:tc>
        <w:tc>
          <w:tcPr>
            <w:tcW w:w="60" w:type="dxa"/>
            <w:vAlign w:val="bottom"/>
          </w:tcPr>
          <w:p>
            <w:pPr>
              <w:spacing w:after="0"/>
              <w:rPr>
                <w:sz w:val="19"/>
                <w:szCs w:val="19"/>
                <w:color w:val="auto"/>
              </w:rPr>
            </w:pPr>
          </w:p>
        </w:tc>
      </w:tr>
      <w:tr>
        <w:trPr>
          <w:trHeight w:val="215"/>
        </w:trPr>
        <w:tc>
          <w:tcPr>
            <w:tcW w:w="5720" w:type="dxa"/>
            <w:vAlign w:val="bottom"/>
          </w:tcPr>
          <w:p>
            <w:pPr>
              <w:spacing w:after="0" w:line="215" w:lineRule="exact"/>
              <w:rPr>
                <w:sz w:val="20"/>
                <w:szCs w:val="20"/>
                <w:color w:val="auto"/>
              </w:rPr>
            </w:pPr>
            <w:r>
              <w:rPr>
                <w:rFonts w:ascii="Calibri" w:cs="Calibri" w:eastAsia="Calibri" w:hAnsi="Calibri"/>
                <w:sz w:val="18"/>
                <w:szCs w:val="18"/>
                <w:color w:val="auto"/>
              </w:rPr>
              <w:t>Weighted-average incremental borrowing rate</w:t>
            </w:r>
          </w:p>
        </w:tc>
        <w:tc>
          <w:tcPr>
            <w:tcW w:w="700" w:type="dxa"/>
            <w:vAlign w:val="bottom"/>
          </w:tcPr>
          <w:p>
            <w:pPr>
              <w:spacing w:after="0"/>
              <w:rPr>
                <w:sz w:val="18"/>
                <w:szCs w:val="18"/>
                <w:color w:val="auto"/>
              </w:rPr>
            </w:pPr>
          </w:p>
        </w:tc>
        <w:tc>
          <w:tcPr>
            <w:tcW w:w="1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8.21 %</w:t>
            </w:r>
          </w:p>
        </w:tc>
      </w:tr>
    </w:tbl>
    <w:p>
      <w:pPr>
        <w:spacing w:after="0" w:line="22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cash fows for both the years ended December 31, 2023 and 2022 included cash payments for operatng leases of $1.1 million, of which $0.1 million as of December 31, 2023 were prepaid lease payments.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gridSpan w:val="2"/>
          </w:tcPr>
          <w:p>
            <w:pPr>
              <w:spacing w:after="0"/>
              <w:rPr>
                <w:sz w:val="20"/>
                <w:szCs w:val="20"/>
                <w:color w:val="auto"/>
              </w:rPr>
            </w:pPr>
            <w:r>
              <w:rPr>
                <w:rFonts w:ascii="Calibri" w:cs="Calibri" w:eastAsia="Calibri" w:hAnsi="Calibri"/>
                <w:sz w:val="18"/>
                <w:szCs w:val="18"/>
                <w:b w:val="1"/>
                <w:bCs w:val="1"/>
                <w:color w:val="auto"/>
              </w:rPr>
              <w:t>6. Debt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6580" w:type="dxa"/>
            <w:vAlign w:val="bottom"/>
            <w:gridSpan w:val="2"/>
          </w:tcPr>
          <w:p>
            <w:pPr>
              <w:ind w:left="520"/>
              <w:spacing w:after="0"/>
              <w:rPr>
                <w:sz w:val="20"/>
                <w:szCs w:val="20"/>
                <w:color w:val="auto"/>
              </w:rPr>
            </w:pPr>
            <w:r>
              <w:rPr>
                <w:rFonts w:ascii="Calibri" w:cs="Calibri" w:eastAsia="Calibri" w:hAnsi="Calibri"/>
                <w:sz w:val="18"/>
                <w:szCs w:val="18"/>
                <w:color w:val="auto"/>
              </w:rPr>
              <w:t>Total debt consists of the following (in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00"/>
        </w:trPr>
        <w:tc>
          <w:tcPr>
            <w:tcW w:w="1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900" w:type="dxa"/>
            <w:vAlign w:val="bottom"/>
          </w:tcPr>
          <w:p>
            <w:pPr>
              <w:spacing w:after="0"/>
              <w:rPr>
                <w:sz w:val="24"/>
                <w:szCs w:val="24"/>
                <w:color w:val="auto"/>
              </w:rPr>
            </w:pPr>
          </w:p>
        </w:tc>
      </w:tr>
      <w:tr>
        <w:trPr>
          <w:trHeight w:val="37"/>
        </w:trPr>
        <w:tc>
          <w:tcPr>
            <w:tcW w:w="1920" w:type="dxa"/>
            <w:vAlign w:val="bottom"/>
          </w:tcPr>
          <w:p>
            <w:pPr>
              <w:spacing w:after="0"/>
              <w:rPr>
                <w:sz w:val="3"/>
                <w:szCs w:val="3"/>
                <w:color w:val="auto"/>
              </w:rPr>
            </w:pPr>
          </w:p>
        </w:tc>
        <w:tc>
          <w:tcPr>
            <w:tcW w:w="46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8"/>
        </w:trPr>
        <w:tc>
          <w:tcPr>
            <w:tcW w:w="19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w w:val="98"/>
              </w:rPr>
              <w:t>2022</w:t>
            </w:r>
          </w:p>
        </w:tc>
      </w:tr>
      <w:tr>
        <w:trPr>
          <w:trHeight w:val="28"/>
        </w:trPr>
        <w:tc>
          <w:tcPr>
            <w:tcW w:w="19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19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 current porton</w:t>
            </w: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Borders>
              <w:bottom w:val="single" w:sz="8" w:color="CFF0FC"/>
            </w:tcBorders>
            <w:gridSpan w:val="2"/>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r>
      <w:tr>
        <w:trPr>
          <w:trHeight w:val="215"/>
        </w:trPr>
        <w:tc>
          <w:tcPr>
            <w:tcW w:w="1920" w:type="dxa"/>
            <w:vAlign w:val="bottom"/>
          </w:tcPr>
          <w:p>
            <w:pPr>
              <w:spacing w:after="0"/>
              <w:rPr>
                <w:sz w:val="18"/>
                <w:szCs w:val="18"/>
                <w:color w:val="auto"/>
              </w:rPr>
            </w:pPr>
          </w:p>
        </w:tc>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non-current porton</w:t>
            </w: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148,057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104,474</w:t>
            </w:r>
          </w:p>
        </w:tc>
      </w:tr>
      <w:tr>
        <w:trPr>
          <w:trHeight w:val="28"/>
        </w:trPr>
        <w:tc>
          <w:tcPr>
            <w:tcW w:w="19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192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Unamortzed debt discount</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(10,215 )</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(9,210 )</w:t>
            </w:r>
          </w:p>
        </w:tc>
      </w:tr>
      <w:tr>
        <w:trPr>
          <w:trHeight w:val="208"/>
        </w:trPr>
        <w:tc>
          <w:tcPr>
            <w:tcW w:w="1920" w:type="dxa"/>
            <w:vAlign w:val="bottom"/>
          </w:tcPr>
          <w:p>
            <w:pPr>
              <w:spacing w:after="0"/>
              <w:rPr>
                <w:sz w:val="18"/>
                <w:szCs w:val="18"/>
                <w:color w:val="auto"/>
              </w:rPr>
            </w:pPr>
          </w:p>
        </w:tc>
        <w:tc>
          <w:tcPr>
            <w:tcW w:w="46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debt, net of debt discount</w:t>
            </w: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137,842</w:t>
            </w:r>
          </w:p>
        </w:tc>
        <w:tc>
          <w:tcPr>
            <w:tcW w:w="1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95,264</w:t>
            </w:r>
          </w:p>
        </w:tc>
      </w:tr>
      <w:tr>
        <w:trPr>
          <w:trHeight w:val="28"/>
        </w:trPr>
        <w:tc>
          <w:tcPr>
            <w:tcW w:w="19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Loan Agreement provides for term loans in an aggregate principal amount of up to $200 million, or the Term Loan, under multple tranches. The tranches consist of (i) a frst tranche consistng of term loans in an aggregate principal amount of $100 million, all of which was funded on the Closing Date, or the First Advance, (ii) a second tranche consistng of up to an additonal $50 million, (iii) a third and fourth tranches consistng of an additonal total $50 million, which became available to us in May 2022.</w:t>
      </w:r>
    </w:p>
    <w:p>
      <w:pPr>
        <w:spacing w:after="0" w:line="219" w:lineRule="exact"/>
        <w:rPr>
          <w:sz w:val="20"/>
          <w:szCs w:val="20"/>
          <w:color w:val="auto"/>
        </w:rPr>
      </w:pPr>
    </w:p>
    <w:p>
      <w:pPr>
        <w:ind w:right="100" w:firstLine="509"/>
        <w:spacing w:after="0" w:line="258" w:lineRule="auto"/>
        <w:rPr>
          <w:sz w:val="20"/>
          <w:szCs w:val="20"/>
          <w:color w:val="auto"/>
        </w:rPr>
      </w:pPr>
      <w:r>
        <w:rPr>
          <w:rFonts w:ascii="Calibri" w:cs="Calibri" w:eastAsia="Calibri" w:hAnsi="Calibri"/>
          <w:sz w:val="17"/>
          <w:szCs w:val="17"/>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75" w:lineRule="exact"/>
        <w:rPr>
          <w:sz w:val="20"/>
          <w:szCs w:val="20"/>
          <w:color w:val="auto"/>
        </w:rPr>
      </w:pPr>
    </w:p>
    <w:p>
      <w:pPr>
        <w:ind w:right="60" w:firstLine="509"/>
        <w:spacing w:after="0" w:line="249" w:lineRule="auto"/>
        <w:rPr>
          <w:sz w:val="20"/>
          <w:szCs w:val="20"/>
          <w:color w:val="auto"/>
        </w:rPr>
      </w:pPr>
      <w:r>
        <w:rPr>
          <w:rFonts w:ascii="Calibri" w:cs="Calibri" w:eastAsia="Calibri" w:hAnsi="Calibri"/>
          <w:sz w:val="17"/>
          <w:szCs w:val="17"/>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FDA approval of vonoprazan for Erosive GERD or the EE Milestone, prior to February 15, 2024, and</w:t>
      </w:r>
    </w:p>
    <w:p>
      <w:pPr>
        <w:spacing w:after="0" w:line="3" w:lineRule="exact"/>
        <w:rPr>
          <w:sz w:val="20"/>
          <w:szCs w:val="20"/>
          <w:color w:val="auto"/>
        </w:rPr>
      </w:pPr>
    </w:p>
    <w:p>
      <w:pPr>
        <w:ind w:right="200" w:firstLine="8"/>
        <w:spacing w:after="0" w:line="235" w:lineRule="auto"/>
        <w:tabs>
          <w:tab w:leader="none" w:pos="266"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 recorded as debt discount and are being amortzed to interest expense using the efectve interest method over the remaining term of the Term Loan.</w:t>
      </w:r>
    </w:p>
    <w:p>
      <w:pPr>
        <w:spacing w:after="0" w:line="179"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On December 14, 2023, the Company entered into a Fourth Amendment to Loan and Security Agreement, or the Fourth Loan Amendment, with the lenders, pursuant to which, among other things, (i) increases the aggregate principal amount of the term loans from $200 million to $300 million; (ii) provides for the possibility of accessing the remaining $200 million commitment through fve tranches referred to as the second through sixth tranches, which are available subject to certain milestones and conditons: (a) Second Tranche: $50 million, $40 million of which was funded on December 14, 2023, available through March 15, 2024, (b) Third Tranche: $25 million available through June 15, 2024, (c) Fourth Tranche: $25 million available through December 15, 2024,</w:t>
      </w:r>
    </w:p>
    <w:p>
      <w:pPr>
        <w:spacing w:after="0" w:line="3" w:lineRule="exact"/>
        <w:rPr>
          <w:sz w:val="20"/>
          <w:szCs w:val="20"/>
          <w:color w:val="auto"/>
        </w:rPr>
      </w:pPr>
    </w:p>
    <w:p>
      <w:pPr>
        <w:ind w:firstLine="8"/>
        <w:spacing w:after="0" w:line="249" w:lineRule="auto"/>
        <w:tabs>
          <w:tab w:leader="none" w:pos="238"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Fifh Tranche: $50 million available, subject to the achievement of trailing three month net revenues greater than $60 million, or the Fifh Tranche milestone, through June 30, 2025, and (e) Sixth Tranche: $50 million available, subject to the achievement of trailing three month net revenues greater than $80 million, or the Sixth Tranche milestone, through December 31, 2025; (iii) extends the interest only period and the maturity date from October 2026 to December 2027, (iv) reduces the cash interest rate from 10.75% (foatng annual rate equal to the greater of (a) 5.50% and (b) the Prime Rate (as reported in the Wall Street Journal) plus 2.25% to 9.85% (foatng rate based on the greater of (a) 9.85% or (b) US WSJ Prime + 1.35%), provided that the cash interest rate shall be capped at 10.35% and upon the Company achieving the Sixth Tranche milestone, the cash interest foatng rated shall be decreased by 0.35% to</w:t>
      </w:r>
    </w:p>
    <w:p>
      <w:pPr>
        <w:spacing w:after="0" w:line="4" w:lineRule="exact"/>
        <w:rPr>
          <w:rFonts w:ascii="Calibri" w:cs="Calibri" w:eastAsia="Calibri" w:hAnsi="Calibri"/>
          <w:sz w:val="17"/>
          <w:szCs w:val="17"/>
          <w:color w:val="auto"/>
        </w:rPr>
      </w:pPr>
    </w:p>
    <w:p>
      <w:pPr>
        <w:jc w:val="both"/>
        <w:ind w:right="120"/>
        <w:spacing w:after="0" w:line="235" w:lineRule="auto"/>
        <w:rPr>
          <w:rFonts w:ascii="Calibri" w:cs="Calibri" w:eastAsia="Calibri" w:hAnsi="Calibri"/>
          <w:sz w:val="17"/>
          <w:szCs w:val="17"/>
          <w:color w:val="auto"/>
        </w:rPr>
      </w:pPr>
      <w:r>
        <w:rPr>
          <w:rFonts w:ascii="Calibri" w:cs="Calibri" w:eastAsia="Calibri" w:hAnsi="Calibri"/>
          <w:sz w:val="18"/>
          <w:szCs w:val="18"/>
          <w:color w:val="auto"/>
        </w:rPr>
        <w:t>9.50%, and (v) decreases the payment-in-kind interest rate from 3.35% per annum to 2.15% per annum. In connecton with the Fourth Loan Amendment, an amendment fee of $250,000 was paid to the Agent and was recorded as a debt discount and being amortzed to interest expense using the efectve interest method over the remaining term of the Term Loan.</w:t>
      </w:r>
    </w:p>
    <w:p>
      <w:pPr>
        <w:spacing w:after="0" w:line="178" w:lineRule="exact"/>
        <w:rPr>
          <w:sz w:val="20"/>
          <w:szCs w:val="20"/>
          <w:color w:val="auto"/>
        </w:rPr>
      </w:pPr>
    </w:p>
    <w:p>
      <w:pPr>
        <w:ind w:right="140" w:firstLine="549"/>
        <w:spacing w:after="0" w:line="235" w:lineRule="auto"/>
        <w:rPr>
          <w:sz w:val="20"/>
          <w:szCs w:val="20"/>
          <w:color w:val="auto"/>
        </w:rPr>
      </w:pPr>
      <w:r>
        <w:rPr>
          <w:rFonts w:ascii="Calibri" w:cs="Calibri" w:eastAsia="Calibri" w:hAnsi="Calibri"/>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Afer the interest-only period, the principal balance and related interest will be required to be repaid in full on the Maturity Date.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9"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In additon, the Company is obligated to pay a fnal payment fee of 7.50% of the original principal amount of amounts actually advanced under the Term Loan, or each a Term Loan Advance and together, the Term Loan Advances. In connecton with the Fourth Loan Amendment, the fnal payment fee was amended to be $1 million plus 3.00% of any future tranche drawdowns under the agreement, due upon fnal maturity. Additonally, the inital fnal payment fee for the frst term Loan advance was amended to become payable on October 1, 2026. As of December 31, 2023, the aggregate fnal payment fee for the frst Term Loan Advance of $7.5 million and $2.2 million for the second Term Loan Advance, have both been recorded within other long-term liabilites.</w:t>
      </w:r>
    </w:p>
    <w:p>
      <w:pPr>
        <w:spacing w:after="0" w:line="184" w:lineRule="exact"/>
        <w:rPr>
          <w:sz w:val="20"/>
          <w:szCs w:val="20"/>
          <w:color w:val="auto"/>
        </w:rPr>
      </w:pPr>
    </w:p>
    <w:p>
      <w:pPr>
        <w:ind w:right="260" w:firstLine="509"/>
        <w:spacing w:after="0" w:line="254" w:lineRule="auto"/>
        <w:rPr>
          <w:sz w:val="20"/>
          <w:szCs w:val="20"/>
          <w:color w:val="auto"/>
        </w:rPr>
      </w:pPr>
      <w:r>
        <w:rPr>
          <w:rFonts w:ascii="Calibri" w:cs="Calibri" w:eastAsia="Calibri" w:hAnsi="Calibri"/>
          <w:sz w:val="17"/>
          <w:szCs w:val="17"/>
          <w:color w:val="auto"/>
        </w:rPr>
        <w:t>Under the Fourth Loan Amendment the Company may elect to prepay all or a porton of the Term Loan Advances prior to maturity, subject to a prepayment fee of up to 1.25% of the then outstanding principal balance of the Term Loan Advances being prepaid when such prepayment occurs prior to October 1, 2026, or 0.50% if such prepayment occurs on or afer October 1, 2026. Afer repayment, no Term Loan amounts may be borrowed again.</w:t>
      </w:r>
    </w:p>
    <w:p>
      <w:pPr>
        <w:spacing w:after="0" w:line="16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As collateral for the obligatons, the Company has granted to Hercules a senior security interest in all of Company’s right, ttle, and interest in, to and under substantally all of Company’s property, inclusive of intellectual property.</w:t>
      </w:r>
    </w:p>
    <w:p>
      <w:pPr>
        <w:spacing w:after="0" w:line="177"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fnancial covenants. The fnancial covenants under the Fourth Loan Amendment include (i) a minimum cash covenant and (ii) a performance covenant as follows:</w:t>
      </w:r>
    </w:p>
    <w:p>
      <w:pPr>
        <w:spacing w:after="0" w:line="111" w:lineRule="exact"/>
        <w:rPr>
          <w:sz w:val="20"/>
          <w:szCs w:val="20"/>
          <w:color w:val="auto"/>
        </w:rPr>
      </w:pPr>
    </w:p>
    <w:p>
      <w:pPr>
        <w:ind w:left="1020" w:right="40" w:hanging="503"/>
        <w:spacing w:after="0" w:line="235" w:lineRule="auto"/>
        <w:tabs>
          <w:tab w:leader="none" w:pos="102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Minimum cash covenant - The Company must maintain a minimum cash balance of 20% of the outstanding principal balance at all tmes. The minimum cash balance may be increased to 35% or 50% under performance covenant (b) below if the performance covenants (a) or (c) are not met beginning September 30, 2024 and all tmes thereafer.</w:t>
      </w:r>
    </w:p>
    <w:p>
      <w:pPr>
        <w:spacing w:after="0" w:line="105" w:lineRule="exact"/>
        <w:rPr>
          <w:rFonts w:ascii="Calibri" w:cs="Calibri" w:eastAsia="Calibri" w:hAnsi="Calibri"/>
          <w:sz w:val="18"/>
          <w:szCs w:val="18"/>
          <w:color w:val="auto"/>
        </w:rPr>
      </w:pPr>
    </w:p>
    <w:p>
      <w:pPr>
        <w:ind w:left="1020" w:hanging="503"/>
        <w:spacing w:after="0"/>
        <w:tabs>
          <w:tab w:leader="none" w:pos="102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Performance covenant- Beginning September 30, 2024 and all tmes thereafer the Company must satsfy any one of the following:</w:t>
      </w:r>
    </w:p>
    <w:p>
      <w:pPr>
        <w:spacing w:after="0" w:line="104" w:lineRule="exact"/>
        <w:rPr>
          <w:rFonts w:ascii="Calibri" w:cs="Calibri" w:eastAsia="Calibri" w:hAnsi="Calibri"/>
          <w:sz w:val="18"/>
          <w:szCs w:val="18"/>
          <w:color w:val="auto"/>
        </w:rPr>
      </w:pPr>
    </w:p>
    <w:p>
      <w:pPr>
        <w:ind w:left="1540" w:hanging="514"/>
        <w:spacing w:after="0"/>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Market capitalizaton exceeding $900 million;</w:t>
      </w:r>
    </w:p>
    <w:p>
      <w:pPr>
        <w:spacing w:after="0" w:line="109" w:lineRule="exact"/>
        <w:rPr>
          <w:rFonts w:ascii="Calibri" w:cs="Calibri" w:eastAsia="Calibri" w:hAnsi="Calibri"/>
          <w:sz w:val="18"/>
          <w:szCs w:val="18"/>
          <w:color w:val="auto"/>
        </w:rPr>
      </w:pPr>
    </w:p>
    <w:p>
      <w:pPr>
        <w:ind w:left="1540" w:right="220" w:hanging="514"/>
        <w:spacing w:after="0" w:line="235" w:lineRule="auto"/>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Minimum cash balance exceeding (x) outstanding principal amount of term loans, multplied by (y) (A) 50%, prior to achieving trailing three months net product revenue of greater than $35 million, and (B) 35% thereafer;</w:t>
      </w:r>
    </w:p>
    <w:p>
      <w:pPr>
        <w:spacing w:after="0" w:line="109" w:lineRule="exact"/>
        <w:rPr>
          <w:rFonts w:ascii="Calibri" w:cs="Calibri" w:eastAsia="Calibri" w:hAnsi="Calibri"/>
          <w:sz w:val="18"/>
          <w:szCs w:val="18"/>
          <w:color w:val="auto"/>
        </w:rPr>
      </w:pPr>
    </w:p>
    <w:p>
      <w:pPr>
        <w:ind w:left="1540" w:right="280" w:hanging="514"/>
        <w:spacing w:after="0" w:line="235" w:lineRule="auto"/>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Trailing three months net product revenue of at least (x) 30% of agreed upon projected net revenues for periods in the calendar year 2024 and 25% for all periods thereafer or (y) $120 million.</w:t>
      </w:r>
    </w:p>
    <w:p>
      <w:pPr>
        <w:spacing w:after="0" w:line="191"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Upon the occurrence of an event of default, subject to any specifed cure periods, all amounts owed by the Company may be declared immediately due and payable by Hercules, as collateral agent. As of December 31, 2023, the Company was in compliance with all applicable covenants under the Loan Agreement.</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connecton with the entry into the Fourth Loan Amendment, we eliminated the warrant agreement for all future tranches. The Warrant issued with the inital tranche was not modifed as part of this amendment. The exercise price and terms of the outstanding Warrant remain unchanged.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9"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The inital $1.3 million fair value of the Warrant, the $9.7 million fnal interest payment fees and $3.5 million of debt issuance costs have been recorded as debt discount and are being amortzed to interest expense using the efectve interest method over the term of the Term Loan.</w:t>
      </w:r>
    </w:p>
    <w:p>
      <w:pPr>
        <w:spacing w:after="0" w:line="191"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Future minimum principal payments under the Term Loan, including the fnal payment fees, as of December 31, 2023 are as follows (in thousands):</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43"/>
        </w:trPr>
        <w:tc>
          <w:tcPr>
            <w:tcW w:w="566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Year ending December 31:</w:t>
            </w:r>
          </w:p>
        </w:tc>
        <w:tc>
          <w:tcPr>
            <w:tcW w:w="6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15"/>
        </w:trPr>
        <w:tc>
          <w:tcPr>
            <w:tcW w:w="5660" w:type="dxa"/>
            <w:vAlign w:val="bottom"/>
          </w:tcPr>
          <w:p>
            <w:pPr>
              <w:jc w:val="right"/>
              <w:ind w:right="5030"/>
              <w:spacing w:after="0" w:line="215" w:lineRule="exact"/>
              <w:rPr>
                <w:sz w:val="20"/>
                <w:szCs w:val="20"/>
                <w:color w:val="auto"/>
              </w:rPr>
            </w:pPr>
            <w:r>
              <w:rPr>
                <w:rFonts w:ascii="Calibri" w:cs="Calibri" w:eastAsia="Calibri" w:hAnsi="Calibri"/>
                <w:sz w:val="18"/>
                <w:szCs w:val="18"/>
                <w:color w:val="auto"/>
              </w:rPr>
              <w:t>2024</w:t>
            </w:r>
          </w:p>
        </w:tc>
        <w:tc>
          <w:tcPr>
            <w:tcW w:w="600" w:type="dxa"/>
            <w:vAlign w:val="bottom"/>
          </w:tcPr>
          <w:p>
            <w:pPr>
              <w:jc w:val="right"/>
              <w:ind w:right="4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5660" w:type="dxa"/>
            <w:vAlign w:val="bottom"/>
            <w:tcBorders>
              <w:bottom w:val="single" w:sz="8" w:color="CFF0FC"/>
            </w:tcBorders>
            <w:shd w:val="clear" w:color="auto" w:fill="CFF0FC"/>
          </w:tcPr>
          <w:p>
            <w:pPr>
              <w:jc w:val="right"/>
              <w:ind w:right="5030"/>
              <w:spacing w:after="0" w:line="215" w:lineRule="exact"/>
              <w:rPr>
                <w:sz w:val="20"/>
                <w:szCs w:val="20"/>
                <w:color w:val="auto"/>
              </w:rPr>
            </w:pPr>
            <w:r>
              <w:rPr>
                <w:rFonts w:ascii="Calibri" w:cs="Calibri" w:eastAsia="Calibri" w:hAnsi="Calibri"/>
                <w:sz w:val="18"/>
                <w:szCs w:val="18"/>
                <w:color w:val="auto"/>
              </w:rPr>
              <w:t>2025</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660" w:type="dxa"/>
            <w:vAlign w:val="bottom"/>
          </w:tcPr>
          <w:p>
            <w:pPr>
              <w:jc w:val="right"/>
              <w:ind w:right="5030"/>
              <w:spacing w:after="0" w:line="215" w:lineRule="exact"/>
              <w:rPr>
                <w:sz w:val="20"/>
                <w:szCs w:val="20"/>
                <w:color w:val="auto"/>
              </w:rPr>
            </w:pPr>
            <w:r>
              <w:rPr>
                <w:rFonts w:ascii="Calibri" w:cs="Calibri" w:eastAsia="Calibri" w:hAnsi="Calibri"/>
                <w:sz w:val="18"/>
                <w:szCs w:val="18"/>
                <w:color w:val="auto"/>
              </w:rPr>
              <w:t>2026</w:t>
            </w:r>
          </w:p>
        </w:tc>
        <w:tc>
          <w:tcPr>
            <w:tcW w:w="6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7,500</w:t>
            </w:r>
          </w:p>
        </w:tc>
      </w:tr>
      <w:tr>
        <w:trPr>
          <w:trHeight w:val="28"/>
        </w:trPr>
        <w:tc>
          <w:tcPr>
            <w:tcW w:w="5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5660" w:type="dxa"/>
            <w:vAlign w:val="bottom"/>
            <w:tcBorders>
              <w:bottom w:val="single" w:sz="8" w:color="CFF0FC"/>
            </w:tcBorders>
            <w:shd w:val="clear" w:color="auto" w:fill="CFF0FC"/>
          </w:tcPr>
          <w:p>
            <w:pPr>
              <w:jc w:val="right"/>
              <w:ind w:right="5030"/>
              <w:spacing w:after="0" w:line="215" w:lineRule="exact"/>
              <w:rPr>
                <w:sz w:val="20"/>
                <w:szCs w:val="20"/>
                <w:color w:val="auto"/>
              </w:rPr>
            </w:pPr>
            <w:r>
              <w:rPr>
                <w:rFonts w:ascii="Calibri" w:cs="Calibri" w:eastAsia="Calibri" w:hAnsi="Calibri"/>
                <w:sz w:val="18"/>
                <w:szCs w:val="18"/>
                <w:color w:val="auto"/>
              </w:rPr>
              <w:t>2027</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163,444</w:t>
            </w:r>
          </w:p>
        </w:tc>
      </w:tr>
      <w:tr>
        <w:trPr>
          <w:trHeight w:val="215"/>
        </w:trPr>
        <w:tc>
          <w:tcPr>
            <w:tcW w:w="5660" w:type="dxa"/>
            <w:vAlign w:val="bottom"/>
          </w:tcPr>
          <w:p>
            <w:pPr>
              <w:jc w:val="right"/>
              <w:ind w:right="5030"/>
              <w:spacing w:after="0" w:line="215" w:lineRule="exact"/>
              <w:rPr>
                <w:sz w:val="20"/>
                <w:szCs w:val="20"/>
                <w:color w:val="auto"/>
              </w:rPr>
            </w:pPr>
            <w:r>
              <w:rPr>
                <w:rFonts w:ascii="Calibri" w:cs="Calibri" w:eastAsia="Calibri" w:hAnsi="Calibri"/>
                <w:sz w:val="18"/>
                <w:szCs w:val="18"/>
                <w:color w:val="auto"/>
              </w:rPr>
              <w:t>2028</w:t>
            </w:r>
          </w:p>
        </w:tc>
        <w:tc>
          <w:tcPr>
            <w:tcW w:w="6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principal and interest payments</w:t>
            </w:r>
          </w:p>
        </w:tc>
        <w:tc>
          <w:tcPr>
            <w:tcW w:w="6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170,944</w:t>
            </w:r>
          </w:p>
        </w:tc>
      </w:tr>
      <w:tr>
        <w:trPr>
          <w:trHeight w:val="215"/>
        </w:trPr>
        <w:tc>
          <w:tcPr>
            <w:tcW w:w="5660" w:type="dxa"/>
            <w:vAlign w:val="bottom"/>
          </w:tcPr>
          <w:p>
            <w:pPr>
              <w:ind w:left="20"/>
              <w:spacing w:after="0" w:line="215" w:lineRule="exact"/>
              <w:rPr>
                <w:sz w:val="20"/>
                <w:szCs w:val="20"/>
                <w:color w:val="auto"/>
              </w:rPr>
            </w:pPr>
            <w:r>
              <w:rPr>
                <w:rFonts w:ascii="Calibri" w:cs="Calibri" w:eastAsia="Calibri" w:hAnsi="Calibri"/>
                <w:sz w:val="18"/>
                <w:szCs w:val="18"/>
                <w:color w:val="auto"/>
              </w:rPr>
              <w:t>Less: payment-in-kind and fnal payment fee</w:t>
            </w:r>
          </w:p>
        </w:tc>
        <w:tc>
          <w:tcPr>
            <w:tcW w:w="6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(30,944 )</w:t>
            </w:r>
          </w:p>
        </w:tc>
      </w:tr>
      <w:tr>
        <w:trPr>
          <w:trHeight w:val="28"/>
        </w:trPr>
        <w:tc>
          <w:tcPr>
            <w:tcW w:w="56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56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term loan borrowings</w:t>
            </w:r>
          </w:p>
        </w:tc>
        <w:tc>
          <w:tcPr>
            <w:tcW w:w="600" w:type="dxa"/>
            <w:vAlign w:val="bottom"/>
            <w:tcBorders>
              <w:bottom w:val="single" w:sz="8" w:color="CFF0FC"/>
            </w:tcBorders>
            <w:shd w:val="clear" w:color="auto" w:fill="CFF0FC"/>
          </w:tcPr>
          <w:p>
            <w:pPr>
              <w:jc w:val="right"/>
              <w:ind w:right="41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140,000</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right="420" w:firstLine="509"/>
        <w:spacing w:after="0" w:line="254" w:lineRule="auto"/>
        <w:rPr>
          <w:sz w:val="20"/>
          <w:szCs w:val="20"/>
          <w:color w:val="auto"/>
        </w:rPr>
      </w:pPr>
      <w:r>
        <w:rPr>
          <w:rFonts w:ascii="Calibri" w:cs="Calibri" w:eastAsia="Calibri" w:hAnsi="Calibri"/>
          <w:sz w:val="17"/>
          <w:szCs w:val="17"/>
          <w:color w:val="auto"/>
        </w:rPr>
        <w:t>During the years ended December 31, 2023 and 2022, the Company recognized $17.1 million and $13.0 million, respectvely, of interest expense, including amortzaton of the debt discount, in connecton with the Hercules Loan Agreement. As of December 31, 2023 and 2022, the Company had outstanding loan balance of $148.1 million and $104.5 million, respectvely, and accrued interest of $1.1 and $0.9 million, respectvely.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Revenue Interest Financing Liability</w:t>
      </w:r>
    </w:p>
    <w:p>
      <w:pPr>
        <w:spacing w:after="0" w:line="19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May 3, 2022, the Company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received an additonal $160 million upon FDA approval of VOQUEZNA for treatment of Erosive GERD during the fourth quarter of 2023.</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on October 31, 2022, the Company entered into a Joinder Agreement with the Inital Investors and CO Finance LVS XXXVII LLC, or the Additonal Investor, and Hercules, together as the investors. Under the terms of the Joinder Agreement, we received $15 million in additonal funding upon FDA approval of vonoprazan for Erosive GERD, or Approval Additonal Funding, during the fourth quarter of 2023, and provides for $25 million in additonal funding for achievement of a sales milestone, or Milestone Additonal Funding, and, together with the Approval Additonal Funding, or the Additonal Investor Funding. The Inital Investors waived their rights of frst ofer regarding the Additonal Investor Funding and the Additonal Investor and joined the Revenue Interest Financing Agreement to extend commitments for the Additonal Investor Funding. The total amount funded by the Inital Investors and any subsequent investors is referred to herein as the Investment Amount.</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if the Company receives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the Company has the right to make a cap payment equal to 200% of the Investment Amount less any royaltes already paid, at which tme the agreement will terminate.</w:t>
      </w:r>
    </w:p>
    <w:p>
      <w:pPr>
        <w:spacing w:after="0" w:line="194"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9"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the year ended December 31, 2023, the Company received gross proceeds of $175.0 million before deductng transacton costs of $2.3 million, resultng in net proceeds of $172.7 million. During the year ended December 31, 2022, the Company received gross proceeds of $100.0 million before deductng transacton costs of $4.6 million, which resulted in net proceeds of $95.4 million.</w:t>
      </w:r>
    </w:p>
    <w:p>
      <w:pPr>
        <w:spacing w:after="0" w:line="178"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Changes in future payments from previous estmates are included in the current and future fnancing expense. The carrying value of the revenue interest fnancing liability was $306.9 million and $109.5 million as of December 31, 2023 and 2022, respectvely.</w:t>
      </w:r>
    </w:p>
    <w:p>
      <w:pPr>
        <w:spacing w:after="0" w:line="17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 revenue interest fnancing liability consists of the following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69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Liability balance as of January 1, 2022</w:t>
            </w:r>
          </w:p>
        </w:tc>
        <w:tc>
          <w:tcPr>
            <w:tcW w:w="800" w:type="dxa"/>
            <w:vAlign w:val="bottom"/>
            <w:shd w:val="clear" w:color="auto" w:fill="CFF0FC"/>
          </w:tcPr>
          <w:p>
            <w:pPr>
              <w:jc w:val="right"/>
              <w:ind w:right="610"/>
              <w:spacing w:after="0"/>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FF0FC"/>
          </w:tcPr>
          <w:p>
            <w:pPr>
              <w:spacing w:after="0"/>
              <w:rPr>
                <w:sz w:val="21"/>
                <w:szCs w:val="21"/>
                <w:color w:val="auto"/>
              </w:rPr>
            </w:pP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Proceeds from the Revenue Interest Financing Agreement</w:t>
            </w:r>
          </w:p>
        </w:tc>
        <w:tc>
          <w:tcPr>
            <w:tcW w:w="8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100,000</w:t>
            </w:r>
          </w:p>
        </w:tc>
        <w:tc>
          <w:tcPr>
            <w:tcW w:w="80" w:type="dxa"/>
            <w:vAlign w:val="bottom"/>
          </w:tcPr>
          <w:p>
            <w:pPr>
              <w:spacing w:after="0"/>
              <w:rPr>
                <w:sz w:val="18"/>
                <w:szCs w:val="18"/>
                <w:color w:val="auto"/>
              </w:rPr>
            </w:pPr>
          </w:p>
        </w:tc>
      </w:tr>
      <w:tr>
        <w:trPr>
          <w:trHeight w:val="28"/>
        </w:trPr>
        <w:tc>
          <w:tcPr>
            <w:tcW w:w="6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transacton costs</w:t>
            </w:r>
          </w:p>
        </w:tc>
        <w:tc>
          <w:tcPr>
            <w:tcW w:w="8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(4,554 )</w:t>
            </w: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80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Plus: interest expense</w:t>
            </w:r>
          </w:p>
        </w:tc>
        <w:tc>
          <w:tcPr>
            <w:tcW w:w="8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14,079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8"/>
        </w:trPr>
        <w:tc>
          <w:tcPr>
            <w:tcW w:w="6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Ending liability balance as of December 31, 2022</w:t>
            </w:r>
          </w:p>
        </w:tc>
        <w:tc>
          <w:tcPr>
            <w:tcW w:w="80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109,525</w:t>
            </w:r>
          </w:p>
        </w:tc>
        <w:tc>
          <w:tcPr>
            <w:tcW w:w="80" w:type="dxa"/>
            <w:vAlign w:val="bottom"/>
            <w:tcBorders>
              <w:top w:val="single" w:sz="8" w:color="CFF0FC"/>
            </w:tcBorders>
          </w:tcPr>
          <w:p>
            <w:pPr>
              <w:spacing w:after="0"/>
              <w:rPr>
                <w:sz w:val="18"/>
                <w:szCs w:val="18"/>
                <w:color w:val="auto"/>
              </w:rPr>
            </w:pPr>
          </w:p>
        </w:tc>
      </w:tr>
      <w:tr>
        <w:trPr>
          <w:trHeight w:val="28"/>
        </w:trPr>
        <w:tc>
          <w:tcPr>
            <w:tcW w:w="6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6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Liability balance as of January 1, 2023</w:t>
            </w:r>
          </w:p>
        </w:tc>
        <w:tc>
          <w:tcPr>
            <w:tcW w:w="800" w:type="dxa"/>
            <w:vAlign w:val="bottom"/>
            <w:tcBorders>
              <w:bottom w:val="single" w:sz="8" w:color="CFF0FC"/>
            </w:tcBorders>
            <w:shd w:val="clear" w:color="auto" w:fill="CFF0FC"/>
          </w:tcPr>
          <w:p>
            <w:pPr>
              <w:jc w:val="right"/>
              <w:ind w:right="61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109,525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Proceeds from the Revenue Interest Financing Agreement</w:t>
            </w:r>
          </w:p>
        </w:tc>
        <w:tc>
          <w:tcPr>
            <w:tcW w:w="8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175,000</w:t>
            </w:r>
          </w:p>
        </w:tc>
        <w:tc>
          <w:tcPr>
            <w:tcW w:w="80" w:type="dxa"/>
            <w:vAlign w:val="bottom"/>
          </w:tcPr>
          <w:p>
            <w:pPr>
              <w:spacing w:after="0"/>
              <w:rPr>
                <w:sz w:val="18"/>
                <w:szCs w:val="18"/>
                <w:color w:val="auto"/>
              </w:rPr>
            </w:pPr>
          </w:p>
        </w:tc>
      </w:tr>
      <w:tr>
        <w:trPr>
          <w:trHeight w:val="28"/>
        </w:trPr>
        <w:tc>
          <w:tcPr>
            <w:tcW w:w="6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transacton costs</w:t>
            </w:r>
          </w:p>
        </w:tc>
        <w:tc>
          <w:tcPr>
            <w:tcW w:w="8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(2,325 )</w:t>
            </w: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80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Plus: interest expense</w:t>
            </w:r>
          </w:p>
        </w:tc>
        <w:tc>
          <w:tcPr>
            <w:tcW w:w="8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24,727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8"/>
        </w:trPr>
        <w:tc>
          <w:tcPr>
            <w:tcW w:w="6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Ending liability balance as of December 31, 2023</w:t>
            </w:r>
          </w:p>
        </w:tc>
        <w:tc>
          <w:tcPr>
            <w:tcW w:w="8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306,927</w:t>
            </w:r>
          </w:p>
        </w:tc>
        <w:tc>
          <w:tcPr>
            <w:tcW w:w="80" w:type="dxa"/>
            <w:vAlign w:val="bottom"/>
            <w:tcBorders>
              <w:top w:val="single" w:sz="8" w:color="CFF0FC"/>
            </w:tcBorders>
          </w:tcPr>
          <w:p>
            <w:pPr>
              <w:spacing w:after="0"/>
              <w:rPr>
                <w:sz w:val="18"/>
                <w:szCs w:val="18"/>
                <w:color w:val="auto"/>
              </w:rPr>
            </w:pPr>
          </w:p>
        </w:tc>
      </w:tr>
      <w:tr>
        <w:trPr>
          <w:trHeight w:val="28"/>
        </w:trPr>
        <w:tc>
          <w:tcPr>
            <w:tcW w:w="6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current porton</w:t>
            </w:r>
          </w:p>
        </w:tc>
        <w:tc>
          <w:tcPr>
            <w:tcW w:w="8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(7,111 )</w:t>
            </w:r>
          </w:p>
        </w:tc>
      </w:tr>
      <w:tr>
        <w:trPr>
          <w:trHeight w:val="208"/>
        </w:trPr>
        <w:tc>
          <w:tcPr>
            <w:tcW w:w="6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Long-term liability balance as of December 31, 2023</w:t>
            </w:r>
          </w:p>
        </w:tc>
        <w:tc>
          <w:tcPr>
            <w:tcW w:w="80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299,816</w:t>
            </w:r>
          </w:p>
        </w:tc>
        <w:tc>
          <w:tcPr>
            <w:tcW w:w="80" w:type="dxa"/>
            <w:vAlign w:val="bottom"/>
            <w:tcBorders>
              <w:top w:val="single" w:sz="8" w:color="CFF0FC"/>
            </w:tcBorders>
          </w:tcPr>
          <w:p>
            <w:pPr>
              <w:spacing w:after="0"/>
              <w:rPr>
                <w:sz w:val="18"/>
                <w:szCs w:val="18"/>
                <w:color w:val="auto"/>
              </w:rPr>
            </w:pPr>
          </w:p>
        </w:tc>
      </w:tr>
      <w:tr>
        <w:trPr>
          <w:trHeight w:val="28"/>
        </w:trPr>
        <w:tc>
          <w:tcPr>
            <w:tcW w:w="6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-1636395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-505460</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During the years ended December 31, 2023 and 2022, the Company recognized $24.7 million and $14.1 million, respectvely, of interest expense in connecton with the revenue interest fnancing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will record liabilites associated with achievement of the sales milestone when such contngent event occurs.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default events and achievement of the sales milestone.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Common Stock</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9" w:name="page150"/>
    <w:bookmarkEnd w:id="149"/>
    <w:p>
      <w:pPr>
        <w:spacing w:after="0" w:line="149"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ending March 2023. The fair value of the founder shares at the date the repurchase right was granted was recognized as stock-based compensaton expense on a straight-line basis over the vestng period. As of December 31, 2023 and 2022, no shares and 79,064 shares, respectvely, of common stock were subject to repurchase by the Company. The amount of recognized and unrecognized stock-based compensaton related to the founder stock was immaterial for all periods presented.</w:t>
      </w:r>
    </w:p>
    <w:p>
      <w:pPr>
        <w:spacing w:after="0" w:line="1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From incepton through December 31, 2023, the Company sold 26,041,380 shares of common stock, generatng net proceeds of approximately $421.5 million, afer deductng underwritng discounts, commissions and ofering costs. This includes the May 2023 underwriten public ofering, in which the Company sold 12,793,750 shares of its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The Company incurred an additonal $0.4 million of ofering expenses in connecton with this public ofering.</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ATM Agreements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2020, the Company entered into the Sales Agreement, pursuant to which, the Company will pay the Sales Agent a commission for its services in actng as an agent in the sale of common stock in an amount equal to 3% of the gross sales price per share sold. In September 2022, the Company sold 2,414,897 shares for net proceeds of approximately $24.6 million under the 2020 ATM Ofering afer deductng $0.8 million of issuance costs. In February 2023, the Company sold 1,514,219 shares for net proceeds of approximately $14.1 million under the ATM Ofering afer deductng $0.4 million of issuance costs. The Company utlized $39.9 million of the available $125 million under the ATM Ofering prior to expiraton in November 2023.</w:t>
      </w:r>
    </w:p>
    <w:p>
      <w:pPr>
        <w:spacing w:after="0" w:line="209" w:lineRule="exact"/>
        <w:rPr>
          <w:sz w:val="20"/>
          <w:szCs w:val="20"/>
          <w:color w:val="auto"/>
        </w:rPr>
      </w:pPr>
    </w:p>
    <w:p>
      <w:pPr>
        <w:ind w:firstLine="509"/>
        <w:spacing w:after="0" w:line="223" w:lineRule="auto"/>
        <w:rPr>
          <w:sz w:val="20"/>
          <w:szCs w:val="20"/>
          <w:color w:val="auto"/>
        </w:rPr>
      </w:pPr>
      <w:r>
        <w:rPr>
          <w:rFonts w:ascii="Calibri" w:cs="Calibri" w:eastAsia="Calibri" w:hAnsi="Calibri"/>
          <w:sz w:val="18"/>
          <w:szCs w:val="18"/>
          <w:color w:val="auto"/>
        </w:rPr>
        <w:t>On November 9, 2023, the Company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2023 Sales Agreement, with Jeferies LLC, or the Sales Agent, under which the Company may, from tme to tme, sell shares of the Company's common stock having an aggregate ofering price of up to $150 million through the Sales Agent, or the ATM Ofering. Sales of the Company's common stock made pursuant to the 2023 Sales Agreement, if any, will be made under the Company's shelf registraton statement on Form S-3 which was fled on November 9, 2023 and declared efectve by the SEC on November 17, 2023. As of December 31, 2023, the Company utlized none of the available $150 million under the ATM Ofering.</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7240" w:type="dxa"/>
            <w:vAlign w:val="bottom"/>
            <w:gridSpan w:val="2"/>
          </w:tcPr>
          <w:p>
            <w:pPr>
              <w:spacing w:after="0"/>
              <w:rPr>
                <w:sz w:val="20"/>
                <w:szCs w:val="20"/>
                <w:color w:val="auto"/>
              </w:rPr>
            </w:pPr>
            <w:r>
              <w:rPr>
                <w:rFonts w:ascii="Calibri" w:cs="Calibri" w:eastAsia="Calibri" w:hAnsi="Calibri"/>
                <w:sz w:val="18"/>
                <w:szCs w:val="18"/>
                <w:color w:val="auto"/>
              </w:rPr>
              <w:t>A summary of the Company’s unvested shares is as follows: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15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5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Balance at December 31, 2022</w:t>
            </w: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254,437</w:t>
            </w:r>
          </w:p>
        </w:tc>
        <w:tc>
          <w:tcPr>
            <w:tcW w:w="20" w:type="dxa"/>
            <w:vAlign w:val="bottom"/>
          </w:tcPr>
          <w:p>
            <w:pPr>
              <w:spacing w:after="0"/>
              <w:rPr>
                <w:sz w:val="19"/>
                <w:szCs w:val="19"/>
                <w:color w:val="auto"/>
              </w:rPr>
            </w:pPr>
          </w:p>
        </w:tc>
      </w:tr>
      <w:tr>
        <w:trPr>
          <w:trHeight w:val="215"/>
        </w:trPr>
        <w:tc>
          <w:tcPr>
            <w:tcW w:w="1520" w:type="dxa"/>
            <w:vAlign w:val="bottom"/>
          </w:tcPr>
          <w:p>
            <w:pPr>
              <w:spacing w:after="0"/>
              <w:rPr>
                <w:sz w:val="18"/>
                <w:szCs w:val="18"/>
                <w:color w:val="auto"/>
              </w:rPr>
            </w:pPr>
          </w:p>
        </w:tc>
        <w:tc>
          <w:tcPr>
            <w:tcW w:w="5720" w:type="dxa"/>
            <w:vAlign w:val="bottom"/>
          </w:tcPr>
          <w:p>
            <w:pPr>
              <w:ind w:left="180"/>
              <w:spacing w:after="0" w:line="215" w:lineRule="exact"/>
              <w:rPr>
                <w:sz w:val="20"/>
                <w:szCs w:val="20"/>
                <w:color w:val="auto"/>
              </w:rPr>
            </w:pPr>
            <w:r>
              <w:rPr>
                <w:rFonts w:ascii="Calibri" w:cs="Calibri" w:eastAsia="Calibri" w:hAnsi="Calibri"/>
                <w:sz w:val="18"/>
                <w:szCs w:val="18"/>
                <w:color w:val="auto"/>
              </w:rPr>
              <w:t>Share vestng</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(254,437 )</w:t>
            </w:r>
          </w:p>
        </w:tc>
        <w:tc>
          <w:tcPr>
            <w:tcW w:w="20" w:type="dxa"/>
            <w:vAlign w:val="bottom"/>
          </w:tcPr>
          <w:p>
            <w:pPr>
              <w:spacing w:after="0"/>
              <w:rPr>
                <w:sz w:val="18"/>
                <w:szCs w:val="18"/>
                <w:color w:val="auto"/>
              </w:rPr>
            </w:pPr>
          </w:p>
        </w:tc>
      </w:tr>
      <w:tr>
        <w:trPr>
          <w:trHeight w:val="28"/>
        </w:trPr>
        <w:tc>
          <w:tcPr>
            <w:tcW w:w="15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2"/>
        </w:trPr>
        <w:tc>
          <w:tcPr>
            <w:tcW w:w="1520" w:type="dxa"/>
            <w:vAlign w:val="bottom"/>
          </w:tcPr>
          <w:p>
            <w:pPr>
              <w:spacing w:after="0"/>
              <w:rPr>
                <w:sz w:val="22"/>
                <w:szCs w:val="22"/>
                <w:color w:val="auto"/>
              </w:rPr>
            </w:pPr>
          </w:p>
        </w:tc>
        <w:tc>
          <w:tcPr>
            <w:tcW w:w="57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December 31, 2023</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57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accountng purposes, unvested awards are considered issued, but not outstanding untl they vest.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7160" w:type="dxa"/>
            <w:vAlign w:val="bottom"/>
            <w:gridSpan w:val="2"/>
          </w:tcPr>
          <w:p>
            <w:pPr>
              <w:spacing w:after="0"/>
              <w:rPr>
                <w:sz w:val="20"/>
                <w:szCs w:val="20"/>
                <w:color w:val="auto"/>
              </w:rPr>
            </w:pPr>
            <w:r>
              <w:rPr>
                <w:rFonts w:ascii="Calibri" w:cs="Calibri" w:eastAsia="Calibri" w:hAnsi="Calibri"/>
                <w:sz w:val="18"/>
                <w:szCs w:val="18"/>
                <w:color w:val="auto"/>
              </w:rPr>
              <w:t>Common stock reserved for future issuance consists of the following:</w:t>
            </w:r>
          </w:p>
        </w:tc>
        <w:tc>
          <w:tcPr>
            <w:tcW w:w="1480" w:type="dxa"/>
            <w:vAlign w:val="bottom"/>
          </w:tcPr>
          <w:p>
            <w:pPr>
              <w:spacing w:after="0"/>
              <w:rPr>
                <w:sz w:val="19"/>
                <w:szCs w:val="19"/>
                <w:color w:val="auto"/>
              </w:rPr>
            </w:pPr>
          </w:p>
        </w:tc>
      </w:tr>
      <w:tr>
        <w:trPr>
          <w:trHeight w:val="445"/>
        </w:trPr>
        <w:tc>
          <w:tcPr>
            <w:tcW w:w="15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15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8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r>
      <w:tr>
        <w:trPr>
          <w:trHeight w:val="37"/>
        </w:trPr>
        <w:tc>
          <w:tcPr>
            <w:tcW w:w="156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16"/>
        </w:trPr>
        <w:tc>
          <w:tcPr>
            <w:tcW w:w="1560" w:type="dxa"/>
            <w:vAlign w:val="bottom"/>
          </w:tcPr>
          <w:p>
            <w:pPr>
              <w:spacing w:after="0"/>
              <w:rPr>
                <w:sz w:val="18"/>
                <w:szCs w:val="18"/>
                <w:color w:val="auto"/>
              </w:rPr>
            </w:pPr>
          </w:p>
        </w:tc>
        <w:tc>
          <w:tcPr>
            <w:tcW w:w="5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Common stock warrants</w:t>
            </w: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91,228</w:t>
            </w:r>
          </w:p>
        </w:tc>
      </w:tr>
      <w:tr>
        <w:trPr>
          <w:trHeight w:val="207"/>
        </w:trPr>
        <w:tc>
          <w:tcPr>
            <w:tcW w:w="1560" w:type="dxa"/>
            <w:vAlign w:val="bottom"/>
          </w:tcPr>
          <w:p>
            <w:pPr>
              <w:spacing w:after="0"/>
              <w:rPr>
                <w:sz w:val="18"/>
                <w:szCs w:val="18"/>
                <w:color w:val="auto"/>
              </w:rPr>
            </w:pPr>
          </w:p>
        </w:tc>
        <w:tc>
          <w:tcPr>
            <w:tcW w:w="5600" w:type="dxa"/>
            <w:vAlign w:val="bottom"/>
          </w:tcPr>
          <w:p>
            <w:pPr>
              <w:ind w:left="20"/>
              <w:spacing w:after="0" w:line="207" w:lineRule="exact"/>
              <w:rPr>
                <w:sz w:val="20"/>
                <w:szCs w:val="20"/>
                <w:color w:val="auto"/>
              </w:rPr>
            </w:pPr>
            <w:r>
              <w:rPr>
                <w:rFonts w:ascii="Calibri" w:cs="Calibri" w:eastAsia="Calibri" w:hAnsi="Calibri"/>
                <w:sz w:val="18"/>
                <w:szCs w:val="18"/>
                <w:color w:val="auto"/>
              </w:rPr>
              <w:t>Stock optons, restricted stock units, and performance-based awards</w:t>
            </w:r>
          </w:p>
        </w:tc>
        <w:tc>
          <w:tcPr>
            <w:tcW w:w="148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outstanding</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7,203,973</w:t>
            </w:r>
          </w:p>
        </w:tc>
      </w:tr>
      <w:tr>
        <w:trPr>
          <w:trHeight w:val="37"/>
        </w:trPr>
        <w:tc>
          <w:tcPr>
            <w:tcW w:w="156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3"/>
        </w:trPr>
        <w:tc>
          <w:tcPr>
            <w:tcW w:w="156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Shares available for issuance under the 2019 Incentve Plan</w:t>
            </w:r>
          </w:p>
        </w:tc>
        <w:tc>
          <w:tcPr>
            <w:tcW w:w="14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1,110,376</w:t>
            </w:r>
          </w:p>
        </w:tc>
      </w:tr>
      <w:tr>
        <w:trPr>
          <w:trHeight w:val="215"/>
        </w:trPr>
        <w:tc>
          <w:tcPr>
            <w:tcW w:w="1560" w:type="dxa"/>
            <w:vAlign w:val="bottom"/>
          </w:tcPr>
          <w:p>
            <w:pPr>
              <w:spacing w:after="0"/>
              <w:rPr>
                <w:sz w:val="18"/>
                <w:szCs w:val="18"/>
                <w:color w:val="auto"/>
              </w:rPr>
            </w:pPr>
          </w:p>
        </w:tc>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Shares available for issuance under the ESPP Plan</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973,298</w:t>
            </w:r>
          </w:p>
        </w:tc>
      </w:tr>
      <w:tr>
        <w:trPr>
          <w:trHeight w:val="28"/>
        </w:trPr>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2"/>
        </w:trPr>
        <w:tc>
          <w:tcPr>
            <w:tcW w:w="1560" w:type="dxa"/>
            <w:vAlign w:val="bottom"/>
          </w:tcPr>
          <w:p>
            <w:pPr>
              <w:spacing w:after="0"/>
              <w:rPr>
                <w:sz w:val="22"/>
                <w:szCs w:val="22"/>
                <w:color w:val="auto"/>
              </w:rPr>
            </w:pPr>
          </w:p>
        </w:tc>
        <w:tc>
          <w:tcPr>
            <w:tcW w:w="56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2023</w:t>
            </w:r>
          </w:p>
        </w:tc>
        <w:tc>
          <w:tcPr>
            <w:tcW w:w="14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9,378,875</w:t>
            </w:r>
          </w:p>
        </w:tc>
      </w:tr>
      <w:tr>
        <w:trPr>
          <w:trHeight w:val="20"/>
        </w:trPr>
        <w:tc>
          <w:tcPr>
            <w:tcW w:w="1560" w:type="dxa"/>
            <w:vAlign w:val="bottom"/>
          </w:tcPr>
          <w:p>
            <w:pPr>
              <w:spacing w:after="0" w:line="20" w:lineRule="exact"/>
              <w:rPr>
                <w:sz w:val="1"/>
                <w:szCs w:val="1"/>
                <w:color w:val="auto"/>
              </w:rPr>
            </w:pPr>
          </w:p>
        </w:tc>
        <w:tc>
          <w:tcPr>
            <w:tcW w:w="56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Preferred Stock</w:t>
      </w:r>
    </w:p>
    <w:p>
      <w:pPr>
        <w:spacing w:after="0" w:line="177"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The Company is authorized to issue up to 40 million shares of preferred stock. As of December 31, 2023, and December 31, 2022, there were no shares of preferred stock issued or outstanding.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Plan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2019 Equity Incentve Plan, or the Existng Incentve Plan, provides for the grant of incentve stock optons, non-statutory stock optons, stock appreciaton rights, restricted stock awards, restricted stock unit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in 2019. As a result of the adopton of the 2019 Incentve Award Plan, or the 2019 Plan, in October 2019, no further shares are available for issuance under the Existng Incentve Plan.</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2019 Incentve Award Plan</w:t>
      </w:r>
    </w:p>
    <w:p>
      <w:pPr>
        <w:spacing w:after="0" w:line="177" w:lineRule="exact"/>
        <w:rPr>
          <w:sz w:val="20"/>
          <w:szCs w:val="20"/>
          <w:color w:val="auto"/>
        </w:rPr>
      </w:pPr>
    </w:p>
    <w:p>
      <w:pPr>
        <w:ind w:right="140" w:firstLine="509"/>
        <w:spacing w:after="0" w:line="250" w:lineRule="auto"/>
        <w:rPr>
          <w:sz w:val="20"/>
          <w:szCs w:val="20"/>
          <w:color w:val="auto"/>
        </w:rPr>
      </w:pPr>
      <w:r>
        <w:rPr>
          <w:rFonts w:ascii="Calibri" w:cs="Calibri" w:eastAsia="Calibri" w:hAnsi="Calibri"/>
          <w:sz w:val="17"/>
          <w:szCs w:val="17"/>
          <w:color w:val="auto"/>
        </w:rPr>
        <w:t>In October 2019, the Board of Directors adopted, and the Company’s stockholders approved, the 2019 Plan, which became efectve in connecton with the IPO. Under the 2019 Plan, the Company may grant stock optons, stock appreciaton rights, restricted stock, restricted stock units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w:t>
      </w:r>
    </w:p>
    <w:p>
      <w:pPr>
        <w:spacing w:after="0" w:line="188"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On July 14, 2023, the Company completed a voluntary, one-tme stock opton exchange program, or the Opton Exchange, pursuant to which eligible employees were able to exchange certain outstanding stock optons granted under the 2019 Plan for a lesser amount of new RSUs issued under the 2019 Plan. Partcipants in the Opton Exchange received one RSU for every two shares of Phathom common stock underlying the eligible optons surrendered. This exchange rato was applied on a grant by grant basis. The Opton Exchange resulted in 2,406,622 optons being exchanged for 1,203,341 RSUs. The Company is recognizing an additonal $2.2 million of incremental expense related to the Opton Exchange to be recognized over a three-year vestng period.</w:t>
      </w:r>
    </w:p>
    <w:p>
      <w:pPr>
        <w:spacing w:after="0" w:line="170" w:lineRule="exact"/>
        <w:rPr>
          <w:sz w:val="20"/>
          <w:szCs w:val="20"/>
          <w:color w:val="auto"/>
        </w:rPr>
      </w:pPr>
    </w:p>
    <w:p>
      <w:pPr>
        <w:jc w:val="both"/>
        <w:ind w:right="480" w:firstLine="509"/>
        <w:spacing w:after="0" w:line="235" w:lineRule="auto"/>
        <w:rPr>
          <w:sz w:val="20"/>
          <w:szCs w:val="20"/>
          <w:color w:val="auto"/>
        </w:rPr>
      </w:pPr>
      <w:r>
        <w:rPr>
          <w:rFonts w:ascii="Calibri" w:cs="Calibri" w:eastAsia="Calibri" w:hAnsi="Calibri"/>
          <w:sz w:val="18"/>
          <w:szCs w:val="18"/>
          <w:color w:val="auto"/>
        </w:rPr>
        <w:t>As of December 31, 2023, 1,110,376 shares remain available for issuance, which refects 4,492,336 stock optons, performance-based units, and restricted stock units, or RSUs, awards granted, and 2,558,662 of awards cancelled or forfeited, during the year ended December 31, 2023 as well as an annual increase of 2,086,165 shares authorized on January 1, 2023.</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Performance-Based Units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During 2020, the Company granted the inital performance-based units, or PSUs, whereby vestng depends upon the approval by the FDA of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then, or concurrent with, Erosive GERD. As of December 31, 2023, the PSU milestones have been achieved upon FDA approval of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Erosive GERD during the fourth quarter of 2023. As a result, stock-based compensaton cost of $19.3 million was recognized within the statements of operatons and comprehensive loss during the year ended December 31, 2023.</w:t>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PSU actvity under the 2019 Incentve Award Plan during the years ended December 31, 2023 and 2022:</w:t>
      </w:r>
    </w:p>
    <w:p>
      <w:pPr>
        <w:spacing w:after="0" w:line="200" w:lineRule="exact"/>
        <w:rPr>
          <w:sz w:val="20"/>
          <w:szCs w:val="20"/>
          <w:color w:val="auto"/>
        </w:rPr>
      </w:pP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Calibri" w:cs="Calibri" w:eastAsia="Calibri" w:hAnsi="Calibri"/>
                <w:sz w:val="18"/>
                <w:szCs w:val="18"/>
                <w:b w:val="1"/>
                <w:bCs w:val="1"/>
                <w:color w:val="auto"/>
                <w:w w:val="96"/>
              </w:rPr>
              <w:t>Weighted-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6"/>
              </w:rPr>
              <w:t>Average Grant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80" w:type="dxa"/>
            <w:vAlign w:val="bottom"/>
            <w:gridSpan w:val="2"/>
          </w:tcPr>
          <w:p>
            <w:pPr>
              <w:jc w:val="right"/>
              <w:ind w:right="680"/>
              <w:spacing w:after="0" w:line="216" w:lineRule="exact"/>
              <w:rPr>
                <w:sz w:val="20"/>
                <w:szCs w:val="20"/>
                <w:color w:val="auto"/>
              </w:rPr>
            </w:pPr>
            <w:r>
              <w:rPr>
                <w:rFonts w:ascii="Calibri" w:cs="Calibri" w:eastAsia="Calibri" w:hAnsi="Calibri"/>
                <w:sz w:val="18"/>
                <w:szCs w:val="18"/>
                <w:b w:val="1"/>
                <w:bCs w:val="1"/>
                <w:color w:val="auto"/>
              </w:rPr>
              <w:t>Number of</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6"/>
              </w:rPr>
              <w:t>Date Fair Value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80" w:type="dxa"/>
            <w:vAlign w:val="bottom"/>
            <w:gridSpan w:val="2"/>
          </w:tcPr>
          <w:p>
            <w:pPr>
              <w:jc w:val="right"/>
              <w:ind w:right="660"/>
              <w:spacing w:after="0" w:line="216" w:lineRule="exact"/>
              <w:rPr>
                <w:sz w:val="20"/>
                <w:szCs w:val="20"/>
                <w:color w:val="auto"/>
              </w:rPr>
            </w:pPr>
            <w:r>
              <w:rPr>
                <w:rFonts w:ascii="Calibri" w:cs="Calibri" w:eastAsia="Calibri" w:hAnsi="Calibri"/>
                <w:sz w:val="18"/>
                <w:szCs w:val="18"/>
                <w:b w:val="1"/>
                <w:bCs w:val="1"/>
                <w:color w:val="auto"/>
              </w:rPr>
              <w:t>Stock Units</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4"/>
              </w:rPr>
              <w:t>Per Share</w:t>
            </w:r>
          </w:p>
        </w:tc>
        <w:tc>
          <w:tcPr>
            <w:tcW w:w="0" w:type="dxa"/>
            <w:vAlign w:val="bottom"/>
          </w:tcPr>
          <w:p>
            <w:pPr>
              <w:spacing w:after="0"/>
              <w:rPr>
                <w:sz w:val="1"/>
                <w:szCs w:val="1"/>
                <w:color w:val="auto"/>
              </w:rPr>
            </w:pPr>
          </w:p>
        </w:tc>
      </w:tr>
      <w:tr>
        <w:trPr>
          <w:trHeight w:val="37"/>
        </w:trPr>
        <w:tc>
          <w:tcPr>
            <w:tcW w:w="4700" w:type="dxa"/>
            <w:vAlign w:val="bottom"/>
            <w:vMerge w:val="restart"/>
          </w:tcPr>
          <w:p>
            <w:pPr>
              <w:spacing w:after="0"/>
              <w:rPr>
                <w:sz w:val="20"/>
                <w:szCs w:val="20"/>
                <w:color w:val="auto"/>
              </w:rPr>
            </w:pPr>
            <w:r>
              <w:rPr>
                <w:rFonts w:ascii="Calibri" w:cs="Calibri" w:eastAsia="Calibri" w:hAnsi="Calibri"/>
                <w:sz w:val="18"/>
                <w:szCs w:val="18"/>
                <w:color w:val="auto"/>
              </w:rPr>
              <w:t>Unvested balance at January 1, 2022</w:t>
            </w:r>
          </w:p>
        </w:tc>
        <w:tc>
          <w:tcPr>
            <w:tcW w:w="1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1640" w:type="dxa"/>
            <w:vAlign w:val="bottom"/>
          </w:tcPr>
          <w:p>
            <w:pPr>
              <w:jc w:val="right"/>
              <w:spacing w:after="0" w:line="208" w:lineRule="exact"/>
              <w:rPr>
                <w:sz w:val="20"/>
                <w:szCs w:val="20"/>
                <w:color w:val="auto"/>
              </w:rPr>
            </w:pPr>
            <w:r>
              <w:rPr>
                <w:rFonts w:ascii="Calibri" w:cs="Calibri" w:eastAsia="Calibri" w:hAnsi="Calibri"/>
                <w:sz w:val="18"/>
                <w:szCs w:val="18"/>
                <w:color w:val="auto"/>
              </w:rPr>
              <w:t>394,300</w:t>
            </w:r>
          </w:p>
        </w:tc>
        <w:tc>
          <w:tcPr>
            <w:tcW w:w="24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Pr>
          <w:p>
            <w:pPr>
              <w:jc w:val="right"/>
              <w:spacing w:after="0" w:line="208" w:lineRule="exact"/>
              <w:rPr>
                <w:sz w:val="20"/>
                <w:szCs w:val="20"/>
                <w:color w:val="auto"/>
              </w:rPr>
            </w:pPr>
            <w:r>
              <w:rPr>
                <w:rFonts w:ascii="Calibri" w:cs="Calibri" w:eastAsia="Calibri" w:hAnsi="Calibri"/>
                <w:sz w:val="18"/>
                <w:szCs w:val="18"/>
                <w:color w:val="auto"/>
              </w:rPr>
              <w:t>32.23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37,500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8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(19,500 )</w:t>
            </w:r>
          </w:p>
        </w:tc>
        <w:tc>
          <w:tcPr>
            <w:tcW w:w="1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35.39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Unvested balance at December 31, 2022</w:t>
            </w: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412,300</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30.97</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FF0FC"/>
            </w:tcBorders>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Granted</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597,650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(1,009,950 )</w:t>
            </w:r>
          </w:p>
        </w:tc>
        <w:tc>
          <w:tcPr>
            <w:tcW w:w="1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88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8"/>
        </w:trPr>
        <w:tc>
          <w:tcPr>
            <w:tcW w:w="47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Unvested balance at December 31, 2023</w:t>
            </w:r>
          </w:p>
        </w:tc>
        <w:tc>
          <w:tcPr>
            <w:tcW w:w="1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-805180</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-805180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Stock Units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RSU actvity under the 2019 Incentve Award Plan during the years ended December 31, 2023 and 2022:</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Calibri" w:cs="Calibri" w:eastAsia="Calibri" w:hAnsi="Calibri"/>
                <w:sz w:val="18"/>
                <w:szCs w:val="18"/>
                <w:b w:val="1"/>
                <w:bCs w:val="1"/>
                <w:color w:val="auto"/>
                <w:w w:val="96"/>
              </w:rPr>
              <w:t>Weighted-</w:t>
            </w:r>
          </w:p>
        </w:tc>
      </w:tr>
      <w:tr>
        <w:trPr>
          <w:trHeight w:val="216"/>
        </w:trPr>
        <w:tc>
          <w:tcPr>
            <w:tcW w:w="4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6"/>
              </w:rPr>
              <w:t>Average Grant</w:t>
            </w:r>
          </w:p>
        </w:tc>
      </w:tr>
      <w:tr>
        <w:trPr>
          <w:trHeight w:val="216"/>
        </w:trPr>
        <w:tc>
          <w:tcPr>
            <w:tcW w:w="4700" w:type="dxa"/>
            <w:vAlign w:val="bottom"/>
          </w:tcPr>
          <w:p>
            <w:pPr>
              <w:spacing w:after="0"/>
              <w:rPr>
                <w:sz w:val="18"/>
                <w:szCs w:val="18"/>
                <w:color w:val="auto"/>
              </w:rPr>
            </w:pPr>
          </w:p>
        </w:tc>
        <w:tc>
          <w:tcPr>
            <w:tcW w:w="1880" w:type="dxa"/>
            <w:vAlign w:val="bottom"/>
            <w:gridSpan w:val="2"/>
          </w:tcPr>
          <w:p>
            <w:pPr>
              <w:jc w:val="right"/>
              <w:ind w:right="680"/>
              <w:spacing w:after="0" w:line="216" w:lineRule="exact"/>
              <w:rPr>
                <w:sz w:val="20"/>
                <w:szCs w:val="20"/>
                <w:color w:val="auto"/>
              </w:rPr>
            </w:pPr>
            <w:r>
              <w:rPr>
                <w:rFonts w:ascii="Calibri" w:cs="Calibri" w:eastAsia="Calibri" w:hAnsi="Calibri"/>
                <w:sz w:val="18"/>
                <w:szCs w:val="18"/>
                <w:b w:val="1"/>
                <w:bCs w:val="1"/>
                <w:color w:val="auto"/>
              </w:rPr>
              <w:t>Number of</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6"/>
              </w:rPr>
              <w:t>Date Fair Value</w:t>
            </w:r>
          </w:p>
        </w:tc>
      </w:tr>
      <w:tr>
        <w:trPr>
          <w:trHeight w:val="216"/>
        </w:trPr>
        <w:tc>
          <w:tcPr>
            <w:tcW w:w="4700" w:type="dxa"/>
            <w:vAlign w:val="bottom"/>
          </w:tcPr>
          <w:p>
            <w:pPr>
              <w:spacing w:after="0"/>
              <w:rPr>
                <w:sz w:val="18"/>
                <w:szCs w:val="18"/>
                <w:color w:val="auto"/>
              </w:rPr>
            </w:pPr>
          </w:p>
        </w:tc>
        <w:tc>
          <w:tcPr>
            <w:tcW w:w="1880" w:type="dxa"/>
            <w:vAlign w:val="bottom"/>
            <w:gridSpan w:val="2"/>
          </w:tcPr>
          <w:p>
            <w:pPr>
              <w:jc w:val="right"/>
              <w:ind w:right="660"/>
              <w:spacing w:after="0" w:line="216" w:lineRule="exact"/>
              <w:rPr>
                <w:sz w:val="20"/>
                <w:szCs w:val="20"/>
                <w:color w:val="auto"/>
              </w:rPr>
            </w:pPr>
            <w:r>
              <w:rPr>
                <w:rFonts w:ascii="Calibri" w:cs="Calibri" w:eastAsia="Calibri" w:hAnsi="Calibri"/>
                <w:sz w:val="18"/>
                <w:szCs w:val="18"/>
                <w:b w:val="1"/>
                <w:bCs w:val="1"/>
                <w:color w:val="auto"/>
              </w:rPr>
              <w:t>Stock Units</w:t>
            </w:r>
          </w:p>
        </w:tc>
        <w:tc>
          <w:tcPr>
            <w:tcW w:w="180" w:type="dxa"/>
            <w:vAlign w:val="bottom"/>
          </w:tcPr>
          <w:p>
            <w:pPr>
              <w:spacing w:after="0"/>
              <w:rPr>
                <w:sz w:val="18"/>
                <w:szCs w:val="18"/>
                <w:color w:val="auto"/>
              </w:rPr>
            </w:pPr>
          </w:p>
        </w:tc>
        <w:tc>
          <w:tcPr>
            <w:tcW w:w="154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4"/>
              </w:rPr>
              <w:t>Per Share</w:t>
            </w:r>
          </w:p>
        </w:tc>
      </w:tr>
      <w:tr>
        <w:trPr>
          <w:trHeight w:val="37"/>
        </w:trPr>
        <w:tc>
          <w:tcPr>
            <w:tcW w:w="470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16"/>
        </w:trPr>
        <w:tc>
          <w:tcPr>
            <w:tcW w:w="4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January 1, 2022</w:t>
            </w:r>
          </w:p>
        </w:tc>
        <w:tc>
          <w:tcPr>
            <w:tcW w:w="1880" w:type="dxa"/>
            <w:vAlign w:val="bottom"/>
            <w:tcBorders>
              <w:bottom w:val="single" w:sz="8" w:color="CFF0FC"/>
            </w:tcBorders>
            <w:gridSpan w:val="2"/>
            <w:shd w:val="clear" w:color="auto" w:fill="CFF0FC"/>
          </w:tcPr>
          <w:p>
            <w:pPr>
              <w:jc w:val="right"/>
              <w:ind w:right="260"/>
              <w:spacing w:after="0" w:line="208"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54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1,010,437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10.79</w:t>
            </w:r>
          </w:p>
        </w:tc>
        <w:tc>
          <w:tcPr>
            <w:tcW w:w="80" w:type="dxa"/>
            <w:vAlign w:val="bottom"/>
          </w:tcPr>
          <w:p>
            <w:pPr>
              <w:spacing w:after="0"/>
              <w:rPr>
                <w:sz w:val="18"/>
                <w:szCs w:val="18"/>
                <w:color w:val="auto"/>
              </w:rPr>
            </w:pPr>
          </w:p>
        </w:tc>
      </w:tr>
      <w:tr>
        <w:trPr>
          <w:trHeight w:val="28"/>
        </w:trPr>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(102,453 )</w:t>
            </w:r>
          </w:p>
        </w:tc>
        <w:tc>
          <w:tcPr>
            <w:tcW w:w="1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(30,517 )</w:t>
            </w:r>
          </w:p>
        </w:tc>
        <w:tc>
          <w:tcPr>
            <w:tcW w:w="1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12.14</w:t>
            </w:r>
          </w:p>
        </w:tc>
        <w:tc>
          <w:tcPr>
            <w:tcW w:w="80" w:type="dxa"/>
            <w:vAlign w:val="bottom"/>
          </w:tcPr>
          <w:p>
            <w:pPr>
              <w:spacing w:after="0"/>
              <w:rPr>
                <w:sz w:val="18"/>
                <w:szCs w:val="18"/>
                <w:color w:val="auto"/>
              </w:rPr>
            </w:pPr>
          </w:p>
        </w:tc>
      </w:tr>
      <w:tr>
        <w:trPr>
          <w:trHeight w:val="28"/>
        </w:trPr>
        <w:tc>
          <w:tcPr>
            <w:tcW w:w="47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4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December 31, 2022</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877,467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11.03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700" w:type="dxa"/>
            <w:vAlign w:val="bottom"/>
            <w:tcBorders>
              <w:top w:val="single" w:sz="8" w:color="CFF0FC"/>
            </w:tcBorders>
          </w:tcPr>
          <w:p>
            <w:pPr>
              <w:ind w:left="180"/>
              <w:spacing w:after="0" w:line="237" w:lineRule="exact"/>
              <w:rPr>
                <w:sz w:val="20"/>
                <w:szCs w:val="20"/>
                <w:color w:val="auto"/>
              </w:rPr>
            </w:pPr>
            <w:r>
              <w:rPr>
                <w:rFonts w:ascii="Calibri" w:cs="Calibri" w:eastAsia="Calibri" w:hAnsi="Calibri"/>
                <w:sz w:val="18"/>
                <w:szCs w:val="18"/>
                <w:color w:val="auto"/>
              </w:rPr>
              <w:t>Granted</w:t>
            </w:r>
            <w:r>
              <w:rPr>
                <w:rFonts w:ascii="Calibri" w:cs="Calibri" w:eastAsia="Calibri" w:hAnsi="Calibri"/>
                <w:sz w:val="21"/>
                <w:szCs w:val="21"/>
                <w:color w:val="auto"/>
                <w:vertAlign w:val="superscript"/>
              </w:rPr>
              <w:t>(1)</w:t>
            </w:r>
          </w:p>
        </w:tc>
        <w:tc>
          <w:tcPr>
            <w:tcW w:w="16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2,419,776</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11.77</w:t>
            </w:r>
          </w:p>
        </w:tc>
        <w:tc>
          <w:tcPr>
            <w:tcW w:w="80" w:type="dxa"/>
            <w:vAlign w:val="bottom"/>
            <w:tcBorders>
              <w:top w:val="single" w:sz="8" w:color="CFF0FC"/>
            </w:tcBorders>
          </w:tcPr>
          <w:p>
            <w:pPr>
              <w:spacing w:after="0"/>
              <w:rPr>
                <w:sz w:val="20"/>
                <w:szCs w:val="20"/>
                <w:color w:val="auto"/>
              </w:rPr>
            </w:pPr>
          </w:p>
        </w:tc>
      </w:tr>
      <w:tr>
        <w:trPr>
          <w:trHeight w:val="223"/>
        </w:trPr>
        <w:tc>
          <w:tcPr>
            <w:tcW w:w="47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(579,567 )</w:t>
            </w:r>
          </w:p>
        </w:tc>
        <w:tc>
          <w:tcPr>
            <w:tcW w:w="1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4700" w:type="dxa"/>
            <w:vAlign w:val="bottom"/>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(63,784 )</w:t>
            </w:r>
          </w:p>
        </w:tc>
        <w:tc>
          <w:tcPr>
            <w:tcW w:w="18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13.07</w:t>
            </w:r>
          </w:p>
        </w:tc>
        <w:tc>
          <w:tcPr>
            <w:tcW w:w="80" w:type="dxa"/>
            <w:vAlign w:val="bottom"/>
          </w:tcPr>
          <w:p>
            <w:pPr>
              <w:spacing w:after="0"/>
              <w:rPr>
                <w:sz w:val="18"/>
                <w:szCs w:val="18"/>
                <w:color w:val="auto"/>
              </w:rPr>
            </w:pPr>
          </w:p>
        </w:tc>
      </w:tr>
      <w:tr>
        <w:trPr>
          <w:trHeight w:val="28"/>
        </w:trPr>
        <w:tc>
          <w:tcPr>
            <w:tcW w:w="47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4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December 31, 2023</w:t>
            </w:r>
          </w:p>
        </w:tc>
        <w:tc>
          <w:tcPr>
            <w:tcW w:w="16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2,653,892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11.91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-642620</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-642620</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2520" w:hanging="506"/>
        <w:spacing w:after="0"/>
        <w:tabs>
          <w:tab w:leader="none" w:pos="2520" w:val="left"/>
        </w:tabs>
        <w:numPr>
          <w:ilvl w:val="0"/>
          <w:numId w:val="65"/>
        </w:numPr>
        <w:rPr>
          <w:rFonts w:ascii="Calibri" w:cs="Calibri" w:eastAsia="Calibri" w:hAnsi="Calibri"/>
          <w:sz w:val="16"/>
          <w:szCs w:val="16"/>
          <w:color w:val="auto"/>
        </w:rPr>
      </w:pPr>
      <w:r>
        <w:rPr>
          <w:rFonts w:ascii="Calibri" w:cs="Calibri" w:eastAsia="Calibri" w:hAnsi="Calibri"/>
          <w:sz w:val="16"/>
          <w:szCs w:val="16"/>
          <w:color w:val="auto"/>
        </w:rPr>
        <w:t>The number of RSUs granted includes those exchanged in the Opton Exchange (as defned above).</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2023, the Company had $26.6 million of unrecognized stock-based compensaton expense, which is expected to be recognized over a weighted-average period of 2.4 years. The total fair value of RSUs vested during the years ended December 31, 2023 and 2022, was approximately $5.7 million and $0.9 million, respectvely.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was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December 31, 2023, 973,298 shares of common stock remain available for issuance, which includes the 196,873 shares sold to employees during the year ended December 31, 2023 as well as an annual increase of 417,233 shares authorized on January 1, 2023.</w:t>
      </w:r>
    </w:p>
    <w:p>
      <w:pPr>
        <w:spacing w:after="0" w:line="183"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The ESPP is considered a compensatory plan, and the Company recorded related stock-based compensaton of $0.6 million and $0.5 million for the years ended December 31, 2023 and 2022, respectvely. The weighted-average assumptons used to estmate the fair value of ESPP awards using the Black-Scholes opton valuaton model were as follows:</w:t>
      </w:r>
    </w:p>
    <w:p>
      <w:pPr>
        <w:spacing w:after="0" w:line="227" w:lineRule="exact"/>
        <w:rPr>
          <w:sz w:val="20"/>
          <w:szCs w:val="20"/>
          <w:color w:val="auto"/>
        </w:rPr>
      </w:pPr>
    </w:p>
    <w:p>
      <w:pPr>
        <w:jc w:val="center"/>
        <w:ind w:left="4180"/>
        <w:spacing w:after="0"/>
        <w:rPr>
          <w:sz w:val="20"/>
          <w:szCs w:val="20"/>
          <w:color w:val="auto"/>
        </w:rPr>
      </w:pPr>
      <w:r>
        <w:rPr>
          <w:rFonts w:ascii="Calibri" w:cs="Calibri" w:eastAsia="Calibri" w:hAnsi="Calibri"/>
          <w:sz w:val="18"/>
          <w:szCs w:val="18"/>
          <w:b w:val="1"/>
          <w:bCs w:val="1"/>
          <w:color w:val="auto"/>
        </w:rPr>
        <w:t>Years Ended</w:t>
      </w:r>
    </w:p>
    <w:p>
      <w:pPr>
        <w:jc w:val="center"/>
        <w:ind w:left="4180"/>
        <w:spacing w:after="0" w:line="235" w:lineRule="auto"/>
        <w:rPr>
          <w:sz w:val="20"/>
          <w:szCs w:val="20"/>
          <w:color w:val="auto"/>
        </w:rPr>
      </w:pPr>
      <w:r>
        <w:rPr>
          <w:rFonts w:ascii="Calibri" w:cs="Calibri" w:eastAsia="Calibri" w:hAnsi="Calibri"/>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24130</wp:posOffset>
            </wp:positionV>
            <wp:extent cx="24345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8" w:lineRule="exact"/>
        <w:rPr>
          <w:sz w:val="20"/>
          <w:szCs w:val="20"/>
          <w:color w:val="auto"/>
        </w:rPr>
      </w:pPr>
    </w:p>
    <w:tbl>
      <w:tblPr>
        <w:tblLayout w:type="fixed"/>
        <w:tblInd w:w="1580" w:type="dxa"/>
        <w:tblCellMar>
          <w:top w:w="0" w:type="dxa"/>
          <w:left w:w="0" w:type="dxa"/>
          <w:bottom w:w="0" w:type="dxa"/>
          <w:right w:w="0" w:type="dxa"/>
        </w:tblCellMar>
      </w:tblPr>
      <w:tr>
        <w:trPr>
          <w:trHeight w:val="220"/>
        </w:trPr>
        <w:tc>
          <w:tcPr>
            <w:tcW w:w="5480" w:type="dxa"/>
            <w:vAlign w:val="bottom"/>
            <w:gridSpan w:val="2"/>
          </w:tcPr>
          <w:p>
            <w:pPr>
              <w:ind w:left="4960"/>
              <w:spacing w:after="0"/>
              <w:rPr>
                <w:sz w:val="20"/>
                <w:szCs w:val="20"/>
                <w:color w:val="auto"/>
              </w:rPr>
            </w:pPr>
            <w:r>
              <w:rPr>
                <w:rFonts w:ascii="Calibri" w:cs="Calibri" w:eastAsia="Calibri" w:hAnsi="Calibri"/>
                <w:sz w:val="18"/>
                <w:szCs w:val="18"/>
                <w:b w:val="1"/>
                <w:bCs w:val="1"/>
                <w:color w:val="auto"/>
              </w:rPr>
              <w:t>2023</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710"/>
              <w:spacing w:after="0"/>
              <w:rPr>
                <w:sz w:val="20"/>
                <w:szCs w:val="20"/>
                <w:color w:val="auto"/>
              </w:rPr>
            </w:pPr>
            <w:r>
              <w:rPr>
                <w:rFonts w:ascii="Calibri" w:cs="Calibri" w:eastAsia="Calibri" w:hAnsi="Calibri"/>
                <w:sz w:val="18"/>
                <w:szCs w:val="18"/>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gridSpan w:val="2"/>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Assumptons:</w:t>
            </w: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Expected term (in years)</w:t>
            </w:r>
          </w:p>
        </w:tc>
        <w:tc>
          <w:tcPr>
            <w:tcW w:w="6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0.49</w:t>
            </w:r>
          </w:p>
        </w:tc>
        <w:tc>
          <w:tcPr>
            <w:tcW w:w="120" w:type="dxa"/>
            <w:vAlign w:val="bottom"/>
          </w:tcPr>
          <w:p>
            <w:pPr>
              <w:spacing w:after="0"/>
              <w:rPr>
                <w:sz w:val="18"/>
                <w:szCs w:val="18"/>
                <w:color w:val="auto"/>
              </w:rPr>
            </w:pPr>
          </w:p>
        </w:tc>
        <w:tc>
          <w:tcPr>
            <w:tcW w:w="18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ind w:left="200"/>
              <w:spacing w:after="0"/>
              <w:rPr>
                <w:sz w:val="20"/>
                <w:szCs w:val="20"/>
                <w:color w:val="auto"/>
              </w:rPr>
            </w:pPr>
            <w:r>
              <w:rPr>
                <w:rFonts w:ascii="Calibri" w:cs="Calibri" w:eastAsia="Calibri" w:hAnsi="Calibri"/>
                <w:sz w:val="18"/>
                <w:szCs w:val="18"/>
                <w:color w:val="auto"/>
              </w:rPr>
              <w:t>Expected volatlity</w:t>
            </w:r>
          </w:p>
        </w:tc>
        <w:tc>
          <w:tcPr>
            <w:tcW w:w="760" w:type="dxa"/>
            <w:vAlign w:val="bottom"/>
            <w:gridSpan w:val="2"/>
          </w:tcPr>
          <w:p>
            <w:pPr>
              <w:jc w:val="right"/>
              <w:ind w:right="60"/>
              <w:spacing w:after="0"/>
              <w:rPr>
                <w:sz w:val="20"/>
                <w:szCs w:val="20"/>
                <w:color w:val="auto"/>
              </w:rPr>
            </w:pPr>
            <w:r>
              <w:rPr>
                <w:rFonts w:ascii="Calibri" w:cs="Calibri" w:eastAsia="Calibri" w:hAnsi="Calibri"/>
                <w:sz w:val="18"/>
                <w:szCs w:val="18"/>
                <w:color w:val="auto"/>
              </w:rPr>
              <w:t>69.73 %</w:t>
            </w:r>
          </w:p>
        </w:tc>
        <w:tc>
          <w:tcPr>
            <w:tcW w:w="1920" w:type="dxa"/>
            <w:vAlign w:val="bottom"/>
            <w:gridSpan w:val="2"/>
          </w:tcPr>
          <w:p>
            <w:pPr>
              <w:jc w:val="right"/>
              <w:spacing w:after="0"/>
              <w:rPr>
                <w:sz w:val="20"/>
                <w:szCs w:val="20"/>
                <w:color w:val="auto"/>
              </w:rPr>
            </w:pPr>
            <w:r>
              <w:rPr>
                <w:rFonts w:ascii="Calibri" w:cs="Calibri" w:eastAsia="Calibri" w:hAnsi="Calibri"/>
                <w:sz w:val="18"/>
                <w:szCs w:val="18"/>
                <w:color w:val="auto"/>
              </w:rPr>
              <w:t>68.59 %</w:t>
            </w:r>
          </w:p>
        </w:tc>
        <w:tc>
          <w:tcPr>
            <w:tcW w:w="0" w:type="dxa"/>
            <w:vAlign w:val="bottom"/>
          </w:tcPr>
          <w:p>
            <w:pPr>
              <w:spacing w:after="0"/>
              <w:rPr>
                <w:sz w:val="1"/>
                <w:szCs w:val="1"/>
                <w:color w:val="auto"/>
              </w:rPr>
            </w:pPr>
          </w:p>
        </w:tc>
      </w:tr>
      <w:tr>
        <w:trPr>
          <w:trHeight w:val="243"/>
        </w:trPr>
        <w:tc>
          <w:tcPr>
            <w:tcW w:w="5480" w:type="dxa"/>
            <w:vAlign w:val="bottom"/>
            <w:gridSpan w:val="2"/>
          </w:tcPr>
          <w:p>
            <w:pPr>
              <w:ind w:left="200"/>
              <w:spacing w:after="0"/>
              <w:rPr>
                <w:sz w:val="20"/>
                <w:szCs w:val="20"/>
                <w:color w:val="auto"/>
              </w:rPr>
            </w:pPr>
            <w:r>
              <w:rPr>
                <w:rFonts w:ascii="Calibri" w:cs="Calibri" w:eastAsia="Calibri" w:hAnsi="Calibri"/>
                <w:sz w:val="18"/>
                <w:szCs w:val="18"/>
                <w:color w:val="auto"/>
              </w:rPr>
              <w:t>Risk free interest rate</w:t>
            </w:r>
          </w:p>
        </w:tc>
        <w:tc>
          <w:tcPr>
            <w:tcW w:w="760" w:type="dxa"/>
            <w:vAlign w:val="bottom"/>
            <w:gridSpan w:val="2"/>
          </w:tcPr>
          <w:p>
            <w:pPr>
              <w:jc w:val="right"/>
              <w:ind w:right="60"/>
              <w:spacing w:after="0"/>
              <w:rPr>
                <w:sz w:val="20"/>
                <w:szCs w:val="20"/>
                <w:color w:val="auto"/>
              </w:rPr>
            </w:pPr>
            <w:r>
              <w:rPr>
                <w:rFonts w:ascii="Calibri" w:cs="Calibri" w:eastAsia="Calibri" w:hAnsi="Calibri"/>
                <w:sz w:val="18"/>
                <w:szCs w:val="18"/>
                <w:color w:val="auto"/>
              </w:rPr>
              <w:t>5.03 %</w:t>
            </w:r>
          </w:p>
        </w:tc>
        <w:tc>
          <w:tcPr>
            <w:tcW w:w="1920" w:type="dxa"/>
            <w:vAlign w:val="bottom"/>
            <w:gridSpan w:val="2"/>
          </w:tcPr>
          <w:p>
            <w:pPr>
              <w:jc w:val="right"/>
              <w:spacing w:after="0"/>
              <w:rPr>
                <w:sz w:val="20"/>
                <w:szCs w:val="20"/>
                <w:color w:val="auto"/>
              </w:rPr>
            </w:pPr>
            <w:r>
              <w:rPr>
                <w:rFonts w:ascii="Calibri" w:cs="Calibri" w:eastAsia="Calibri" w:hAnsi="Calibri"/>
                <w:sz w:val="18"/>
                <w:szCs w:val="18"/>
                <w:color w:val="auto"/>
              </w:rPr>
              <w:t>2.04 %</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548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Dividend yield</w:t>
            </w:r>
          </w:p>
        </w:tc>
        <w:tc>
          <w:tcPr>
            <w:tcW w:w="76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2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6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-462280</wp:posOffset>
            </wp:positionV>
            <wp:extent cx="513461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34610" cy="154305"/>
                    </a:xfrm>
                    <a:prstGeom prst="rect">
                      <a:avLst/>
                    </a:prstGeom>
                    <a:noFill/>
                  </pic:spPr>
                </pic:pic>
              </a:graphicData>
            </a:graphic>
          </wp:anchor>
        </w:drawing>
      </w:r>
    </w:p>
    <w:p>
      <w:pPr>
        <w:spacing w:after="0" w:line="34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estmated weighted-average fair value of ESPP awards during 2023 and 2022 was $3.64 and $3.98, respectvely. As of December 31, 2023, the total unrecognized compensaton expense related to the ESPP was less than $0.1 million, which is expected to be recognized over a weighted-average period of approximately 0.5 months.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401(k) Plan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established a 401(k) savings plan during the year ended December 31, 2020. The Company’s contributons to the plan are discretonary. During the years ended December 31, 2023 and 2022, the Company incurred $1.9 million and $1.3 million, respectvely, of expense related to estmated employer contributon liabilites, which was based on a 75% match of employees’ contributons during the periods. During the years ended December 31, 2023 and 2022, the Board of Directors approved employer matching contributons setled by contributng 135,956 and 101,540, respectvely, shares of Company stock.</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it estmated its expected volatlity based on the historical volatlity of a publicly 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3" w:name="page154"/>
    <w:bookmarkEnd w:id="153"/>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 summary of the Company’s stock opton actvity and related informaton is as follows during the years ended December 31, 2023 and 2022:</w:t>
      </w: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Calibri" w:cs="Calibri" w:eastAsia="Calibri" w:hAnsi="Calibri"/>
                <w:sz w:val="18"/>
                <w:szCs w:val="18"/>
                <w:b w:val="1"/>
                <w:bCs w:val="1"/>
                <w:color w:val="auto"/>
                <w:w w:val="96"/>
              </w:rPr>
              <w:t>Weighted-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6"/>
              </w:rPr>
              <w:t>Weighted-</w:t>
            </w:r>
          </w:p>
        </w:tc>
        <w:tc>
          <w:tcPr>
            <w:tcW w:w="120" w:type="dxa"/>
            <w:vAlign w:val="bottom"/>
          </w:tcPr>
          <w:p>
            <w:pPr>
              <w:spacing w:after="0"/>
              <w:rPr>
                <w:sz w:val="18"/>
                <w:szCs w:val="18"/>
                <w:color w:val="auto"/>
              </w:rPr>
            </w:pPr>
          </w:p>
        </w:tc>
        <w:tc>
          <w:tcPr>
            <w:tcW w:w="118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4"/>
              </w:rPr>
              <w:t>Aggregate</w:t>
            </w:r>
          </w:p>
        </w:tc>
      </w:tr>
      <w:tr>
        <w:trPr>
          <w:trHeight w:val="216"/>
        </w:trPr>
        <w:tc>
          <w:tcPr>
            <w:tcW w:w="4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line="216" w:lineRule="exact"/>
              <w:rPr>
                <w:sz w:val="20"/>
                <w:szCs w:val="20"/>
                <w:color w:val="auto"/>
              </w:rPr>
            </w:pPr>
            <w:r>
              <w:rPr>
                <w:rFonts w:ascii="Calibri" w:cs="Calibri" w:eastAsia="Calibri" w:hAnsi="Calibri"/>
                <w:sz w:val="18"/>
                <w:szCs w:val="18"/>
                <w:b w:val="1"/>
                <w:bCs w:val="1"/>
                <w:color w:val="auto"/>
                <w:w w:val="94"/>
              </w:rPr>
              <w:t>Average</w:t>
            </w:r>
          </w:p>
        </w:tc>
        <w:tc>
          <w:tcPr>
            <w:tcW w:w="120" w:type="dxa"/>
            <w:vAlign w:val="bottom"/>
          </w:tcPr>
          <w:p>
            <w:pPr>
              <w:spacing w:after="0"/>
              <w:rPr>
                <w:sz w:val="18"/>
                <w:szCs w:val="18"/>
                <w:color w:val="auto"/>
              </w:rPr>
            </w:pPr>
          </w:p>
        </w:tc>
        <w:tc>
          <w:tcPr>
            <w:tcW w:w="118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5"/>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9"/>
              </w:rPr>
              <w:t>Intrinsic</w:t>
            </w:r>
          </w:p>
        </w:tc>
      </w:tr>
      <w:tr>
        <w:trPr>
          <w:trHeight w:val="216"/>
        </w:trPr>
        <w:tc>
          <w:tcPr>
            <w:tcW w:w="4840" w:type="dxa"/>
            <w:vAlign w:val="bottom"/>
          </w:tcPr>
          <w:p>
            <w:pPr>
              <w:spacing w:after="0"/>
              <w:rPr>
                <w:sz w:val="18"/>
                <w:szCs w:val="18"/>
                <w:color w:val="auto"/>
              </w:rPr>
            </w:pPr>
          </w:p>
        </w:tc>
        <w:tc>
          <w:tcPr>
            <w:tcW w:w="1320" w:type="dxa"/>
            <w:vAlign w:val="bottom"/>
          </w:tcPr>
          <w:p>
            <w:pPr>
              <w:jc w:val="right"/>
              <w:ind w:right="330"/>
              <w:spacing w:after="0" w:line="216" w:lineRule="exact"/>
              <w:rPr>
                <w:sz w:val="20"/>
                <w:szCs w:val="20"/>
                <w:color w:val="auto"/>
              </w:rPr>
            </w:pPr>
            <w:r>
              <w:rPr>
                <w:rFonts w:ascii="Calibri" w:cs="Calibri" w:eastAsia="Calibri" w:hAnsi="Calibri"/>
                <w:sz w:val="18"/>
                <w:szCs w:val="18"/>
                <w:b w:val="1"/>
                <w:bCs w:val="1"/>
                <w:color w:val="auto"/>
              </w:rPr>
              <w:t>Optons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line="216" w:lineRule="exact"/>
              <w:rPr>
                <w:sz w:val="20"/>
                <w:szCs w:val="20"/>
                <w:color w:val="auto"/>
              </w:rPr>
            </w:pPr>
            <w:r>
              <w:rPr>
                <w:rFonts w:ascii="Calibri" w:cs="Calibri" w:eastAsia="Calibri" w:hAnsi="Calibri"/>
                <w:sz w:val="18"/>
                <w:szCs w:val="18"/>
                <w:b w:val="1"/>
                <w:bCs w:val="1"/>
                <w:color w:val="auto"/>
                <w:w w:val="95"/>
              </w:rPr>
              <w:t>Exercise</w:t>
            </w:r>
          </w:p>
        </w:tc>
        <w:tc>
          <w:tcPr>
            <w:tcW w:w="120" w:type="dxa"/>
            <w:vAlign w:val="bottom"/>
          </w:tcPr>
          <w:p>
            <w:pPr>
              <w:spacing w:after="0"/>
              <w:rPr>
                <w:sz w:val="18"/>
                <w:szCs w:val="18"/>
                <w:color w:val="auto"/>
              </w:rPr>
            </w:pPr>
          </w:p>
        </w:tc>
        <w:tc>
          <w:tcPr>
            <w:tcW w:w="118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6"/>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6"/>
              </w:rPr>
              <w:t>Value (in</w:t>
            </w:r>
          </w:p>
        </w:tc>
      </w:tr>
      <w:tr>
        <w:trPr>
          <w:trHeight w:val="216"/>
        </w:trPr>
        <w:tc>
          <w:tcPr>
            <w:tcW w:w="4840" w:type="dxa"/>
            <w:vAlign w:val="bottom"/>
          </w:tcPr>
          <w:p>
            <w:pPr>
              <w:spacing w:after="0"/>
              <w:rPr>
                <w:sz w:val="18"/>
                <w:szCs w:val="18"/>
                <w:color w:val="auto"/>
              </w:rPr>
            </w:pPr>
          </w:p>
        </w:tc>
        <w:tc>
          <w:tcPr>
            <w:tcW w:w="1320" w:type="dxa"/>
            <w:vAlign w:val="bottom"/>
          </w:tcPr>
          <w:p>
            <w:pPr>
              <w:jc w:val="right"/>
              <w:ind w:right="170"/>
              <w:spacing w:after="0" w:line="216" w:lineRule="exact"/>
              <w:rPr>
                <w:sz w:val="20"/>
                <w:szCs w:val="20"/>
                <w:color w:val="auto"/>
              </w:rPr>
            </w:pPr>
            <w:r>
              <w:rPr>
                <w:rFonts w:ascii="Calibri" w:cs="Calibri" w:eastAsia="Calibri" w:hAnsi="Calibri"/>
                <w:sz w:val="18"/>
                <w:szCs w:val="18"/>
                <w:b w:val="1"/>
                <w:bCs w:val="1"/>
                <w:color w:val="auto"/>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7"/>
              </w:rPr>
              <w:t>Price</w:t>
            </w:r>
          </w:p>
        </w:tc>
        <w:tc>
          <w:tcPr>
            <w:tcW w:w="120" w:type="dxa"/>
            <w:vAlign w:val="bottom"/>
          </w:tcPr>
          <w:p>
            <w:pPr>
              <w:spacing w:after="0"/>
              <w:rPr>
                <w:sz w:val="18"/>
                <w:szCs w:val="18"/>
                <w:color w:val="auto"/>
              </w:rPr>
            </w:pPr>
          </w:p>
        </w:tc>
        <w:tc>
          <w:tcPr>
            <w:tcW w:w="118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2"/>
              </w:rPr>
              <w:t>Term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5"/>
              </w:rPr>
              <w:t>thousands)</w:t>
            </w:r>
          </w:p>
        </w:tc>
      </w:tr>
      <w:tr>
        <w:trPr>
          <w:trHeight w:val="37"/>
        </w:trPr>
        <w:tc>
          <w:tcPr>
            <w:tcW w:w="48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7"/>
        </w:trPr>
        <w:tc>
          <w:tcPr>
            <w:tcW w:w="48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January 1, 2022</w:t>
            </w:r>
          </w:p>
        </w:tc>
        <w:tc>
          <w:tcPr>
            <w:tcW w:w="13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4,186,729</w:t>
            </w:r>
          </w:p>
        </w:tc>
        <w:tc>
          <w:tcPr>
            <w:tcW w:w="2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27.53</w:t>
            </w:r>
          </w:p>
        </w:tc>
        <w:tc>
          <w:tcPr>
            <w:tcW w:w="1300" w:type="dxa"/>
            <w:vAlign w:val="bottom"/>
            <w:tcBorders>
              <w:bottom w:val="single" w:sz="8" w:color="CFF0FC"/>
            </w:tcBorders>
            <w:gridSpan w:val="2"/>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7.91</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13,973</w:t>
            </w:r>
          </w:p>
        </w:tc>
      </w:tr>
      <w:tr>
        <w:trPr>
          <w:trHeight w:val="215"/>
        </w:trPr>
        <w:tc>
          <w:tcPr>
            <w:tcW w:w="4840" w:type="dxa"/>
            <w:vAlign w:val="bottom"/>
          </w:tcPr>
          <w:p>
            <w:pPr>
              <w:ind w:left="200"/>
              <w:spacing w:after="0" w:line="215" w:lineRule="exact"/>
              <w:rPr>
                <w:sz w:val="20"/>
                <w:szCs w:val="20"/>
                <w:color w:val="auto"/>
              </w:rPr>
            </w:pPr>
            <w:r>
              <w:rPr>
                <w:rFonts w:ascii="Calibri" w:cs="Calibri" w:eastAsia="Calibri" w:hAnsi="Calibri"/>
                <w:sz w:val="18"/>
                <w:szCs w:val="18"/>
                <w:color w:val="auto"/>
              </w:rPr>
              <w:t>Optons granted</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1,741,931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14.62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4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8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Optons exercised</w:t>
            </w: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r>
      <w:tr>
        <w:trPr>
          <w:trHeight w:val="215"/>
        </w:trPr>
        <w:tc>
          <w:tcPr>
            <w:tcW w:w="4840" w:type="dxa"/>
            <w:vAlign w:val="bottom"/>
          </w:tcPr>
          <w:p>
            <w:pPr>
              <w:ind w:left="200"/>
              <w:spacing w:after="0" w:line="215" w:lineRule="exact"/>
              <w:rPr>
                <w:sz w:val="20"/>
                <w:szCs w:val="20"/>
                <w:color w:val="auto"/>
              </w:rPr>
            </w:pPr>
            <w:r>
              <w:rPr>
                <w:rFonts w:ascii="Calibri" w:cs="Calibri" w:eastAsia="Calibri" w:hAnsi="Calibri"/>
                <w:sz w:val="18"/>
                <w:szCs w:val="18"/>
                <w:color w:val="auto"/>
              </w:rPr>
              <w:t>Optons cancelled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(342,190 )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29.32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48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2"/>
        </w:trPr>
        <w:tc>
          <w:tcPr>
            <w:tcW w:w="48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2022</w:t>
            </w:r>
          </w:p>
        </w:tc>
        <w:tc>
          <w:tcPr>
            <w:tcW w:w="13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5,586,470</w:t>
            </w:r>
          </w:p>
        </w:tc>
        <w:tc>
          <w:tcPr>
            <w:tcW w:w="2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23.40</w:t>
            </w:r>
          </w:p>
        </w:tc>
        <w:tc>
          <w:tcPr>
            <w:tcW w:w="1300" w:type="dxa"/>
            <w:vAlign w:val="bottom"/>
            <w:tcBorders>
              <w:bottom w:val="single" w:sz="8" w:color="CFF0FC"/>
            </w:tcBorders>
            <w:gridSpan w:val="2"/>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7.90</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4,476</w:t>
            </w:r>
          </w:p>
        </w:tc>
      </w:tr>
      <w:tr>
        <w:trPr>
          <w:trHeight w:val="208"/>
        </w:trPr>
        <w:tc>
          <w:tcPr>
            <w:tcW w:w="484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Optons granted</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1,474,910</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8.54</w:t>
            </w:r>
          </w:p>
        </w:tc>
        <w:tc>
          <w:tcPr>
            <w:tcW w:w="1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8"/>
        </w:trPr>
        <w:tc>
          <w:tcPr>
            <w:tcW w:w="4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8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Optons exercised</w:t>
            </w: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(16,421 )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7.54</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r>
      <w:tr>
        <w:trPr>
          <w:trHeight w:val="243"/>
        </w:trPr>
        <w:tc>
          <w:tcPr>
            <w:tcW w:w="4840" w:type="dxa"/>
            <w:vAlign w:val="bottom"/>
          </w:tcPr>
          <w:p>
            <w:pPr>
              <w:ind w:left="200"/>
              <w:spacing w:after="0" w:line="243" w:lineRule="exact"/>
              <w:rPr>
                <w:sz w:val="20"/>
                <w:szCs w:val="20"/>
                <w:color w:val="auto"/>
              </w:rPr>
            </w:pPr>
            <w:r>
              <w:rPr>
                <w:rFonts w:ascii="Calibri" w:cs="Calibri" w:eastAsia="Calibri" w:hAnsi="Calibri"/>
                <w:sz w:val="18"/>
                <w:szCs w:val="18"/>
                <w:color w:val="auto"/>
              </w:rPr>
              <w:t>Optons cancelled</w:t>
            </w:r>
            <w:r>
              <w:rPr>
                <w:rFonts w:ascii="Calibri" w:cs="Calibri" w:eastAsia="Calibri" w:hAnsi="Calibri"/>
                <w:sz w:val="21"/>
                <w:szCs w:val="21"/>
                <w:color w:val="auto"/>
                <w:vertAlign w:val="superscript"/>
              </w:rPr>
              <w:t>(1)</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(2,494,878 )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35.96</w:t>
            </w:r>
          </w:p>
        </w:tc>
        <w:tc>
          <w:tcPr>
            <w:tcW w:w="1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1"/>
        </w:trPr>
        <w:tc>
          <w:tcPr>
            <w:tcW w:w="48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Balance at December 31, 2023</w:t>
            </w:r>
          </w:p>
        </w:tc>
        <w:tc>
          <w:tcPr>
            <w:tcW w:w="13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4,550,081</w:t>
            </w:r>
          </w:p>
        </w:tc>
        <w:tc>
          <w:tcPr>
            <w:tcW w:w="2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11.75</w:t>
            </w:r>
          </w:p>
        </w:tc>
        <w:tc>
          <w:tcPr>
            <w:tcW w:w="1300" w:type="dxa"/>
            <w:vAlign w:val="bottom"/>
            <w:tcBorders>
              <w:bottom w:val="single" w:sz="8" w:color="CFF0FC"/>
            </w:tcBorders>
            <w:gridSpan w:val="2"/>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7.50</w:t>
            </w:r>
          </w:p>
        </w:tc>
        <w:tc>
          <w:tcPr>
            <w:tcW w:w="2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3,379</w:t>
            </w:r>
          </w:p>
        </w:tc>
      </w:tr>
      <w:tr>
        <w:trPr>
          <w:trHeight w:val="208"/>
        </w:trPr>
        <w:tc>
          <w:tcPr>
            <w:tcW w:w="48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Optons exercisable as of December 31, 2023</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2,272,248</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12.65</w:t>
            </w:r>
          </w:p>
        </w:tc>
        <w:tc>
          <w:tcPr>
            <w:tcW w:w="1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6.14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2,088</w:t>
            </w:r>
          </w:p>
        </w:tc>
      </w:tr>
      <w:tr>
        <w:trPr>
          <w:trHeight w:val="28"/>
        </w:trPr>
        <w:tc>
          <w:tcPr>
            <w:tcW w:w="4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5"/>
        </w:trPr>
        <w:tc>
          <w:tcPr>
            <w:tcW w:w="48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Vested and expected to vest as of December 31, 2023</w:t>
            </w:r>
          </w:p>
        </w:tc>
        <w:tc>
          <w:tcPr>
            <w:tcW w:w="13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4,550,081</w:t>
            </w:r>
          </w:p>
        </w:tc>
        <w:tc>
          <w:tcPr>
            <w:tcW w:w="2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11.75</w:t>
            </w:r>
          </w:p>
        </w:tc>
        <w:tc>
          <w:tcPr>
            <w:tcW w:w="1300" w:type="dxa"/>
            <w:vAlign w:val="bottom"/>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7.50</w:t>
            </w:r>
          </w:p>
        </w:tc>
        <w:tc>
          <w:tcPr>
            <w:tcW w:w="2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3,379</w:t>
            </w:r>
          </w:p>
        </w:tc>
      </w:tr>
      <w:tr>
        <w:trPr>
          <w:trHeight w:val="28"/>
        </w:trPr>
        <w:tc>
          <w:tcPr>
            <w:tcW w:w="48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-950595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-950595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-950595</wp:posOffset>
            </wp:positionV>
            <wp:extent cx="946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-316865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94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68" w:lineRule="exact"/>
        <w:rPr>
          <w:sz w:val="20"/>
          <w:szCs w:val="20"/>
          <w:color w:val="auto"/>
        </w:rPr>
      </w:pPr>
    </w:p>
    <w:p>
      <w:pPr>
        <w:ind w:left="1780" w:hanging="515"/>
        <w:spacing w:after="0"/>
        <w:tabs>
          <w:tab w:leader="none" w:pos="1780" w:val="left"/>
        </w:tabs>
        <w:numPr>
          <w:ilvl w:val="0"/>
          <w:numId w:val="66"/>
        </w:numPr>
        <w:rPr>
          <w:rFonts w:ascii="Calibri" w:cs="Calibri" w:eastAsia="Calibri" w:hAnsi="Calibri"/>
          <w:sz w:val="16"/>
          <w:szCs w:val="16"/>
          <w:color w:val="auto"/>
        </w:rPr>
      </w:pPr>
      <w:r>
        <w:rPr>
          <w:rFonts w:ascii="Calibri" w:cs="Calibri" w:eastAsia="Calibri" w:hAnsi="Calibri"/>
          <w:sz w:val="16"/>
          <w:szCs w:val="16"/>
          <w:color w:val="auto"/>
        </w:rPr>
        <w:t>The number of stock optons cancelled includes those exchanged in the Opton Exchange (as defned above).</w:t>
      </w:r>
    </w:p>
    <w:p>
      <w:pPr>
        <w:spacing w:after="0" w:line="194"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The aggregate intrinsic value of stock optons is calculated as the diference between the exercise price of the stock optons and the fair value of the Company's common stock for those stock optons that had exercise prices lower than the fair value of the Company's common stock at December 31, 2023. The total intrinsic value of stock optons exercised for the year ended December 31, 2023 was approximately $0.1 million.</w:t>
      </w:r>
    </w:p>
    <w:p>
      <w:pPr>
        <w:spacing w:after="0" w:line="17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estmated weighted-average fair value of employee and nonemployee director stock optons granted during 2023 was $5.34 and during 2022 was $8.40 per opton. As of December 31, 2023, the Company had $13.2 million of unrecognized stock-based compensaton expense, which is expected to be recognized over a weighted-average period of 2.4 years.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weighted-average assumptons used to estmate the fair value of stock optons using the Black-Scholes opton valuaton model were as follows:</w:t>
      </w:r>
    </w:p>
    <w:p>
      <w:pPr>
        <w:spacing w:after="0" w:line="226" w:lineRule="exact"/>
        <w:rPr>
          <w:sz w:val="20"/>
          <w:szCs w:val="20"/>
          <w:color w:val="auto"/>
        </w:rPr>
      </w:pPr>
    </w:p>
    <w:p>
      <w:pPr>
        <w:jc w:val="center"/>
        <w:ind w:left="4060"/>
        <w:spacing w:after="0"/>
        <w:rPr>
          <w:sz w:val="20"/>
          <w:szCs w:val="20"/>
          <w:color w:val="auto"/>
        </w:rPr>
      </w:pPr>
      <w:r>
        <w:rPr>
          <w:rFonts w:ascii="Calibri" w:cs="Calibri" w:eastAsia="Calibri" w:hAnsi="Calibri"/>
          <w:sz w:val="18"/>
          <w:szCs w:val="18"/>
          <w:b w:val="1"/>
          <w:bCs w:val="1"/>
          <w:color w:val="auto"/>
        </w:rPr>
        <w:t>Years Ended</w:t>
      </w:r>
    </w:p>
    <w:p>
      <w:pPr>
        <w:jc w:val="center"/>
        <w:ind w:left="4060"/>
        <w:spacing w:after="0" w:line="235" w:lineRule="auto"/>
        <w:rPr>
          <w:sz w:val="20"/>
          <w:szCs w:val="20"/>
          <w:color w:val="auto"/>
        </w:rPr>
      </w:pPr>
      <w:r>
        <w:rPr>
          <w:rFonts w:ascii="Calibri" w:cs="Calibri" w:eastAsia="Calibri" w:hAnsi="Calibri"/>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23660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5320" w:type="dxa"/>
            <w:vAlign w:val="bottom"/>
            <w:gridSpan w:val="2"/>
          </w:tcPr>
          <w:p>
            <w:pPr>
              <w:ind w:left="4820"/>
              <w:spacing w:after="0"/>
              <w:rPr>
                <w:sz w:val="20"/>
                <w:szCs w:val="20"/>
                <w:color w:val="auto"/>
              </w:rPr>
            </w:pPr>
            <w:r>
              <w:rPr>
                <w:rFonts w:ascii="Calibri" w:cs="Calibri" w:eastAsia="Calibri" w:hAnsi="Calibri"/>
                <w:sz w:val="18"/>
                <w:szCs w:val="18"/>
                <w:b w:val="1"/>
                <w:bCs w:val="1"/>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670"/>
              <w:spacing w:after="0"/>
              <w:rPr>
                <w:sz w:val="20"/>
                <w:szCs w:val="20"/>
                <w:color w:val="auto"/>
              </w:rPr>
            </w:pPr>
            <w:r>
              <w:rPr>
                <w:rFonts w:ascii="Calibri" w:cs="Calibri" w:eastAsia="Calibri" w:hAnsi="Calibri"/>
                <w:sz w:val="18"/>
                <w:szCs w:val="18"/>
                <w:b w:val="1"/>
                <w:bCs w:val="1"/>
                <w:color w:val="auto"/>
              </w:rPr>
              <w:t>2022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32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Assumptons:</w:t>
            </w: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2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6.04</w:t>
            </w:r>
          </w:p>
        </w:tc>
        <w:tc>
          <w:tcPr>
            <w:tcW w:w="100" w:type="dxa"/>
            <w:vAlign w:val="bottom"/>
          </w:tcPr>
          <w:p>
            <w:pPr>
              <w:spacing w:after="0"/>
              <w:rPr>
                <w:sz w:val="18"/>
                <w:szCs w:val="18"/>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5.88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Calibri" w:cs="Calibri" w:eastAsia="Calibri" w:hAnsi="Calibri"/>
                <w:sz w:val="18"/>
                <w:szCs w:val="18"/>
                <w:color w:val="auto"/>
              </w:rPr>
              <w:t>Expected volatlity</w:t>
            </w:r>
          </w:p>
        </w:tc>
        <w:tc>
          <w:tcPr>
            <w:tcW w:w="740" w:type="dxa"/>
            <w:vAlign w:val="bottom"/>
            <w:gridSpan w:val="2"/>
          </w:tcPr>
          <w:p>
            <w:pPr>
              <w:jc w:val="right"/>
              <w:ind w:right="40"/>
              <w:spacing w:after="0"/>
              <w:rPr>
                <w:sz w:val="20"/>
                <w:szCs w:val="20"/>
                <w:color w:val="auto"/>
              </w:rPr>
            </w:pPr>
            <w:r>
              <w:rPr>
                <w:rFonts w:ascii="Calibri" w:cs="Calibri" w:eastAsia="Calibri" w:hAnsi="Calibri"/>
                <w:sz w:val="18"/>
                <w:szCs w:val="18"/>
                <w:color w:val="auto"/>
              </w:rPr>
              <w:t>66.05 %</w:t>
            </w:r>
          </w:p>
        </w:tc>
        <w:tc>
          <w:tcPr>
            <w:tcW w:w="3480" w:type="dxa"/>
            <w:vAlign w:val="bottom"/>
            <w:gridSpan w:val="2"/>
          </w:tcPr>
          <w:p>
            <w:pPr>
              <w:jc w:val="right"/>
              <w:ind w:right="1620"/>
              <w:spacing w:after="0"/>
              <w:rPr>
                <w:sz w:val="20"/>
                <w:szCs w:val="20"/>
                <w:color w:val="auto"/>
              </w:rPr>
            </w:pPr>
            <w:r>
              <w:rPr>
                <w:rFonts w:ascii="Calibri" w:cs="Calibri" w:eastAsia="Calibri" w:hAnsi="Calibri"/>
                <w:sz w:val="18"/>
                <w:szCs w:val="18"/>
                <w:color w:val="auto"/>
              </w:rPr>
              <w:t>66.00 %</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320" w:type="dxa"/>
            <w:vAlign w:val="bottom"/>
            <w:gridSpan w:val="2"/>
          </w:tcPr>
          <w:p>
            <w:pPr>
              <w:ind w:left="180"/>
              <w:spacing w:after="0"/>
              <w:rPr>
                <w:sz w:val="20"/>
                <w:szCs w:val="20"/>
                <w:color w:val="auto"/>
              </w:rPr>
            </w:pPr>
            <w:r>
              <w:rPr>
                <w:rFonts w:ascii="Calibri" w:cs="Calibri" w:eastAsia="Calibri" w:hAnsi="Calibri"/>
                <w:sz w:val="18"/>
                <w:szCs w:val="18"/>
                <w:color w:val="auto"/>
              </w:rPr>
              <w:t>Risk free interest rate</w:t>
            </w:r>
          </w:p>
        </w:tc>
        <w:tc>
          <w:tcPr>
            <w:tcW w:w="740" w:type="dxa"/>
            <w:vAlign w:val="bottom"/>
            <w:gridSpan w:val="2"/>
          </w:tcPr>
          <w:p>
            <w:pPr>
              <w:jc w:val="right"/>
              <w:ind w:right="40"/>
              <w:spacing w:after="0"/>
              <w:rPr>
                <w:sz w:val="20"/>
                <w:szCs w:val="20"/>
                <w:color w:val="auto"/>
              </w:rPr>
            </w:pPr>
            <w:r>
              <w:rPr>
                <w:rFonts w:ascii="Calibri" w:cs="Calibri" w:eastAsia="Calibri" w:hAnsi="Calibri"/>
                <w:sz w:val="18"/>
                <w:szCs w:val="18"/>
                <w:color w:val="auto"/>
              </w:rPr>
              <w:t>3.65 %</w:t>
            </w:r>
          </w:p>
        </w:tc>
        <w:tc>
          <w:tcPr>
            <w:tcW w:w="3480" w:type="dxa"/>
            <w:vAlign w:val="bottom"/>
            <w:gridSpan w:val="2"/>
          </w:tcPr>
          <w:p>
            <w:pPr>
              <w:jc w:val="right"/>
              <w:ind w:right="1620"/>
              <w:spacing w:after="0"/>
              <w:rPr>
                <w:sz w:val="20"/>
                <w:szCs w:val="20"/>
                <w:color w:val="auto"/>
              </w:rPr>
            </w:pPr>
            <w:r>
              <w:rPr>
                <w:rFonts w:ascii="Calibri" w:cs="Calibri" w:eastAsia="Calibri" w:hAnsi="Calibri"/>
                <w:sz w:val="18"/>
                <w:szCs w:val="18"/>
                <w:color w:val="auto"/>
              </w:rPr>
              <w:t>2.06 %</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8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5320" w:type="dxa"/>
            <w:vAlign w:val="bottom"/>
            <w:tcBorders>
              <w:bottom w:val="single" w:sz="8" w:color="CFF0FC"/>
            </w:tcBorders>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Dividend yield</w:t>
            </w:r>
          </w:p>
        </w:tc>
        <w:tc>
          <w:tcPr>
            <w:tcW w:w="7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700" w:type="dxa"/>
            <w:vAlign w:val="bottom"/>
          </w:tcPr>
          <w:p>
            <w:pPr>
              <w:spacing w:after="0"/>
              <w:rPr>
                <w:sz w:val="24"/>
                <w:szCs w:val="24"/>
                <w:color w:val="auto"/>
              </w:rPr>
            </w:pPr>
          </w:p>
        </w:tc>
        <w:tc>
          <w:tcPr>
            <w:tcW w:w="532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-1499235</wp:posOffset>
            </wp:positionV>
            <wp:extent cx="498919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Stock-based compensaton expense recognized for all equity awards, including founder stock, has been reported in the statements of operatons and comprehensive loss as follows (in thousands):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Calibri" w:cs="Calibri" w:eastAsia="Calibri" w:hAnsi="Calibri"/>
                <w:sz w:val="18"/>
                <w:szCs w:val="18"/>
                <w:b w:val="1"/>
                <w:bCs w:val="1"/>
                <w:color w:val="auto"/>
              </w:rPr>
              <w:t>Years Ended</w:t>
            </w:r>
          </w:p>
        </w:tc>
        <w:tc>
          <w:tcPr>
            <w:tcW w:w="860" w:type="dxa"/>
            <w:vAlign w:val="bottom"/>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ind w:right="20"/>
              <w:spacing w:after="0" w:line="216" w:lineRule="exact"/>
              <w:rPr>
                <w:sz w:val="20"/>
                <w:szCs w:val="20"/>
                <w:color w:val="auto"/>
              </w:rPr>
            </w:pPr>
            <w:r>
              <w:rPr>
                <w:rFonts w:ascii="Calibri" w:cs="Calibri" w:eastAsia="Calibri" w:hAnsi="Calibri"/>
                <w:sz w:val="18"/>
                <w:szCs w:val="18"/>
                <w:b w:val="1"/>
                <w:bCs w:val="1"/>
                <w:color w:val="auto"/>
              </w:rPr>
              <w:t>December 31,</w:t>
            </w:r>
          </w:p>
        </w:tc>
        <w:tc>
          <w:tcPr>
            <w:tcW w:w="860" w:type="dxa"/>
            <w:vAlign w:val="bottom"/>
          </w:tcPr>
          <w:p>
            <w:pPr>
              <w:spacing w:after="0"/>
              <w:rPr>
                <w:sz w:val="18"/>
                <w:szCs w:val="18"/>
                <w:color w:val="auto"/>
              </w:rPr>
            </w:pPr>
          </w:p>
        </w:tc>
      </w:tr>
      <w:tr>
        <w:trPr>
          <w:trHeight w:val="37"/>
        </w:trPr>
        <w:tc>
          <w:tcPr>
            <w:tcW w:w="5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8"/>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w w:val="98"/>
              </w:rPr>
              <w:t>2022</w:t>
            </w:r>
          </w:p>
        </w:tc>
      </w:tr>
      <w:tr>
        <w:trPr>
          <w:trHeight w:val="28"/>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6"/>
        </w:trPr>
        <w:tc>
          <w:tcPr>
            <w:tcW w:w="51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Research and development expense</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12,302</w:t>
            </w:r>
          </w:p>
        </w:tc>
        <w:tc>
          <w:tcPr>
            <w:tcW w:w="560" w:type="dxa"/>
            <w:vAlign w:val="bottom"/>
            <w:tcBorders>
              <w:bottom w:val="single" w:sz="8" w:color="CFF0FC"/>
            </w:tcBorders>
            <w:gridSpan w:val="2"/>
            <w:shd w:val="clear" w:color="auto" w:fill="CFF0FC"/>
          </w:tcPr>
          <w:p>
            <w:pPr>
              <w:jc w:val="right"/>
              <w:ind w:right="28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5,534</w:t>
            </w:r>
          </w:p>
        </w:tc>
      </w:tr>
      <w:tr>
        <w:trPr>
          <w:trHeight w:val="215"/>
        </w:trPr>
        <w:tc>
          <w:tcPr>
            <w:tcW w:w="518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 expense</w:t>
            </w:r>
          </w:p>
        </w:tc>
        <w:tc>
          <w:tcPr>
            <w:tcW w:w="2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32,723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18,599</w:t>
            </w:r>
          </w:p>
        </w:tc>
      </w:tr>
      <w:tr>
        <w:trPr>
          <w:trHeight w:val="28"/>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2"/>
        </w:trPr>
        <w:tc>
          <w:tcPr>
            <w:tcW w:w="51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45,025</w:t>
            </w:r>
          </w:p>
        </w:tc>
        <w:tc>
          <w:tcPr>
            <w:tcW w:w="560" w:type="dxa"/>
            <w:vAlign w:val="bottom"/>
            <w:tcBorders>
              <w:bottom w:val="single" w:sz="8" w:color="CFF0FC"/>
            </w:tcBorders>
            <w:gridSpan w:val="2"/>
            <w:shd w:val="clear" w:color="auto" w:fill="CFF0FC"/>
          </w:tcPr>
          <w:p>
            <w:pPr>
              <w:jc w:val="right"/>
              <w:ind w:right="28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24,133</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1111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Revenue Recogniton</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231F20"/>
        </w:rPr>
        <w:t xml:space="preserve">To date, our only source of revenue has been from the U.S. sales of VOQUEZNA </w:t>
      </w:r>
      <w:r>
        <w:rPr>
          <w:rFonts w:ascii="Calibri" w:cs="Calibri" w:eastAsia="Calibri" w:hAnsi="Calibri"/>
          <w:sz w:val="18"/>
          <w:szCs w:val="18"/>
          <w:color w:val="000000"/>
        </w:rPr>
        <w:t>products</w:t>
      </w:r>
      <w:r>
        <w:rPr>
          <w:rFonts w:ascii="Calibri" w:cs="Calibri" w:eastAsia="Calibri" w:hAnsi="Calibri"/>
          <w:sz w:val="18"/>
          <w:szCs w:val="18"/>
          <w:color w:val="231F20"/>
        </w:rPr>
        <w:t>, which the Company began selling in November 2023. The Company records its best estmate of chargebacks, sales discounts and other reserves to which customers are likely to be enttled as contra accounts receivable charges on the balance sheet as of December 31, 2023. During the year ended December 31, 2023, we recognized $0.7 million of net product revenues related to sales of VOQUEZNA. Sales allowances and accruals mostly consisted of distributon fees and rebates.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10. Income Taxes</w:t>
      </w:r>
    </w:p>
    <w:p>
      <w:pPr>
        <w:spacing w:after="0" w:line="177"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231F20"/>
        </w:rPr>
        <w:t>For the years ended December 31, 2023 and 2022, the Company did not record a provision for income taxes due to a full valuaton against its deferred taxes. A reconciliaton between the provision for income taxes and income taxes computed using the U.S. federal statutory corporate tax rate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Calibri" w:cs="Calibri" w:eastAsia="Calibri" w:hAnsi="Calibri"/>
                <w:sz w:val="18"/>
                <w:szCs w:val="18"/>
                <w:b w:val="1"/>
                <w:bCs w:val="1"/>
                <w:color w:val="auto"/>
              </w:rPr>
              <w:t>Years Ended</w:t>
            </w:r>
          </w:p>
        </w:tc>
        <w:tc>
          <w:tcPr>
            <w:tcW w:w="1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3"/>
          </w:tcPr>
          <w:p>
            <w:pPr>
              <w:jc w:val="right"/>
              <w:ind w:right="140"/>
              <w:spacing w:after="0" w:line="216" w:lineRule="exact"/>
              <w:rPr>
                <w:sz w:val="20"/>
                <w:szCs w:val="20"/>
                <w:color w:val="auto"/>
              </w:rPr>
            </w:pPr>
            <w:r>
              <w:rPr>
                <w:rFonts w:ascii="Calibri" w:cs="Calibri" w:eastAsia="Calibri" w:hAnsi="Calibri"/>
                <w:sz w:val="18"/>
                <w:szCs w:val="18"/>
                <w:b w:val="1"/>
                <w:bCs w:val="1"/>
                <w:color w:val="auto"/>
              </w:rPr>
              <w:t>December 31,</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50"/>
              <w:spacing w:after="0" w:line="208" w:lineRule="exact"/>
              <w:rPr>
                <w:sz w:val="20"/>
                <w:szCs w:val="20"/>
                <w:color w:val="auto"/>
              </w:rPr>
            </w:pPr>
            <w:r>
              <w:rPr>
                <w:rFonts w:ascii="Calibri" w:cs="Calibri" w:eastAsia="Calibri" w:hAnsi="Calibri"/>
                <w:sz w:val="18"/>
                <w:szCs w:val="18"/>
                <w:b w:val="1"/>
                <w:bCs w:val="1"/>
                <w:color w:val="auto"/>
              </w:rPr>
              <w:t>2022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4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Income taxes computed at the statutory rate</w:t>
            </w:r>
          </w:p>
        </w:tc>
        <w:tc>
          <w:tcPr>
            <w:tcW w:w="1820" w:type="dxa"/>
            <w:vAlign w:val="bottom"/>
            <w:tcBorders>
              <w:bottom w:val="single" w:sz="8" w:color="CFF0FC"/>
            </w:tcBorders>
            <w:gridSpan w:val="2"/>
            <w:shd w:val="clear" w:color="auto" w:fill="CFF0FC"/>
          </w:tcPr>
          <w:p>
            <w:pPr>
              <w:jc w:val="right"/>
              <w:ind w:right="910"/>
              <w:spacing w:after="0" w:line="208"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(42,334 )</w:t>
            </w:r>
          </w:p>
        </w:tc>
        <w:tc>
          <w:tcPr>
            <w:tcW w:w="640" w:type="dxa"/>
            <w:vAlign w:val="bottom"/>
            <w:tcBorders>
              <w:bottom w:val="single" w:sz="8" w:color="CFF0FC"/>
            </w:tcBorders>
            <w:gridSpan w:val="2"/>
            <w:shd w:val="clear" w:color="auto" w:fill="CFF0FC"/>
          </w:tcPr>
          <w:p>
            <w:pPr>
              <w:jc w:val="right"/>
              <w:ind w:right="44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(41,522 )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spacing w:after="0" w:line="215" w:lineRule="exact"/>
              <w:rPr>
                <w:sz w:val="20"/>
                <w:szCs w:val="20"/>
                <w:color w:val="auto"/>
              </w:rPr>
            </w:pPr>
            <w:r>
              <w:rPr>
                <w:rFonts w:ascii="Calibri" w:cs="Calibri" w:eastAsia="Calibri" w:hAnsi="Calibri"/>
                <w:sz w:val="18"/>
                <w:szCs w:val="18"/>
                <w:color w:val="auto"/>
              </w:rPr>
              <w:t>State income taxes, net of federal beneft</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(4,310 )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Permanent items</w:t>
            </w:r>
          </w:p>
        </w:tc>
        <w:tc>
          <w:tcPr>
            <w:tcW w:w="7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1,310</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1,605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spacing w:after="0" w:line="215" w:lineRule="exact"/>
              <w:rPr>
                <w:sz w:val="20"/>
                <w:szCs w:val="20"/>
                <w:color w:val="auto"/>
              </w:rPr>
            </w:pPr>
            <w:r>
              <w:rPr>
                <w:rFonts w:ascii="Calibri" w:cs="Calibri" w:eastAsia="Calibri" w:hAnsi="Calibri"/>
                <w:sz w:val="18"/>
                <w:szCs w:val="18"/>
                <w:color w:val="auto"/>
              </w:rPr>
              <w:t>Ofcers' compensaton</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2,534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1,109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Research and development credit</w:t>
            </w:r>
          </w:p>
        </w:tc>
        <w:tc>
          <w:tcPr>
            <w:tcW w:w="7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(2,971 )</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(2,453 )</w:t>
            </w: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spacing w:after="0" w:line="215" w:lineRule="exact"/>
              <w:rPr>
                <w:sz w:val="20"/>
                <w:szCs w:val="20"/>
                <w:color w:val="auto"/>
              </w:rPr>
            </w:pPr>
            <w:r>
              <w:rPr>
                <w:rFonts w:ascii="Calibri" w:cs="Calibri" w:eastAsia="Calibri" w:hAnsi="Calibri"/>
                <w:sz w:val="18"/>
                <w:szCs w:val="18"/>
                <w:color w:val="auto"/>
              </w:rPr>
              <w:t>Change in state rate</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(3,762 )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Change in valuaton allowance</w:t>
            </w:r>
          </w:p>
        </w:tc>
        <w:tc>
          <w:tcPr>
            <w:tcW w:w="7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49,745</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41,137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(212 )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700" w:type="dxa"/>
            <w:vAlign w:val="bottom"/>
          </w:tcPr>
          <w:p>
            <w:pPr>
              <w:spacing w:after="0"/>
              <w:rPr>
                <w:sz w:val="24"/>
                <w:szCs w:val="24"/>
                <w:color w:val="auto"/>
              </w:rPr>
            </w:pPr>
          </w:p>
        </w:tc>
        <w:tc>
          <w:tcPr>
            <w:tcW w:w="34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Provision (beneft) for income taxes</w:t>
            </w:r>
          </w:p>
        </w:tc>
        <w:tc>
          <w:tcPr>
            <w:tcW w:w="7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910"/>
              <w:spacing w:after="0" w:line="208"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CFF0FC"/>
            </w:tcBorders>
            <w:gridSpan w:val="2"/>
            <w:shd w:val="clear" w:color="auto" w:fill="CFF0FC"/>
          </w:tcPr>
          <w:p>
            <w:pPr>
              <w:jc w:val="right"/>
              <w:ind w:right="44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5"/>
        </w:trPr>
        <w:tc>
          <w:tcPr>
            <w:tcW w:w="1700" w:type="dxa"/>
            <w:vAlign w:val="bottom"/>
          </w:tcPr>
          <w:p>
            <w:pPr>
              <w:spacing w:after="0"/>
              <w:rPr>
                <w:sz w:val="24"/>
                <w:szCs w:val="24"/>
                <w:color w:val="auto"/>
              </w:rPr>
            </w:pPr>
          </w:p>
        </w:tc>
        <w:tc>
          <w:tcPr>
            <w:tcW w:w="346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F-27</w:t>
            </w: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-1062355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-1045210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231F20"/>
        </w:rPr>
        <w:t>Signifcant components of the Company’s net deferred tax assets are as follows (in thousands):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gridSpan w:val="3"/>
          </w:tcPr>
          <w:p>
            <w:pPr>
              <w:jc w:val="right"/>
              <w:ind w:right="200"/>
              <w:spacing w:after="0"/>
              <w:rPr>
                <w:sz w:val="20"/>
                <w:szCs w:val="20"/>
                <w:color w:val="auto"/>
              </w:rPr>
            </w:pPr>
            <w:r>
              <w:rPr>
                <w:rFonts w:ascii="Calibri" w:cs="Calibri" w:eastAsia="Calibri" w:hAnsi="Calibri"/>
                <w:sz w:val="18"/>
                <w:szCs w:val="18"/>
                <w:b w:val="1"/>
                <w:bCs w:val="1"/>
                <w:color w:val="auto"/>
              </w:rPr>
              <w:t>Years Ended</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jc w:val="right"/>
              <w:ind w:right="140"/>
              <w:spacing w:after="0" w:line="216" w:lineRule="exact"/>
              <w:rPr>
                <w:sz w:val="20"/>
                <w:szCs w:val="20"/>
                <w:color w:val="auto"/>
              </w:rPr>
            </w:pPr>
            <w:r>
              <w:rPr>
                <w:rFonts w:ascii="Calibri" w:cs="Calibri" w:eastAsia="Calibri" w:hAnsi="Calibri"/>
                <w:sz w:val="18"/>
                <w:szCs w:val="18"/>
                <w:b w:val="1"/>
                <w:bCs w:val="1"/>
                <w:color w:val="auto"/>
              </w:rPr>
              <w:t>December 31,</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080" w:type="dxa"/>
            <w:vAlign w:val="bottom"/>
          </w:tcPr>
          <w:p>
            <w:pPr>
              <w:spacing w:after="0"/>
              <w:rPr>
                <w:sz w:val="18"/>
                <w:szCs w:val="18"/>
                <w:color w:val="auto"/>
              </w:rPr>
            </w:pPr>
          </w:p>
        </w:tc>
        <w:tc>
          <w:tcPr>
            <w:tcW w:w="11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670"/>
              <w:spacing w:after="0" w:line="208" w:lineRule="exact"/>
              <w:rPr>
                <w:sz w:val="20"/>
                <w:szCs w:val="20"/>
                <w:color w:val="auto"/>
              </w:rPr>
            </w:pPr>
            <w:r>
              <w:rPr>
                <w:rFonts w:ascii="Calibri" w:cs="Calibri" w:eastAsia="Calibri" w:hAnsi="Calibri"/>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Deferred tax assets:</w:t>
            </w:r>
          </w:p>
        </w:tc>
        <w:tc>
          <w:tcPr>
            <w:tcW w:w="1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180"/>
              <w:spacing w:after="0" w:line="215" w:lineRule="exact"/>
              <w:rPr>
                <w:sz w:val="20"/>
                <w:szCs w:val="20"/>
                <w:color w:val="auto"/>
              </w:rPr>
            </w:pPr>
            <w:r>
              <w:rPr>
                <w:rFonts w:ascii="Calibri" w:cs="Calibri" w:eastAsia="Calibri" w:hAnsi="Calibri"/>
                <w:sz w:val="18"/>
                <w:szCs w:val="18"/>
                <w:color w:val="auto"/>
              </w:rPr>
              <w:t>Net operatng loss carryforwards</w:t>
            </w:r>
          </w:p>
        </w:tc>
        <w:tc>
          <w:tcPr>
            <w:tcW w:w="110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120,092</w:t>
            </w:r>
          </w:p>
        </w:tc>
        <w:tc>
          <w:tcPr>
            <w:tcW w:w="640" w:type="dxa"/>
            <w:vAlign w:val="bottom"/>
            <w:gridSpan w:val="2"/>
          </w:tcPr>
          <w:p>
            <w:pPr>
              <w:jc w:val="right"/>
              <w:ind w:right="44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85,918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Research credits</w:t>
            </w:r>
          </w:p>
        </w:tc>
        <w:tc>
          <w:tcPr>
            <w:tcW w:w="1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11,815</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180"/>
              <w:spacing w:after="0" w:line="215" w:lineRule="exact"/>
              <w:rPr>
                <w:sz w:val="20"/>
                <w:szCs w:val="20"/>
                <w:color w:val="auto"/>
              </w:rPr>
            </w:pPr>
            <w:r>
              <w:rPr>
                <w:rFonts w:ascii="Calibri" w:cs="Calibri" w:eastAsia="Calibri" w:hAnsi="Calibri"/>
                <w:sz w:val="18"/>
                <w:szCs w:val="18"/>
                <w:color w:val="auto"/>
              </w:rPr>
              <w:t>Intangible assets</w:t>
            </w:r>
          </w:p>
        </w:tc>
        <w:tc>
          <w:tcPr>
            <w:tcW w:w="1100" w:type="dxa"/>
            <w:vAlign w:val="bottom"/>
          </w:tcPr>
          <w:p>
            <w:pPr>
              <w:spacing w:after="0"/>
              <w:rPr>
                <w:sz w:val="18"/>
                <w:szCs w:val="18"/>
                <w:color w:val="auto"/>
              </w:rPr>
            </w:pPr>
          </w:p>
        </w:tc>
        <w:tc>
          <w:tcPr>
            <w:tcW w:w="7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33,095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25,319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w:t>
            </w:r>
          </w:p>
        </w:tc>
        <w:tc>
          <w:tcPr>
            <w:tcW w:w="11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11,256</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8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Gross deferred tax assets</w:t>
            </w:r>
          </w:p>
        </w:tc>
        <w:tc>
          <w:tcPr>
            <w:tcW w:w="1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176,258</w:t>
            </w: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126,651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valuaton allowance</w:t>
            </w:r>
          </w:p>
        </w:tc>
        <w:tc>
          <w:tcPr>
            <w:tcW w:w="11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6"/>
              </w:rPr>
              <w:t>(175,915 )</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(126,170 )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8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Deferred tax assets, net of valuaton allowance</w:t>
            </w:r>
          </w:p>
        </w:tc>
        <w:tc>
          <w:tcPr>
            <w:tcW w:w="1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343</w:t>
            </w: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Deferred tax liabilites:</w:t>
            </w:r>
          </w:p>
        </w:tc>
        <w:tc>
          <w:tcPr>
            <w:tcW w:w="1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11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(343 )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(481 )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deferred tax assets</w:t>
            </w:r>
          </w:p>
        </w:tc>
        <w:tc>
          <w:tcPr>
            <w:tcW w:w="1100" w:type="dxa"/>
            <w:vAlign w:val="bottom"/>
            <w:tcBorders>
              <w:bottom w:val="single" w:sz="8" w:color="CFF0FC"/>
            </w:tcBorders>
            <w:shd w:val="clear" w:color="auto" w:fill="CFF0FC"/>
          </w:tcPr>
          <w:p>
            <w:pPr>
              <w:jc w:val="right"/>
              <w:ind w:right="890"/>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CFF0FC"/>
            </w:tcBorders>
            <w:gridSpan w:val="2"/>
            <w:shd w:val="clear" w:color="auto" w:fill="CFF0FC"/>
          </w:tcPr>
          <w:p>
            <w:pPr>
              <w:jc w:val="right"/>
              <w:ind w:right="440"/>
              <w:spacing w:after="0" w:line="208"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-976630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-659130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firstLine="509"/>
        <w:spacing w:after="0" w:line="258" w:lineRule="auto"/>
        <w:rPr>
          <w:sz w:val="20"/>
          <w:szCs w:val="20"/>
          <w:color w:val="auto"/>
        </w:rPr>
      </w:pPr>
      <w:r>
        <w:rPr>
          <w:rFonts w:ascii="Calibri" w:cs="Calibri" w:eastAsia="Calibri" w:hAnsi="Calibri"/>
          <w:sz w:val="17"/>
          <w:szCs w:val="17"/>
          <w:color w:val="231F20"/>
        </w:rPr>
        <w:t>Based upon the Company’s history of operatng losses, the Company is unable to conclude that it is more likely than not that the beneft of its deferred tax assets will be realized. Accordingly, the Company has provided a full valuaton allowance for its deferred tax assets as of December 31, 2023 and 2022.</w:t>
      </w:r>
    </w:p>
    <w:p>
      <w:pPr>
        <w:spacing w:after="0" w:line="161"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231F20"/>
        </w:rPr>
        <w:t>As of December 31, 2023 and 2022, the Company had federal net operatng loss carryforwards of approximately $554.7 million and $408.7 million, respectvely, which are carried over indefnitely.</w:t>
      </w:r>
    </w:p>
    <w:p>
      <w:pPr>
        <w:spacing w:after="0" w:line="172"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231F20"/>
        </w:rPr>
        <w:t>As of December 31, 2023, the Company had approximately $62.3 million of state net operatng loss carryforwards that begins to expire in 2036.</w:t>
      </w:r>
    </w:p>
    <w:p>
      <w:pPr>
        <w:spacing w:after="0" w:line="19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231F20"/>
        </w:rPr>
        <w:t>As of December 31, 2023, the Company has available federal research and development credits of $13.7 million which begin to expire in 2038. The Company has $1.3 million of state research and development credits, some of which, begin to expire in 2025.</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231F20"/>
        </w:rPr>
        <w:t>The Company has not completed a formal analysis of the potental impact of Secton 382 on its deferred tax assets as of December 31, 2023. Untl this analysis has been completed, the Company has not adjusted any of its deferred tax assets, including net operatng losses or research and development credits. The Company will reassess the amount of net operatng losses and credits subject to limitaton under Secton 382 when a study is complete. Due to the existence of the valuaton allowance, future changes in the deferred tax assets related to these tax atributes will not impact the Company’s efectve tax rate.</w:t>
      </w:r>
    </w:p>
    <w:p>
      <w:pPr>
        <w:spacing w:after="0" w:line="18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231F20"/>
        </w:rPr>
        <w:t>The Company recognizes liabilites for uncertain tax positons based on a two-step process. The frst step is to evaluate the tax positon for recogniton by determining if the weight of available evidence indicates that it is more likely than not that the positon will be sustained on audit, including resoluton of related appeals or litgaton processes, if any. The second step is to measure the tax beneft as the largest amount that is more than 50% likely of being realized upon setlement. While the Company believes that it has appropriate support for the positons taken on its tax returns, the Company regularly assesses the potental outcome of examinatons by tax authorites in determining the adequacy of its provision for income taxes.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231F20"/>
        </w:rPr>
        <w:t>The following table summarizes the actvity related to the Company's gross unrecognized tax benefts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Years Ended</w:t>
            </w:r>
          </w:p>
        </w:tc>
        <w:tc>
          <w:tcPr>
            <w:tcW w:w="780" w:type="dxa"/>
            <w:vAlign w:val="bottom"/>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630"/>
              <w:spacing w:after="0" w:line="216" w:lineRule="exact"/>
              <w:rPr>
                <w:sz w:val="20"/>
                <w:szCs w:val="20"/>
                <w:color w:val="auto"/>
              </w:rPr>
            </w:pPr>
            <w:r>
              <w:rPr>
                <w:rFonts w:ascii="Calibri" w:cs="Calibri" w:eastAsia="Calibri" w:hAnsi="Calibri"/>
                <w:sz w:val="18"/>
                <w:szCs w:val="18"/>
                <w:b w:val="1"/>
                <w:bCs w:val="1"/>
                <w:color w:val="auto"/>
              </w:rPr>
              <w:t>December 31,</w:t>
            </w:r>
          </w:p>
        </w:tc>
      </w:tr>
      <w:tr>
        <w:trPr>
          <w:trHeight w:val="37"/>
        </w:trPr>
        <w:tc>
          <w:tcPr>
            <w:tcW w:w="5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8"/>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w w:val="93"/>
              </w:rPr>
              <w:t>2022</w:t>
            </w:r>
          </w:p>
        </w:tc>
      </w:tr>
      <w:tr>
        <w:trPr>
          <w:trHeight w:val="28"/>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4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Beginning balance</w:t>
            </w:r>
          </w:p>
        </w:tc>
        <w:tc>
          <w:tcPr>
            <w:tcW w:w="2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2,327</w:t>
            </w:r>
          </w:p>
        </w:tc>
        <w:tc>
          <w:tcPr>
            <w:tcW w:w="460" w:type="dxa"/>
            <w:vAlign w:val="bottom"/>
            <w:tcBorders>
              <w:bottom w:val="single" w:sz="8" w:color="CFF0FC"/>
            </w:tcBorders>
            <w:gridSpan w:val="2"/>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1,704</w:t>
            </w:r>
          </w:p>
        </w:tc>
      </w:tr>
      <w:tr>
        <w:trPr>
          <w:trHeight w:val="215"/>
        </w:trPr>
        <w:tc>
          <w:tcPr>
            <w:tcW w:w="5480" w:type="dxa"/>
            <w:vAlign w:val="bottom"/>
          </w:tcPr>
          <w:p>
            <w:pPr>
              <w:ind w:left="180"/>
              <w:spacing w:after="0" w:line="215" w:lineRule="exact"/>
              <w:rPr>
                <w:sz w:val="20"/>
                <w:szCs w:val="20"/>
                <w:color w:val="auto"/>
              </w:rPr>
            </w:pPr>
            <w:r>
              <w:rPr>
                <w:rFonts w:ascii="Calibri" w:cs="Calibri" w:eastAsia="Calibri" w:hAnsi="Calibri"/>
                <w:sz w:val="18"/>
                <w:szCs w:val="18"/>
                <w:color w:val="auto"/>
              </w:rPr>
              <w:t>Increases related to prior year tax positons</w:t>
            </w: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54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Increases related to current year tax positons</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632</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623</w:t>
            </w:r>
          </w:p>
        </w:tc>
      </w:tr>
      <w:tr>
        <w:trPr>
          <w:trHeight w:val="208"/>
        </w:trPr>
        <w:tc>
          <w:tcPr>
            <w:tcW w:w="548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Ending balance</w:t>
            </w:r>
          </w:p>
        </w:tc>
        <w:tc>
          <w:tcPr>
            <w:tcW w:w="2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3,010</w:t>
            </w: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2,327</w:t>
            </w:r>
          </w:p>
        </w:tc>
      </w:tr>
      <w:tr>
        <w:trPr>
          <w:trHeight w:val="28"/>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-187960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231F20"/>
        </w:rPr>
        <w:t>As of December 31, 2023 and 2022, the Company has gross unrecognized tax benefts of $3,010 and $2,327, respectvely, none of which would afect the efectve tax rate due to a full valuaton allowance. The Company does not antcipate any signifcant changes in its unrecognized tax benefts over the next 12 months. The Company's policy is to recognize the interest expense and/or penaltes related to income tax maters as a component of income tax expense. The Company has no accrual for interest or penaltes on its balance sheet as of December 31, 2023 and 2022, and has not recognized interest and/or penaltes in its statement of operatons for the years ended December 31, 2023 and 2022.</w:t>
      </w:r>
    </w:p>
    <w:p>
      <w:pPr>
        <w:spacing w:after="0" w:line="180" w:lineRule="exact"/>
        <w:rPr>
          <w:sz w:val="20"/>
          <w:szCs w:val="20"/>
          <w:color w:val="auto"/>
        </w:rPr>
      </w:pPr>
    </w:p>
    <w:p>
      <w:pPr>
        <w:ind w:left="520"/>
        <w:spacing w:after="0"/>
        <w:rPr>
          <w:sz w:val="20"/>
          <w:szCs w:val="20"/>
          <w:color w:val="auto"/>
        </w:rPr>
      </w:pPr>
      <w:r>
        <w:rPr>
          <w:rFonts w:ascii="Calibri" w:cs="Calibri" w:eastAsia="Calibri" w:hAnsi="Calibri"/>
          <w:sz w:val="17"/>
          <w:szCs w:val="17"/>
          <w:color w:val="231F20"/>
        </w:rPr>
        <w:t>The Company is subject to taxaton in the United States and various states. The Company is not currently under examinaton by any taxing authorites.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231F20"/>
        </w:rPr>
        <w:t>Due to the carryover of tax atributes, the statute of limitatons is currently open for tax years since incepton.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gridSpan w:val="16"/>
          </w:tcPr>
          <w:p>
            <w:pPr>
              <w:jc w:val="center"/>
              <w:ind w:right="80"/>
              <w:spacing w:after="0"/>
              <w:rPr>
                <w:sz w:val="20"/>
                <w:szCs w:val="20"/>
                <w:color w:val="auto"/>
              </w:rPr>
            </w:pPr>
            <w:r>
              <w:rPr>
                <w:rFonts w:ascii="Calibri" w:cs="Calibri" w:eastAsia="Calibri" w:hAnsi="Calibri"/>
                <w:sz w:val="18"/>
                <w:szCs w:val="18"/>
                <w:b w:val="1"/>
                <w:bCs w:val="1"/>
                <w:color w:val="auto"/>
                <w:w w:val="96"/>
              </w:rPr>
              <w:t>EXHIBIT INDEX</w:t>
            </w:r>
          </w:p>
        </w:tc>
      </w:tr>
      <w:tr>
        <w:trPr>
          <w:trHeight w:val="679"/>
        </w:trPr>
        <w:tc>
          <w:tcPr>
            <w:tcW w:w="1020" w:type="dxa"/>
            <w:vAlign w:val="bottom"/>
          </w:tcPr>
          <w:p>
            <w:pPr>
              <w:ind w:left="300"/>
              <w:spacing w:after="0"/>
              <w:rPr>
                <w:sz w:val="20"/>
                <w:szCs w:val="20"/>
                <w:color w:val="auto"/>
              </w:rPr>
            </w:pPr>
            <w:r>
              <w:rPr>
                <w:rFonts w:ascii="Calibri" w:cs="Calibri" w:eastAsia="Calibri" w:hAnsi="Calibri"/>
                <w:sz w:val="14"/>
                <w:szCs w:val="14"/>
                <w:b w:val="1"/>
                <w:bCs w:val="1"/>
                <w:color w:val="auto"/>
              </w:rPr>
              <w:t>Exhibit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1020" w:type="dxa"/>
            <w:vAlign w:val="bottom"/>
          </w:tcPr>
          <w:p>
            <w:pPr>
              <w:ind w:left="260"/>
              <w:spacing w:after="0"/>
              <w:rPr>
                <w:sz w:val="20"/>
                <w:szCs w:val="20"/>
                <w:color w:val="auto"/>
              </w:rPr>
            </w:pPr>
            <w:r>
              <w:rPr>
                <w:rFonts w:ascii="Calibri" w:cs="Calibri" w:eastAsia="Calibri" w:hAnsi="Calibri"/>
                <w:sz w:val="14"/>
                <w:szCs w:val="14"/>
                <w:b w:val="1"/>
                <w:bCs w:val="1"/>
                <w:color w:val="auto"/>
              </w:rPr>
              <w:t>Number</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gridSpan w:val="20"/>
          </w:tcPr>
          <w:p>
            <w:pPr>
              <w:ind w:left="40"/>
              <w:spacing w:after="0"/>
              <w:rPr>
                <w:sz w:val="20"/>
                <w:szCs w:val="20"/>
                <w:color w:val="auto"/>
              </w:rPr>
            </w:pPr>
            <w:r>
              <w:rPr>
                <w:rFonts w:ascii="Calibri" w:cs="Calibri" w:eastAsia="Calibri" w:hAnsi="Calibri"/>
                <w:sz w:val="14"/>
                <w:szCs w:val="14"/>
                <w:b w:val="1"/>
                <w:bCs w:val="1"/>
                <w:color w:val="auto"/>
              </w:rPr>
              <w:t>Exhibit Descripton</w:t>
            </w:r>
          </w:p>
        </w:tc>
      </w:tr>
      <w:tr>
        <w:trPr>
          <w:trHeight w:val="33"/>
        </w:trPr>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1020" w:type="dxa"/>
            <w:vAlign w:val="bottom"/>
          </w:tcPr>
          <w:p>
            <w:pPr>
              <w:ind w:left="20"/>
              <w:spacing w:after="0" w:line="169" w:lineRule="exact"/>
              <w:rPr>
                <w:sz w:val="20"/>
                <w:szCs w:val="20"/>
                <w:color w:val="auto"/>
              </w:rPr>
            </w:pPr>
            <w:r>
              <w:rPr>
                <w:rFonts w:ascii="Calibri" w:cs="Calibri" w:eastAsia="Calibri" w:hAnsi="Calibri"/>
                <w:sz w:val="18"/>
                <w:szCs w:val="18"/>
                <w:color w:val="auto"/>
              </w:rPr>
              <w:t>3.1</w:t>
            </w:r>
          </w:p>
        </w:tc>
        <w:tc>
          <w:tcPr>
            <w:tcW w:w="140" w:type="dxa"/>
            <w:vAlign w:val="bottom"/>
          </w:tcPr>
          <w:p>
            <w:pPr>
              <w:spacing w:after="0"/>
              <w:rPr>
                <w:sz w:val="14"/>
                <w:szCs w:val="14"/>
                <w:color w:val="auto"/>
              </w:rPr>
            </w:pPr>
          </w:p>
        </w:tc>
        <w:tc>
          <w:tcPr>
            <w:tcW w:w="5340" w:type="dxa"/>
            <w:vAlign w:val="bottom"/>
            <w:gridSpan w:val="25"/>
          </w:tcPr>
          <w:p>
            <w:pPr>
              <w:spacing w:after="0" w:line="169" w:lineRule="exact"/>
              <w:rPr>
                <w:rFonts w:ascii="Calibri" w:cs="Calibri" w:eastAsia="Calibri" w:hAnsi="Calibri"/>
                <w:sz w:val="18"/>
                <w:szCs w:val="18"/>
                <w:color w:val="0000FF"/>
              </w:rPr>
            </w:pPr>
            <w:hyperlink r:id="rId292">
              <w:r>
                <w:rPr>
                  <w:rFonts w:ascii="Calibri" w:cs="Calibri" w:eastAsia="Calibri" w:hAnsi="Calibri"/>
                  <w:sz w:val="18"/>
                  <w:szCs w:val="18"/>
                  <w:color w:val="0000FF"/>
                </w:rPr>
                <w:t>Amended and Restated Certfcate of Incorporaton</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140" w:type="dxa"/>
            <w:vAlign w:val="bottom"/>
          </w:tcPr>
          <w:p>
            <w:pPr>
              <w:spacing w:after="0"/>
              <w:rPr>
                <w:sz w:val="19"/>
                <w:szCs w:val="19"/>
                <w:color w:val="auto"/>
              </w:rPr>
            </w:pPr>
          </w:p>
        </w:tc>
        <w:tc>
          <w:tcPr>
            <w:tcW w:w="4740" w:type="dxa"/>
            <w:vAlign w:val="bottom"/>
            <w:tcBorders>
              <w:bottom w:val="single" w:sz="8" w:color="0000FF"/>
            </w:tcBorders>
            <w:gridSpan w:val="16"/>
          </w:tcPr>
          <w:p>
            <w:pPr>
              <w:spacing w:after="0"/>
              <w:rPr>
                <w:rFonts w:ascii="Calibri" w:cs="Calibri" w:eastAsia="Calibri" w:hAnsi="Calibri"/>
                <w:sz w:val="18"/>
                <w:szCs w:val="18"/>
                <w:color w:val="0000FF"/>
              </w:rPr>
            </w:pPr>
            <w:hyperlink r:id="rId293">
              <w:r>
                <w:rPr>
                  <w:rFonts w:ascii="Calibri" w:cs="Calibri" w:eastAsia="Calibri" w:hAnsi="Calibri"/>
                  <w:sz w:val="18"/>
                  <w:szCs w:val="18"/>
                  <w:color w:val="0000FF"/>
                </w:rPr>
                <w:t>Certfcate of Amendment to Amended and Restated Certfcate of</w:t>
              </w:r>
            </w:hyperlink>
          </w:p>
        </w:tc>
        <w:tc>
          <w:tcPr>
            <w:tcW w:w="600" w:type="dxa"/>
            <w:vAlign w:val="bottom"/>
            <w:gridSpan w:val="9"/>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tcBorders>
              <w:bottom w:val="single" w:sz="8" w:color="0000FF"/>
            </w:tcBorders>
            <w:gridSpan w:val="23"/>
          </w:tcPr>
          <w:p>
            <w:pPr>
              <w:spacing w:after="0" w:line="196" w:lineRule="exact"/>
              <w:rPr>
                <w:rFonts w:ascii="Calibri" w:cs="Calibri" w:eastAsia="Calibri" w:hAnsi="Calibri"/>
                <w:sz w:val="18"/>
                <w:szCs w:val="18"/>
                <w:color w:val="0000FF"/>
                <w:w w:val="98"/>
              </w:rPr>
            </w:pPr>
            <w:hyperlink r:id="rId293">
              <w:r>
                <w:rPr>
                  <w:rFonts w:ascii="Calibri" w:cs="Calibri" w:eastAsia="Calibri" w:hAnsi="Calibri"/>
                  <w:sz w:val="18"/>
                  <w:szCs w:val="18"/>
                  <w:color w:val="0000FF"/>
                  <w:w w:val="98"/>
                </w:rPr>
                <w:t>Incorporaton, as fled with the Secretary of the State of Delaware on May</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spacing w:after="0" w:line="196" w:lineRule="exact"/>
              <w:rPr>
                <w:rFonts w:ascii="Calibri" w:cs="Calibri" w:eastAsia="Calibri" w:hAnsi="Calibri"/>
                <w:sz w:val="18"/>
                <w:szCs w:val="18"/>
                <w:color w:val="0000FF"/>
                <w:w w:val="94"/>
              </w:rPr>
            </w:pPr>
            <w:hyperlink r:id="rId293">
              <w:r>
                <w:rPr>
                  <w:rFonts w:ascii="Calibri" w:cs="Calibri" w:eastAsia="Calibri" w:hAnsi="Calibri"/>
                  <w:sz w:val="18"/>
                  <w:szCs w:val="18"/>
                  <w:color w:val="0000FF"/>
                  <w:w w:val="94"/>
                </w:rPr>
                <w:t>26, 2023</w:t>
              </w:r>
            </w:hyperlink>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3.3</w:t>
            </w:r>
          </w:p>
        </w:tc>
        <w:tc>
          <w:tcPr>
            <w:tcW w:w="140" w:type="dxa"/>
            <w:vAlign w:val="bottom"/>
          </w:tcPr>
          <w:p>
            <w:pPr>
              <w:spacing w:after="0"/>
              <w:rPr>
                <w:sz w:val="19"/>
                <w:szCs w:val="19"/>
                <w:color w:val="auto"/>
              </w:rPr>
            </w:pPr>
          </w:p>
        </w:tc>
        <w:tc>
          <w:tcPr>
            <w:tcW w:w="4720" w:type="dxa"/>
            <w:vAlign w:val="bottom"/>
            <w:tcBorders>
              <w:bottom w:val="single" w:sz="8" w:color="0000EE"/>
            </w:tcBorders>
            <w:gridSpan w:val="15"/>
          </w:tcPr>
          <w:p>
            <w:pPr>
              <w:spacing w:after="0"/>
              <w:rPr>
                <w:rFonts w:ascii="Calibri" w:cs="Calibri" w:eastAsia="Calibri" w:hAnsi="Calibri"/>
                <w:sz w:val="18"/>
                <w:szCs w:val="18"/>
                <w:color w:val="0000FF"/>
                <w:w w:val="98"/>
              </w:rPr>
            </w:pPr>
            <w:hyperlink r:id="rId294">
              <w:r>
                <w:rPr>
                  <w:rFonts w:ascii="Calibri" w:cs="Calibri" w:eastAsia="Calibri" w:hAnsi="Calibri"/>
                  <w:sz w:val="18"/>
                  <w:szCs w:val="18"/>
                  <w:color w:val="0000FF"/>
                  <w:w w:val="98"/>
                </w:rPr>
                <w:t>Amended and Restated Bylaws, efectve as of December 13, 2023</w:t>
              </w:r>
            </w:hyperlink>
          </w:p>
        </w:tc>
        <w:tc>
          <w:tcPr>
            <w:tcW w:w="620" w:type="dxa"/>
            <w:vAlign w:val="bottom"/>
            <w:gridSpan w:val="10"/>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140" w:type="dxa"/>
            <w:vAlign w:val="bottom"/>
          </w:tcPr>
          <w:p>
            <w:pPr>
              <w:spacing w:after="0"/>
              <w:rPr>
                <w:sz w:val="19"/>
                <w:szCs w:val="19"/>
                <w:color w:val="auto"/>
              </w:rPr>
            </w:pPr>
          </w:p>
        </w:tc>
        <w:tc>
          <w:tcPr>
            <w:tcW w:w="5340" w:type="dxa"/>
            <w:vAlign w:val="bottom"/>
            <w:gridSpan w:val="25"/>
          </w:tcPr>
          <w:p>
            <w:pPr>
              <w:spacing w:after="0"/>
              <w:rPr>
                <w:rFonts w:ascii="Calibri" w:cs="Calibri" w:eastAsia="Calibri" w:hAnsi="Calibri"/>
                <w:sz w:val="18"/>
                <w:szCs w:val="18"/>
                <w:color w:val="0000FF"/>
              </w:rPr>
            </w:pPr>
            <w:hyperlink r:id="rId295">
              <w:r>
                <w:rPr>
                  <w:rFonts w:ascii="Calibri" w:cs="Calibri" w:eastAsia="Calibri" w:hAnsi="Calibri"/>
                  <w:sz w:val="18"/>
                  <w:szCs w:val="18"/>
                  <w:color w:val="0000FF"/>
                </w:rPr>
                <w:t>Form of Common Stock Certfcate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140" w:type="dxa"/>
            <w:vAlign w:val="bottom"/>
          </w:tcPr>
          <w:p>
            <w:pPr>
              <w:spacing w:after="0"/>
              <w:rPr>
                <w:sz w:val="19"/>
                <w:szCs w:val="19"/>
                <w:color w:val="auto"/>
              </w:rPr>
            </w:pPr>
          </w:p>
        </w:tc>
        <w:tc>
          <w:tcPr>
            <w:tcW w:w="5060" w:type="dxa"/>
            <w:vAlign w:val="bottom"/>
            <w:tcBorders>
              <w:bottom w:val="single" w:sz="8" w:color="0000FF"/>
            </w:tcBorders>
            <w:gridSpan w:val="21"/>
          </w:tcPr>
          <w:p>
            <w:pPr>
              <w:spacing w:after="0"/>
              <w:rPr>
                <w:rFonts w:ascii="Calibri" w:cs="Calibri" w:eastAsia="Calibri" w:hAnsi="Calibri"/>
                <w:sz w:val="18"/>
                <w:szCs w:val="18"/>
                <w:color w:val="0000FF"/>
                <w:w w:val="97"/>
              </w:rPr>
            </w:pPr>
            <w:hyperlink r:id="rId296">
              <w:r>
                <w:rPr>
                  <w:rFonts w:ascii="Calibri" w:cs="Calibri" w:eastAsia="Calibri" w:hAnsi="Calibri"/>
                  <w:sz w:val="18"/>
                  <w:szCs w:val="18"/>
                  <w:color w:val="0000FF"/>
                  <w:w w:val="97"/>
                </w:rPr>
                <w:t>Warrant to purchase stock issued to Silicon Valley Bank, dated May 14,</w:t>
              </w:r>
            </w:hyperlink>
          </w:p>
        </w:tc>
        <w:tc>
          <w:tcPr>
            <w:tcW w:w="280" w:type="dxa"/>
            <w:vAlign w:val="bottom"/>
            <w:gridSpan w:val="4"/>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Calibri" w:cs="Calibri" w:eastAsia="Calibri" w:hAnsi="Calibri"/>
                <w:sz w:val="18"/>
                <w:szCs w:val="18"/>
                <w:color w:val="0000FF"/>
                <w:w w:val="92"/>
              </w:rPr>
            </w:pPr>
            <w:hyperlink r:id="rId296">
              <w:r>
                <w:rPr>
                  <w:rFonts w:ascii="Calibri" w:cs="Calibri" w:eastAsia="Calibri" w:hAnsi="Calibri"/>
                  <w:sz w:val="18"/>
                  <w:szCs w:val="18"/>
                  <w:color w:val="0000FF"/>
                  <w:w w:val="92"/>
                </w:rPr>
                <w:t>2019</w:t>
              </w:r>
            </w:hyperlink>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140" w:type="dxa"/>
            <w:vAlign w:val="bottom"/>
          </w:tcPr>
          <w:p>
            <w:pPr>
              <w:spacing w:after="0"/>
              <w:rPr>
                <w:sz w:val="19"/>
                <w:szCs w:val="19"/>
                <w:color w:val="auto"/>
              </w:rPr>
            </w:pPr>
          </w:p>
        </w:tc>
        <w:tc>
          <w:tcPr>
            <w:tcW w:w="5140" w:type="dxa"/>
            <w:vAlign w:val="bottom"/>
            <w:tcBorders>
              <w:bottom w:val="single" w:sz="8" w:color="0000FF"/>
            </w:tcBorders>
            <w:gridSpan w:val="22"/>
          </w:tcPr>
          <w:p>
            <w:pPr>
              <w:spacing w:after="0"/>
              <w:rPr>
                <w:rFonts w:ascii="Calibri" w:cs="Calibri" w:eastAsia="Calibri" w:hAnsi="Calibri"/>
                <w:sz w:val="18"/>
                <w:szCs w:val="18"/>
                <w:color w:val="0000FF"/>
                <w:w w:val="97"/>
              </w:rPr>
            </w:pPr>
            <w:hyperlink r:id="rId297">
              <w:r>
                <w:rPr>
                  <w:rFonts w:ascii="Calibri" w:cs="Calibri" w:eastAsia="Calibri" w:hAnsi="Calibri"/>
                  <w:sz w:val="18"/>
                  <w:szCs w:val="18"/>
                  <w:color w:val="0000FF"/>
                  <w:w w:val="97"/>
                </w:rPr>
                <w:t>Warrant to purchase stock issued to WestRiver Innovaton Lending Fund</w:t>
              </w:r>
            </w:hyperlink>
          </w:p>
        </w:tc>
        <w:tc>
          <w:tcPr>
            <w:tcW w:w="200" w:type="dxa"/>
            <w:vAlign w:val="bottom"/>
            <w:gridSpan w:val="3"/>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25"/>
          </w:tcPr>
          <w:p>
            <w:pPr>
              <w:spacing w:after="0" w:line="196" w:lineRule="exact"/>
              <w:rPr>
                <w:rFonts w:ascii="Calibri" w:cs="Calibri" w:eastAsia="Calibri" w:hAnsi="Calibri"/>
                <w:sz w:val="18"/>
                <w:szCs w:val="18"/>
                <w:color w:val="0000FF"/>
              </w:rPr>
            </w:pPr>
            <w:hyperlink r:id="rId297">
              <w:r>
                <w:rPr>
                  <w:rFonts w:ascii="Calibri" w:cs="Calibri" w:eastAsia="Calibri" w:hAnsi="Calibri"/>
                  <w:sz w:val="18"/>
                  <w:szCs w:val="18"/>
                  <w:color w:val="0000FF"/>
                </w:rPr>
                <w:t>VIII, L.P., dated May 14, 2019</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4.4</w:t>
            </w:r>
          </w:p>
        </w:tc>
        <w:tc>
          <w:tcPr>
            <w:tcW w:w="140" w:type="dxa"/>
            <w:vAlign w:val="bottom"/>
          </w:tcPr>
          <w:p>
            <w:pPr>
              <w:spacing w:after="0"/>
              <w:rPr>
                <w:sz w:val="19"/>
                <w:szCs w:val="19"/>
                <w:color w:val="auto"/>
              </w:rPr>
            </w:pPr>
          </w:p>
        </w:tc>
        <w:tc>
          <w:tcPr>
            <w:tcW w:w="4700" w:type="dxa"/>
            <w:vAlign w:val="bottom"/>
            <w:tcBorders>
              <w:bottom w:val="single" w:sz="8" w:color="0000FF"/>
            </w:tcBorders>
            <w:gridSpan w:val="14"/>
          </w:tcPr>
          <w:p>
            <w:pPr>
              <w:spacing w:after="0"/>
              <w:rPr>
                <w:rFonts w:ascii="Calibri" w:cs="Calibri" w:eastAsia="Calibri" w:hAnsi="Calibri"/>
                <w:sz w:val="18"/>
                <w:szCs w:val="18"/>
                <w:color w:val="0000FF"/>
                <w:w w:val="97"/>
              </w:rPr>
            </w:pPr>
            <w:hyperlink r:id="rId298">
              <w:r>
                <w:rPr>
                  <w:rFonts w:ascii="Calibri" w:cs="Calibri" w:eastAsia="Calibri" w:hAnsi="Calibri"/>
                  <w:sz w:val="18"/>
                  <w:szCs w:val="18"/>
                  <w:color w:val="0000FF"/>
                  <w:w w:val="97"/>
                </w:rPr>
                <w:t>Note Purchase Agreement, dated May 7, 2019, by and among the</w:t>
              </w:r>
            </w:hyperlink>
          </w:p>
        </w:tc>
        <w:tc>
          <w:tcPr>
            <w:tcW w:w="640" w:type="dxa"/>
            <w:vAlign w:val="bottom"/>
            <w:gridSpan w:val="11"/>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25"/>
          </w:tcPr>
          <w:p>
            <w:pPr>
              <w:spacing w:after="0" w:line="196" w:lineRule="exact"/>
              <w:rPr>
                <w:rFonts w:ascii="Calibri" w:cs="Calibri" w:eastAsia="Calibri" w:hAnsi="Calibri"/>
                <w:sz w:val="18"/>
                <w:szCs w:val="18"/>
                <w:color w:val="0000FF"/>
              </w:rPr>
            </w:pPr>
            <w:hyperlink r:id="rId298">
              <w:r>
                <w:rPr>
                  <w:rFonts w:ascii="Calibri" w:cs="Calibri" w:eastAsia="Calibri" w:hAnsi="Calibri"/>
                  <w:sz w:val="18"/>
                  <w:szCs w:val="18"/>
                  <w:color w:val="0000FF"/>
                </w:rPr>
                <w:t>Registrant and the other partes party thereto, as amended</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4.5</w:t>
            </w:r>
          </w:p>
        </w:tc>
        <w:tc>
          <w:tcPr>
            <w:tcW w:w="140" w:type="dxa"/>
            <w:vAlign w:val="bottom"/>
          </w:tcPr>
          <w:p>
            <w:pPr>
              <w:spacing w:after="0"/>
              <w:rPr>
                <w:sz w:val="19"/>
                <w:szCs w:val="19"/>
                <w:color w:val="auto"/>
              </w:rPr>
            </w:pPr>
          </w:p>
        </w:tc>
        <w:tc>
          <w:tcPr>
            <w:tcW w:w="5320" w:type="dxa"/>
            <w:vAlign w:val="bottom"/>
            <w:tcBorders>
              <w:bottom w:val="single" w:sz="8" w:color="0000FF"/>
            </w:tcBorders>
            <w:gridSpan w:val="24"/>
          </w:tcPr>
          <w:p>
            <w:pPr>
              <w:spacing w:after="0"/>
              <w:rPr>
                <w:rFonts w:ascii="Calibri" w:cs="Calibri" w:eastAsia="Calibri" w:hAnsi="Calibri"/>
                <w:sz w:val="18"/>
                <w:szCs w:val="18"/>
                <w:color w:val="0000FF"/>
                <w:w w:val="96"/>
              </w:rPr>
            </w:pPr>
            <w:hyperlink r:id="rId299">
              <w:r>
                <w:rPr>
                  <w:rFonts w:ascii="Calibri" w:cs="Calibri" w:eastAsia="Calibri" w:hAnsi="Calibri"/>
                  <w:sz w:val="18"/>
                  <w:szCs w:val="18"/>
                  <w:color w:val="0000FF"/>
                  <w:w w:val="96"/>
                </w:rPr>
                <w:t>Warrant to purchase stock issued to Hercules Capital, dated September 17,</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196" w:lineRule="exact"/>
              <w:rPr>
                <w:rFonts w:ascii="Calibri" w:cs="Calibri" w:eastAsia="Calibri" w:hAnsi="Calibri"/>
                <w:sz w:val="18"/>
                <w:szCs w:val="18"/>
                <w:color w:val="0000FF"/>
                <w:w w:val="92"/>
              </w:rPr>
            </w:pPr>
            <w:hyperlink r:id="rId299">
              <w:r>
                <w:rPr>
                  <w:rFonts w:ascii="Calibri" w:cs="Calibri" w:eastAsia="Calibri" w:hAnsi="Calibri"/>
                  <w:sz w:val="18"/>
                  <w:szCs w:val="18"/>
                  <w:color w:val="0000FF"/>
                  <w:w w:val="92"/>
                </w:rPr>
                <w:t>2021</w:t>
              </w:r>
            </w:hyperlink>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4.6</w:t>
            </w:r>
          </w:p>
        </w:tc>
        <w:tc>
          <w:tcPr>
            <w:tcW w:w="140" w:type="dxa"/>
            <w:vAlign w:val="bottom"/>
          </w:tcPr>
          <w:p>
            <w:pPr>
              <w:spacing w:after="0"/>
              <w:rPr>
                <w:sz w:val="19"/>
                <w:szCs w:val="19"/>
                <w:color w:val="auto"/>
              </w:rPr>
            </w:pPr>
          </w:p>
        </w:tc>
        <w:tc>
          <w:tcPr>
            <w:tcW w:w="4960" w:type="dxa"/>
            <w:vAlign w:val="bottom"/>
            <w:tcBorders>
              <w:bottom w:val="single" w:sz="8" w:color="0000FF"/>
            </w:tcBorders>
            <w:gridSpan w:val="19"/>
          </w:tcPr>
          <w:p>
            <w:pPr>
              <w:spacing w:after="0"/>
              <w:rPr>
                <w:rFonts w:ascii="Calibri" w:cs="Calibri" w:eastAsia="Calibri" w:hAnsi="Calibri"/>
                <w:sz w:val="18"/>
                <w:szCs w:val="18"/>
                <w:color w:val="0000FF"/>
                <w:w w:val="97"/>
              </w:rPr>
            </w:pPr>
            <w:hyperlink r:id="rId300">
              <w:r>
                <w:rPr>
                  <w:rFonts w:ascii="Calibri" w:cs="Calibri" w:eastAsia="Calibri" w:hAnsi="Calibri"/>
                  <w:sz w:val="18"/>
                  <w:szCs w:val="18"/>
                  <w:color w:val="0000FF"/>
                  <w:w w:val="97"/>
                </w:rPr>
                <w:t>Form of Warrant to purchase stock issuable pursuant to the Loan and</w:t>
              </w:r>
            </w:hyperlink>
          </w:p>
        </w:tc>
        <w:tc>
          <w:tcPr>
            <w:tcW w:w="380" w:type="dxa"/>
            <w:vAlign w:val="bottom"/>
            <w:gridSpan w:val="6"/>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FF"/>
            </w:tcBorders>
            <w:gridSpan w:val="19"/>
          </w:tcPr>
          <w:p>
            <w:pPr>
              <w:spacing w:after="0" w:line="196" w:lineRule="exact"/>
              <w:rPr>
                <w:rFonts w:ascii="Calibri" w:cs="Calibri" w:eastAsia="Calibri" w:hAnsi="Calibri"/>
                <w:sz w:val="18"/>
                <w:szCs w:val="18"/>
                <w:color w:val="0000FF"/>
                <w:w w:val="97"/>
              </w:rPr>
            </w:pPr>
            <w:hyperlink r:id="rId300">
              <w:r>
                <w:rPr>
                  <w:rFonts w:ascii="Calibri" w:cs="Calibri" w:eastAsia="Calibri" w:hAnsi="Calibri"/>
                  <w:sz w:val="18"/>
                  <w:szCs w:val="18"/>
                  <w:color w:val="0000FF"/>
                  <w:w w:val="97"/>
                </w:rPr>
                <w:t>Security Agreement, as amended, by and between the Registrant and</w:t>
              </w:r>
            </w:hyperlink>
          </w:p>
        </w:tc>
        <w:tc>
          <w:tcPr>
            <w:tcW w:w="3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25"/>
          </w:tcPr>
          <w:p>
            <w:pPr>
              <w:spacing w:after="0" w:line="196" w:lineRule="exact"/>
              <w:rPr>
                <w:rFonts w:ascii="Calibri" w:cs="Calibri" w:eastAsia="Calibri" w:hAnsi="Calibri"/>
                <w:sz w:val="18"/>
                <w:szCs w:val="18"/>
                <w:color w:val="0000FF"/>
              </w:rPr>
            </w:pPr>
            <w:hyperlink r:id="rId300">
              <w:r>
                <w:rPr>
                  <w:rFonts w:ascii="Calibri" w:cs="Calibri" w:eastAsia="Calibri" w:hAnsi="Calibri"/>
                  <w:sz w:val="18"/>
                  <w:szCs w:val="18"/>
                  <w:color w:val="0000FF"/>
                </w:rPr>
                <w:t>Hercules Capital, Inc.</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4.7</w:t>
            </w:r>
          </w:p>
        </w:tc>
        <w:tc>
          <w:tcPr>
            <w:tcW w:w="140" w:type="dxa"/>
            <w:vAlign w:val="bottom"/>
          </w:tcPr>
          <w:p>
            <w:pPr>
              <w:spacing w:after="0"/>
              <w:rPr>
                <w:sz w:val="19"/>
                <w:szCs w:val="19"/>
                <w:color w:val="auto"/>
              </w:rPr>
            </w:pPr>
          </w:p>
        </w:tc>
        <w:tc>
          <w:tcPr>
            <w:tcW w:w="5280" w:type="dxa"/>
            <w:vAlign w:val="bottom"/>
            <w:tcBorders>
              <w:bottom w:val="single" w:sz="8" w:color="0000FF"/>
            </w:tcBorders>
            <w:gridSpan w:val="23"/>
          </w:tcPr>
          <w:p>
            <w:pPr>
              <w:spacing w:after="0"/>
              <w:rPr>
                <w:rFonts w:ascii="Calibri" w:cs="Calibri" w:eastAsia="Calibri" w:hAnsi="Calibri"/>
                <w:sz w:val="18"/>
                <w:szCs w:val="18"/>
                <w:color w:val="0000FF"/>
                <w:w w:val="97"/>
              </w:rPr>
            </w:pPr>
            <w:hyperlink r:id="rId301">
              <w:r>
                <w:rPr>
                  <w:rFonts w:ascii="Calibri" w:cs="Calibri" w:eastAsia="Calibri" w:hAnsi="Calibri"/>
                  <w:sz w:val="18"/>
                  <w:szCs w:val="18"/>
                  <w:color w:val="0000FF"/>
                  <w:w w:val="97"/>
                </w:rPr>
                <w:t>First Amendment to Warrant to purchase stock issued to Hercules Capital,</w:t>
              </w:r>
            </w:hyperlink>
          </w:p>
        </w:tc>
        <w:tc>
          <w:tcPr>
            <w:tcW w:w="60" w:type="dxa"/>
            <w:vAlign w:val="bottom"/>
            <w:gridSpan w:val="2"/>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gridSpan w:val="25"/>
          </w:tcPr>
          <w:p>
            <w:pPr>
              <w:spacing w:after="0" w:line="196" w:lineRule="exact"/>
              <w:rPr>
                <w:rFonts w:ascii="Calibri" w:cs="Calibri" w:eastAsia="Calibri" w:hAnsi="Calibri"/>
                <w:sz w:val="18"/>
                <w:szCs w:val="18"/>
                <w:color w:val="0000FF"/>
              </w:rPr>
            </w:pPr>
            <w:hyperlink r:id="rId301">
              <w:r>
                <w:rPr>
                  <w:rFonts w:ascii="Calibri" w:cs="Calibri" w:eastAsia="Calibri" w:hAnsi="Calibri"/>
                  <w:sz w:val="18"/>
                  <w:szCs w:val="18"/>
                  <w:color w:val="0000FF"/>
                </w:rPr>
                <w:t>dated May 9, 2023</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4.8</w:t>
            </w:r>
          </w:p>
        </w:tc>
        <w:tc>
          <w:tcPr>
            <w:tcW w:w="140" w:type="dxa"/>
            <w:vAlign w:val="bottom"/>
          </w:tcPr>
          <w:p>
            <w:pPr>
              <w:spacing w:after="0"/>
              <w:rPr>
                <w:sz w:val="19"/>
                <w:szCs w:val="19"/>
                <w:color w:val="auto"/>
              </w:rPr>
            </w:pPr>
          </w:p>
        </w:tc>
        <w:tc>
          <w:tcPr>
            <w:tcW w:w="2520" w:type="dxa"/>
            <w:vAlign w:val="bottom"/>
            <w:tcBorders>
              <w:bottom w:val="single" w:sz="8" w:color="0000FF"/>
            </w:tcBorders>
            <w:gridSpan w:val="7"/>
          </w:tcPr>
          <w:p>
            <w:pPr>
              <w:spacing w:after="0"/>
              <w:rPr>
                <w:sz w:val="20"/>
                <w:szCs w:val="20"/>
                <w:color w:val="auto"/>
              </w:rPr>
            </w:pPr>
            <w:r>
              <w:rPr>
                <w:rFonts w:ascii="Calibri" w:cs="Calibri" w:eastAsia="Calibri" w:hAnsi="Calibri"/>
                <w:sz w:val="18"/>
                <w:szCs w:val="18"/>
                <w:color w:val="0000FF"/>
                <w:w w:val="99"/>
              </w:rPr>
              <w:t>Descripton of Registered Securites</w:t>
            </w:r>
          </w:p>
        </w:tc>
        <w:tc>
          <w:tcPr>
            <w:tcW w:w="20" w:type="dxa"/>
            <w:vAlign w:val="bottom"/>
            <w:tcBorders>
              <w:bottom w:val="single" w:sz="8" w:color="0000EE"/>
            </w:tcBorders>
          </w:tcPr>
          <w:p>
            <w:pPr>
              <w:spacing w:after="0"/>
              <w:rPr>
                <w:sz w:val="19"/>
                <w:szCs w:val="19"/>
                <w:color w:val="auto"/>
              </w:rPr>
            </w:pPr>
          </w:p>
        </w:tc>
        <w:tc>
          <w:tcPr>
            <w:tcW w:w="2800" w:type="dxa"/>
            <w:vAlign w:val="bottom"/>
            <w:gridSpan w:val="17"/>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9"/>
                <w:szCs w:val="19"/>
                <w:color w:val="auto"/>
              </w:rPr>
            </w:pPr>
          </w:p>
        </w:tc>
        <w:tc>
          <w:tcPr>
            <w:tcW w:w="4120" w:type="dxa"/>
            <w:vAlign w:val="bottom"/>
            <w:tcBorders>
              <w:bottom w:val="single" w:sz="8" w:color="0000FF"/>
            </w:tcBorders>
            <w:gridSpan w:val="10"/>
          </w:tcPr>
          <w:p>
            <w:pPr>
              <w:spacing w:after="0"/>
              <w:rPr>
                <w:rFonts w:ascii="Calibri" w:cs="Calibri" w:eastAsia="Calibri" w:hAnsi="Calibri"/>
                <w:sz w:val="18"/>
                <w:szCs w:val="18"/>
                <w:color w:val="0000FF"/>
                <w:w w:val="98"/>
              </w:rPr>
            </w:pPr>
            <w:hyperlink r:id="rId302">
              <w:r>
                <w:rPr>
                  <w:rFonts w:ascii="Calibri" w:cs="Calibri" w:eastAsia="Calibri" w:hAnsi="Calibri"/>
                  <w:sz w:val="18"/>
                  <w:szCs w:val="18"/>
                  <w:color w:val="0000FF"/>
                  <w:w w:val="98"/>
                </w:rPr>
                <w:t>Phathom Pharmaceutcals, Inc. 2019 Equity Incentve Plan</w:t>
              </w:r>
            </w:hyperlink>
          </w:p>
        </w:tc>
        <w:tc>
          <w:tcPr>
            <w:tcW w:w="20" w:type="dxa"/>
            <w:vAlign w:val="bottom"/>
            <w:tcBorders>
              <w:bottom w:val="single" w:sz="8" w:color="0000EE"/>
            </w:tcBorders>
          </w:tcPr>
          <w:p>
            <w:pPr>
              <w:spacing w:after="0"/>
              <w:rPr>
                <w:sz w:val="19"/>
                <w:szCs w:val="19"/>
                <w:color w:val="auto"/>
              </w:rPr>
            </w:pPr>
          </w:p>
        </w:tc>
        <w:tc>
          <w:tcPr>
            <w:tcW w:w="1200" w:type="dxa"/>
            <w:vAlign w:val="bottom"/>
            <w:gridSpan w:val="14"/>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9"/>
                <w:szCs w:val="19"/>
                <w:color w:val="auto"/>
              </w:rPr>
            </w:pPr>
          </w:p>
        </w:tc>
        <w:tc>
          <w:tcPr>
            <w:tcW w:w="5320" w:type="dxa"/>
            <w:vAlign w:val="bottom"/>
            <w:tcBorders>
              <w:bottom w:val="single" w:sz="8" w:color="0000FF"/>
            </w:tcBorders>
            <w:gridSpan w:val="24"/>
          </w:tcPr>
          <w:p>
            <w:pPr>
              <w:spacing w:after="0"/>
              <w:rPr>
                <w:rFonts w:ascii="Calibri" w:cs="Calibri" w:eastAsia="Calibri" w:hAnsi="Calibri"/>
                <w:sz w:val="18"/>
                <w:szCs w:val="18"/>
                <w:color w:val="0000FF"/>
                <w:w w:val="99"/>
              </w:rPr>
            </w:pPr>
            <w:hyperlink r:id="rId303">
              <w:r>
                <w:rPr>
                  <w:rFonts w:ascii="Calibri" w:cs="Calibri" w:eastAsia="Calibri" w:hAnsi="Calibri"/>
                  <w:sz w:val="18"/>
                  <w:szCs w:val="18"/>
                  <w:color w:val="0000FF"/>
                  <w:w w:val="99"/>
                </w:rPr>
                <w:t>Form of Stock Opton Grant Notce and Stock Opton Agreement under the</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line="196" w:lineRule="exact"/>
              <w:rPr>
                <w:rFonts w:ascii="Calibri" w:cs="Calibri" w:eastAsia="Calibri" w:hAnsi="Calibri"/>
                <w:sz w:val="18"/>
                <w:szCs w:val="18"/>
                <w:color w:val="0000FF"/>
                <w:w w:val="98"/>
              </w:rPr>
            </w:pPr>
            <w:hyperlink r:id="rId303">
              <w:r>
                <w:rPr>
                  <w:rFonts w:ascii="Calibri" w:cs="Calibri" w:eastAsia="Calibri" w:hAnsi="Calibri"/>
                  <w:sz w:val="18"/>
                  <w:szCs w:val="18"/>
                  <w:color w:val="0000FF"/>
                  <w:w w:val="98"/>
                </w:rPr>
                <w:t>Phathom Pharmaceutcals, Inc. 2019 Equity Incentve Plan</w:t>
              </w:r>
            </w:hyperlink>
          </w:p>
        </w:tc>
        <w:tc>
          <w:tcPr>
            <w:tcW w:w="20" w:type="dxa"/>
            <w:vAlign w:val="bottom"/>
            <w:tcBorders>
              <w:bottom w:val="single" w:sz="8" w:color="0000EE"/>
            </w:tcBorders>
          </w:tcPr>
          <w:p>
            <w:pPr>
              <w:spacing w:after="0"/>
              <w:rPr>
                <w:sz w:val="17"/>
                <w:szCs w:val="17"/>
                <w:color w:val="auto"/>
              </w:rPr>
            </w:pPr>
          </w:p>
        </w:tc>
        <w:tc>
          <w:tcPr>
            <w:tcW w:w="1200" w:type="dxa"/>
            <w:vAlign w:val="bottom"/>
            <w:gridSpan w:val="14"/>
          </w:tcPr>
          <w:p>
            <w:pPr>
              <w:spacing w:after="0"/>
              <w:rPr>
                <w:sz w:val="17"/>
                <w:szCs w:val="17"/>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9"/>
                <w:szCs w:val="19"/>
                <w:color w:val="auto"/>
              </w:rPr>
            </w:pPr>
          </w:p>
        </w:tc>
        <w:tc>
          <w:tcPr>
            <w:tcW w:w="5040" w:type="dxa"/>
            <w:vAlign w:val="bottom"/>
            <w:tcBorders>
              <w:bottom w:val="single" w:sz="8" w:color="0000FF"/>
            </w:tcBorders>
            <w:gridSpan w:val="20"/>
          </w:tcPr>
          <w:p>
            <w:pPr>
              <w:spacing w:after="0"/>
              <w:rPr>
                <w:rFonts w:ascii="Calibri" w:cs="Calibri" w:eastAsia="Calibri" w:hAnsi="Calibri"/>
                <w:sz w:val="18"/>
                <w:szCs w:val="18"/>
                <w:color w:val="0000FF"/>
                <w:w w:val="97"/>
              </w:rPr>
            </w:pPr>
            <w:hyperlink r:id="rId304">
              <w:r>
                <w:rPr>
                  <w:rFonts w:ascii="Calibri" w:cs="Calibri" w:eastAsia="Calibri" w:hAnsi="Calibri"/>
                  <w:sz w:val="18"/>
                  <w:szCs w:val="18"/>
                  <w:color w:val="0000FF"/>
                  <w:w w:val="97"/>
                </w:rPr>
                <w:t>Form of Restricted Stock Grant Notce and Restricted Stock Agreement</w:t>
              </w:r>
            </w:hyperlink>
          </w:p>
        </w:tc>
        <w:tc>
          <w:tcPr>
            <w:tcW w:w="300" w:type="dxa"/>
            <w:vAlign w:val="bottom"/>
            <w:gridSpan w:val="5"/>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3"/>
          </w:tcPr>
          <w:p>
            <w:pPr>
              <w:spacing w:after="0" w:line="196" w:lineRule="exact"/>
              <w:rPr>
                <w:rFonts w:ascii="Calibri" w:cs="Calibri" w:eastAsia="Calibri" w:hAnsi="Calibri"/>
                <w:sz w:val="18"/>
                <w:szCs w:val="18"/>
                <w:color w:val="0000FF"/>
                <w:w w:val="99"/>
              </w:rPr>
            </w:pPr>
            <w:hyperlink r:id="rId304">
              <w:r>
                <w:rPr>
                  <w:rFonts w:ascii="Calibri" w:cs="Calibri" w:eastAsia="Calibri" w:hAnsi="Calibri"/>
                  <w:sz w:val="18"/>
                  <w:szCs w:val="18"/>
                  <w:color w:val="0000FF"/>
                  <w:w w:val="99"/>
                </w:rPr>
                <w:t>under Phathom Pharmaceutcals, Inc. 2019 Equity Incentve Plan</w:t>
              </w:r>
            </w:hyperlink>
          </w:p>
        </w:tc>
        <w:tc>
          <w:tcPr>
            <w:tcW w:w="720" w:type="dxa"/>
            <w:vAlign w:val="bottom"/>
            <w:gridSpan w:val="12"/>
          </w:tcPr>
          <w:p>
            <w:pPr>
              <w:spacing w:after="0"/>
              <w:rPr>
                <w:sz w:val="17"/>
                <w:szCs w:val="17"/>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140" w:type="dxa"/>
            <w:vAlign w:val="bottom"/>
          </w:tcPr>
          <w:p>
            <w:pPr>
              <w:spacing w:after="0"/>
              <w:rPr>
                <w:sz w:val="19"/>
                <w:szCs w:val="19"/>
                <w:color w:val="auto"/>
              </w:rPr>
            </w:pPr>
          </w:p>
        </w:tc>
        <w:tc>
          <w:tcPr>
            <w:tcW w:w="4200" w:type="dxa"/>
            <w:vAlign w:val="bottom"/>
            <w:tcBorders>
              <w:bottom w:val="single" w:sz="8" w:color="0000EE"/>
            </w:tcBorders>
            <w:gridSpan w:val="12"/>
          </w:tcPr>
          <w:p>
            <w:pPr>
              <w:spacing w:after="0"/>
              <w:rPr>
                <w:rFonts w:ascii="Calibri" w:cs="Calibri" w:eastAsia="Calibri" w:hAnsi="Calibri"/>
                <w:sz w:val="18"/>
                <w:szCs w:val="18"/>
                <w:color w:val="0000FF"/>
                <w:w w:val="99"/>
              </w:rPr>
            </w:pPr>
            <w:hyperlink r:id="rId305">
              <w:r>
                <w:rPr>
                  <w:rFonts w:ascii="Calibri" w:cs="Calibri" w:eastAsia="Calibri" w:hAnsi="Calibri"/>
                  <w:sz w:val="18"/>
                  <w:szCs w:val="18"/>
                  <w:color w:val="0000FF"/>
                  <w:w w:val="99"/>
                </w:rPr>
                <w:t>Phathom Pharmaceutcals, Inc. 2019 Incentve Award Plan</w:t>
              </w:r>
            </w:hyperlink>
          </w:p>
        </w:tc>
        <w:tc>
          <w:tcPr>
            <w:tcW w:w="1140" w:type="dxa"/>
            <w:vAlign w:val="bottom"/>
            <w:gridSpan w:val="13"/>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10.5#</w:t>
            </w:r>
          </w:p>
        </w:tc>
        <w:tc>
          <w:tcPr>
            <w:tcW w:w="140" w:type="dxa"/>
            <w:vAlign w:val="bottom"/>
          </w:tcPr>
          <w:p>
            <w:pPr>
              <w:spacing w:after="0"/>
              <w:rPr>
                <w:sz w:val="19"/>
                <w:szCs w:val="19"/>
                <w:color w:val="auto"/>
              </w:rPr>
            </w:pPr>
          </w:p>
        </w:tc>
        <w:tc>
          <w:tcPr>
            <w:tcW w:w="5320" w:type="dxa"/>
            <w:vAlign w:val="bottom"/>
            <w:tcBorders>
              <w:bottom w:val="single" w:sz="8" w:color="0000FF"/>
            </w:tcBorders>
            <w:gridSpan w:val="24"/>
          </w:tcPr>
          <w:p>
            <w:pPr>
              <w:spacing w:after="0"/>
              <w:rPr>
                <w:rFonts w:ascii="Calibri" w:cs="Calibri" w:eastAsia="Calibri" w:hAnsi="Calibri"/>
                <w:sz w:val="18"/>
                <w:szCs w:val="18"/>
                <w:color w:val="0000FF"/>
                <w:w w:val="99"/>
              </w:rPr>
            </w:pPr>
            <w:hyperlink r:id="rId306">
              <w:r>
                <w:rPr>
                  <w:rFonts w:ascii="Calibri" w:cs="Calibri" w:eastAsia="Calibri" w:hAnsi="Calibri"/>
                  <w:sz w:val="18"/>
                  <w:szCs w:val="18"/>
                  <w:color w:val="0000FF"/>
                  <w:w w:val="99"/>
                </w:rPr>
                <w:t>Form of Stock Opton Grant Notce and Stock Opton Agreement under the</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tcBorders>
              <w:bottom w:val="single" w:sz="8" w:color="0000FF"/>
            </w:tcBorders>
            <w:gridSpan w:val="11"/>
          </w:tcPr>
          <w:p>
            <w:pPr>
              <w:spacing w:after="0" w:line="196" w:lineRule="exact"/>
              <w:rPr>
                <w:rFonts w:ascii="Calibri" w:cs="Calibri" w:eastAsia="Calibri" w:hAnsi="Calibri"/>
                <w:sz w:val="18"/>
                <w:szCs w:val="18"/>
                <w:color w:val="0000FF"/>
                <w:w w:val="98"/>
              </w:rPr>
            </w:pPr>
            <w:hyperlink r:id="rId306">
              <w:r>
                <w:rPr>
                  <w:rFonts w:ascii="Calibri" w:cs="Calibri" w:eastAsia="Calibri" w:hAnsi="Calibri"/>
                  <w:sz w:val="18"/>
                  <w:szCs w:val="18"/>
                  <w:color w:val="0000FF"/>
                  <w:w w:val="98"/>
                </w:rPr>
                <w:t>Phathom Pharmaceutcals, Inc. 2019 Incentve Award Plan</w:t>
              </w:r>
            </w:hyperlink>
          </w:p>
        </w:tc>
        <w:tc>
          <w:tcPr>
            <w:tcW w:w="60" w:type="dxa"/>
            <w:vAlign w:val="bottom"/>
            <w:tcBorders>
              <w:bottom w:val="single" w:sz="8" w:color="0000EE"/>
            </w:tcBorders>
          </w:tcPr>
          <w:p>
            <w:pPr>
              <w:spacing w:after="0"/>
              <w:rPr>
                <w:sz w:val="17"/>
                <w:szCs w:val="17"/>
                <w:color w:val="auto"/>
              </w:rPr>
            </w:pPr>
          </w:p>
        </w:tc>
        <w:tc>
          <w:tcPr>
            <w:tcW w:w="1140" w:type="dxa"/>
            <w:vAlign w:val="bottom"/>
            <w:gridSpan w:val="13"/>
          </w:tcPr>
          <w:p>
            <w:pPr>
              <w:spacing w:after="0"/>
              <w:rPr>
                <w:sz w:val="17"/>
                <w:szCs w:val="17"/>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10.6#</w:t>
            </w:r>
          </w:p>
        </w:tc>
        <w:tc>
          <w:tcPr>
            <w:tcW w:w="140" w:type="dxa"/>
            <w:vAlign w:val="bottom"/>
          </w:tcPr>
          <w:p>
            <w:pPr>
              <w:spacing w:after="0"/>
              <w:rPr>
                <w:sz w:val="19"/>
                <w:szCs w:val="19"/>
                <w:color w:val="auto"/>
              </w:rPr>
            </w:pPr>
          </w:p>
        </w:tc>
        <w:tc>
          <w:tcPr>
            <w:tcW w:w="5340" w:type="dxa"/>
            <w:vAlign w:val="bottom"/>
            <w:gridSpan w:val="25"/>
          </w:tcPr>
          <w:p>
            <w:pPr>
              <w:spacing w:after="0"/>
              <w:rPr>
                <w:rFonts w:ascii="Calibri" w:cs="Calibri" w:eastAsia="Calibri" w:hAnsi="Calibri"/>
                <w:sz w:val="18"/>
                <w:szCs w:val="18"/>
                <w:color w:val="0000FF"/>
              </w:rPr>
            </w:pPr>
            <w:hyperlink r:id="rId307">
              <w:r>
                <w:rPr>
                  <w:rFonts w:ascii="Calibri" w:cs="Calibri" w:eastAsia="Calibri" w:hAnsi="Calibri"/>
                  <w:sz w:val="18"/>
                  <w:szCs w:val="18"/>
                  <w:color w:val="0000FF"/>
                </w:rPr>
                <w:t>Phathom Pharmaceutcals, Inc. 2019 Employee Stock Purchase 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EE"/>
            </w:tcBorders>
            <w:gridSpan w:val="1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Calibri" w:cs="Calibri" w:eastAsia="Calibri" w:hAnsi="Calibri"/>
                <w:sz w:val="18"/>
                <w:szCs w:val="18"/>
                <w:color w:val="auto"/>
              </w:rPr>
              <w:t>10.7#</w:t>
            </w:r>
          </w:p>
        </w:tc>
        <w:tc>
          <w:tcPr>
            <w:tcW w:w="140" w:type="dxa"/>
            <w:vAlign w:val="bottom"/>
          </w:tcPr>
          <w:p>
            <w:pPr>
              <w:spacing w:after="0"/>
              <w:rPr>
                <w:sz w:val="19"/>
                <w:szCs w:val="19"/>
                <w:color w:val="auto"/>
              </w:rPr>
            </w:pPr>
          </w:p>
        </w:tc>
        <w:tc>
          <w:tcPr>
            <w:tcW w:w="4900" w:type="dxa"/>
            <w:vAlign w:val="bottom"/>
            <w:tcBorders>
              <w:bottom w:val="single" w:sz="8" w:color="0000FF"/>
            </w:tcBorders>
            <w:gridSpan w:val="18"/>
          </w:tcPr>
          <w:p>
            <w:pPr>
              <w:spacing w:after="0"/>
              <w:rPr>
                <w:rFonts w:ascii="Calibri" w:cs="Calibri" w:eastAsia="Calibri" w:hAnsi="Calibri"/>
                <w:sz w:val="18"/>
                <w:szCs w:val="18"/>
                <w:color w:val="0000FF"/>
                <w:w w:val="97"/>
              </w:rPr>
            </w:pPr>
            <w:hyperlink r:id="rId308">
              <w:r>
                <w:rPr>
                  <w:rFonts w:ascii="Calibri" w:cs="Calibri" w:eastAsia="Calibri" w:hAnsi="Calibri"/>
                  <w:sz w:val="18"/>
                  <w:szCs w:val="18"/>
                  <w:color w:val="0000FF"/>
                  <w:w w:val="97"/>
                </w:rPr>
                <w:t>Amended and Restated Non-Employee Director Compensaton Policy</w:t>
              </w:r>
            </w:hyperlink>
          </w:p>
        </w:tc>
        <w:tc>
          <w:tcPr>
            <w:tcW w:w="440" w:type="dxa"/>
            <w:vAlign w:val="bottom"/>
            <w:gridSpan w:val="7"/>
          </w:tcPr>
          <w:p>
            <w:pPr>
              <w:spacing w:after="0"/>
              <w:rPr>
                <w:sz w:val="19"/>
                <w:szCs w:val="19"/>
                <w:color w:val="auto"/>
              </w:rPr>
            </w:pPr>
          </w:p>
        </w:tc>
      </w:tr>
      <w:tr>
        <w:trPr>
          <w:trHeight w:val="912"/>
        </w:trPr>
        <w:tc>
          <w:tcPr>
            <w:tcW w:w="1020" w:type="dxa"/>
            <w:vAlign w:val="bottom"/>
          </w:tcPr>
          <w:p>
            <w:pPr>
              <w:spacing w:after="0"/>
              <w:rPr>
                <w:sz w:val="24"/>
                <w:szCs w:val="24"/>
                <w:color w:val="auto"/>
              </w:rPr>
            </w:pPr>
          </w:p>
        </w:tc>
        <w:tc>
          <w:tcPr>
            <w:tcW w:w="4760" w:type="dxa"/>
            <w:vAlign w:val="bottom"/>
            <w:gridSpan w:val="14"/>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Calibri" w:cs="Calibri" w:eastAsia="Calibri" w:hAnsi="Calibri"/>
                <w:sz w:val="14"/>
                <w:szCs w:val="14"/>
                <w:b w:val="1"/>
                <w:bCs w:val="1"/>
                <w:color w:val="auto"/>
              </w:rPr>
              <w:t>Incorporated by Reference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Filed</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Form</w:t>
            </w:r>
          </w:p>
        </w:tc>
        <w:tc>
          <w:tcPr>
            <w:tcW w:w="100" w:type="dxa"/>
            <w:vAlign w:val="bottom"/>
          </w:tcPr>
          <w:p>
            <w:pPr>
              <w:spacing w:after="0"/>
              <w:rPr>
                <w:sz w:val="15"/>
                <w:szCs w:val="15"/>
                <w:color w:val="auto"/>
              </w:rPr>
            </w:pPr>
          </w:p>
        </w:tc>
        <w:tc>
          <w:tcPr>
            <w:tcW w:w="1560" w:type="dxa"/>
            <w:vAlign w:val="bottom"/>
            <w:gridSpan w:val="3"/>
          </w:tcPr>
          <w:p>
            <w:pPr>
              <w:ind w:left="440"/>
              <w:spacing w:after="0"/>
              <w:rPr>
                <w:sz w:val="20"/>
                <w:szCs w:val="20"/>
                <w:color w:val="auto"/>
              </w:rPr>
            </w:pPr>
            <w:r>
              <w:rPr>
                <w:rFonts w:ascii="Calibri" w:cs="Calibri" w:eastAsia="Calibri" w:hAnsi="Calibri"/>
                <w:sz w:val="14"/>
                <w:szCs w:val="14"/>
                <w:b w:val="1"/>
                <w:bCs w:val="1"/>
                <w:color w:val="auto"/>
              </w:rPr>
              <w:t>Date</w:t>
            </w:r>
          </w:p>
        </w:tc>
        <w:tc>
          <w:tcPr>
            <w:tcW w:w="860" w:type="dxa"/>
            <w:vAlign w:val="bottom"/>
          </w:tcPr>
          <w:p>
            <w:pPr>
              <w:jc w:val="right"/>
              <w:ind w:right="231"/>
              <w:spacing w:after="0"/>
              <w:rPr>
                <w:sz w:val="20"/>
                <w:szCs w:val="20"/>
                <w:color w:val="auto"/>
              </w:rPr>
            </w:pPr>
            <w:r>
              <w:rPr>
                <w:rFonts w:ascii="Calibri" w:cs="Calibri" w:eastAsia="Calibri" w:hAnsi="Calibri"/>
                <w:sz w:val="14"/>
                <w:szCs w:val="14"/>
                <w:b w:val="1"/>
                <w:bCs w:val="1"/>
                <w:color w:val="auto"/>
              </w:rPr>
              <w:t>Number</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Herewith</w:t>
            </w:r>
          </w:p>
        </w:tc>
        <w:tc>
          <w:tcPr>
            <w:tcW w:w="0" w:type="dxa"/>
            <w:vAlign w:val="bottom"/>
          </w:tcPr>
          <w:p>
            <w:pPr>
              <w:spacing w:after="0"/>
              <w:rPr>
                <w:sz w:val="1"/>
                <w:szCs w:val="1"/>
                <w:color w:val="auto"/>
              </w:rPr>
            </w:pPr>
          </w:p>
        </w:tc>
      </w:tr>
      <w:tr>
        <w:trPr>
          <w:trHeight w:val="33"/>
        </w:trPr>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60" w:type="dxa"/>
            <w:vAlign w:val="bottom"/>
          </w:tcPr>
          <w:p>
            <w:pPr>
              <w:jc w:val="right"/>
              <w:spacing w:after="0" w:line="208" w:lineRule="exact"/>
              <w:rPr>
                <w:sz w:val="20"/>
                <w:szCs w:val="20"/>
                <w:color w:val="auto"/>
              </w:rPr>
            </w:pPr>
            <w:r>
              <w:rPr>
                <w:rFonts w:ascii="Calibri" w:cs="Calibri" w:eastAsia="Calibri" w:hAnsi="Calibri"/>
                <w:sz w:val="18"/>
                <w:szCs w:val="18"/>
                <w:color w:val="auto"/>
              </w:rPr>
              <w:t>8-K</w:t>
            </w:r>
          </w:p>
        </w:tc>
        <w:tc>
          <w:tcPr>
            <w:tcW w:w="10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10-29-2019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line="208" w:lineRule="exact"/>
              <w:rPr>
                <w:sz w:val="20"/>
                <w:szCs w:val="20"/>
                <w:color w:val="auto"/>
              </w:rPr>
            </w:pPr>
            <w:r>
              <w:rPr>
                <w:rFonts w:ascii="Calibri" w:cs="Calibri" w:eastAsia="Calibri" w:hAnsi="Calibri"/>
                <w:sz w:val="18"/>
                <w:szCs w:val="18"/>
                <w:color w:val="auto"/>
              </w:rPr>
              <w:t>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jc w:val="right"/>
              <w:spacing w:after="0"/>
              <w:rPr>
                <w:sz w:val="20"/>
                <w:szCs w:val="20"/>
                <w:color w:val="auto"/>
              </w:rPr>
            </w:pPr>
            <w:r>
              <w:rPr>
                <w:rFonts w:ascii="Calibri" w:cs="Calibri" w:eastAsia="Calibri" w:hAnsi="Calibri"/>
                <w:sz w:val="18"/>
                <w:szCs w:val="18"/>
                <w:color w:val="231F20"/>
              </w:rPr>
              <w:t>8-K</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5-30-2023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3.1</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860" w:type="dxa"/>
            <w:vAlign w:val="bottom"/>
          </w:tcPr>
          <w:p>
            <w:pPr>
              <w:jc w:val="right"/>
              <w:spacing w:after="0"/>
              <w:rPr>
                <w:sz w:val="20"/>
                <w:szCs w:val="20"/>
                <w:color w:val="auto"/>
              </w:rPr>
            </w:pPr>
            <w:r>
              <w:rPr>
                <w:rFonts w:ascii="Calibri" w:cs="Calibri" w:eastAsia="Calibri" w:hAnsi="Calibri"/>
                <w:sz w:val="18"/>
                <w:szCs w:val="18"/>
                <w:color w:val="auto"/>
              </w:rPr>
              <w:t>8-K</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12-15-2023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3.1</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4.1</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4.3</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11-8-2021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5-10-2023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5-10-2023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860"/>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10.1</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9-30-2019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8-6-2020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10.3</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Calibri" w:cs="Calibri" w:eastAsia="Calibri" w:hAnsi="Calibri"/>
                <w:sz w:val="18"/>
                <w:szCs w:val="18"/>
                <w:color w:val="auto"/>
              </w:rPr>
              <w:t>S-1/A</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10-15-2019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Calibri" w:cs="Calibri" w:eastAsia="Calibri" w:hAnsi="Calibri"/>
                <w:sz w:val="18"/>
                <w:szCs w:val="18"/>
                <w:color w:val="auto"/>
              </w:rPr>
              <w:t>10-Q</w:t>
            </w:r>
          </w:p>
        </w:tc>
        <w:tc>
          <w:tcPr>
            <w:tcW w:w="1280" w:type="dxa"/>
            <w:vAlign w:val="bottom"/>
            <w:gridSpan w:val="2"/>
          </w:tcPr>
          <w:p>
            <w:pPr>
              <w:jc w:val="right"/>
              <w:spacing w:after="0"/>
              <w:rPr>
                <w:sz w:val="20"/>
                <w:szCs w:val="20"/>
                <w:color w:val="auto"/>
              </w:rPr>
            </w:pPr>
            <w:r>
              <w:rPr>
                <w:rFonts w:ascii="Calibri" w:cs="Calibri" w:eastAsia="Calibri" w:hAnsi="Calibri"/>
                <w:sz w:val="18"/>
                <w:szCs w:val="18"/>
                <w:color w:val="auto"/>
              </w:rPr>
              <w:t>8-10-2023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10.2</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6500" w:space="120"/>
            <w:col w:w="4620"/>
          </w:cols>
          <w:pgMar w:left="320" w:top="1408"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10.8#</w:t>
            </w:r>
          </w:p>
        </w:tc>
        <w:tc>
          <w:tcPr>
            <w:tcW w:w="5300" w:type="dxa"/>
            <w:vAlign w:val="bottom"/>
            <w:gridSpan w:val="29"/>
          </w:tcPr>
          <w:p>
            <w:pPr>
              <w:spacing w:after="0"/>
              <w:rPr>
                <w:rFonts w:ascii="Calibri" w:cs="Calibri" w:eastAsia="Calibri" w:hAnsi="Calibri"/>
                <w:sz w:val="18"/>
                <w:szCs w:val="18"/>
                <w:color w:val="0000FF"/>
                <w:w w:val="99"/>
              </w:rPr>
            </w:pPr>
            <w:hyperlink r:id="rId310">
              <w:r>
                <w:rPr>
                  <w:rFonts w:ascii="Calibri" w:cs="Calibri" w:eastAsia="Calibri" w:hAnsi="Calibri"/>
                  <w:sz w:val="18"/>
                  <w:szCs w:val="18"/>
                  <w:color w:val="0000FF"/>
                  <w:w w:val="99"/>
                </w:rPr>
                <w:t>Amended and Restated Employment Leter Agreement, dated September</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w w:val="99"/>
              </w:rPr>
            </w:pPr>
            <w:hyperlink r:id="rId310">
              <w:r>
                <w:rPr>
                  <w:rFonts w:ascii="Calibri" w:cs="Calibri" w:eastAsia="Calibri" w:hAnsi="Calibri"/>
                  <w:sz w:val="18"/>
                  <w:szCs w:val="18"/>
                  <w:color w:val="0000FF"/>
                  <w:w w:val="99"/>
                </w:rPr>
                <w:t>25, 2019, by and between Azmi Nabulsi, M.D., M.P.H.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10.9#</w:t>
            </w:r>
          </w:p>
        </w:tc>
        <w:tc>
          <w:tcPr>
            <w:tcW w:w="5300" w:type="dxa"/>
            <w:vAlign w:val="bottom"/>
            <w:gridSpan w:val="29"/>
          </w:tcPr>
          <w:p>
            <w:pPr>
              <w:spacing w:after="0"/>
              <w:rPr>
                <w:rFonts w:ascii="Calibri" w:cs="Calibri" w:eastAsia="Calibri" w:hAnsi="Calibri"/>
                <w:sz w:val="18"/>
                <w:szCs w:val="18"/>
                <w:color w:val="0000FF"/>
              </w:rPr>
            </w:pPr>
            <w:hyperlink r:id="rId311">
              <w:r>
                <w:rPr>
                  <w:rFonts w:ascii="Calibri" w:cs="Calibri" w:eastAsia="Calibri" w:hAnsi="Calibri"/>
                  <w:sz w:val="18"/>
                  <w:szCs w:val="18"/>
                  <w:color w:val="0000FF"/>
                </w:rPr>
                <w:t>Form of Indemnifcaton Agreement for Directors and Ofcers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60" w:type="dxa"/>
            <w:vAlign w:val="bottom"/>
          </w:tcPr>
          <w:p>
            <w:pPr>
              <w:spacing w:after="0"/>
              <w:rPr>
                <w:sz w:val="20"/>
                <w:szCs w:val="20"/>
                <w:color w:val="auto"/>
              </w:rPr>
            </w:pPr>
            <w:r>
              <w:rPr>
                <w:rFonts w:ascii="Calibri" w:cs="Calibri" w:eastAsia="Calibri" w:hAnsi="Calibri"/>
                <w:sz w:val="18"/>
                <w:szCs w:val="18"/>
                <w:color w:val="auto"/>
              </w:rPr>
              <w:t>10.10†</w:t>
            </w:r>
          </w:p>
        </w:tc>
        <w:tc>
          <w:tcPr>
            <w:tcW w:w="5300" w:type="dxa"/>
            <w:vAlign w:val="bottom"/>
            <w:gridSpan w:val="29"/>
          </w:tcPr>
          <w:p>
            <w:pPr>
              <w:spacing w:after="0"/>
              <w:rPr>
                <w:rFonts w:ascii="Calibri" w:cs="Calibri" w:eastAsia="Calibri" w:hAnsi="Calibri"/>
                <w:sz w:val="18"/>
                <w:szCs w:val="18"/>
                <w:color w:val="0000FF"/>
              </w:rPr>
            </w:pPr>
            <w:hyperlink r:id="rId312">
              <w:r>
                <w:rPr>
                  <w:rFonts w:ascii="Calibri" w:cs="Calibri" w:eastAsia="Calibri" w:hAnsi="Calibri"/>
                  <w:sz w:val="18"/>
                  <w:szCs w:val="18"/>
                  <w:color w:val="0000FF"/>
                </w:rPr>
                <w:t>License Agreement, dated May 7, 2019, by and between Takeda</w:t>
              </w:r>
            </w:hyperlink>
          </w:p>
        </w:tc>
      </w:tr>
      <w:tr>
        <w:trPr>
          <w:trHeight w:val="196"/>
        </w:trPr>
        <w:tc>
          <w:tcPr>
            <w:tcW w:w="1160" w:type="dxa"/>
            <w:vAlign w:val="bottom"/>
          </w:tcPr>
          <w:p>
            <w:pPr>
              <w:spacing w:after="0"/>
              <w:rPr>
                <w:sz w:val="17"/>
                <w:szCs w:val="17"/>
                <w:color w:val="auto"/>
              </w:rPr>
            </w:pPr>
          </w:p>
        </w:tc>
        <w:tc>
          <w:tcPr>
            <w:tcW w:w="3800" w:type="dxa"/>
            <w:vAlign w:val="bottom"/>
            <w:tcBorders>
              <w:top w:val="single" w:sz="8" w:color="0000FF"/>
              <w:bottom w:val="single" w:sz="8" w:color="0000FF"/>
            </w:tcBorders>
            <w:gridSpan w:val="12"/>
          </w:tcPr>
          <w:p>
            <w:pPr>
              <w:spacing w:after="0" w:line="196" w:lineRule="exact"/>
              <w:rPr>
                <w:rFonts w:ascii="Calibri" w:cs="Calibri" w:eastAsia="Calibri" w:hAnsi="Calibri"/>
                <w:sz w:val="18"/>
                <w:szCs w:val="18"/>
                <w:color w:val="0000FF"/>
                <w:w w:val="97"/>
              </w:rPr>
            </w:pPr>
            <w:hyperlink r:id="rId312">
              <w:r>
                <w:rPr>
                  <w:rFonts w:ascii="Calibri" w:cs="Calibri" w:eastAsia="Calibri" w:hAnsi="Calibri"/>
                  <w:sz w:val="18"/>
                  <w:szCs w:val="18"/>
                  <w:color w:val="0000FF"/>
                  <w:w w:val="97"/>
                </w:rPr>
                <w:t>Pharmaceutcals Company Limited and the Registrant</w:t>
              </w:r>
            </w:hyperlink>
          </w:p>
        </w:tc>
        <w:tc>
          <w:tcPr>
            <w:tcW w:w="20" w:type="dxa"/>
            <w:vAlign w:val="bottom"/>
            <w:tcBorders>
              <w:top w:val="single" w:sz="8" w:color="0000FF"/>
              <w:bottom w:val="single" w:sz="8" w:color="0000EE"/>
            </w:tcBorders>
          </w:tcPr>
          <w:p>
            <w:pPr>
              <w:spacing w:after="0"/>
              <w:rPr>
                <w:sz w:val="17"/>
                <w:szCs w:val="17"/>
                <w:color w:val="auto"/>
              </w:rPr>
            </w:pPr>
          </w:p>
        </w:tc>
        <w:tc>
          <w:tcPr>
            <w:tcW w:w="720" w:type="dxa"/>
            <w:vAlign w:val="bottom"/>
            <w:tcBorders>
              <w:top w:val="single" w:sz="8" w:color="0000FF"/>
            </w:tcBorders>
            <w:gridSpan w:val="5"/>
          </w:tcPr>
          <w:p>
            <w:pPr>
              <w:spacing w:after="0"/>
              <w:rPr>
                <w:sz w:val="17"/>
                <w:szCs w:val="17"/>
                <w:color w:val="auto"/>
              </w:rPr>
            </w:pPr>
          </w:p>
        </w:tc>
        <w:tc>
          <w:tcPr>
            <w:tcW w:w="760" w:type="dxa"/>
            <w:vAlign w:val="bottom"/>
            <w:gridSpan w:val="11"/>
          </w:tcPr>
          <w:p>
            <w:pPr>
              <w:spacing w:after="0"/>
              <w:rPr>
                <w:sz w:val="17"/>
                <w:szCs w:val="17"/>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10.11#</w:t>
            </w:r>
          </w:p>
        </w:tc>
        <w:tc>
          <w:tcPr>
            <w:tcW w:w="5300" w:type="dxa"/>
            <w:vAlign w:val="bottom"/>
            <w:gridSpan w:val="29"/>
          </w:tcPr>
          <w:p>
            <w:pPr>
              <w:spacing w:after="0"/>
              <w:rPr>
                <w:rFonts w:ascii="Calibri" w:cs="Calibri" w:eastAsia="Calibri" w:hAnsi="Calibri"/>
                <w:sz w:val="18"/>
                <w:szCs w:val="18"/>
                <w:color w:val="0000FF"/>
              </w:rPr>
            </w:pPr>
            <w:hyperlink r:id="rId313">
              <w:r>
                <w:rPr>
                  <w:rFonts w:ascii="Calibri" w:cs="Calibri" w:eastAsia="Calibri" w:hAnsi="Calibri"/>
                  <w:sz w:val="18"/>
                  <w:szCs w:val="18"/>
                  <w:color w:val="0000FF"/>
                </w:rPr>
                <w:t>Employment Leter Agreement, dated August 29, 2019, by and between</w:t>
              </w:r>
            </w:hyperlink>
          </w:p>
        </w:tc>
      </w:tr>
      <w:tr>
        <w:trPr>
          <w:trHeight w:val="196"/>
        </w:trPr>
        <w:tc>
          <w:tcPr>
            <w:tcW w:w="116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6"/>
          </w:tcPr>
          <w:p>
            <w:pPr>
              <w:spacing w:after="0" w:line="196" w:lineRule="exact"/>
              <w:rPr>
                <w:rFonts w:ascii="Calibri" w:cs="Calibri" w:eastAsia="Calibri" w:hAnsi="Calibri"/>
                <w:sz w:val="18"/>
                <w:szCs w:val="18"/>
                <w:color w:val="0000FF"/>
                <w:w w:val="95"/>
              </w:rPr>
            </w:pPr>
            <w:hyperlink r:id="rId313">
              <w:r>
                <w:rPr>
                  <w:rFonts w:ascii="Calibri" w:cs="Calibri" w:eastAsia="Calibri" w:hAnsi="Calibri"/>
                  <w:sz w:val="18"/>
                  <w:szCs w:val="18"/>
                  <w:color w:val="0000FF"/>
                  <w:w w:val="95"/>
                </w:rPr>
                <w:t>Terrie Curran and the Registrant</w:t>
              </w:r>
            </w:hyperlink>
          </w:p>
        </w:tc>
        <w:tc>
          <w:tcPr>
            <w:tcW w:w="20" w:type="dxa"/>
            <w:vAlign w:val="bottom"/>
            <w:tcBorders>
              <w:top w:val="single" w:sz="8" w:color="0000FF"/>
              <w:bottom w:val="single" w:sz="8" w:color="0000EE"/>
            </w:tcBorders>
          </w:tcPr>
          <w:p>
            <w:pPr>
              <w:spacing w:after="0"/>
              <w:rPr>
                <w:sz w:val="17"/>
                <w:szCs w:val="17"/>
                <w:color w:val="auto"/>
              </w:rPr>
            </w:pPr>
          </w:p>
        </w:tc>
        <w:tc>
          <w:tcPr>
            <w:tcW w:w="2760" w:type="dxa"/>
            <w:vAlign w:val="bottom"/>
            <w:tcBorders>
              <w:top w:val="single" w:sz="8" w:color="0000FF"/>
            </w:tcBorders>
            <w:gridSpan w:val="18"/>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10.12†</w:t>
            </w:r>
          </w:p>
        </w:tc>
        <w:tc>
          <w:tcPr>
            <w:tcW w:w="5300" w:type="dxa"/>
            <w:vAlign w:val="bottom"/>
            <w:gridSpan w:val="29"/>
          </w:tcPr>
          <w:p>
            <w:pPr>
              <w:spacing w:after="0"/>
              <w:rPr>
                <w:rFonts w:ascii="Calibri" w:cs="Calibri" w:eastAsia="Calibri" w:hAnsi="Calibri"/>
                <w:sz w:val="18"/>
                <w:szCs w:val="18"/>
                <w:color w:val="0000FF"/>
              </w:rPr>
            </w:pPr>
            <w:hyperlink r:id="rId314">
              <w:r>
                <w:rPr>
                  <w:rFonts w:ascii="Calibri" w:cs="Calibri" w:eastAsia="Calibri" w:hAnsi="Calibri"/>
                  <w:sz w:val="18"/>
                  <w:szCs w:val="18"/>
                  <w:color w:val="0000FF"/>
                </w:rPr>
                <w:t>Amendment No. 1 to Takeda License Agreement, dated September 21,</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00" w:type="dxa"/>
            <w:vAlign w:val="bottom"/>
          </w:tcPr>
          <w:p>
            <w:pPr>
              <w:spacing w:after="0" w:line="196" w:lineRule="exact"/>
              <w:rPr>
                <w:rFonts w:ascii="Calibri" w:cs="Calibri" w:eastAsia="Calibri" w:hAnsi="Calibri"/>
                <w:sz w:val="18"/>
                <w:szCs w:val="18"/>
                <w:color w:val="0000FF"/>
                <w:w w:val="71"/>
              </w:rPr>
            </w:pPr>
            <w:hyperlink r:id="rId314">
              <w:r>
                <w:rPr>
                  <w:rFonts w:ascii="Calibri" w:cs="Calibri" w:eastAsia="Calibri" w:hAnsi="Calibri"/>
                  <w:sz w:val="18"/>
                  <w:szCs w:val="18"/>
                  <w:color w:val="0000FF"/>
                  <w:w w:val="71"/>
                </w:rPr>
                <w:t>2020</w:t>
              </w:r>
            </w:hyperlink>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10.13†</w:t>
            </w:r>
          </w:p>
        </w:tc>
        <w:tc>
          <w:tcPr>
            <w:tcW w:w="5300" w:type="dxa"/>
            <w:vAlign w:val="bottom"/>
            <w:gridSpan w:val="29"/>
          </w:tcPr>
          <w:p>
            <w:pPr>
              <w:spacing w:after="0"/>
              <w:rPr>
                <w:rFonts w:ascii="Calibri" w:cs="Calibri" w:eastAsia="Calibri" w:hAnsi="Calibri"/>
                <w:sz w:val="18"/>
                <w:szCs w:val="18"/>
                <w:color w:val="0000FF"/>
                <w:w w:val="97"/>
              </w:rPr>
            </w:pPr>
            <w:hyperlink r:id="rId315">
              <w:r>
                <w:rPr>
                  <w:rFonts w:ascii="Calibri" w:cs="Calibri" w:eastAsia="Calibri" w:hAnsi="Calibri"/>
                  <w:sz w:val="18"/>
                  <w:szCs w:val="18"/>
                  <w:color w:val="0000FF"/>
                  <w:w w:val="97"/>
                </w:rPr>
                <w:t>Supply and Packaging Services Agreement, by and between Sandoz GmbH</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15">
              <w:r>
                <w:rPr>
                  <w:rFonts w:ascii="Calibri" w:cs="Calibri" w:eastAsia="Calibri" w:hAnsi="Calibri"/>
                  <w:sz w:val="18"/>
                  <w:szCs w:val="18"/>
                  <w:color w:val="0000FF"/>
                </w:rPr>
                <w:t>and the Registrant, dated December 30,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10.14†</w:t>
            </w:r>
          </w:p>
        </w:tc>
        <w:tc>
          <w:tcPr>
            <w:tcW w:w="5300" w:type="dxa"/>
            <w:vAlign w:val="bottom"/>
            <w:gridSpan w:val="29"/>
          </w:tcPr>
          <w:p>
            <w:pPr>
              <w:spacing w:after="0"/>
              <w:rPr>
                <w:rFonts w:ascii="Calibri" w:cs="Calibri" w:eastAsia="Calibri" w:hAnsi="Calibri"/>
                <w:sz w:val="18"/>
                <w:szCs w:val="18"/>
                <w:color w:val="0000FF"/>
              </w:rPr>
            </w:pPr>
            <w:hyperlink r:id="rId316">
              <w:r>
                <w:rPr>
                  <w:rFonts w:ascii="Calibri" w:cs="Calibri" w:eastAsia="Calibri" w:hAnsi="Calibri"/>
                  <w:sz w:val="18"/>
                  <w:szCs w:val="18"/>
                  <w:color w:val="0000FF"/>
                </w:rPr>
                <w:t>Commercial Supply Agreement with Catalent Pharma Solutons, LLC</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16">
              <w:r>
                <w:rPr>
                  <w:rFonts w:ascii="Calibri" w:cs="Calibri" w:eastAsia="Calibri" w:hAnsi="Calibri"/>
                  <w:sz w:val="18"/>
                  <w:szCs w:val="18"/>
                  <w:color w:val="0000FF"/>
                </w:rPr>
                <w:t>entered into on July 2,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10.15</w:t>
            </w:r>
          </w:p>
        </w:tc>
        <w:tc>
          <w:tcPr>
            <w:tcW w:w="5300" w:type="dxa"/>
            <w:vAlign w:val="bottom"/>
            <w:gridSpan w:val="29"/>
          </w:tcPr>
          <w:p>
            <w:pPr>
              <w:spacing w:after="0"/>
              <w:rPr>
                <w:rFonts w:ascii="Calibri" w:cs="Calibri" w:eastAsia="Calibri" w:hAnsi="Calibri"/>
                <w:sz w:val="18"/>
                <w:szCs w:val="18"/>
                <w:color w:val="0000FF"/>
                <w:w w:val="99"/>
              </w:rPr>
            </w:pPr>
            <w:hyperlink r:id="rId317">
              <w:r>
                <w:rPr>
                  <w:rFonts w:ascii="Calibri" w:cs="Calibri" w:eastAsia="Calibri" w:hAnsi="Calibri"/>
                  <w:sz w:val="18"/>
                  <w:szCs w:val="18"/>
                  <w:color w:val="0000FF"/>
                  <w:w w:val="99"/>
                </w:rPr>
                <w:t>Loan and Security Agreement, dated September 17, 2021, by and among</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17">
              <w:r>
                <w:rPr>
                  <w:rFonts w:ascii="Calibri" w:cs="Calibri" w:eastAsia="Calibri" w:hAnsi="Calibri"/>
                  <w:sz w:val="18"/>
                  <w:szCs w:val="18"/>
                  <w:color w:val="0000FF"/>
                </w:rPr>
                <w:t>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10.16†</w:t>
            </w:r>
          </w:p>
        </w:tc>
        <w:tc>
          <w:tcPr>
            <w:tcW w:w="5300" w:type="dxa"/>
            <w:vAlign w:val="bottom"/>
            <w:gridSpan w:val="29"/>
          </w:tcPr>
          <w:p>
            <w:pPr>
              <w:spacing w:after="0"/>
              <w:rPr>
                <w:rFonts w:ascii="Calibri" w:cs="Calibri" w:eastAsia="Calibri" w:hAnsi="Calibri"/>
                <w:sz w:val="18"/>
                <w:szCs w:val="18"/>
                <w:color w:val="0000FF"/>
                <w:w w:val="97"/>
              </w:rPr>
            </w:pPr>
            <w:hyperlink r:id="rId318">
              <w:r>
                <w:rPr>
                  <w:rFonts w:ascii="Calibri" w:cs="Calibri" w:eastAsia="Calibri" w:hAnsi="Calibri"/>
                  <w:sz w:val="18"/>
                  <w:szCs w:val="18"/>
                  <w:color w:val="0000FF"/>
                  <w:w w:val="97"/>
                </w:rPr>
                <w:t>First Amendment to the Supply and Packaging Services Agreement, by and</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18">
              <w:r>
                <w:rPr>
                  <w:rFonts w:ascii="Calibri" w:cs="Calibri" w:eastAsia="Calibri" w:hAnsi="Calibri"/>
                  <w:sz w:val="18"/>
                  <w:szCs w:val="18"/>
                  <w:color w:val="0000FF"/>
                </w:rPr>
                <w:t>between Sandoz GmbH and the Registrant, dated December 4,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10.17#</w:t>
            </w:r>
          </w:p>
        </w:tc>
        <w:tc>
          <w:tcPr>
            <w:tcW w:w="5300" w:type="dxa"/>
            <w:vAlign w:val="bottom"/>
            <w:gridSpan w:val="29"/>
          </w:tcPr>
          <w:p>
            <w:pPr>
              <w:spacing w:after="0"/>
              <w:rPr>
                <w:rFonts w:ascii="Calibri" w:cs="Calibri" w:eastAsia="Calibri" w:hAnsi="Calibri"/>
                <w:sz w:val="18"/>
                <w:szCs w:val="18"/>
                <w:color w:val="0000FF"/>
              </w:rPr>
            </w:pPr>
            <w:hyperlink r:id="rId319">
              <w:r>
                <w:rPr>
                  <w:rFonts w:ascii="Calibri" w:cs="Calibri" w:eastAsia="Calibri" w:hAnsi="Calibri"/>
                  <w:sz w:val="18"/>
                  <w:szCs w:val="18"/>
                  <w:color w:val="0000FF"/>
                </w:rPr>
                <w:t>Employment Leter Agreement, dated March 22, 2022, by and between</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19">
              <w:r>
                <w:rPr>
                  <w:rFonts w:ascii="Calibri" w:cs="Calibri" w:eastAsia="Calibri" w:hAnsi="Calibri"/>
                  <w:sz w:val="18"/>
                  <w:szCs w:val="18"/>
                  <w:color w:val="0000FF"/>
                </w:rPr>
                <w:t>Molly Henderson and the Company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10.18#</w:t>
            </w:r>
          </w:p>
        </w:tc>
        <w:tc>
          <w:tcPr>
            <w:tcW w:w="5300" w:type="dxa"/>
            <w:vAlign w:val="bottom"/>
            <w:gridSpan w:val="29"/>
          </w:tcPr>
          <w:p>
            <w:pPr>
              <w:spacing w:after="0"/>
              <w:rPr>
                <w:rFonts w:ascii="Calibri" w:cs="Calibri" w:eastAsia="Calibri" w:hAnsi="Calibri"/>
                <w:sz w:val="18"/>
                <w:szCs w:val="18"/>
                <w:color w:val="0000FF"/>
              </w:rPr>
            </w:pPr>
            <w:hyperlink r:id="rId320">
              <w:r>
                <w:rPr>
                  <w:rFonts w:ascii="Calibri" w:cs="Calibri" w:eastAsia="Calibri" w:hAnsi="Calibri"/>
                  <w:sz w:val="18"/>
                  <w:szCs w:val="18"/>
                  <w:color w:val="0000FF"/>
                </w:rPr>
                <w:t>Form of Restricted Stock Unit Grant Notce and Restricted Stock Unit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0">
              <w:r>
                <w:rPr>
                  <w:rFonts w:ascii="Calibri" w:cs="Calibri" w:eastAsia="Calibri" w:hAnsi="Calibri"/>
                  <w:sz w:val="18"/>
                  <w:szCs w:val="18"/>
                  <w:color w:val="0000FF"/>
                </w:rPr>
                <w:t>Agreement under Phathom Pharmaceutcals, Inc. 2019 Equity Incentve</w:t>
              </w:r>
            </w:hyperlink>
          </w:p>
        </w:tc>
      </w:tr>
      <w:tr>
        <w:trPr>
          <w:trHeight w:val="20"/>
        </w:trPr>
        <w:tc>
          <w:tcPr>
            <w:tcW w:w="11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0">
              <w:r>
                <w:rPr>
                  <w:rFonts w:ascii="Calibri" w:cs="Calibri" w:eastAsia="Calibri" w:hAnsi="Calibri"/>
                  <w:sz w:val="18"/>
                  <w:szCs w:val="18"/>
                  <w:color w:val="0000FF"/>
                </w:rPr>
                <w:t>Plan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10.19†</w:t>
            </w:r>
          </w:p>
        </w:tc>
        <w:tc>
          <w:tcPr>
            <w:tcW w:w="5300" w:type="dxa"/>
            <w:vAlign w:val="bottom"/>
            <w:gridSpan w:val="29"/>
          </w:tcPr>
          <w:p>
            <w:pPr>
              <w:spacing w:after="0"/>
              <w:rPr>
                <w:rFonts w:ascii="Calibri" w:cs="Calibri" w:eastAsia="Calibri" w:hAnsi="Calibri"/>
                <w:sz w:val="18"/>
                <w:szCs w:val="18"/>
                <w:color w:val="0000FF"/>
                <w:w w:val="97"/>
              </w:rPr>
            </w:pPr>
            <w:hyperlink r:id="rId321">
              <w:r>
                <w:rPr>
                  <w:rFonts w:ascii="Calibri" w:cs="Calibri" w:eastAsia="Calibri" w:hAnsi="Calibri"/>
                  <w:sz w:val="18"/>
                  <w:szCs w:val="18"/>
                  <w:color w:val="0000FF"/>
                  <w:w w:val="97"/>
                </w:rPr>
                <w:t>Revenue Interest Financing Agreement, dated May 3, 2022, by and among</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1">
              <w:r>
                <w:rPr>
                  <w:rFonts w:ascii="Calibri" w:cs="Calibri" w:eastAsia="Calibri" w:hAnsi="Calibri"/>
                  <w:sz w:val="18"/>
                  <w:szCs w:val="18"/>
                  <w:color w:val="0000FF"/>
                </w:rPr>
                <w:t>NovaQuest Capital Management, Sagard Holding Manager, Hercules</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1">
              <w:r>
                <w:rPr>
                  <w:rFonts w:ascii="Calibri" w:cs="Calibri" w:eastAsia="Calibri" w:hAnsi="Calibri"/>
                  <w:sz w:val="18"/>
                  <w:szCs w:val="18"/>
                  <w:color w:val="0000FF"/>
                </w:rPr>
                <w:t>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10.20</w:t>
            </w:r>
          </w:p>
        </w:tc>
        <w:tc>
          <w:tcPr>
            <w:tcW w:w="5300" w:type="dxa"/>
            <w:vAlign w:val="bottom"/>
            <w:gridSpan w:val="29"/>
          </w:tcPr>
          <w:p>
            <w:pPr>
              <w:spacing w:after="0"/>
              <w:rPr>
                <w:rFonts w:ascii="Calibri" w:cs="Calibri" w:eastAsia="Calibri" w:hAnsi="Calibri"/>
                <w:sz w:val="18"/>
                <w:szCs w:val="18"/>
                <w:color w:val="0000FF"/>
                <w:w w:val="99"/>
              </w:rPr>
            </w:pPr>
            <w:hyperlink r:id="rId322">
              <w:r>
                <w:rPr>
                  <w:rFonts w:ascii="Calibri" w:cs="Calibri" w:eastAsia="Calibri" w:hAnsi="Calibri"/>
                  <w:sz w:val="18"/>
                  <w:szCs w:val="18"/>
                  <w:color w:val="0000FF"/>
                  <w:w w:val="99"/>
                </w:rPr>
                <w:t>First Amendment to the Loan and Security Agreement, dated September</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2">
              <w:r>
                <w:rPr>
                  <w:rFonts w:ascii="Calibri" w:cs="Calibri" w:eastAsia="Calibri" w:hAnsi="Calibri"/>
                  <w:sz w:val="18"/>
                  <w:szCs w:val="18"/>
                  <w:color w:val="0000FF"/>
                </w:rPr>
                <w:t>17, 2021, by and among 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10.21†</w:t>
            </w:r>
          </w:p>
        </w:tc>
        <w:tc>
          <w:tcPr>
            <w:tcW w:w="5300" w:type="dxa"/>
            <w:vAlign w:val="bottom"/>
            <w:gridSpan w:val="29"/>
          </w:tcPr>
          <w:p>
            <w:pPr>
              <w:spacing w:after="0"/>
              <w:rPr>
                <w:rFonts w:ascii="Calibri" w:cs="Calibri" w:eastAsia="Calibri" w:hAnsi="Calibri"/>
                <w:sz w:val="18"/>
                <w:szCs w:val="18"/>
                <w:color w:val="0000FF"/>
                <w:w w:val="97"/>
              </w:rPr>
            </w:pPr>
            <w:hyperlink r:id="rId323">
              <w:r>
                <w:rPr>
                  <w:rFonts w:ascii="Calibri" w:cs="Calibri" w:eastAsia="Calibri" w:hAnsi="Calibri"/>
                  <w:sz w:val="18"/>
                  <w:szCs w:val="18"/>
                  <w:color w:val="0000FF"/>
                  <w:w w:val="97"/>
                </w:rPr>
                <w:t>Commercial Supply Agreement with Evonik Operatons GmbH entered into</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3">
              <w:r>
                <w:rPr>
                  <w:rFonts w:ascii="Calibri" w:cs="Calibri" w:eastAsia="Calibri" w:hAnsi="Calibri"/>
                  <w:sz w:val="18"/>
                  <w:szCs w:val="18"/>
                  <w:color w:val="0000FF"/>
                </w:rPr>
                <w:t>on August 1,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10.22</w:t>
            </w:r>
          </w:p>
        </w:tc>
        <w:tc>
          <w:tcPr>
            <w:tcW w:w="5300" w:type="dxa"/>
            <w:vAlign w:val="bottom"/>
            <w:gridSpan w:val="29"/>
          </w:tcPr>
          <w:p>
            <w:pPr>
              <w:spacing w:after="0"/>
              <w:rPr>
                <w:rFonts w:ascii="Calibri" w:cs="Calibri" w:eastAsia="Calibri" w:hAnsi="Calibri"/>
                <w:sz w:val="18"/>
                <w:szCs w:val="18"/>
                <w:color w:val="0000FF"/>
              </w:rPr>
            </w:pPr>
            <w:hyperlink r:id="rId324">
              <w:r>
                <w:rPr>
                  <w:rFonts w:ascii="Calibri" w:cs="Calibri" w:eastAsia="Calibri" w:hAnsi="Calibri"/>
                  <w:sz w:val="18"/>
                  <w:szCs w:val="18"/>
                  <w:color w:val="0000FF"/>
                </w:rPr>
                <w:t>Second Amendment to the Loan and Security Agreement, dated</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4">
              <w:r>
                <w:rPr>
                  <w:rFonts w:ascii="Calibri" w:cs="Calibri" w:eastAsia="Calibri" w:hAnsi="Calibri"/>
                  <w:sz w:val="18"/>
                  <w:szCs w:val="18"/>
                  <w:color w:val="0000FF"/>
                </w:rPr>
                <w:t>September 17, 2021, by and among 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10.23†</w:t>
            </w:r>
          </w:p>
        </w:tc>
        <w:tc>
          <w:tcPr>
            <w:tcW w:w="5300" w:type="dxa"/>
            <w:vAlign w:val="bottom"/>
            <w:gridSpan w:val="29"/>
          </w:tcPr>
          <w:p>
            <w:pPr>
              <w:spacing w:after="0"/>
              <w:rPr>
                <w:rFonts w:ascii="Calibri" w:cs="Calibri" w:eastAsia="Calibri" w:hAnsi="Calibri"/>
                <w:sz w:val="18"/>
                <w:szCs w:val="18"/>
                <w:color w:val="0000FF"/>
              </w:rPr>
            </w:pPr>
            <w:hyperlink r:id="rId325">
              <w:r>
                <w:rPr>
                  <w:rFonts w:ascii="Calibri" w:cs="Calibri" w:eastAsia="Calibri" w:hAnsi="Calibri"/>
                  <w:sz w:val="18"/>
                  <w:szCs w:val="18"/>
                  <w:color w:val="0000FF"/>
                </w:rPr>
                <w:t>Joinder and Waiver agreement dated October 31, 2022 by and among</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5">
              <w:r>
                <w:rPr>
                  <w:rFonts w:ascii="Calibri" w:cs="Calibri" w:eastAsia="Calibri" w:hAnsi="Calibri"/>
                  <w:sz w:val="18"/>
                  <w:szCs w:val="18"/>
                  <w:color w:val="0000FF"/>
                </w:rPr>
                <w:t>Hercules Capital, CO Finance LVS XXXVII LLC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10.24^</w:t>
            </w:r>
          </w:p>
        </w:tc>
        <w:tc>
          <w:tcPr>
            <w:tcW w:w="5300" w:type="dxa"/>
            <w:vAlign w:val="bottom"/>
            <w:gridSpan w:val="29"/>
          </w:tcPr>
          <w:p>
            <w:pPr>
              <w:spacing w:after="0"/>
              <w:rPr>
                <w:rFonts w:ascii="Calibri" w:cs="Calibri" w:eastAsia="Calibri" w:hAnsi="Calibri"/>
                <w:sz w:val="18"/>
                <w:szCs w:val="18"/>
                <w:color w:val="0000FF"/>
              </w:rPr>
            </w:pPr>
            <w:hyperlink r:id="rId326">
              <w:r>
                <w:rPr>
                  <w:rFonts w:ascii="Calibri" w:cs="Calibri" w:eastAsia="Calibri" w:hAnsi="Calibri"/>
                  <w:sz w:val="18"/>
                  <w:szCs w:val="18"/>
                  <w:color w:val="0000FF"/>
                </w:rPr>
                <w:t>Third Amendment to the Loan and Security Agreement, dated May 9,</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6">
              <w:r>
                <w:rPr>
                  <w:rFonts w:ascii="Calibri" w:cs="Calibri" w:eastAsia="Calibri" w:hAnsi="Calibri"/>
                  <w:sz w:val="18"/>
                  <w:szCs w:val="18"/>
                  <w:color w:val="0000FF"/>
                </w:rPr>
                <w:t>2023, by and among Hercules Capital and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10.25^</w:t>
            </w:r>
          </w:p>
        </w:tc>
        <w:tc>
          <w:tcPr>
            <w:tcW w:w="5300" w:type="dxa"/>
            <w:vAlign w:val="bottom"/>
            <w:gridSpan w:val="29"/>
          </w:tcPr>
          <w:p>
            <w:pPr>
              <w:spacing w:after="0"/>
              <w:rPr>
                <w:rFonts w:ascii="Calibri" w:cs="Calibri" w:eastAsia="Calibri" w:hAnsi="Calibri"/>
                <w:sz w:val="18"/>
                <w:szCs w:val="18"/>
                <w:color w:val="0000FF"/>
              </w:rPr>
            </w:pPr>
            <w:hyperlink r:id="rId327">
              <w:r>
                <w:rPr>
                  <w:rFonts w:ascii="Calibri" w:cs="Calibri" w:eastAsia="Calibri" w:hAnsi="Calibri"/>
                  <w:sz w:val="18"/>
                  <w:szCs w:val="18"/>
                  <w:color w:val="0000FF"/>
                </w:rPr>
                <w:t>First Amendment to Vonoprazan Commercial Supply Agreement, dated</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7">
              <w:r>
                <w:rPr>
                  <w:rFonts w:ascii="Calibri" w:cs="Calibri" w:eastAsia="Calibri" w:hAnsi="Calibri"/>
                  <w:sz w:val="18"/>
                  <w:szCs w:val="18"/>
                  <w:color w:val="0000FF"/>
                </w:rPr>
                <w:t>August 1, 2022, by and among Evonik Operatons GmbH and the</w:t>
              </w:r>
            </w:hyperlink>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tcBorders>
              <w:right w:val="single" w:sz="8" w:color="0000FF"/>
            </w:tcBorders>
            <w:gridSpan w:val="9"/>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rFonts w:ascii="Calibri" w:cs="Calibri" w:eastAsia="Calibri" w:hAnsi="Calibri"/>
                <w:sz w:val="18"/>
                <w:szCs w:val="18"/>
                <w:color w:val="0000FF"/>
              </w:rPr>
            </w:pPr>
            <w:hyperlink r:id="rId327">
              <w:r>
                <w:rPr>
                  <w:rFonts w:ascii="Calibri" w:cs="Calibri" w:eastAsia="Calibri" w:hAnsi="Calibri"/>
                  <w:sz w:val="18"/>
                  <w:szCs w:val="18"/>
                  <w:color w:val="0000FF"/>
                </w:rPr>
                <w:t>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10.26†</w:t>
            </w:r>
          </w:p>
        </w:tc>
        <w:tc>
          <w:tcPr>
            <w:tcW w:w="5300" w:type="dxa"/>
            <w:vAlign w:val="bottom"/>
            <w:gridSpan w:val="29"/>
          </w:tcPr>
          <w:p>
            <w:pPr>
              <w:spacing w:after="0"/>
              <w:rPr>
                <w:sz w:val="20"/>
                <w:szCs w:val="20"/>
                <w:color w:val="auto"/>
              </w:rPr>
            </w:pPr>
            <w:r>
              <w:rPr>
                <w:rFonts w:ascii="Calibri" w:cs="Calibri" w:eastAsia="Calibri" w:hAnsi="Calibri"/>
                <w:sz w:val="18"/>
                <w:szCs w:val="18"/>
                <w:color w:val="0000FF"/>
              </w:rPr>
              <w:t>First Amendment to the Commercial Supply Agreement, dated as of</w:t>
            </w:r>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gridSpan w:val="11"/>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sz w:val="20"/>
                <w:szCs w:val="20"/>
                <w:color w:val="auto"/>
              </w:rPr>
            </w:pPr>
            <w:r>
              <w:rPr>
                <w:rFonts w:ascii="Calibri" w:cs="Calibri" w:eastAsia="Calibri" w:hAnsi="Calibri"/>
                <w:sz w:val="18"/>
                <w:szCs w:val="18"/>
                <w:color w:val="0000FF"/>
                <w:w w:val="99"/>
              </w:rPr>
              <w:t>December 6, 2023, by and among Catalent Pharma Solutons, LLC and the</w:t>
            </w:r>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gridSpan w:val="11"/>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11"/>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sz w:val="20"/>
                <w:szCs w:val="20"/>
                <w:color w:val="auto"/>
              </w:rPr>
            </w:pPr>
            <w:r>
              <w:rPr>
                <w:rFonts w:ascii="Calibri" w:cs="Calibri" w:eastAsia="Calibri" w:hAnsi="Calibri"/>
                <w:sz w:val="18"/>
                <w:szCs w:val="18"/>
                <w:color w:val="0000FF"/>
              </w:rPr>
              <w:t>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10.27^</w:t>
            </w:r>
          </w:p>
        </w:tc>
        <w:tc>
          <w:tcPr>
            <w:tcW w:w="5300" w:type="dxa"/>
            <w:vAlign w:val="bottom"/>
            <w:gridSpan w:val="29"/>
          </w:tcPr>
          <w:p>
            <w:pPr>
              <w:spacing w:after="0"/>
              <w:rPr>
                <w:sz w:val="20"/>
                <w:szCs w:val="20"/>
                <w:color w:val="auto"/>
              </w:rPr>
            </w:pPr>
            <w:r>
              <w:rPr>
                <w:rFonts w:ascii="Calibri" w:cs="Calibri" w:eastAsia="Calibri" w:hAnsi="Calibri"/>
                <w:sz w:val="18"/>
                <w:szCs w:val="18"/>
                <w:color w:val="0000FF"/>
                <w:w w:val="97"/>
              </w:rPr>
              <w:t>Fourth Amendment to the Loan and Security Agreement, dated December</w:t>
            </w:r>
          </w:p>
        </w:tc>
      </w:tr>
      <w:tr>
        <w:trPr>
          <w:trHeight w:val="20"/>
        </w:trPr>
        <w:tc>
          <w:tcPr>
            <w:tcW w:w="1160" w:type="dxa"/>
            <w:vAlign w:val="bottom"/>
          </w:tcPr>
          <w:p>
            <w:pPr>
              <w:spacing w:after="0" w:line="20" w:lineRule="exact"/>
              <w:rPr>
                <w:sz w:val="1"/>
                <w:szCs w:val="1"/>
                <w:color w:val="auto"/>
              </w:rPr>
            </w:pPr>
          </w:p>
        </w:tc>
        <w:tc>
          <w:tcPr>
            <w:tcW w:w="3380" w:type="dxa"/>
            <w:vAlign w:val="bottom"/>
            <w:tcBorders>
              <w:right w:val="single" w:sz="8" w:color="0000FF"/>
            </w:tcBorders>
            <w:gridSpan w:val="11"/>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tcBorders>
              <w:left w:val="single" w:sz="8" w:color="0000FF"/>
            </w:tcBorders>
            <w:gridSpan w:val="14"/>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29"/>
          </w:tcPr>
          <w:p>
            <w:pPr>
              <w:spacing w:after="0" w:line="196" w:lineRule="exact"/>
              <w:rPr>
                <w:sz w:val="20"/>
                <w:szCs w:val="20"/>
                <w:color w:val="auto"/>
              </w:rPr>
            </w:pPr>
            <w:r>
              <w:rPr>
                <w:rFonts w:ascii="Calibri" w:cs="Calibri" w:eastAsia="Calibri" w:hAnsi="Calibri"/>
                <w:sz w:val="18"/>
                <w:szCs w:val="18"/>
                <w:color w:val="0000FF"/>
              </w:rPr>
              <w:t>14, 2023, by and among Hercules Capital and the 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FF"/>
            </w:tcBorders>
            <w:gridSpan w:val="11"/>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10.28#</w:t>
            </w:r>
          </w:p>
        </w:tc>
        <w:tc>
          <w:tcPr>
            <w:tcW w:w="5300" w:type="dxa"/>
            <w:vAlign w:val="bottom"/>
            <w:gridSpan w:val="29"/>
          </w:tcPr>
          <w:p>
            <w:pPr>
              <w:spacing w:after="0"/>
              <w:rPr>
                <w:sz w:val="20"/>
                <w:szCs w:val="20"/>
                <w:color w:val="auto"/>
              </w:rPr>
            </w:pPr>
            <w:r>
              <w:rPr>
                <w:rFonts w:ascii="Calibri" w:cs="Calibri" w:eastAsia="Calibri" w:hAnsi="Calibri"/>
                <w:sz w:val="18"/>
                <w:szCs w:val="18"/>
                <w:color w:val="0000FF"/>
              </w:rPr>
              <w:t>Phathom Pharmaceutcals Inc. 2024 Bonus Plan</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EE"/>
            </w:tcBorders>
            <w:gridSpan w:val="11"/>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23.1</w:t>
            </w:r>
          </w:p>
        </w:tc>
        <w:tc>
          <w:tcPr>
            <w:tcW w:w="5300" w:type="dxa"/>
            <w:vAlign w:val="bottom"/>
            <w:gridSpan w:val="29"/>
          </w:tcPr>
          <w:p>
            <w:pPr>
              <w:spacing w:after="0"/>
              <w:rPr>
                <w:sz w:val="20"/>
                <w:szCs w:val="20"/>
                <w:color w:val="auto"/>
              </w:rPr>
            </w:pPr>
            <w:r>
              <w:rPr>
                <w:rFonts w:ascii="Calibri" w:cs="Calibri" w:eastAsia="Calibri" w:hAnsi="Calibri"/>
                <w:sz w:val="18"/>
                <w:szCs w:val="18"/>
                <w:color w:val="0000FF"/>
              </w:rPr>
              <w:t>Consent of Independent Registered Public Accountng Firm</w:t>
            </w:r>
          </w:p>
        </w:tc>
      </w:tr>
      <w:tr>
        <w:trPr>
          <w:trHeight w:val="695"/>
        </w:trPr>
        <w:tc>
          <w:tcPr>
            <w:tcW w:w="1160" w:type="dxa"/>
            <w:vAlign w:val="bottom"/>
          </w:tcPr>
          <w:p>
            <w:pPr>
              <w:spacing w:after="0"/>
              <w:rPr>
                <w:sz w:val="24"/>
                <w:szCs w:val="24"/>
                <w:color w:val="auto"/>
              </w:rPr>
            </w:pPr>
          </w:p>
        </w:tc>
        <w:tc>
          <w:tcPr>
            <w:tcW w:w="4220" w:type="dxa"/>
            <w:vAlign w:val="bottom"/>
            <w:tcBorders>
              <w:top w:val="single" w:sz="8" w:color="0000FF"/>
            </w:tcBorders>
            <w:gridSpan w:val="15"/>
          </w:tcPr>
          <w:p>
            <w:pPr>
              <w:spacing w:after="0"/>
              <w:rPr>
                <w:sz w:val="24"/>
                <w:szCs w:val="24"/>
                <w:color w:val="auto"/>
              </w:rPr>
            </w:pPr>
          </w:p>
        </w:tc>
        <w:tc>
          <w:tcPr>
            <w:tcW w:w="6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10.9</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10.11</w:t>
            </w:r>
          </w:p>
        </w:tc>
      </w:tr>
      <w:tr>
        <w:trPr>
          <w:trHeight w:val="297"/>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10.12</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rPr>
              <w:t>S-1</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9-30-2019</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10.14</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96"/>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3-30-2021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10.20</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96"/>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3-30-2021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10.21</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10.4</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11-8-2021</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96"/>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3-1-2022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10.30</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5-10-2022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675"/>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w:t>
            </w:r>
          </w:p>
        </w:tc>
      </w:tr>
      <w:tr>
        <w:trPr>
          <w:trHeight w:val="675"/>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10.4</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11-9-2022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11-9-2022</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10.2</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96"/>
              </w:rPr>
              <w:t>10-K</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2-28-2023</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10.37</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5-10-2023</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r>
        <w:trPr>
          <w:trHeight w:val="459"/>
        </w:trPr>
        <w:tc>
          <w:tcPr>
            <w:tcW w:w="620" w:type="dxa"/>
            <w:vAlign w:val="bottom"/>
          </w:tcPr>
          <w:p>
            <w:pPr>
              <w:jc w:val="right"/>
              <w:ind w:right="190"/>
              <w:spacing w:after="0"/>
              <w:rPr>
                <w:sz w:val="20"/>
                <w:szCs w:val="20"/>
                <w:color w:val="auto"/>
              </w:rPr>
            </w:pPr>
            <w:r>
              <w:rPr>
                <w:rFonts w:ascii="Calibri" w:cs="Calibri" w:eastAsia="Calibri" w:hAnsi="Calibri"/>
                <w:sz w:val="18"/>
                <w:szCs w:val="18"/>
                <w:color w:val="auto"/>
                <w:w w:val="89"/>
              </w:rPr>
              <w:t>10-Q</w:t>
            </w:r>
          </w:p>
        </w:tc>
        <w:tc>
          <w:tcPr>
            <w:tcW w:w="1420" w:type="dxa"/>
            <w:vAlign w:val="bottom"/>
          </w:tcPr>
          <w:p>
            <w:pPr>
              <w:jc w:val="right"/>
              <w:ind w:right="330"/>
              <w:spacing w:after="0"/>
              <w:rPr>
                <w:sz w:val="20"/>
                <w:szCs w:val="20"/>
                <w:color w:val="auto"/>
              </w:rPr>
            </w:pPr>
            <w:r>
              <w:rPr>
                <w:rFonts w:ascii="Calibri" w:cs="Calibri" w:eastAsia="Calibri" w:hAnsi="Calibri"/>
                <w:sz w:val="18"/>
                <w:szCs w:val="18"/>
                <w:color w:val="auto"/>
              </w:rPr>
              <w:t>8-10-2023</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10.1</w:t>
            </w:r>
          </w:p>
        </w:tc>
      </w:tr>
    </w:tbl>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ectPr>
          <w:pgSz w:w="11900" w:h="16838" w:orient="portrait"/>
          <w:cols w:equalWidth="0" w:num="2">
            <w:col w:w="6460" w:space="640"/>
            <w:col w:w="4040"/>
          </w:cols>
          <w:pgMar w:left="340" w:top="1391" w:right="419" w:bottom="1440" w:gutter="0" w:footer="0" w:header="0"/>
        </w:sectPr>
      </w:pPr>
    </w:p>
    <w:bookmarkStart w:id="159" w:name="page160"/>
    <w:bookmarkEnd w:id="159"/>
    <w:tbl>
      <w:tblPr>
        <w:tblLayout w:type="fixed"/>
        <w:tblInd w:w="2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Calibri" w:cs="Calibri" w:eastAsia="Calibri" w:hAnsi="Calibri"/>
                <w:sz w:val="18"/>
                <w:szCs w:val="18"/>
                <w:color w:val="auto"/>
              </w:rPr>
              <w:t>24.1</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Power of Atorney</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31.1</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Certfcaton of Chief Executve Ofcer of Phathom Pharmaceutcals, Inc.,</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as required by Rule 13a-14(a) or Rule 15d-14(a) under the Securites</w:t>
            </w:r>
          </w:p>
        </w:tc>
        <w:tc>
          <w:tcPr>
            <w:tcW w:w="24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Exchange Act of 1934, as amended</w:t>
            </w:r>
          </w:p>
        </w:tc>
        <w:tc>
          <w:tcPr>
            <w:tcW w:w="24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31.2</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Certfcaton of Principal Financial Ofcer of Phathom Pharmaceutcals,</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Inc., as required by Rule 13a-14(a) or Rule 15d-14(a) under the Securites</w:t>
            </w:r>
          </w:p>
        </w:tc>
        <w:tc>
          <w:tcPr>
            <w:tcW w:w="24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Exchange Act of 1934, as amended</w:t>
            </w:r>
          </w:p>
        </w:tc>
        <w:tc>
          <w:tcPr>
            <w:tcW w:w="24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32.1*</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Certfcaton of Chief Executve Ofcer pursuant to Secton 906 of the</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24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32.2*</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Certfcaton of Principal Financial Ofcer pursuant to Secton 906 of the</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Pr>
          <w:p>
            <w:pPr>
              <w:spacing w:after="0" w:line="20" w:lineRule="exact"/>
              <w:rPr>
                <w:sz w:val="1"/>
                <w:szCs w:val="1"/>
                <w:color w:val="auto"/>
              </w:rPr>
            </w:pPr>
          </w:p>
        </w:tc>
        <w:tc>
          <w:tcPr>
            <w:tcW w:w="416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580" w:type="dxa"/>
            <w:vAlign w:val="bottom"/>
            <w:gridSpan w:val="10"/>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240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Calibri" w:cs="Calibri" w:eastAsia="Calibri" w:hAnsi="Calibri"/>
                <w:sz w:val="18"/>
                <w:szCs w:val="18"/>
                <w:color w:val="auto"/>
              </w:rPr>
              <w:t>97</w:t>
            </w:r>
          </w:p>
        </w:tc>
        <w:tc>
          <w:tcPr>
            <w:tcW w:w="7580" w:type="dxa"/>
            <w:vAlign w:val="bottom"/>
            <w:gridSpan w:val="10"/>
          </w:tcPr>
          <w:p>
            <w:pPr>
              <w:spacing w:after="0"/>
              <w:rPr>
                <w:sz w:val="20"/>
                <w:szCs w:val="20"/>
                <w:color w:val="auto"/>
              </w:rPr>
            </w:pPr>
            <w:r>
              <w:rPr>
                <w:rFonts w:ascii="Calibri" w:cs="Calibri" w:eastAsia="Calibri" w:hAnsi="Calibri"/>
                <w:sz w:val="18"/>
                <w:szCs w:val="18"/>
                <w:color w:val="0000FF"/>
              </w:rPr>
              <w:t>Policy for Recovery of Erroneously Awarded Compensaton</w:t>
            </w:r>
          </w:p>
        </w:tc>
        <w:tc>
          <w:tcPr>
            <w:tcW w:w="2400" w:type="dxa"/>
            <w:vAlign w:val="bottom"/>
          </w:tcPr>
          <w:p>
            <w:pPr>
              <w:jc w:val="right"/>
              <w:spacing w:after="0"/>
              <w:rPr>
                <w:sz w:val="20"/>
                <w:szCs w:val="20"/>
                <w:color w:val="auto"/>
              </w:rPr>
            </w:pPr>
            <w:r>
              <w:rPr>
                <w:rFonts w:ascii="Calibri" w:cs="Calibri" w:eastAsia="Calibri" w:hAnsi="Calibri"/>
                <w:sz w:val="18"/>
                <w:szCs w:val="18"/>
                <w:color w:val="auto"/>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160" w:type="dxa"/>
            <w:vAlign w:val="bottom"/>
            <w:tcBorders>
              <w:right w:val="single" w:sz="8" w:color="0000EE"/>
            </w:tcBorders>
            <w:gridSpan w:val="4"/>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3"/>
        </w:trPr>
        <w:tc>
          <w:tcPr>
            <w:tcW w:w="1160" w:type="dxa"/>
            <w:vAlign w:val="bottom"/>
          </w:tcPr>
          <w:p>
            <w:pPr>
              <w:spacing w:after="0"/>
              <w:rPr>
                <w:sz w:val="20"/>
                <w:szCs w:val="20"/>
                <w:color w:val="auto"/>
              </w:rPr>
            </w:pPr>
            <w:r>
              <w:rPr>
                <w:rFonts w:ascii="Calibri" w:cs="Calibri" w:eastAsia="Calibri" w:hAnsi="Calibri"/>
                <w:sz w:val="18"/>
                <w:szCs w:val="18"/>
                <w:color w:val="auto"/>
              </w:rPr>
              <w:t>101.INS</w:t>
            </w:r>
          </w:p>
        </w:tc>
        <w:tc>
          <w:tcPr>
            <w:tcW w:w="7580" w:type="dxa"/>
            <w:vAlign w:val="bottom"/>
            <w:gridSpan w:val="10"/>
          </w:tcPr>
          <w:p>
            <w:pPr>
              <w:spacing w:after="0"/>
              <w:rPr>
                <w:sz w:val="20"/>
                <w:szCs w:val="20"/>
                <w:color w:val="auto"/>
              </w:rPr>
            </w:pPr>
            <w:r>
              <w:rPr>
                <w:rFonts w:ascii="Calibri" w:cs="Calibri" w:eastAsia="Calibri" w:hAnsi="Calibri"/>
                <w:sz w:val="18"/>
                <w:szCs w:val="18"/>
                <w:color w:val="auto"/>
              </w:rPr>
              <w:t>Inline XBRL Instance Document – the instance document does not appear</w:t>
            </w:r>
          </w:p>
        </w:tc>
        <w:tc>
          <w:tcPr>
            <w:tcW w:w="2400" w:type="dxa"/>
            <w:vAlign w:val="bottom"/>
          </w:tcPr>
          <w:p>
            <w:pPr>
              <w:jc w:val="right"/>
              <w:spacing w:after="0"/>
              <w:rPr>
                <w:sz w:val="20"/>
                <w:szCs w:val="20"/>
                <w:color w:val="auto"/>
              </w:rPr>
            </w:pPr>
            <w:r>
              <w:rPr>
                <w:rFonts w:ascii="Calibri" w:cs="Calibri" w:eastAsia="Calibri" w:hAnsi="Calibri"/>
                <w:sz w:val="16"/>
                <w:szCs w:val="16"/>
                <w:color w:val="auto"/>
              </w:rPr>
              <w:t>X</w:t>
            </w:r>
          </w:p>
        </w:tc>
      </w:tr>
      <w:tr>
        <w:trPr>
          <w:trHeight w:val="216"/>
        </w:trPr>
        <w:tc>
          <w:tcPr>
            <w:tcW w:w="1160" w:type="dxa"/>
            <w:vAlign w:val="bottom"/>
          </w:tcPr>
          <w:p>
            <w:pPr>
              <w:spacing w:after="0"/>
              <w:rPr>
                <w:sz w:val="18"/>
                <w:szCs w:val="18"/>
                <w:color w:val="auto"/>
              </w:rPr>
            </w:pPr>
          </w:p>
        </w:tc>
        <w:tc>
          <w:tcPr>
            <w:tcW w:w="7580" w:type="dxa"/>
            <w:vAlign w:val="bottom"/>
            <w:gridSpan w:val="10"/>
          </w:tcPr>
          <w:p>
            <w:pPr>
              <w:spacing w:after="0" w:line="216" w:lineRule="exact"/>
              <w:rPr>
                <w:sz w:val="20"/>
                <w:szCs w:val="20"/>
                <w:color w:val="auto"/>
              </w:rPr>
            </w:pPr>
            <w:r>
              <w:rPr>
                <w:rFonts w:ascii="Calibri" w:cs="Calibri" w:eastAsia="Calibri" w:hAnsi="Calibri"/>
                <w:sz w:val="18"/>
                <w:szCs w:val="18"/>
                <w:color w:val="auto"/>
              </w:rPr>
              <w:t>in the Interactve Data File as its XBRL tags are embedded within the Inline</w:t>
            </w:r>
          </w:p>
        </w:tc>
        <w:tc>
          <w:tcPr>
            <w:tcW w:w="24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80" w:type="dxa"/>
            <w:vAlign w:val="bottom"/>
            <w:gridSpan w:val="10"/>
          </w:tcPr>
          <w:p>
            <w:pPr>
              <w:spacing w:after="0" w:line="216" w:lineRule="exact"/>
              <w:rPr>
                <w:sz w:val="20"/>
                <w:szCs w:val="20"/>
                <w:color w:val="auto"/>
              </w:rPr>
            </w:pPr>
            <w:r>
              <w:rPr>
                <w:rFonts w:ascii="Calibri" w:cs="Calibri" w:eastAsia="Calibri" w:hAnsi="Calibri"/>
                <w:sz w:val="18"/>
                <w:szCs w:val="18"/>
                <w:color w:val="auto"/>
              </w:rPr>
              <w:t>XBRL document</w:t>
            </w:r>
          </w:p>
        </w:tc>
        <w:tc>
          <w:tcPr>
            <w:tcW w:w="2400" w:type="dxa"/>
            <w:vAlign w:val="bottom"/>
          </w:tcPr>
          <w:p>
            <w:pPr>
              <w:spacing w:after="0"/>
              <w:rPr>
                <w:sz w:val="18"/>
                <w:szCs w:val="18"/>
                <w:color w:val="auto"/>
              </w:rPr>
            </w:pPr>
          </w:p>
        </w:tc>
      </w:tr>
      <w:tr>
        <w:trPr>
          <w:trHeight w:val="243"/>
        </w:trPr>
        <w:tc>
          <w:tcPr>
            <w:tcW w:w="1160" w:type="dxa"/>
            <w:vAlign w:val="bottom"/>
          </w:tcPr>
          <w:p>
            <w:pPr>
              <w:spacing w:after="0"/>
              <w:rPr>
                <w:sz w:val="20"/>
                <w:szCs w:val="20"/>
                <w:color w:val="auto"/>
              </w:rPr>
            </w:pPr>
            <w:r>
              <w:rPr>
                <w:rFonts w:ascii="Calibri" w:cs="Calibri" w:eastAsia="Calibri" w:hAnsi="Calibri"/>
                <w:sz w:val="18"/>
                <w:szCs w:val="18"/>
                <w:color w:val="auto"/>
              </w:rPr>
              <w:t>101.SCH</w:t>
            </w:r>
          </w:p>
        </w:tc>
        <w:tc>
          <w:tcPr>
            <w:tcW w:w="7580" w:type="dxa"/>
            <w:vAlign w:val="bottom"/>
            <w:gridSpan w:val="10"/>
          </w:tcPr>
          <w:p>
            <w:pPr>
              <w:spacing w:after="0"/>
              <w:rPr>
                <w:sz w:val="20"/>
                <w:szCs w:val="20"/>
                <w:color w:val="auto"/>
              </w:rPr>
            </w:pPr>
            <w:r>
              <w:rPr>
                <w:rFonts w:ascii="Calibri" w:cs="Calibri" w:eastAsia="Calibri" w:hAnsi="Calibri"/>
                <w:sz w:val="18"/>
                <w:szCs w:val="18"/>
                <w:color w:val="auto"/>
              </w:rPr>
              <w:t>Inline XBRL Taxonomy Extension Schema With Embedded Linkbase</w:t>
            </w:r>
          </w:p>
        </w:tc>
        <w:tc>
          <w:tcPr>
            <w:tcW w:w="2400" w:type="dxa"/>
            <w:vAlign w:val="bottom"/>
          </w:tcPr>
          <w:p>
            <w:pPr>
              <w:jc w:val="right"/>
              <w:spacing w:after="0"/>
              <w:rPr>
                <w:sz w:val="20"/>
                <w:szCs w:val="20"/>
                <w:color w:val="auto"/>
              </w:rPr>
            </w:pPr>
            <w:r>
              <w:rPr>
                <w:rFonts w:ascii="Calibri" w:cs="Calibri" w:eastAsia="Calibri" w:hAnsi="Calibri"/>
                <w:sz w:val="16"/>
                <w:szCs w:val="16"/>
                <w:color w:val="auto"/>
              </w:rPr>
              <w:t>X</w:t>
            </w:r>
          </w:p>
        </w:tc>
      </w:tr>
      <w:tr>
        <w:trPr>
          <w:trHeight w:val="216"/>
        </w:trPr>
        <w:tc>
          <w:tcPr>
            <w:tcW w:w="1160" w:type="dxa"/>
            <w:vAlign w:val="bottom"/>
          </w:tcPr>
          <w:p>
            <w:pPr>
              <w:spacing w:after="0"/>
              <w:rPr>
                <w:sz w:val="18"/>
                <w:szCs w:val="18"/>
                <w:color w:val="auto"/>
              </w:rPr>
            </w:pPr>
          </w:p>
        </w:tc>
        <w:tc>
          <w:tcPr>
            <w:tcW w:w="7580" w:type="dxa"/>
            <w:vAlign w:val="bottom"/>
            <w:gridSpan w:val="10"/>
          </w:tcPr>
          <w:p>
            <w:pPr>
              <w:spacing w:after="0" w:line="216" w:lineRule="exact"/>
              <w:rPr>
                <w:sz w:val="20"/>
                <w:szCs w:val="20"/>
                <w:color w:val="auto"/>
              </w:rPr>
            </w:pPr>
            <w:r>
              <w:rPr>
                <w:rFonts w:ascii="Calibri" w:cs="Calibri" w:eastAsia="Calibri" w:hAnsi="Calibri"/>
                <w:sz w:val="18"/>
                <w:szCs w:val="18"/>
                <w:color w:val="auto"/>
              </w:rPr>
              <w:t>Documents</w:t>
            </w:r>
          </w:p>
        </w:tc>
        <w:tc>
          <w:tcPr>
            <w:tcW w:w="2400" w:type="dxa"/>
            <w:vAlign w:val="bottom"/>
          </w:tcPr>
          <w:p>
            <w:pPr>
              <w:spacing w:after="0"/>
              <w:rPr>
                <w:sz w:val="18"/>
                <w:szCs w:val="18"/>
                <w:color w:val="auto"/>
              </w:rPr>
            </w:pPr>
          </w:p>
        </w:tc>
      </w:tr>
      <w:tr>
        <w:trPr>
          <w:trHeight w:val="243"/>
        </w:trPr>
        <w:tc>
          <w:tcPr>
            <w:tcW w:w="1160" w:type="dxa"/>
            <w:vAlign w:val="bottom"/>
          </w:tcPr>
          <w:p>
            <w:pPr>
              <w:spacing w:after="0"/>
              <w:rPr>
                <w:sz w:val="20"/>
                <w:szCs w:val="20"/>
                <w:color w:val="auto"/>
              </w:rPr>
            </w:pPr>
            <w:r>
              <w:rPr>
                <w:rFonts w:ascii="Calibri" w:cs="Calibri" w:eastAsia="Calibri" w:hAnsi="Calibri"/>
                <w:sz w:val="18"/>
                <w:szCs w:val="18"/>
                <w:color w:val="auto"/>
              </w:rPr>
              <w:t>104</w:t>
            </w:r>
          </w:p>
        </w:tc>
        <w:tc>
          <w:tcPr>
            <w:tcW w:w="7580" w:type="dxa"/>
            <w:vAlign w:val="bottom"/>
            <w:gridSpan w:val="10"/>
          </w:tcPr>
          <w:p>
            <w:pPr>
              <w:spacing w:after="0"/>
              <w:rPr>
                <w:sz w:val="20"/>
                <w:szCs w:val="20"/>
                <w:color w:val="auto"/>
              </w:rPr>
            </w:pPr>
            <w:r>
              <w:rPr>
                <w:rFonts w:ascii="Calibri" w:cs="Calibri" w:eastAsia="Calibri" w:hAnsi="Calibri"/>
                <w:sz w:val="18"/>
                <w:szCs w:val="18"/>
                <w:color w:val="auto"/>
              </w:rPr>
              <w:t>Cover Page formated as Inline XBRL and contained in Exhibit 101</w:t>
            </w:r>
          </w:p>
        </w:tc>
        <w:tc>
          <w:tcPr>
            <w:tcW w:w="2400" w:type="dxa"/>
            <w:vAlign w:val="bottom"/>
          </w:tcPr>
          <w:p>
            <w:pPr>
              <w:jc w:val="right"/>
              <w:spacing w:after="0"/>
              <w:rPr>
                <w:sz w:val="20"/>
                <w:szCs w:val="20"/>
                <w:color w:val="auto"/>
              </w:rPr>
            </w:pPr>
            <w:r>
              <w:rPr>
                <w:rFonts w:ascii="Calibri" w:cs="Calibri" w:eastAsia="Calibri" w:hAnsi="Calibri"/>
                <w:sz w:val="16"/>
                <w:szCs w:val="16"/>
                <w:color w:val="auto"/>
              </w:rPr>
              <w:t>X</w:t>
            </w:r>
          </w:p>
        </w:tc>
      </w:tr>
    </w:tbl>
    <w:p>
      <w:pPr>
        <w:spacing w:after="0" w:line="64" w:lineRule="exact"/>
        <w:rPr>
          <w:sz w:val="20"/>
          <w:szCs w:val="20"/>
          <w:color w:val="auto"/>
        </w:rPr>
      </w:pPr>
    </w:p>
    <w:p>
      <w:pPr>
        <w:spacing w:after="0"/>
        <w:rPr>
          <w:sz w:val="20"/>
          <w:szCs w:val="20"/>
          <w:color w:val="auto"/>
        </w:rPr>
      </w:pPr>
      <w:r>
        <w:rPr>
          <w:rFonts w:ascii="Calibri" w:cs="Calibri" w:eastAsia="Calibri" w:hAnsi="Calibri"/>
          <w:sz w:val="11"/>
          <w:szCs w:val="11"/>
          <w:color w:val="auto"/>
        </w:rPr>
        <w:t># Indicates management contract or compensatory plan.</w:t>
      </w:r>
    </w:p>
    <w:p>
      <w:pPr>
        <w:spacing w:after="0" w:line="55" w:lineRule="exact"/>
        <w:rPr>
          <w:sz w:val="20"/>
          <w:szCs w:val="20"/>
          <w:color w:val="auto"/>
        </w:rPr>
      </w:pPr>
    </w:p>
    <w:p>
      <w:pPr>
        <w:spacing w:after="0"/>
        <w:rPr>
          <w:sz w:val="20"/>
          <w:szCs w:val="20"/>
          <w:color w:val="auto"/>
        </w:rPr>
      </w:pPr>
      <w:r>
        <w:rPr>
          <w:rFonts w:ascii="Calibri" w:cs="Calibri" w:eastAsia="Calibri" w:hAnsi="Calibri"/>
          <w:sz w:val="11"/>
          <w:szCs w:val="11"/>
          <w:color w:val="auto"/>
        </w:rPr>
        <w:t>† Portons of this exhibit have been omited for confdentality purposes.</w:t>
      </w:r>
    </w:p>
    <w:p>
      <w:pPr>
        <w:spacing w:after="0" w:line="48" w:lineRule="exact"/>
        <w:rPr>
          <w:sz w:val="20"/>
          <w:szCs w:val="20"/>
          <w:color w:val="auto"/>
        </w:rPr>
      </w:pPr>
    </w:p>
    <w:p>
      <w:pPr>
        <w:ind w:right="40" w:firstLine="8"/>
        <w:spacing w:after="0" w:line="234" w:lineRule="auto"/>
        <w:tabs>
          <w:tab w:leader="none" w:pos="78" w:val="left"/>
        </w:tabs>
        <w:numPr>
          <w:ilvl w:val="0"/>
          <w:numId w:val="67"/>
        </w:numPr>
        <w:rPr>
          <w:rFonts w:ascii="Calibri" w:cs="Calibri" w:eastAsia="Calibri" w:hAnsi="Calibri"/>
          <w:sz w:val="11"/>
          <w:szCs w:val="11"/>
          <w:color w:val="auto"/>
        </w:rPr>
      </w:pPr>
      <w:r>
        <w:rPr>
          <w:rFonts w:ascii="Calibri" w:cs="Calibri" w:eastAsia="Calibri" w:hAnsi="Calibri"/>
          <w:sz w:val="11"/>
          <w:szCs w:val="11"/>
          <w:color w:val="auto"/>
        </w:rPr>
        <w:t>These certfcatons are being furnished solely to accompany this annual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pacing w:after="0" w:line="68" w:lineRule="exact"/>
        <w:rPr>
          <w:sz w:val="20"/>
          <w:szCs w:val="20"/>
          <w:color w:val="auto"/>
        </w:rPr>
      </w:pPr>
    </w:p>
    <w:p>
      <w:pPr>
        <w:spacing w:after="0"/>
        <w:rPr>
          <w:sz w:val="20"/>
          <w:szCs w:val="20"/>
          <w:color w:val="auto"/>
        </w:rPr>
      </w:pPr>
      <w:r>
        <w:rPr>
          <w:rFonts w:ascii="Calibri" w:cs="Calibri" w:eastAsia="Calibri" w:hAnsi="Calibri"/>
          <w:sz w:val="11"/>
          <w:szCs w:val="11"/>
          <w:color w:val="auto"/>
        </w:rPr>
        <w:t>^ Certain exhibits and schedules have been omited pursuant to Item 601(a)(5) of Regulaton S-K. The registrant hereby undertakes to furnish supplementally a copy of any omited exhibit or schedule upon request by the SEC.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1" w:right="41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8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Terrie Curran</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19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0" w:type="dxa"/>
            <w:vAlign w:val="bottom"/>
          </w:tcPr>
          <w:p>
            <w:pPr>
              <w:spacing w:after="0"/>
              <w:rPr>
                <w:sz w:val="15"/>
                <w:szCs w:val="15"/>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/s/ Terrie Curran</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Terrie Curran</w:t>
            </w:r>
          </w:p>
        </w:tc>
        <w:tc>
          <w:tcPr>
            <w:tcW w:w="1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 Molly Henderson</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and Business Officer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Molly Henderson</w:t>
            </w:r>
          </w:p>
        </w:tc>
        <w:tc>
          <w:tcPr>
            <w:tcW w:w="1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Michael F. Cola</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88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Frank Karbe</w:t>
            </w:r>
          </w:p>
        </w:tc>
        <w:tc>
          <w:tcPr>
            <w:tcW w:w="160" w:type="dxa"/>
            <w:vAlign w:val="bottom"/>
          </w:tcPr>
          <w:p>
            <w:pPr>
              <w:spacing w:after="0"/>
              <w:rPr>
                <w:sz w:val="8"/>
                <w:szCs w:val="8"/>
                <w:color w:val="auto"/>
              </w:rPr>
            </w:pPr>
          </w:p>
        </w:tc>
        <w:tc>
          <w:tcPr>
            <w:tcW w:w="4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7"/>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Heidi Kunz</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Asit Parikh, M.D., Ph.D.</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David Socks</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Mark Stenhouse</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James Topper, M.D., Ph.D.</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6"/>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Terrie Curran</w:t>
            </w: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Terrie Curran, Attorney-in-fact</w:t>
            </w: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ind w:left="10320"/>
        <w:spacing w:after="0"/>
        <w:rPr>
          <w:sz w:val="20"/>
          <w:szCs w:val="20"/>
          <w:color w:val="auto"/>
        </w:rPr>
      </w:pPr>
      <w:r>
        <w:rPr>
          <w:rFonts w:ascii="Times New Roman" w:cs="Times New Roman" w:eastAsia="Times New Roman" w:hAnsi="Times New Roman"/>
          <w:sz w:val="19"/>
          <w:szCs w:val="19"/>
          <w:b w:val="1"/>
          <w:bCs w:val="1"/>
          <w:color w:val="auto"/>
        </w:rPr>
        <w:t>Exhibit 4.8</w:t>
      </w:r>
    </w:p>
    <w:p>
      <w:pPr>
        <w:spacing w:after="0" w:line="295" w:lineRule="exact"/>
        <w:rPr>
          <w:sz w:val="20"/>
          <w:szCs w:val="20"/>
          <w:color w:val="auto"/>
        </w:rPr>
      </w:pPr>
    </w:p>
    <w:p>
      <w:pPr>
        <w:jc w:val="center"/>
        <w:ind w:right="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DESCRIPTION OF THE REGISTRANT’S SECURITIES REGISTERED PURSUANT TO SECTION 12 OF THE SECURITIES EXCHANGE ACT OF 1934</w:t>
      </w:r>
    </w:p>
    <w:p>
      <w:pPr>
        <w:spacing w:after="0" w:line="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December 31, 2023, Phathom Pharmaceuticals, Inc. (“we,” “us” and “our”) had one class of securities registered pursuant to Section 12 of the Securities Exchange Act of 1934, as amended: our common stock.</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7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2023, our authorized capital stock consisted of 400,000,000 shares of common stock, $0.0001 par value per share, and 40,000,000 shares of preferred stock, $0.0001 par value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Rights</w:t>
      </w:r>
    </w:p>
    <w:p>
      <w:pPr>
        <w:spacing w:after="0" w:line="112"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Rights and Preferences</w:t>
      </w:r>
    </w:p>
    <w:p>
      <w:pPr>
        <w:spacing w:after="0" w:line="1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Holders of common stock have no preemptive or conversion rights or other subscription rights and there are no redemption or sinking funds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920750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Fully paid and nonassessable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shares of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 Agent and Registrar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Computershare Trust Company, 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Nasdaq Global Market Listing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and traded on the Nasdaq Global Select Market under the ticker symbol “PHAT.”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Undesignated Preferred Stock</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Meetings</w:t>
      </w:r>
    </w:p>
    <w:p>
      <w:pPr>
        <w:spacing w:after="0" w:line="112"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Requirements for Advance Notification of Stockholder Nominations and Proposals</w:t>
      </w:r>
    </w:p>
    <w:p>
      <w:pPr>
        <w:spacing w:after="0" w:line="112"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Elimination of Stockholder Action by Written Consent</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eliminate the right of stockholders to act by written consent without a 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3" w:name="page164"/>
    <w:bookmarkEnd w:id="163"/>
    <w:p>
      <w:pPr>
        <w:ind w:right="200"/>
        <w:spacing w:after="0" w:line="254" w:lineRule="auto"/>
        <w:rPr>
          <w:sz w:val="20"/>
          <w:szCs w:val="20"/>
          <w:color w:val="auto"/>
        </w:rPr>
      </w:pPr>
      <w:r>
        <w:rPr>
          <w:rFonts w:ascii="Times New Roman" w:cs="Times New Roman" w:eastAsia="Times New Roman" w:hAnsi="Times New Roman"/>
          <w:sz w:val="20"/>
          <w:szCs w:val="20"/>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Removal of Directors</w:t>
      </w:r>
    </w:p>
    <w:p>
      <w:pPr>
        <w:spacing w:after="0" w:line="11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Stockholders Not Entitled to Cumulative Voting</w:t>
      </w:r>
    </w:p>
    <w:p>
      <w:pPr>
        <w:spacing w:after="0" w:line="1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Anti-Takeover Statute</w:t>
      </w:r>
    </w:p>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Choice of Forum</w:t>
      </w:r>
    </w:p>
    <w:p>
      <w:pPr>
        <w:spacing w:after="0" w:line="11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7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4" w:name="page165"/>
    <w:bookmarkEnd w:id="164"/>
    <w:p>
      <w:pPr>
        <w:ind w:right="180"/>
        <w:spacing w:after="0" w:line="24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of Charter Provisions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5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5" w:name="page166"/>
    <w:bookmarkEnd w:id="165"/>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THE OMISSIONS HAVE BEEN INDICATED BY “[***].”</w:t>
      </w:r>
    </w:p>
    <w:p>
      <w:pPr>
        <w:ind w:left="10160"/>
        <w:spacing w:after="0" w:line="206" w:lineRule="auto"/>
        <w:rPr>
          <w:sz w:val="20"/>
          <w:szCs w:val="20"/>
          <w:color w:val="auto"/>
        </w:rPr>
      </w:pPr>
      <w:r>
        <w:rPr>
          <w:rFonts w:ascii="Calibri" w:cs="Calibri" w:eastAsia="Calibri" w:hAnsi="Calibri"/>
          <w:sz w:val="20"/>
          <w:szCs w:val="20"/>
          <w:b w:val="1"/>
          <w:bCs w:val="1"/>
          <w:color w:val="auto"/>
        </w:rPr>
        <w:t>Exhibit 10.26</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 SUPPLY AGREEMENT</w:t>
      </w:r>
    </w:p>
    <w:p>
      <w:pPr>
        <w:spacing w:after="0" w:line="1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First Amendment to the Commercial Supply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as of this December 6, 2023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by and between Phathom Pharmaceuticals, Inc., an Illinois company, with a place of business at 2150 E. Lake Cook Road, Suite 800 Buffalo Grove, Illinois 60089, USA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Phathom</w:t>
      </w:r>
      <w:r>
        <w:rPr>
          <w:rFonts w:ascii="Times New Roman" w:cs="Times New Roman" w:eastAsia="Times New Roman" w:hAnsi="Times New Roman"/>
          <w:sz w:val="22"/>
          <w:szCs w:val="22"/>
          <w:color w:val="auto"/>
        </w:rPr>
        <w:t>”), and Catalent Pharma Solutions, LLC, a Delaware limited liability company with a place of business at 14 Schoolhouse Road, Somerset, New Jersey 08873, USA (“</w:t>
      </w:r>
      <w:r>
        <w:rPr>
          <w:rFonts w:ascii="Times New Roman" w:cs="Times New Roman" w:eastAsia="Times New Roman" w:hAnsi="Times New Roman"/>
          <w:sz w:val="22"/>
          <w:szCs w:val="22"/>
          <w:b w:val="1"/>
          <w:bCs w:val="1"/>
          <w:color w:val="auto"/>
        </w:rPr>
        <w:t>Catalent</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25" w:lineRule="exact"/>
        <w:rPr>
          <w:sz w:val="20"/>
          <w:szCs w:val="20"/>
          <w:color w:val="auto"/>
        </w:rPr>
      </w:pPr>
    </w:p>
    <w:p>
      <w:pPr>
        <w:jc w:val="both"/>
        <w:ind w:left="380" w:hanging="379"/>
        <w:spacing w:after="0" w:line="258" w:lineRule="auto"/>
        <w:tabs>
          <w:tab w:leader="none" w:pos="36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WHEREAS Catalent and Phathom entered into a Commercial Supply Agreement effective as of June 30, 2021 (“Agreement”), pursuant to which Catalent manufactures and supplies to Phathom the Product;</w:t>
      </w:r>
    </w:p>
    <w:p>
      <w:pPr>
        <w:spacing w:after="0" w:line="200" w:lineRule="exact"/>
        <w:rPr>
          <w:sz w:val="20"/>
          <w:szCs w:val="20"/>
          <w:color w:val="auto"/>
        </w:rPr>
      </w:pPr>
    </w:p>
    <w:p>
      <w:pPr>
        <w:spacing w:after="0" w:line="313" w:lineRule="exact"/>
        <w:rPr>
          <w:sz w:val="20"/>
          <w:szCs w:val="20"/>
          <w:color w:val="auto"/>
        </w:rPr>
      </w:pPr>
    </w:p>
    <w:p>
      <w:pPr>
        <w:ind w:left="380" w:hanging="372"/>
        <w:spacing w:after="0" w:line="258" w:lineRule="auto"/>
        <w:tabs>
          <w:tab w:leader="none" w:pos="3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WHEREAS Catalent and Phathom desire to provide for and include language covering the Prices of the Product, and other changes as set forth herein; and</w:t>
      </w:r>
    </w:p>
    <w:p>
      <w:pPr>
        <w:spacing w:after="0" w:line="200" w:lineRule="exact"/>
        <w:rPr>
          <w:rFonts w:ascii="Times New Roman" w:cs="Times New Roman" w:eastAsia="Times New Roman" w:hAnsi="Times New Roman"/>
          <w:sz w:val="22"/>
          <w:szCs w:val="22"/>
          <w:b w:val="1"/>
          <w:bCs w:val="1"/>
          <w:color w:val="auto"/>
        </w:rPr>
      </w:pPr>
    </w:p>
    <w:p>
      <w:pPr>
        <w:spacing w:after="0" w:line="295" w:lineRule="exact"/>
        <w:rPr>
          <w:rFonts w:ascii="Times New Roman" w:cs="Times New Roman" w:eastAsia="Times New Roman" w:hAnsi="Times New Roman"/>
          <w:sz w:val="22"/>
          <w:szCs w:val="22"/>
          <w:b w:val="1"/>
          <w:bCs w:val="1"/>
          <w:color w:val="auto"/>
        </w:rPr>
      </w:pPr>
    </w:p>
    <w:p>
      <w:pPr>
        <w:ind w:left="380" w:hanging="372"/>
        <w:spacing w:after="0" w:line="258" w:lineRule="auto"/>
        <w:tabs>
          <w:tab w:leader="none" w:pos="3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WHEREAS Catalent and Phathom desire to amend the Agreement and to record their mutual understanding of certain revised terms and conditions.</w:t>
      </w:r>
    </w:p>
    <w:p>
      <w:pPr>
        <w:spacing w:after="0" w:line="200" w:lineRule="exact"/>
        <w:rPr>
          <w:sz w:val="20"/>
          <w:szCs w:val="20"/>
          <w:color w:val="auto"/>
        </w:rPr>
      </w:pPr>
    </w:p>
    <w:p>
      <w:pPr>
        <w:spacing w:after="0" w:line="26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22"/>
          <w:szCs w:val="22"/>
          <w:b w:val="1"/>
          <w:bCs w:val="1"/>
          <w:color w:val="auto"/>
        </w:rPr>
        <w:t>THEREFORE</w:t>
      </w:r>
      <w:r>
        <w:rPr>
          <w:rFonts w:ascii="Times New Roman" w:cs="Times New Roman" w:eastAsia="Times New Roman" w:hAnsi="Times New Roman"/>
          <w:sz w:val="22"/>
          <w:szCs w:val="22"/>
          <w:color w:val="auto"/>
        </w:rPr>
        <w:t>, in consideration of the mutual covenants, terms and conditions set forth below, the Parties agree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82" w:lineRule="exact"/>
        <w:rPr>
          <w:sz w:val="20"/>
          <w:szCs w:val="20"/>
          <w:color w:val="auto"/>
        </w:rPr>
      </w:pPr>
    </w:p>
    <w:p>
      <w:pPr>
        <w:jc w:val="both"/>
        <w:ind w:left="760" w:hanging="378"/>
        <w:spacing w:after="0" w:line="246" w:lineRule="auto"/>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and not otherwise defined in this Amendment shall have the meanings assigned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them in the Agreement. For clarity, the term “Agreement” as used in the Agreement and herein shall mean the Agreement as amended hereby.</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760" w:hanging="378"/>
        <w:spacing w:after="0" w:line="262" w:lineRule="auto"/>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and/or as a result of the revised terms and conditions agreed by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is hereby amended as follows:</w:t>
      </w:r>
    </w:p>
    <w:p>
      <w:pPr>
        <w:spacing w:after="0" w:line="200" w:lineRule="exact"/>
        <w:rPr>
          <w:rFonts w:ascii="Times New Roman" w:cs="Times New Roman" w:eastAsia="Times New Roman" w:hAnsi="Times New Roman"/>
          <w:sz w:val="22"/>
          <w:szCs w:val="22"/>
          <w:color w:val="auto"/>
        </w:rPr>
      </w:pPr>
    </w:p>
    <w:p>
      <w:pPr>
        <w:spacing w:after="0" w:line="300" w:lineRule="exact"/>
        <w:rPr>
          <w:rFonts w:ascii="Times New Roman" w:cs="Times New Roman" w:eastAsia="Times New Roman" w:hAnsi="Times New Roman"/>
          <w:sz w:val="22"/>
          <w:szCs w:val="22"/>
          <w:color w:val="auto"/>
        </w:rPr>
      </w:pPr>
    </w:p>
    <w:p>
      <w:pPr>
        <w:ind w:left="1180" w:hanging="423"/>
        <w:spacing w:after="0" w:line="262" w:lineRule="auto"/>
        <w:tabs>
          <w:tab w:leader="none" w:pos="11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as set forth in Section 1.25 of the Agreement is hereby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6" w:name="page167"/>
    <w:bookmarkEnd w:id="166"/>
    <w:p>
      <w:pPr>
        <w:ind w:left="15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““Facility” </w:t>
      </w:r>
      <w:r>
        <w:rPr>
          <w:rFonts w:ascii="Times New Roman" w:cs="Times New Roman" w:eastAsia="Times New Roman" w:hAnsi="Times New Roman"/>
          <w:sz w:val="22"/>
          <w:szCs w:val="22"/>
          <w:color w:val="auto"/>
        </w:rPr>
        <w:t>means Catalent’s facility located in [***] USA, and/or [***] USA or such other facility as agreed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parties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80" w:hanging="423"/>
        <w:spacing w:after="0" w:line="262" w:lineRule="auto"/>
        <w:tabs>
          <w:tab w:leader="none" w:pos="11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as set forth in Section 1.19 of the Agreement is hereby deleted in its entirety and replaced with the following:</w:t>
      </w:r>
    </w:p>
    <w:p>
      <w:pPr>
        <w:spacing w:after="0" w:line="82"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means the first date on which Catalent is scheduled to deliver (pursuant to Section 6.1) to Client Product intended for commercial sale, excluding validation Batches, and the parties agree such Commencement Date to be January 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 A new Section 7.1.E is hereby added to the Agreement:</w:t>
      </w:r>
    </w:p>
    <w:p>
      <w:pPr>
        <w:spacing w:after="0" w:line="200" w:lineRule="exact"/>
        <w:rPr>
          <w:sz w:val="20"/>
          <w:szCs w:val="20"/>
          <w:color w:val="auto"/>
        </w:rPr>
      </w:pPr>
    </w:p>
    <w:p>
      <w:pPr>
        <w:spacing w:after="0" w:line="357" w:lineRule="exact"/>
        <w:rPr>
          <w:sz w:val="20"/>
          <w:szCs w:val="20"/>
          <w:color w:val="auto"/>
        </w:rPr>
      </w:pPr>
    </w:p>
    <w:p>
      <w:pPr>
        <w:jc w:val="both"/>
        <w:ind w:left="150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“Annual volume tiers work as follows: </w:t>
      </w:r>
      <w:r>
        <w:rPr>
          <w:rFonts w:ascii="Times New Roman" w:cs="Times New Roman" w:eastAsia="Times New Roman" w:hAnsi="Times New Roman"/>
          <w:sz w:val="22"/>
          <w:szCs w:val="22"/>
          <w:color w:val="auto"/>
        </w:rPr>
        <w:t>Based on the forecasted demand, Client will decide and notify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Catalent at least [***] prior to the start of each Contract Year the annual Volume Tier for each strength that Client projects its orders will reflect (the “Forecasted Volume”) for that Contract Year, and Catalent shall notify Client [***] for that Contract Year. [***]. For all future years, pricing letters will be issued pursuant to Section 7 of the Agreement as amended. At the end of the Contract Year, [***]. For clarity the term “delivery” shall have the meaning ascribed to it in Section 6.1 of the Agreement. However, should the [***].</w:t>
      </w:r>
    </w:p>
    <w:p>
      <w:pPr>
        <w:spacing w:after="0" w:line="200" w:lineRule="exact"/>
        <w:rPr>
          <w:sz w:val="20"/>
          <w:szCs w:val="20"/>
          <w:color w:val="auto"/>
        </w:rPr>
      </w:pPr>
    </w:p>
    <w:p>
      <w:pPr>
        <w:spacing w:after="0" w:line="313" w:lineRule="exact"/>
        <w:rPr>
          <w:sz w:val="20"/>
          <w:szCs w:val="20"/>
          <w:color w:val="auto"/>
        </w:rPr>
      </w:pPr>
    </w:p>
    <w:p>
      <w:pPr>
        <w:ind w:left="380" w:firstLine="2"/>
        <w:spacing w:after="0" w:line="262" w:lineRule="auto"/>
        <w:tabs>
          <w:tab w:leader="none" w:pos="812"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Attachment C </w:t>
      </w:r>
      <w:r>
        <w:rPr>
          <w:rFonts w:ascii="Times New Roman" w:cs="Times New Roman" w:eastAsia="Times New Roman" w:hAnsi="Times New Roman"/>
          <w:sz w:val="22"/>
          <w:szCs w:val="22"/>
          <w:color w:val="auto"/>
        </w:rPr>
        <w:t>to the Agreement is hereby deleted in its entirety and is hereby replaced with</w:t>
      </w:r>
      <w:r>
        <w:rPr>
          <w:rFonts w:ascii="Times New Roman" w:cs="Times New Roman" w:eastAsia="Times New Roman" w:hAnsi="Times New Roman"/>
          <w:sz w:val="22"/>
          <w:szCs w:val="22"/>
          <w:b w:val="1"/>
          <w:bCs w:val="1"/>
          <w:color w:val="auto"/>
        </w:rPr>
        <w:t xml:space="preserve"> Attachment C </w:t>
      </w:r>
      <w:r>
        <w:rPr>
          <w:rFonts w:ascii="Times New Roman" w:cs="Times New Roman" w:eastAsia="Times New Roman" w:hAnsi="Times New Roman"/>
          <w:sz w:val="22"/>
          <w:szCs w:val="22"/>
          <w:color w:val="auto"/>
        </w:rPr>
        <w:t>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made a part hereof, which sets forth the Unit Pricing for Product delivered pursuant to the Agreement.</w:t>
      </w:r>
    </w:p>
    <w:p>
      <w:pPr>
        <w:spacing w:after="0" w:line="200" w:lineRule="exact"/>
        <w:rPr>
          <w:sz w:val="20"/>
          <w:szCs w:val="20"/>
          <w:color w:val="auto"/>
        </w:rPr>
      </w:pPr>
    </w:p>
    <w:p>
      <w:pPr>
        <w:spacing w:after="0" w:line="287" w:lineRule="exact"/>
        <w:rPr>
          <w:sz w:val="20"/>
          <w:szCs w:val="20"/>
          <w:color w:val="auto"/>
        </w:rPr>
      </w:pPr>
    </w:p>
    <w:p>
      <w:pPr>
        <w:jc w:val="both"/>
        <w:ind w:left="760" w:hanging="378"/>
        <w:spacing w:after="0" w:line="246"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Other Variation</w:t>
      </w:r>
      <w:r>
        <w:rPr>
          <w:rFonts w:ascii="Times New Roman" w:cs="Times New Roman" w:eastAsia="Times New Roman" w:hAnsi="Times New Roman"/>
          <w:sz w:val="22"/>
          <w:szCs w:val="22"/>
          <w:color w:val="auto"/>
        </w:rPr>
        <w:t>. Except as expressly provided in this Amendment, all the terms, conditions and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(including the rights, duties, liabilities and obligations of the Parties thereunder) remain in full force and effect and shall apply to the construction of this Amendment.</w:t>
      </w:r>
    </w:p>
    <w:p>
      <w:pPr>
        <w:spacing w:after="0" w:line="200" w:lineRule="exact"/>
        <w:rPr>
          <w:rFonts w:ascii="Times New Roman" w:cs="Times New Roman" w:eastAsia="Times New Roman" w:hAnsi="Times New Roman"/>
          <w:sz w:val="22"/>
          <w:szCs w:val="22"/>
          <w:color w:val="auto"/>
        </w:rPr>
      </w:pPr>
    </w:p>
    <w:p>
      <w:pPr>
        <w:spacing w:after="0" w:line="318" w:lineRule="exact"/>
        <w:rPr>
          <w:rFonts w:ascii="Times New Roman" w:cs="Times New Roman" w:eastAsia="Times New Roman" w:hAnsi="Times New Roman"/>
          <w:sz w:val="22"/>
          <w:szCs w:val="22"/>
          <w:color w:val="auto"/>
        </w:rPr>
      </w:pPr>
    </w:p>
    <w:p>
      <w:pPr>
        <w:jc w:val="both"/>
        <w:ind w:left="760" w:right="20" w:hanging="378"/>
        <w:spacing w:after="0" w:line="246" w:lineRule="auto"/>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and the Agreement, including their respective Attachments and Exhibits,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the entire agreement between the Parties relating to the subject matter hereof and thereof, and may not be varied except in writing signed by a duly authorized representative of each Party.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7" w:name="page168"/>
    <w:bookmarkEnd w:id="167"/>
    <w:p>
      <w:pPr>
        <w:spacing w:after="0" w:line="383" w:lineRule="exact"/>
        <w:rPr>
          <w:sz w:val="20"/>
          <w:szCs w:val="20"/>
          <w:color w:val="auto"/>
        </w:rPr>
      </w:pPr>
    </w:p>
    <w:p>
      <w:pPr>
        <w:ind w:left="760" w:hanging="378"/>
        <w:spacing w:after="0" w:line="262" w:lineRule="auto"/>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may be executed in one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w:t>
      </w:r>
    </w:p>
    <w:p>
      <w:pPr>
        <w:spacing w:after="0" w:line="200" w:lineRule="exact"/>
        <w:rPr>
          <w:sz w:val="20"/>
          <w:szCs w:val="20"/>
          <w:color w:val="auto"/>
        </w:rPr>
      </w:pPr>
    </w:p>
    <w:p>
      <w:pPr>
        <w:spacing w:after="0" w:line="26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their respective duly authorized representatives to execute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as of the Amendment Effective 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CATALENT PHARMA SOLUTIONS, LLC</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w w:val="98"/>
              </w:rPr>
              <w:t>PHATHOM PHARMACEUTICALS, INC.</w:t>
            </w:r>
          </w:p>
        </w:tc>
      </w:tr>
      <w:tr>
        <w:trPr>
          <w:trHeight w:val="345"/>
        </w:trPr>
        <w:tc>
          <w:tcPr>
            <w:tcW w:w="39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Louis Weiner</w:t>
            </w:r>
          </w:p>
        </w:tc>
        <w:tc>
          <w:tcPr>
            <w:tcW w:w="450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By: /s/ Jay Buchanan</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39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Name:   Louis Weiner</w:t>
            </w:r>
          </w:p>
        </w:tc>
        <w:tc>
          <w:tcPr>
            <w:tcW w:w="450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Name: Jay Buchanan</w:t>
            </w:r>
          </w:p>
        </w:tc>
      </w:tr>
      <w:tr>
        <w:trPr>
          <w:trHeight w:val="20"/>
        </w:trPr>
        <w:tc>
          <w:tcPr>
            <w:tcW w:w="52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39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 VP, Commercial Operations</w:t>
            </w:r>
          </w:p>
        </w:tc>
        <w:tc>
          <w:tcPr>
            <w:tcW w:w="450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Title: VP, Manuf. and Supply Chain</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99"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u w:val="single" w:color="auto"/>
          <w:color w:val="auto"/>
        </w:rPr>
        <w:t>ATTACHMENT C</w:t>
      </w:r>
    </w:p>
    <w:p>
      <w:pPr>
        <w:spacing w:after="0" w:line="146"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u w:val="single" w:color="auto"/>
          <w:color w:val="auto"/>
        </w:rPr>
        <w:t>Unit Pricing and Fees</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10.27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AMENDMENT TO LOAN AND SECURITY AGREEMENT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THIS FOURTH AMENDMENT TO LOAN AND SECURITY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December 14, 2023, is entered into by and among PHATHOM PHARMACEUTICALS, INC., a Delaware corporation (“</w:t>
      </w:r>
      <w:r>
        <w:rPr>
          <w:rFonts w:ascii="Times New Roman" w:cs="Times New Roman" w:eastAsia="Times New Roman" w:hAnsi="Times New Roman"/>
          <w:sz w:val="20"/>
          <w:szCs w:val="20"/>
          <w:u w:val="single" w:color="auto"/>
          <w:color w:val="auto"/>
        </w:rPr>
        <w:t>Phathom</w:t>
      </w:r>
      <w:r>
        <w:rPr>
          <w:rFonts w:ascii="Times New Roman" w:cs="Times New Roman" w:eastAsia="Times New Roman" w:hAnsi="Times New Roman"/>
          <w:sz w:val="20"/>
          <w:szCs w:val="20"/>
          <w:color w:val="auto"/>
        </w:rPr>
        <w:t>”), each of its Subsidiaries from time to time party to the Loan Agreement (as defined below) as borrower (together with Phathom, individually or collectively, as the context may require,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 other financial institutions or entities parties to this Amendment (collectively, referred to as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HERCULES CAPITAL, INC., a Maryland corporation, in its capacity as administrative agent and collateral agent for itself and the Lenders (as defined in the Loan Agreement) (together with its successors and assigns,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57"/>
        <w:spacing w:after="0" w:line="245" w:lineRule="auto"/>
        <w:tabs>
          <w:tab w:leader="none" w:pos="10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Lenders and the Agent are parties to that certain Loan and Security Agreement, dated as of September 17, 2021 (as amended by that certain Consent and First Amendment to Loan and Security Agreement dated as of May 3, 2022, as further amended by that certain Second Amendment to Loan and Security Agreement dated as of September 26, 2022, as further amended by that certain Third Amendment to Loan and Security Agreement dated as of May 9, 2023, and as further amended, restated, supplemented or otherwise modified from time to time prior to the date of this Amendment,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The Lenders have extended credit to Borrower for the purposes permitted in the Loan Agreement.</w:t>
      </w:r>
    </w:p>
    <w:p>
      <w:pPr>
        <w:spacing w:after="0" w:line="184" w:lineRule="exact"/>
        <w:rPr>
          <w:rFonts w:ascii="Times New Roman" w:cs="Times New Roman" w:eastAsia="Times New Roman" w:hAnsi="Times New Roman"/>
          <w:sz w:val="18"/>
          <w:szCs w:val="18"/>
          <w:color w:val="auto"/>
        </w:rPr>
      </w:pPr>
    </w:p>
    <w:p>
      <w:pPr>
        <w:jc w:val="both"/>
        <w:ind w:firstLine="757"/>
        <w:spacing w:after="0" w:line="245" w:lineRule="auto"/>
        <w:tabs>
          <w:tab w:leader="none" w:pos="10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requested that Agent and the Lenders amend the Loan Agreement to (i) adjust the availability of Tranche II, Tranche III and Tranche IV and the Term Loan Advances pursuant to Sections 2.1(a)(ii), 2.1(a)(iii) and 2.1(a)(iv) of the Loan Agreement, (ii) incorporate a new Tranche V and Tranche VI pursuant to Sections 2.1(a)(v) and 2.1(a)(vi) of the Loan Agreement, (iii) adjust the parameters of the financial covenants set forth in Section 7.20 of the Loan Agreement, and (iv) make certain other revisions to the Loan Agreement as more fully set forth herein. Agent and Lenders have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9"/>
          <w:szCs w:val="19"/>
          <w:b w:val="1"/>
          <w:bCs w:val="1"/>
          <w:color w:val="auto"/>
        </w:rPr>
        <w:t>Definitions; Interpretation.</w:t>
      </w:r>
    </w:p>
    <w:p>
      <w:pPr>
        <w:spacing w:after="0" w:line="227" w:lineRule="exact"/>
        <w:rPr>
          <w:sz w:val="20"/>
          <w:szCs w:val="20"/>
          <w:color w:val="auto"/>
        </w:rPr>
      </w:pPr>
    </w:p>
    <w:p>
      <w:pPr>
        <w:ind w:firstLine="757"/>
        <w:spacing w:after="0" w:line="273" w:lineRule="auto"/>
        <w:tabs>
          <w:tab w:leader="none" w:pos="10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Amendment (including in the recitals hereof)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defined herein shall have the meanings assigned to them in the Loan Agreement (as amended by this Amendment).</w:t>
      </w:r>
    </w:p>
    <w:p>
      <w:pPr>
        <w:spacing w:after="0" w:line="151" w:lineRule="exact"/>
        <w:rPr>
          <w:rFonts w:ascii="Times New Roman" w:cs="Times New Roman" w:eastAsia="Times New Roman" w:hAnsi="Times New Roman"/>
          <w:sz w:val="18"/>
          <w:szCs w:val="18"/>
          <w:color w:val="auto"/>
        </w:rPr>
      </w:pPr>
    </w:p>
    <w:p>
      <w:pPr>
        <w:ind w:firstLine="757"/>
        <w:spacing w:after="0" w:line="273" w:lineRule="auto"/>
        <w:tabs>
          <w:tab w:leader="none" w:pos="10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in Section 1.2 of the Loan Agreement shall be applicable 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incorporated herein by this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9"/>
          <w:szCs w:val="19"/>
          <w:b w:val="1"/>
          <w:bCs w:val="1"/>
          <w:color w:val="auto"/>
        </w:rPr>
        <w:t>Amendments to the Loan Agreement.</w:t>
      </w:r>
    </w:p>
    <w:p>
      <w:pPr>
        <w:spacing w:after="0" w:line="231" w:lineRule="exact"/>
        <w:rPr>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occurrence of the Fourth Amendment Effective Date, the Loan Agreement is hereby amended as follows:</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New Definition</w:t>
      </w:r>
      <w:r>
        <w:rPr>
          <w:rFonts w:ascii="Times New Roman" w:cs="Times New Roman" w:eastAsia="Times New Roman" w:hAnsi="Times New Roman"/>
          <w:sz w:val="20"/>
          <w:szCs w:val="20"/>
          <w:color w:val="auto"/>
        </w:rPr>
        <w:t>.  The following definitions are added to Section 1.1 of the Loan Agreement in their proper</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alphabetical order:</w:t>
      </w:r>
    </w:p>
    <w:p>
      <w:pPr>
        <w:spacing w:after="0" w:line="19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greater of (a) (i) the Prime Rate plus (ii) 1.35%, and (b) 9.85%.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0" w:name="page171"/>
    <w:bookmarkEnd w:id="170"/>
    <w:p>
      <w:pPr>
        <w:jc w:val="both"/>
        <w:ind w:left="380" w:right="20" w:firstLine="3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means that certain Fourth Amendment to Loan and Security Agreement, dated as of December 14, 2023, by and among the Borrower, Agent and the Lenders party thereto.</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 has the meaning given to such term in the Fourth Amendment.</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Modified Rate</w:t>
      </w:r>
      <w:r>
        <w:rPr>
          <w:rFonts w:ascii="Times New Roman" w:cs="Times New Roman" w:eastAsia="Times New Roman" w:hAnsi="Times New Roman"/>
          <w:sz w:val="20"/>
          <w:szCs w:val="20"/>
          <w:color w:val="auto"/>
        </w:rPr>
        <w:t>” means the greater of (a) (i) the Prime Rate plus (ii) 1.00%, and (b) 9.50%.</w:t>
      </w:r>
    </w:p>
    <w:p>
      <w:pPr>
        <w:spacing w:after="0" w:line="216" w:lineRule="exact"/>
        <w:rPr>
          <w:sz w:val="20"/>
          <w:szCs w:val="20"/>
          <w:color w:val="auto"/>
        </w:rPr>
      </w:pPr>
    </w:p>
    <w:p>
      <w:pPr>
        <w:jc w:val="both"/>
        <w:ind w:left="38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B Milestone Date</w:t>
      </w:r>
      <w:r>
        <w:rPr>
          <w:rFonts w:ascii="Times New Roman" w:cs="Times New Roman" w:eastAsia="Times New Roman" w:hAnsi="Times New Roman"/>
          <w:sz w:val="20"/>
          <w:szCs w:val="20"/>
          <w:color w:val="auto"/>
        </w:rPr>
        <w:t>” means the first date on which Borrower has reported to Agent, subject to verification by Agent (acting reasonably), that T3M Net Product Revenue was no less than $35,000,000 for any three-month period ending on the final day of any month falling from the Fourth Amendment Effective Date until the Term Loan Maturity Date.</w:t>
      </w:r>
    </w:p>
    <w:p>
      <w:pPr>
        <w:spacing w:after="0" w:line="176" w:lineRule="exact"/>
        <w:rPr>
          <w:sz w:val="20"/>
          <w:szCs w:val="20"/>
          <w:color w:val="auto"/>
        </w:rPr>
      </w:pPr>
    </w:p>
    <w:p>
      <w:pPr>
        <w:jc w:val="both"/>
        <w:ind w:left="3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lesser of (a) the “prime rate”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any successor publication thereto, and (b) 9.00%.</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w:t>
      </w:r>
      <w:r>
        <w:rPr>
          <w:rFonts w:ascii="Times New Roman" w:cs="Times New Roman" w:eastAsia="Times New Roman" w:hAnsi="Times New Roman"/>
          <w:sz w:val="20"/>
          <w:szCs w:val="20"/>
          <w:color w:val="auto"/>
        </w:rPr>
        <w:t xml:space="preserve">” means the advances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II Facility Charge</w:t>
      </w:r>
      <w:r>
        <w:rPr>
          <w:rFonts w:ascii="Times New Roman" w:cs="Times New Roman" w:eastAsia="Times New Roman" w:hAnsi="Times New Roman"/>
          <w:sz w:val="20"/>
          <w:szCs w:val="20"/>
          <w:color w:val="auto"/>
        </w:rPr>
        <w:t>” means 0.50% of the principal amount of any Advance pursuant to Tranche II, which is payable to Lenders in accordance with Section 4.2(d).</w:t>
      </w:r>
    </w:p>
    <w:p>
      <w:pPr>
        <w:spacing w:after="0" w:line="159" w:lineRule="exact"/>
        <w:rPr>
          <w:sz w:val="20"/>
          <w:szCs w:val="20"/>
          <w:color w:val="auto"/>
        </w:rPr>
      </w:pPr>
    </w:p>
    <w:p>
      <w:pPr>
        <w:jc w:val="both"/>
        <w:ind w:left="38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III Milestone Date</w:t>
      </w:r>
      <w:r>
        <w:rPr>
          <w:rFonts w:ascii="Times New Roman" w:cs="Times New Roman" w:eastAsia="Times New Roman" w:hAnsi="Times New Roman"/>
          <w:sz w:val="20"/>
          <w:szCs w:val="20"/>
          <w:color w:val="auto"/>
        </w:rPr>
        <w:t>” means the earliest to occur of (a) March 15, 2024, and (b) the date on which Tranche II is drawn in full.</w:t>
      </w:r>
    </w:p>
    <w:p>
      <w:pPr>
        <w:spacing w:after="0" w:line="159" w:lineRule="exact"/>
        <w:rPr>
          <w:sz w:val="20"/>
          <w:szCs w:val="20"/>
          <w:color w:val="auto"/>
        </w:rPr>
      </w:pPr>
    </w:p>
    <w:p>
      <w:pPr>
        <w:jc w:val="both"/>
        <w:ind w:left="3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IV Milestone Date</w:t>
      </w:r>
      <w:r>
        <w:rPr>
          <w:rFonts w:ascii="Times New Roman" w:cs="Times New Roman" w:eastAsia="Times New Roman" w:hAnsi="Times New Roman"/>
          <w:sz w:val="20"/>
          <w:szCs w:val="20"/>
          <w:color w:val="auto"/>
        </w:rPr>
        <w:t>” means the earliest to occur of (a) June 15, 2024, and (b) the date on which Tranche III is drawn in full.</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w:t>
      </w:r>
      <w:r>
        <w:rPr>
          <w:rFonts w:ascii="Times New Roman" w:cs="Times New Roman" w:eastAsia="Times New Roman" w:hAnsi="Times New Roman"/>
          <w:sz w:val="20"/>
          <w:szCs w:val="20"/>
          <w:color w:val="auto"/>
        </w:rPr>
        <w:t xml:space="preserve">” means the advances pursuant to </w:t>
      </w:r>
      <w:r>
        <w:rPr>
          <w:rFonts w:ascii="Times New Roman" w:cs="Times New Roman" w:eastAsia="Times New Roman" w:hAnsi="Times New Roman"/>
          <w:sz w:val="20"/>
          <w:szCs w:val="20"/>
          <w:u w:val="single" w:color="auto"/>
          <w:color w:val="auto"/>
        </w:rPr>
        <w:t>Section 2.1(a)(v)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8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 Facility Charge</w:t>
      </w:r>
      <w:r>
        <w:rPr>
          <w:rFonts w:ascii="Times New Roman" w:cs="Times New Roman" w:eastAsia="Times New Roman" w:hAnsi="Times New Roman"/>
          <w:sz w:val="20"/>
          <w:szCs w:val="20"/>
          <w:color w:val="auto"/>
        </w:rPr>
        <w:t>” means 0.50% of the principal amount of any Advance pursuant to Tranche V, which is payable to Lenders in accordance with Section 4.2(g).</w:t>
      </w:r>
    </w:p>
    <w:p>
      <w:pPr>
        <w:spacing w:after="0" w:line="159" w:lineRule="exact"/>
        <w:rPr>
          <w:sz w:val="20"/>
          <w:szCs w:val="20"/>
          <w:color w:val="auto"/>
        </w:rPr>
      </w:pPr>
    </w:p>
    <w:p>
      <w:pPr>
        <w:jc w:val="both"/>
        <w:ind w:left="38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 Milestone Date</w:t>
      </w:r>
      <w:r>
        <w:rPr>
          <w:rFonts w:ascii="Times New Roman" w:cs="Times New Roman" w:eastAsia="Times New Roman" w:hAnsi="Times New Roman"/>
          <w:sz w:val="20"/>
          <w:szCs w:val="20"/>
          <w:color w:val="auto"/>
        </w:rPr>
        <w:t>” means the first date on which Borrower has reported to Agent, subject to verification by Agent (acting reasonably), that T3M Net Product Revenue was no less than $60,000,000 for any three-month period ending on the final day of any month falling from the Fourth Amendment Effective Date until (and including) June 30, 2025.</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VI</w:t>
      </w:r>
      <w:r>
        <w:rPr>
          <w:rFonts w:ascii="Times New Roman" w:cs="Times New Roman" w:eastAsia="Times New Roman" w:hAnsi="Times New Roman"/>
          <w:sz w:val="20"/>
          <w:szCs w:val="20"/>
          <w:color w:val="auto"/>
        </w:rPr>
        <w:t xml:space="preserve">” means the advances pursuant to </w:t>
      </w:r>
      <w:r>
        <w:rPr>
          <w:rFonts w:ascii="Times New Roman" w:cs="Times New Roman" w:eastAsia="Times New Roman" w:hAnsi="Times New Roman"/>
          <w:sz w:val="20"/>
          <w:szCs w:val="20"/>
          <w:u w:val="single" w:color="auto"/>
          <w:color w:val="auto"/>
        </w:rPr>
        <w:t>Section 2.1(a)(vi)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8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VI Facility Charge</w:t>
      </w:r>
      <w:r>
        <w:rPr>
          <w:rFonts w:ascii="Times New Roman" w:cs="Times New Roman" w:eastAsia="Times New Roman" w:hAnsi="Times New Roman"/>
          <w:sz w:val="20"/>
          <w:szCs w:val="20"/>
          <w:color w:val="auto"/>
        </w:rPr>
        <w:t>” means 0.50% of the principal amount of any Advance pursuant to Tranche VI, which is payable to Lenders in accordance with Section 4.2(h).</w:t>
      </w:r>
    </w:p>
    <w:p>
      <w:pPr>
        <w:spacing w:after="0" w:line="159" w:lineRule="exact"/>
        <w:rPr>
          <w:sz w:val="20"/>
          <w:szCs w:val="20"/>
          <w:color w:val="auto"/>
        </w:rPr>
      </w:pPr>
    </w:p>
    <w:p>
      <w:pPr>
        <w:jc w:val="both"/>
        <w:ind w:left="3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VI Milestone Date</w:t>
      </w:r>
      <w:r>
        <w:rPr>
          <w:rFonts w:ascii="Times New Roman" w:cs="Times New Roman" w:eastAsia="Times New Roman" w:hAnsi="Times New Roman"/>
          <w:sz w:val="20"/>
          <w:szCs w:val="20"/>
          <w:color w:val="auto"/>
        </w:rPr>
        <w:t>” means the first date on which Borrower has reported to Agent, subject to verification by Agent (acting reasonably), that T3M Net Product Revenue was no less than $80,000,000 for any three-month period ending on the final day</w:t>
      </w:r>
    </w:p>
    <w:p>
      <w:pPr>
        <w:spacing w:after="0" w:line="200" w:lineRule="exact"/>
        <w:rPr>
          <w:sz w:val="20"/>
          <w:szCs w:val="20"/>
          <w:color w:val="auto"/>
        </w:rPr>
      </w:pPr>
    </w:p>
    <w:p>
      <w:pPr>
        <w:spacing w:after="0" w:line="3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1" w:name="page172"/>
    <w:bookmarkEnd w:id="171"/>
    <w:p>
      <w:pPr>
        <w:ind w:left="1500"/>
        <w:spacing w:after="0"/>
        <w:rPr>
          <w:sz w:val="20"/>
          <w:szCs w:val="20"/>
          <w:color w:val="auto"/>
        </w:rPr>
      </w:pPr>
      <w:r>
        <w:rPr>
          <w:rFonts w:ascii="Times New Roman" w:cs="Times New Roman" w:eastAsia="Times New Roman" w:hAnsi="Times New Roman"/>
          <w:sz w:val="20"/>
          <w:szCs w:val="20"/>
          <w:color w:val="auto"/>
        </w:rPr>
        <w:t>of any month falling from the Fourth Amendment Effective Date until (and including) December 31, 2025.”</w:t>
      </w:r>
    </w:p>
    <w:p>
      <w:pPr>
        <w:spacing w:after="0" w:line="216" w:lineRule="exact"/>
        <w:rPr>
          <w:sz w:val="20"/>
          <w:szCs w:val="20"/>
          <w:color w:val="auto"/>
        </w:rPr>
      </w:pPr>
    </w:p>
    <w:p>
      <w:pPr>
        <w:ind w:firstLine="1505"/>
        <w:spacing w:after="0" w:line="269" w:lineRule="auto"/>
        <w:tabs>
          <w:tab w:leader="none" w:pos="20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Amended and Restated Definitions</w:t>
      </w:r>
      <w:r>
        <w:rPr>
          <w:rFonts w:ascii="Times New Roman" w:cs="Times New Roman" w:eastAsia="Times New Roman" w:hAnsi="Times New Roman"/>
          <w:sz w:val="20"/>
          <w:szCs w:val="20"/>
          <w:color w:val="auto"/>
        </w:rPr>
        <w:t>. The following definitions appearing in Section 1.1 of the Loan Agreement are hereby amended in their entirety and replaced with the following:</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Amortization Date</w:t>
      </w:r>
      <w:r>
        <w:rPr>
          <w:rFonts w:ascii="Times New Roman" w:cs="Times New Roman" w:eastAsia="Times New Roman" w:hAnsi="Times New Roman"/>
          <w:sz w:val="20"/>
          <w:szCs w:val="20"/>
          <w:color w:val="auto"/>
        </w:rPr>
        <w:t>” means December 1, 2027.</w:t>
      </w:r>
    </w:p>
    <w:p>
      <w:pPr>
        <w:spacing w:after="0" w:line="216"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B</w:t>
      </w:r>
      <w:r>
        <w:rPr>
          <w:rFonts w:ascii="Times New Roman" w:cs="Times New Roman" w:eastAsia="Times New Roman" w:hAnsi="Times New Roman"/>
          <w:sz w:val="20"/>
          <w:szCs w:val="20"/>
          <w:color w:val="auto"/>
        </w:rPr>
        <w:t>” means that Borrower at all times maintains Qualified Cash in an amount greater than or equal to (x) the outstanding principal amount of the Term Loan Advances, multiplied by (y) (i) at all times prior to the Performance Covenant B Milestone Date, 50%, and (ii) at all times on and after the Performance Covenant B Milestone Date, 35%.</w:t>
      </w:r>
    </w:p>
    <w:p>
      <w:pPr>
        <w:spacing w:after="0" w:line="180"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C</w:t>
      </w:r>
      <w:r>
        <w:rPr>
          <w:rFonts w:ascii="Times New Roman" w:cs="Times New Roman" w:eastAsia="Times New Roman" w:hAnsi="Times New Roman"/>
          <w:sz w:val="20"/>
          <w:szCs w:val="20"/>
          <w:color w:val="auto"/>
        </w:rPr>
        <w:t>” means Borrower’s achievement of T3M Net Product Revenue equal to or greater than the least of (i) (x) as of any testing date occurring from January 1, 2024 until December 31, 2024, 30% of the amount set forth for the applicable month in the Performance Covenant C Schedule, or (y) thereafter, 25% of the amount set forth for the applicable month in the Performance Covenant C Schedule, and (ii) $120,000,000, tested monthly.</w:t>
      </w:r>
    </w:p>
    <w:p>
      <w:pPr>
        <w:spacing w:after="0" w:line="180"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C Schedule</w:t>
      </w:r>
      <w:r>
        <w:rPr>
          <w:rFonts w:ascii="Times New Roman" w:cs="Times New Roman" w:eastAsia="Times New Roman" w:hAnsi="Times New Roman"/>
          <w:sz w:val="20"/>
          <w:szCs w:val="20"/>
          <w:color w:val="auto"/>
        </w:rPr>
        <w:t>” means that certain Performance Covenant C Schedule delivered by Borrower to the Agent, and approved by the Agent, after the Third Amendment Effective Date but prior to the Fourth Amendment Effective Date.</w:t>
      </w:r>
    </w:p>
    <w:p>
      <w:pPr>
        <w:spacing w:after="0" w:line="174" w:lineRule="exact"/>
        <w:rPr>
          <w:sz w:val="20"/>
          <w:szCs w:val="20"/>
          <w:color w:val="auto"/>
        </w:rPr>
      </w:pPr>
    </w:p>
    <w:p>
      <w:pPr>
        <w:jc w:val="both"/>
        <w:ind w:left="1500" w:firstLine="74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Cash Interest Rate</w:t>
      </w:r>
      <w:r>
        <w:rPr>
          <w:rFonts w:ascii="Times New Roman" w:cs="Times New Roman" w:eastAsia="Times New Roman" w:hAnsi="Times New Roman"/>
          <w:sz w:val="19"/>
          <w:szCs w:val="19"/>
          <w:color w:val="auto"/>
        </w:rPr>
        <w:t>” means, for any day, a per annum rate of interest equal to (a) prior to the Fourth Amendment Effective Date, the greater of (i) (x) the prime rate as reported in The Wall Street Journal plus (y) 2.25%, and</w:t>
      </w:r>
    </w:p>
    <w:p>
      <w:pPr>
        <w:ind w:left="1500" w:firstLine="5"/>
        <w:spacing w:after="0" w:line="246" w:lineRule="auto"/>
        <w:tabs>
          <w:tab w:leader="none" w:pos="181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5.50%, and (b) on and from the Fourth Amendment Effective Date, (i) prior to the Tranche VI Milestone Date, the Base Rate, and (ii) on and from the Tranche VI Milestone Date, the Modified Rate.</w:t>
      </w:r>
    </w:p>
    <w:p>
      <w:pPr>
        <w:spacing w:after="0" w:line="182" w:lineRule="exact"/>
        <w:rPr>
          <w:sz w:val="20"/>
          <w:szCs w:val="20"/>
          <w:color w:val="auto"/>
        </w:rPr>
      </w:pPr>
    </w:p>
    <w:p>
      <w:pPr>
        <w:ind w:left="15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means December 1, 2027; provided that if such day is not a Business Day, the Term Loan Maturity Date shall be the immediately preceding Business Day.</w:t>
      </w:r>
    </w:p>
    <w:p>
      <w:pPr>
        <w:spacing w:after="0" w:line="159"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PIK Interest Rate</w:t>
      </w:r>
      <w:r>
        <w:rPr>
          <w:rFonts w:ascii="Times New Roman" w:cs="Times New Roman" w:eastAsia="Times New Roman" w:hAnsi="Times New Roman"/>
          <w:sz w:val="20"/>
          <w:szCs w:val="20"/>
          <w:color w:val="auto"/>
        </w:rPr>
        <w:t>” means, for any day, a per annum rate of interest equal to (a) on any day prior to the Fourth Amendment Effective Date, 3.35%, and (b) thereafter, 2.15%.</w:t>
      </w:r>
    </w:p>
    <w:p>
      <w:pPr>
        <w:spacing w:after="0" w:line="159" w:lineRule="exact"/>
        <w:rPr>
          <w:sz w:val="20"/>
          <w:szCs w:val="20"/>
          <w:color w:val="auto"/>
        </w:rPr>
      </w:pPr>
    </w:p>
    <w:p>
      <w:pPr>
        <w:ind w:left="15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III Facility Charge</w:t>
      </w:r>
      <w:r>
        <w:rPr>
          <w:rFonts w:ascii="Times New Roman" w:cs="Times New Roman" w:eastAsia="Times New Roman" w:hAnsi="Times New Roman"/>
          <w:sz w:val="20"/>
          <w:szCs w:val="20"/>
          <w:color w:val="auto"/>
        </w:rPr>
        <w:t>” means 0.50% of the principal amount of any Advance pursuant to Tranche II, which is payable to Lenders in accordance with Section 4.2(e).</w:t>
      </w:r>
    </w:p>
    <w:p>
      <w:pPr>
        <w:spacing w:after="0" w:line="159" w:lineRule="exact"/>
        <w:rPr>
          <w:sz w:val="20"/>
          <w:szCs w:val="20"/>
          <w:color w:val="auto"/>
        </w:rPr>
      </w:pPr>
    </w:p>
    <w:p>
      <w:pPr>
        <w:ind w:left="15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IV Facility Charge</w:t>
      </w:r>
      <w:r>
        <w:rPr>
          <w:rFonts w:ascii="Times New Roman" w:cs="Times New Roman" w:eastAsia="Times New Roman" w:hAnsi="Times New Roman"/>
          <w:sz w:val="20"/>
          <w:szCs w:val="20"/>
          <w:color w:val="auto"/>
        </w:rPr>
        <w:t>” means 0.50% of the principal amount of any Advance pursuant to Tranche II, which is payable to Lenders in accordance with Section 4.2(f).”</w:t>
      </w:r>
    </w:p>
    <w:p>
      <w:pPr>
        <w:spacing w:after="0" w:line="159" w:lineRule="exact"/>
        <w:rPr>
          <w:sz w:val="20"/>
          <w:szCs w:val="20"/>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Deleted Definitions</w:t>
      </w:r>
      <w:r>
        <w:rPr>
          <w:rFonts w:ascii="Times New Roman" w:cs="Times New Roman" w:eastAsia="Times New Roman" w:hAnsi="Times New Roman"/>
          <w:sz w:val="20"/>
          <w:szCs w:val="20"/>
          <w:color w:val="auto"/>
        </w:rPr>
        <w:t>.  The following defined terms set forth in Section 1.1 of the Loan Agreement hereby are</w:t>
      </w:r>
    </w:p>
    <w:p>
      <w:pPr>
        <w:spacing w:after="0" w:line="21" w:lineRule="exact"/>
        <w:rPr>
          <w:rFonts w:ascii="Times New Roman" w:cs="Times New Roman" w:eastAsia="Times New Roman" w:hAnsi="Times New Roman"/>
          <w:sz w:val="18"/>
          <w:szCs w:val="18"/>
          <w:color w:val="auto"/>
        </w:rPr>
      </w:pPr>
    </w:p>
    <w:p>
      <w:pPr>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deleted in their entirety: “</w:t>
      </w:r>
      <w:r>
        <w:rPr>
          <w:rFonts w:ascii="Times New Roman" w:cs="Times New Roman" w:eastAsia="Times New Roman" w:hAnsi="Times New Roman"/>
          <w:sz w:val="20"/>
          <w:szCs w:val="20"/>
          <w:i w:val="1"/>
          <w:iCs w:val="1"/>
          <w:color w:val="auto"/>
        </w:rPr>
        <w:t>Availability Trigger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First Interest Only Extension Conditions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Initial Performance Covenant Test 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Performance Test Period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PDUFA Action 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Second Interest Only Extension Conditions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ind w:firstLine="1505"/>
        <w:spacing w:after="0" w:line="269" w:lineRule="auto"/>
        <w:tabs>
          <w:tab w:leader="none" w:pos="20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Amended and Restated Cross References</w:t>
      </w:r>
      <w:r>
        <w:rPr>
          <w:rFonts w:ascii="Times New Roman" w:cs="Times New Roman" w:eastAsia="Times New Roman" w:hAnsi="Times New Roman"/>
          <w:sz w:val="20"/>
          <w:szCs w:val="20"/>
          <w:color w:val="auto"/>
        </w:rPr>
        <w:t>. The following terms appearing in Section 1.2 of the Loan Agreement are hereby amended in their entirety and replaced with the following:</w:t>
      </w:r>
    </w:p>
    <w:p>
      <w:pPr>
        <w:spacing w:after="0" w:line="182" w:lineRule="exact"/>
        <w:rPr>
          <w:sz w:val="20"/>
          <w:szCs w:val="20"/>
          <w:color w:val="auto"/>
        </w:rPr>
      </w:pPr>
    </w:p>
    <w:tbl>
      <w:tblPr>
        <w:tblLayout w:type="fixed"/>
        <w:tblInd w:w="2550" w:type="dxa"/>
        <w:tblCellMar>
          <w:top w:w="0" w:type="dxa"/>
          <w:left w:w="0" w:type="dxa"/>
          <w:bottom w:w="0" w:type="dxa"/>
          <w:right w:w="0" w:type="dxa"/>
        </w:tblCellMar>
      </w:tblPr>
      <w:tr>
        <w:trPr>
          <w:trHeight w:val="283"/>
        </w:trPr>
        <w:tc>
          <w:tcPr>
            <w:tcW w:w="3260" w:type="dxa"/>
            <w:vAlign w:val="bottom"/>
            <w:tcBorders>
              <w:left w:val="single" w:sz="8" w:color="auto"/>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Defined Term</w:t>
            </w:r>
          </w:p>
        </w:tc>
        <w:tc>
          <w:tcPr>
            <w:tcW w:w="292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Section</w:t>
            </w:r>
          </w:p>
        </w:tc>
      </w:tr>
      <w:tr>
        <w:trPr>
          <w:trHeight w:val="241"/>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“Assignee”</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8"/>
              </w:rPr>
              <w:t>11.13</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“Borrower”</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37"/>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8"/>
              </w:rPr>
              <w:t>11.10</w:t>
            </w:r>
          </w:p>
        </w:tc>
      </w:tr>
      <w:tr>
        <w:trPr>
          <w:trHeight w:val="236"/>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37"/>
        </w:trPr>
        <w:tc>
          <w:tcPr>
            <w:tcW w:w="3260" w:type="dxa"/>
            <w:vAlign w:val="bottom"/>
            <w:tcBorders>
              <w:left w:val="single" w:sz="8" w:color="666666"/>
              <w:bottom w:val="single" w:sz="8" w:color="666666"/>
              <w:right w:val="single" w:sz="8" w:color="666666"/>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“Confidential Information”</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8"/>
              </w:rPr>
              <w:t>11.12</w:t>
            </w:r>
          </w:p>
        </w:tc>
      </w:tr>
      <w:tr>
        <w:trPr>
          <w:trHeight w:val="236"/>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 of Term Charge”</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37"/>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“Event of Default”</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36"/>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End of Term Charge”</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Rate”</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Covenant</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7.20</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Cure”</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rPr>
              <w:t>Cure”</w:t>
            </w:r>
          </w:p>
        </w:tc>
      </w:tr>
      <w:tr>
        <w:trPr>
          <w:trHeight w:val="236"/>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“Prepayment Charge”</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37"/>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“Publicity Materials”</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8"/>
              </w:rPr>
              <w:t>11.18</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 to Payment”</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“SBA”</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7.16</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“SBIC”</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rPr>
              <w:t>7.16</w:t>
            </w:r>
          </w:p>
        </w:tc>
      </w:tr>
      <w:tr>
        <w:trPr>
          <w:trHeight w:val="237"/>
        </w:trPr>
        <w:tc>
          <w:tcPr>
            <w:tcW w:w="3260" w:type="dxa"/>
            <w:vAlign w:val="bottom"/>
            <w:tcBorders>
              <w:left w:val="single" w:sz="8" w:color="666666"/>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“SBIC Act”</w:t>
            </w:r>
          </w:p>
        </w:tc>
        <w:tc>
          <w:tcPr>
            <w:tcW w:w="2920" w:type="dxa"/>
            <w:vAlign w:val="bottom"/>
            <w:tcBorders>
              <w:bottom w:val="single" w:sz="8" w:color="666666"/>
              <w:right w:val="single" w:sz="8" w:color="666666"/>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rPr>
              <w:t>7.16</w:t>
            </w:r>
          </w:p>
        </w:tc>
      </w:tr>
      <w:tr>
        <w:trPr>
          <w:trHeight w:val="236"/>
        </w:trPr>
        <w:tc>
          <w:tcPr>
            <w:tcW w:w="3260" w:type="dxa"/>
            <w:vAlign w:val="bottom"/>
            <w:tcBorders>
              <w:left w:val="single" w:sz="8" w:color="666666"/>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“Subsequent End of Term Charge”</w:t>
            </w:r>
          </w:p>
        </w:tc>
        <w:tc>
          <w:tcPr>
            <w:tcW w:w="2920" w:type="dxa"/>
            <w:vAlign w:val="bottom"/>
            <w:tcBorders>
              <w:bottom w:val="single" w:sz="8" w:color="666666"/>
              <w:right w:val="single" w:sz="8" w:color="666666"/>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bl>
    <w:p>
      <w:pPr>
        <w:spacing w:after="0" w:line="207" w:lineRule="exact"/>
        <w:rPr>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II Commitment</w:t>
      </w:r>
      <w:r>
        <w:rPr>
          <w:rFonts w:ascii="Times New Roman" w:cs="Times New Roman" w:eastAsia="Times New Roman" w:hAnsi="Times New Roman"/>
          <w:sz w:val="20"/>
          <w:szCs w:val="20"/>
          <w:color w:val="auto"/>
        </w:rPr>
        <w:t>. Section 2.1(a)(ii)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0" w:lineRule="exact"/>
        <w:rPr>
          <w:sz w:val="20"/>
          <w:szCs w:val="20"/>
          <w:color w:val="auto"/>
        </w:rPr>
      </w:pPr>
    </w:p>
    <w:p>
      <w:pPr>
        <w:jc w:val="both"/>
        <w:ind w:left="15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i w:val="1"/>
          <w:iCs w:val="1"/>
          <w:color w:val="auto"/>
        </w:rPr>
        <w:t>Tranche II</w:t>
      </w:r>
      <w:r>
        <w:rPr>
          <w:rFonts w:ascii="Times New Roman" w:cs="Times New Roman" w:eastAsia="Times New Roman" w:hAnsi="Times New Roman"/>
          <w:sz w:val="20"/>
          <w:szCs w:val="20"/>
          <w:color w:val="auto"/>
        </w:rPr>
        <w:t xml:space="preserve">. Subject to the terms and conditions of this Agreement, beginning on the Fourth Amendment Effective Date and continuing through and including March 15, 2024, Borrower may request, and Lenders shall severally (and not jointly) make, one or more additional Term Loan Advances in minimum increments of $10,000,000 (or if less than $10,000,000, the remaining amount of Term Loan Advances available to be drawn pursuant to this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 in an aggregate principal amount up to $50,000,000. Borrower shall request no less than $40,000,000 in Term Loan Advances under this Section 2.1(a)(ii) on the Fourth Amendment Effective Date.”</w:t>
      </w:r>
    </w:p>
    <w:p>
      <w:pPr>
        <w:spacing w:after="0" w:line="183" w:lineRule="exact"/>
        <w:rPr>
          <w:sz w:val="20"/>
          <w:szCs w:val="20"/>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III Commitment</w:t>
      </w:r>
      <w:r>
        <w:rPr>
          <w:rFonts w:ascii="Times New Roman" w:cs="Times New Roman" w:eastAsia="Times New Roman" w:hAnsi="Times New Roman"/>
          <w:sz w:val="20"/>
          <w:szCs w:val="20"/>
          <w:color w:val="auto"/>
        </w:rPr>
        <w:t>. Section 2.1(a)(iii)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0" w:lineRule="exact"/>
        <w:rPr>
          <w:sz w:val="20"/>
          <w:szCs w:val="20"/>
          <w:color w:val="auto"/>
        </w:rPr>
      </w:pPr>
    </w:p>
    <w:p>
      <w:pPr>
        <w:ind w:left="1500" w:firstLine="749"/>
        <w:spacing w:after="0" w:line="273"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Tranche III</w:t>
      </w:r>
      <w:r>
        <w:rPr>
          <w:rFonts w:ascii="Times New Roman" w:cs="Times New Roman" w:eastAsia="Times New Roman" w:hAnsi="Times New Roman"/>
          <w:sz w:val="20"/>
          <w:szCs w:val="20"/>
          <w:color w:val="auto"/>
        </w:rPr>
        <w:t>. Subject to the terms and conditions of this Agreement, beginning on the occurrence of the Tranche III Milestone Date and continuing through and</w:t>
      </w:r>
    </w:p>
    <w:p>
      <w:pPr>
        <w:spacing w:after="0" w:line="200" w:lineRule="exact"/>
        <w:rPr>
          <w:sz w:val="20"/>
          <w:szCs w:val="20"/>
          <w:color w:val="auto"/>
        </w:rPr>
      </w:pPr>
    </w:p>
    <w:p>
      <w:pPr>
        <w:spacing w:after="0" w:line="35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ind w:left="1500"/>
        <w:spacing w:after="0" w:line="269" w:lineRule="auto"/>
        <w:rPr>
          <w:sz w:val="20"/>
          <w:szCs w:val="20"/>
          <w:color w:val="auto"/>
        </w:rPr>
      </w:pPr>
      <w:r>
        <w:rPr>
          <w:rFonts w:ascii="Times New Roman" w:cs="Times New Roman" w:eastAsia="Times New Roman" w:hAnsi="Times New Roman"/>
          <w:sz w:val="20"/>
          <w:szCs w:val="20"/>
          <w:color w:val="auto"/>
        </w:rPr>
        <w:t>including June 15, 2024, Borrower may request, and Lenders shall severally (and not jointly) make, a single Term Loan Advance in a principal amount of $25,000,000.”</w:t>
      </w:r>
    </w:p>
    <w:p>
      <w:pPr>
        <w:spacing w:after="0" w:line="159" w:lineRule="exact"/>
        <w:rPr>
          <w:sz w:val="20"/>
          <w:szCs w:val="20"/>
          <w:color w:val="auto"/>
        </w:rPr>
      </w:pPr>
    </w:p>
    <w:p>
      <w:pPr>
        <w:ind w:left="2040" w:hanging="535"/>
        <w:spacing w:after="0"/>
        <w:tabs>
          <w:tab w:leader="none" w:pos="2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IV Commitment</w:t>
      </w:r>
      <w:r>
        <w:rPr>
          <w:rFonts w:ascii="Times New Roman" w:cs="Times New Roman" w:eastAsia="Times New Roman" w:hAnsi="Times New Roman"/>
          <w:sz w:val="20"/>
          <w:szCs w:val="20"/>
          <w:color w:val="auto"/>
        </w:rPr>
        <w:t>. Section 2.1(a)(iv)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0"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0"/>
          <w:szCs w:val="20"/>
          <w:i w:val="1"/>
          <w:iCs w:val="1"/>
          <w:color w:val="auto"/>
        </w:rPr>
        <w:t>Tranche IV</w:t>
      </w:r>
      <w:r>
        <w:rPr>
          <w:rFonts w:ascii="Times New Roman" w:cs="Times New Roman" w:eastAsia="Times New Roman" w:hAnsi="Times New Roman"/>
          <w:sz w:val="20"/>
          <w:szCs w:val="20"/>
          <w:color w:val="auto"/>
        </w:rPr>
        <w:t>. Subject to the terms and conditions of this Agreement, beginning on the occurrence of the Tranche IV Milestone Date and continuing through and including December 15, 2024, Borrower may request, and Lenders shall severally (and not jointly) make, a single Term Loan Advance in a principal amount of $25,000,000.”</w:t>
      </w:r>
    </w:p>
    <w:p>
      <w:pPr>
        <w:spacing w:after="0" w:line="173" w:lineRule="exact"/>
        <w:rPr>
          <w:sz w:val="20"/>
          <w:szCs w:val="20"/>
          <w:color w:val="auto"/>
        </w:rPr>
      </w:pPr>
    </w:p>
    <w:p>
      <w:pPr>
        <w:ind w:left="2040" w:hanging="535"/>
        <w:spacing w:after="0"/>
        <w:tabs>
          <w:tab w:leader="none" w:pos="2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Tranche V Commitment</w:t>
      </w:r>
      <w:r>
        <w:rPr>
          <w:rFonts w:ascii="Times New Roman" w:cs="Times New Roman" w:eastAsia="Times New Roman" w:hAnsi="Times New Roman"/>
          <w:sz w:val="19"/>
          <w:szCs w:val="19"/>
          <w:color w:val="auto"/>
        </w:rPr>
        <w:t>. The following new Section 2.1(a)(v) of the Loan Agreement is hereby inserted in Section</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2.1 of the Loan Agreement immediately following Section 2.1(a)(iv):</w:t>
      </w:r>
    </w:p>
    <w:p>
      <w:pPr>
        <w:spacing w:after="0" w:line="190" w:lineRule="exact"/>
        <w:rPr>
          <w:sz w:val="20"/>
          <w:szCs w:val="20"/>
          <w:color w:val="auto"/>
        </w:rPr>
      </w:pPr>
    </w:p>
    <w:p>
      <w:pPr>
        <w:jc w:val="both"/>
        <w:ind w:left="15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“(v) </w:t>
      </w:r>
      <w:r>
        <w:rPr>
          <w:rFonts w:ascii="Times New Roman" w:cs="Times New Roman" w:eastAsia="Times New Roman" w:hAnsi="Times New Roman"/>
          <w:sz w:val="20"/>
          <w:szCs w:val="20"/>
          <w:i w:val="1"/>
          <w:iCs w:val="1"/>
          <w:color w:val="auto"/>
        </w:rPr>
        <w:t>Tranche V</w:t>
      </w:r>
      <w:r>
        <w:rPr>
          <w:rFonts w:ascii="Times New Roman" w:cs="Times New Roman" w:eastAsia="Times New Roman" w:hAnsi="Times New Roman"/>
          <w:sz w:val="20"/>
          <w:szCs w:val="20"/>
          <w:color w:val="auto"/>
        </w:rPr>
        <w:t xml:space="preserve">. Subject to the terms and conditions of this Agreement, beginning on the occurrence of the Tranche V Milestone Date and continuing through and including the earlier of (A) June 30, 2025 and (B) the date which is 90 days after the Tranche V Milestone Date, Borrower may request, and Lenders shall severally (and not jointly) make, one or more additional Term Loan Advances in minimum increments of $25,000,000 (or if less than $25,000,000, the remaining amount of Term Loan Advances available to be drawn pursuant to this </w:t>
      </w:r>
      <w:r>
        <w:rPr>
          <w:rFonts w:ascii="Times New Roman" w:cs="Times New Roman" w:eastAsia="Times New Roman" w:hAnsi="Times New Roman"/>
          <w:sz w:val="20"/>
          <w:szCs w:val="20"/>
          <w:u w:val="single" w:color="auto"/>
          <w:color w:val="auto"/>
        </w:rPr>
        <w:t>Section 2.1(a)(v)</w:t>
      </w:r>
      <w:r>
        <w:rPr>
          <w:rFonts w:ascii="Times New Roman" w:cs="Times New Roman" w:eastAsia="Times New Roman" w:hAnsi="Times New Roman"/>
          <w:sz w:val="20"/>
          <w:szCs w:val="20"/>
          <w:color w:val="auto"/>
        </w:rPr>
        <w:t>) in an aggregate principal amount up to $50,000,000.”</w:t>
      </w:r>
    </w:p>
    <w:p>
      <w:pPr>
        <w:spacing w:after="0" w:line="183" w:lineRule="exact"/>
        <w:rPr>
          <w:sz w:val="20"/>
          <w:szCs w:val="20"/>
          <w:color w:val="auto"/>
        </w:rPr>
      </w:pPr>
    </w:p>
    <w:p>
      <w:pPr>
        <w:ind w:right="20" w:firstLine="1505"/>
        <w:spacing w:after="0" w:line="269" w:lineRule="auto"/>
        <w:tabs>
          <w:tab w:leader="none" w:pos="20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VI Commitment</w:t>
      </w:r>
      <w:r>
        <w:rPr>
          <w:rFonts w:ascii="Times New Roman" w:cs="Times New Roman" w:eastAsia="Times New Roman" w:hAnsi="Times New Roman"/>
          <w:sz w:val="20"/>
          <w:szCs w:val="20"/>
          <w:color w:val="auto"/>
        </w:rPr>
        <w:t>. The following new Section 2.1(a)(vi) of the Loan Agreement is hereby inserted in Section 2.1 of the Loan Agreement immediately following Section 2.1(a)(v):</w:t>
      </w:r>
    </w:p>
    <w:p>
      <w:pPr>
        <w:spacing w:after="0" w:line="155" w:lineRule="exact"/>
        <w:rPr>
          <w:sz w:val="20"/>
          <w:szCs w:val="20"/>
          <w:color w:val="auto"/>
        </w:rPr>
      </w:pPr>
    </w:p>
    <w:p>
      <w:pPr>
        <w:jc w:val="both"/>
        <w:ind w:left="15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“(vi) </w:t>
      </w:r>
      <w:r>
        <w:rPr>
          <w:rFonts w:ascii="Times New Roman" w:cs="Times New Roman" w:eastAsia="Times New Roman" w:hAnsi="Times New Roman"/>
          <w:sz w:val="20"/>
          <w:szCs w:val="20"/>
          <w:i w:val="1"/>
          <w:iCs w:val="1"/>
          <w:color w:val="auto"/>
        </w:rPr>
        <w:t>Tranche VI</w:t>
      </w:r>
      <w:r>
        <w:rPr>
          <w:rFonts w:ascii="Times New Roman" w:cs="Times New Roman" w:eastAsia="Times New Roman" w:hAnsi="Times New Roman"/>
          <w:sz w:val="20"/>
          <w:szCs w:val="20"/>
          <w:color w:val="auto"/>
        </w:rPr>
        <w:t xml:space="preserve">. Subject to the terms and conditions of this Agreement, beginning on the occurrence of the Tranche VI Milestone Date and continuing through and including the earlier of (A) December 31, 2025 and (B) the date which is 90 days after the Tranche VI Milestone Date, Borrower may request, and Lenders shall severally (and not jointly) make, one or more additional Term Loan Advances in minimum increments of $25,000,000 (or if less than $25,000,000, the remaining amount of Term Loan Advances available to be drawn pursuant to this </w:t>
      </w:r>
      <w:r>
        <w:rPr>
          <w:rFonts w:ascii="Times New Roman" w:cs="Times New Roman" w:eastAsia="Times New Roman" w:hAnsi="Times New Roman"/>
          <w:sz w:val="20"/>
          <w:szCs w:val="20"/>
          <w:u w:val="single" w:color="auto"/>
          <w:color w:val="auto"/>
        </w:rPr>
        <w:t>Section 2.1(a)(vi)</w:t>
      </w:r>
      <w:r>
        <w:rPr>
          <w:rFonts w:ascii="Times New Roman" w:cs="Times New Roman" w:eastAsia="Times New Roman" w:hAnsi="Times New Roman"/>
          <w:sz w:val="20"/>
          <w:szCs w:val="20"/>
          <w:color w:val="auto"/>
        </w:rPr>
        <w:t>) in an aggregate principal amount up to $50,000,000.”</w:t>
      </w:r>
    </w:p>
    <w:p>
      <w:pPr>
        <w:spacing w:after="0" w:line="183" w:lineRule="exact"/>
        <w:rPr>
          <w:sz w:val="20"/>
          <w:szCs w:val="20"/>
          <w:color w:val="auto"/>
        </w:rPr>
      </w:pPr>
    </w:p>
    <w:p>
      <w:pPr>
        <w:ind w:left="2040" w:hanging="535"/>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Advance Request</w:t>
      </w:r>
      <w:r>
        <w:rPr>
          <w:rFonts w:ascii="Times New Roman" w:cs="Times New Roman" w:eastAsia="Times New Roman" w:hAnsi="Times New Roman"/>
          <w:sz w:val="20"/>
          <w:szCs w:val="20"/>
          <w:color w:val="auto"/>
        </w:rPr>
        <w:t>.  Section 2.1(b) of the Loan Agreement is hereby amended in its entirety and replaced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194"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Advance Request</w:t>
      </w:r>
      <w:r>
        <w:rPr>
          <w:rFonts w:ascii="Times New Roman" w:cs="Times New Roman" w:eastAsia="Times New Roman" w:hAnsi="Times New Roman"/>
          <w:sz w:val="20"/>
          <w:szCs w:val="20"/>
          <w:color w:val="auto"/>
        </w:rPr>
        <w:t>. To obtain a Term Loan Advance, Borrower shall complete, sign and deliver an Advance Request to Agent at least ten (10) Business Days (or such shorter period as the Agent may agree to in its sole discretion) before the Advance Date, other than the Term Loan Advance to be made on the Closing Date or the Fourth Amendment Effective Date, which shall be at least one (1) Business Day before the Advance Date. Lenders shall fund the Term Loan Advance in the manner requested by the Advance Request provided that each of the conditions precedent to such Term Loan Advance is satisfied as of the requested Advance Date. The proceeds of any Term Loan Advance shall be deposited into an account that is subject to an Account Control Agreement.</w:t>
      </w:r>
    </w:p>
    <w:p>
      <w:pPr>
        <w:spacing w:after="0" w:line="200" w:lineRule="exact"/>
        <w:rPr>
          <w:sz w:val="20"/>
          <w:szCs w:val="20"/>
          <w:color w:val="auto"/>
        </w:rPr>
      </w:pP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ind w:left="2040" w:hanging="535"/>
        <w:spacing w:after="0"/>
        <w:tabs>
          <w:tab w:leader="none" w:pos="2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Prepayment</w:t>
      </w:r>
      <w:r>
        <w:rPr>
          <w:rFonts w:ascii="Times New Roman" w:cs="Times New Roman" w:eastAsia="Times New Roman" w:hAnsi="Times New Roman"/>
          <w:sz w:val="20"/>
          <w:szCs w:val="20"/>
          <w:color w:val="auto"/>
        </w:rPr>
        <w:t>. Section 2.4 of the Loan Agreement is hereby amended in its entirety and replaced with the following:</w:t>
      </w:r>
    </w:p>
    <w:p>
      <w:pPr>
        <w:spacing w:after="0" w:line="216" w:lineRule="exact"/>
        <w:rPr>
          <w:sz w:val="20"/>
          <w:szCs w:val="20"/>
          <w:color w:val="auto"/>
        </w:rPr>
      </w:pPr>
    </w:p>
    <w:p>
      <w:pPr>
        <w:jc w:val="both"/>
        <w:ind w:left="15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Prepayment</w:t>
      </w:r>
      <w:r>
        <w:rPr>
          <w:rFonts w:ascii="Times New Roman" w:cs="Times New Roman" w:eastAsia="Times New Roman" w:hAnsi="Times New Roman"/>
          <w:sz w:val="20"/>
          <w:szCs w:val="20"/>
          <w:color w:val="auto"/>
        </w:rPr>
        <w:t>. At its option, Borrower may at any time prepay all or a portion of the outstanding Advances by paying the entire principal balance (or such portion thereof), all accrued and unpaid interest thereon, together with a prepayment charge equal to (a) where such prepayment occurs prior to October 1, 2026, one and one quarter percent (1.25%) of the principal amount of the Advance being prepaid, or (b) where such prepayment occurs on or after October 1, 2026, one-half of one percent (0.50%) of the principal amount of the Advance being prepaid (a “Prepayment Charge”).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upon the occurrence of a Change in Control. Notwithstanding the foregoing, Agent and Lenders agree to waive the Prepayment Charge if (i) Borrower prepays all the outstanding advances as the result of the occurrence of a Change in Control, or (ii) Agent and Lenders or their respective Affiliates (in their sole and absolute discretion) agree in writing to refinance the Advances prior to the Term Loan Maturity Date. Any amounts paid under this Section shall be applied by Agent to the then unpaid amount of any Secured Obligations (including principal and interest) pro rata to all scheduled amounts owed. For the avoidance of doubt, if a payment hereunder becomes due and payable on a day that is not a Business Day, the due date thereof shall be the immediately preceding Business Day.”</w:t>
      </w:r>
    </w:p>
    <w:p>
      <w:pPr>
        <w:spacing w:after="0" w:line="194" w:lineRule="exact"/>
        <w:rPr>
          <w:sz w:val="20"/>
          <w:szCs w:val="20"/>
          <w:color w:val="auto"/>
        </w:rPr>
      </w:pPr>
    </w:p>
    <w:p>
      <w:pPr>
        <w:ind w:left="2040" w:hanging="535"/>
        <w:spacing w:after="0"/>
        <w:tabs>
          <w:tab w:leader="none" w:pos="2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End of Term Charge</w:t>
      </w:r>
      <w:r>
        <w:rPr>
          <w:rFonts w:ascii="Times New Roman" w:cs="Times New Roman" w:eastAsia="Times New Roman" w:hAnsi="Times New Roman"/>
          <w:sz w:val="20"/>
          <w:szCs w:val="20"/>
          <w:color w:val="auto"/>
        </w:rPr>
        <w:t>. Section 2.5 of the Loan Agreement is hereby amended in its entirety and replaced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194" w:lineRule="exact"/>
        <w:rPr>
          <w:sz w:val="20"/>
          <w:szCs w:val="20"/>
          <w:color w:val="auto"/>
        </w:rPr>
      </w:pPr>
    </w:p>
    <w:p>
      <w:pPr>
        <w:jc w:val="both"/>
        <w:ind w:left="1500" w:firstLine="749"/>
        <w:spacing w:after="0" w:line="255"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End of Term Charge</w:t>
      </w:r>
      <w:r>
        <w:rPr>
          <w:rFonts w:ascii="Times New Roman" w:cs="Times New Roman" w:eastAsia="Times New Roman" w:hAnsi="Times New Roman"/>
          <w:sz w:val="19"/>
          <w:szCs w:val="19"/>
          <w:color w:val="auto"/>
        </w:rPr>
        <w:t>. On the earliest to occur of (i) October 1, 2026,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pursuant to the terms of this Agreement, Borrower shall pay Lenders a charge of Seven Million Five Hundred Thousand Dollars ($7,500,000) (the “Initial End of Term Charge”). 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w:t>
      </w:r>
    </w:p>
    <w:p>
      <w:pPr>
        <w:spacing w:after="0" w:line="4" w:lineRule="exact"/>
        <w:rPr>
          <w:sz w:val="20"/>
          <w:szCs w:val="20"/>
          <w:color w:val="auto"/>
        </w:rPr>
      </w:pPr>
    </w:p>
    <w:p>
      <w:pPr>
        <w:jc w:val="both"/>
        <w:ind w:left="1500" w:firstLine="5"/>
        <w:spacing w:after="0"/>
        <w:tabs>
          <w:tab w:leader="none" w:pos="188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that the Secured Obligations become due and payable in full pursuant to the terms of this Agreement, Borrower shall pay Lenders a charge of the sum of (A) One Million Dollars ($1,000,000),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3.00% of the aggregate original principal amount of the Term Loan Advances made hereunder (but excluding the original principal amount of the Term Loan Advances made under Tranche I) (the “Subsequent End of Term Charge”; together with the Initial End of Term Charge, collectively, the “End of Term Charge”). Notwithstanding the required payment date of such End of Term Charge, the applicable pro rata portion of the End of Term Charge shall be deemed earned by Lenders on the date the applicable Term Loan Advance is made. For the avoidance of doubt, if a payment hereunder becomes due and payable on a day that is not a Business Day, the due date thereof shall be the immediately preceding Business Day.”</w:t>
      </w:r>
    </w:p>
    <w:p>
      <w:pPr>
        <w:spacing w:after="0" w:line="200" w:lineRule="exact"/>
        <w:rPr>
          <w:sz w:val="20"/>
          <w:szCs w:val="20"/>
          <w:color w:val="auto"/>
        </w:rPr>
      </w:pPr>
    </w:p>
    <w:p>
      <w:pPr>
        <w:spacing w:after="0" w:line="3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jc w:val="both"/>
        <w:ind w:firstLine="1505"/>
        <w:spacing w:after="0" w:line="254" w:lineRule="auto"/>
        <w:tabs>
          <w:tab w:leader="none" w:pos="20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Treatment of Prepayment Charge and End of Term Charge</w:t>
      </w:r>
      <w:r>
        <w:rPr>
          <w:rFonts w:ascii="Times New Roman" w:cs="Times New Roman" w:eastAsia="Times New Roman" w:hAnsi="Times New Roman"/>
          <w:sz w:val="20"/>
          <w:szCs w:val="20"/>
          <w:color w:val="auto"/>
        </w:rPr>
        <w:t>. All references to “the Closing Date” in Section 2.8 of the Loan Agreement shall hereby be amended in their entirety and replaced with “the Closing Date and the Fourth Amendment Effective Date”.</w:t>
      </w:r>
    </w:p>
    <w:p>
      <w:pPr>
        <w:spacing w:after="0" w:line="17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Further Conditions Precedent</w:t>
      </w:r>
      <w:r>
        <w:rPr>
          <w:rFonts w:ascii="Times New Roman" w:cs="Times New Roman" w:eastAsia="Times New Roman" w:hAnsi="Times New Roman"/>
          <w:sz w:val="20"/>
          <w:szCs w:val="20"/>
          <w:color w:val="auto"/>
        </w:rPr>
        <w:t>. Section 4.2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All Advances</w:t>
      </w:r>
      <w:r>
        <w:rPr>
          <w:rFonts w:ascii="Times New Roman" w:cs="Times New Roman" w:eastAsia="Times New Roman" w:hAnsi="Times New Roman"/>
          <w:sz w:val="20"/>
          <w:szCs w:val="20"/>
          <w:color w:val="auto"/>
        </w:rPr>
        <w:t>. On each Advance Date:</w:t>
      </w:r>
    </w:p>
    <w:p>
      <w:pPr>
        <w:spacing w:after="0" w:line="216" w:lineRule="exact"/>
        <w:rPr>
          <w:sz w:val="20"/>
          <w:szCs w:val="20"/>
          <w:color w:val="auto"/>
        </w:rPr>
      </w:pPr>
    </w:p>
    <w:p>
      <w:pPr>
        <w:jc w:val="both"/>
        <w:ind w:left="2260" w:firstLine="743"/>
        <w:spacing w:after="0" w:line="274" w:lineRule="auto"/>
        <w:tabs>
          <w:tab w:leader="none" w:pos="340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have received (i) an Advance Request for the relevant Advance as required by Section 2.1(b), duly executed by Borrower’s Chief Executive Officer, Chief Financial Officer or Chief Accounting Officer, and (ii) any other documents Agent may reasonably request in its good faith business discretion.</w:t>
      </w:r>
    </w:p>
    <w:p>
      <w:pPr>
        <w:spacing w:after="0" w:line="156" w:lineRule="exact"/>
        <w:rPr>
          <w:rFonts w:ascii="Times New Roman" w:cs="Times New Roman" w:eastAsia="Times New Roman" w:hAnsi="Times New Roman"/>
          <w:sz w:val="19"/>
          <w:szCs w:val="19"/>
          <w:color w:val="auto"/>
        </w:rPr>
      </w:pPr>
    </w:p>
    <w:p>
      <w:pPr>
        <w:jc w:val="both"/>
        <w:ind w:left="2260" w:right="20" w:firstLine="743"/>
        <w:spacing w:after="0" w:line="254"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spacing w:after="0" w:line="174" w:lineRule="exact"/>
        <w:rPr>
          <w:rFonts w:ascii="Times New Roman" w:cs="Times New Roman" w:eastAsia="Times New Roman" w:hAnsi="Times New Roman"/>
          <w:sz w:val="20"/>
          <w:szCs w:val="20"/>
          <w:color w:val="auto"/>
        </w:rPr>
      </w:pPr>
    </w:p>
    <w:p>
      <w:pPr>
        <w:jc w:val="both"/>
        <w:ind w:left="2260" w:firstLine="743"/>
        <w:spacing w:after="0" w:line="254"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74" w:lineRule="exact"/>
        <w:rPr>
          <w:rFonts w:ascii="Times New Roman" w:cs="Times New Roman" w:eastAsia="Times New Roman" w:hAnsi="Times New Roman"/>
          <w:sz w:val="20"/>
          <w:szCs w:val="20"/>
          <w:color w:val="auto"/>
        </w:rPr>
      </w:pPr>
    </w:p>
    <w:p>
      <w:pPr>
        <w:ind w:left="2260" w:right="40" w:firstLine="743"/>
        <w:spacing w:after="0" w:line="269"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II, Borrower shall have paid the Tranche II Facility Charge.</w:t>
      </w:r>
    </w:p>
    <w:p>
      <w:pPr>
        <w:spacing w:after="0" w:line="159" w:lineRule="exact"/>
        <w:rPr>
          <w:rFonts w:ascii="Times New Roman" w:cs="Times New Roman" w:eastAsia="Times New Roman" w:hAnsi="Times New Roman"/>
          <w:sz w:val="20"/>
          <w:szCs w:val="20"/>
          <w:color w:val="auto"/>
        </w:rPr>
      </w:pPr>
    </w:p>
    <w:p>
      <w:pPr>
        <w:ind w:left="2260" w:right="20" w:firstLine="743"/>
        <w:spacing w:after="0" w:line="269"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III, Borrower shall have paid the Tranche III Facility Charge.</w:t>
      </w:r>
    </w:p>
    <w:p>
      <w:pPr>
        <w:spacing w:after="0" w:line="159" w:lineRule="exact"/>
        <w:rPr>
          <w:rFonts w:ascii="Times New Roman" w:cs="Times New Roman" w:eastAsia="Times New Roman" w:hAnsi="Times New Roman"/>
          <w:sz w:val="20"/>
          <w:szCs w:val="20"/>
          <w:color w:val="auto"/>
        </w:rPr>
      </w:pPr>
    </w:p>
    <w:p>
      <w:pPr>
        <w:ind w:left="2260" w:right="40" w:firstLine="743"/>
        <w:spacing w:after="0" w:line="269"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IV, Borrower shall have paid the Tranche IV Facility Charge.</w:t>
      </w:r>
    </w:p>
    <w:p>
      <w:pPr>
        <w:spacing w:after="0" w:line="159" w:lineRule="exact"/>
        <w:rPr>
          <w:rFonts w:ascii="Times New Roman" w:cs="Times New Roman" w:eastAsia="Times New Roman" w:hAnsi="Times New Roman"/>
          <w:sz w:val="20"/>
          <w:szCs w:val="20"/>
          <w:color w:val="auto"/>
        </w:rPr>
      </w:pPr>
    </w:p>
    <w:p>
      <w:pPr>
        <w:ind w:left="2260" w:right="40" w:firstLine="743"/>
        <w:spacing w:after="0" w:line="269"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V, Borrower shall have paid the Tranche V Facility Charge.</w:t>
      </w:r>
    </w:p>
    <w:p>
      <w:pPr>
        <w:spacing w:after="0" w:line="159" w:lineRule="exact"/>
        <w:rPr>
          <w:rFonts w:ascii="Times New Roman" w:cs="Times New Roman" w:eastAsia="Times New Roman" w:hAnsi="Times New Roman"/>
          <w:sz w:val="20"/>
          <w:szCs w:val="20"/>
          <w:color w:val="auto"/>
        </w:rPr>
      </w:pPr>
    </w:p>
    <w:p>
      <w:pPr>
        <w:ind w:left="2260" w:right="40" w:firstLine="743"/>
        <w:spacing w:after="0" w:line="269" w:lineRule="auto"/>
        <w:tabs>
          <w:tab w:leader="none" w:pos="34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VI, Borrower shall have paid the Tranche VI Facility Charge.</w:t>
      </w:r>
    </w:p>
    <w:p>
      <w:pPr>
        <w:spacing w:after="0" w:line="159" w:lineRule="exact"/>
        <w:rPr>
          <w:sz w:val="20"/>
          <w:szCs w:val="20"/>
          <w:color w:val="auto"/>
        </w:rPr>
      </w:pPr>
    </w:p>
    <w:p>
      <w:pPr>
        <w:jc w:val="both"/>
        <w:ind w:left="2260" w:firstLine="749"/>
        <w:spacing w:after="0" w:line="254" w:lineRule="auto"/>
        <w:rPr>
          <w:sz w:val="20"/>
          <w:szCs w:val="20"/>
          <w:color w:val="auto"/>
        </w:rPr>
      </w:pPr>
      <w:r>
        <w:rPr>
          <w:rFonts w:ascii="Times New Roman" w:cs="Times New Roman" w:eastAsia="Times New Roman" w:hAnsi="Times New Roman"/>
          <w:sz w:val="20"/>
          <w:szCs w:val="20"/>
          <w:color w:val="auto"/>
        </w:rPr>
        <w:t>Each Advance Request shall be deemed to constitute a representation and warranty by Borrower on the relevant Advance Date as to the matters specified in subsections (b) and (c) of this Section 4.2 and as to the matters set forth in the Advance Request.”</w:t>
      </w:r>
    </w:p>
    <w:p>
      <w:pPr>
        <w:spacing w:after="0" w:line="174" w:lineRule="exact"/>
        <w:rPr>
          <w:sz w:val="20"/>
          <w:szCs w:val="20"/>
          <w:color w:val="auto"/>
        </w:rPr>
      </w:pPr>
    </w:p>
    <w:p>
      <w:pPr>
        <w:ind w:left="2040" w:hanging="535"/>
        <w:spacing w:after="0"/>
        <w:tabs>
          <w:tab w:leader="none" w:pos="20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Minimum Cash</w:t>
      </w:r>
      <w:r>
        <w:rPr>
          <w:rFonts w:ascii="Times New Roman" w:cs="Times New Roman" w:eastAsia="Times New Roman" w:hAnsi="Times New Roman"/>
          <w:sz w:val="20"/>
          <w:szCs w:val="20"/>
          <w:color w:val="auto"/>
        </w:rPr>
        <w:t>. Section 7.20(a)(i) of the Loan Agreement is hereby amended in its entirety and replaced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194"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“At all times, Borrower shall maintain Qualified Cash in an amount greater than or equal to (x) the outstanding aggregate principal amount of the Term Loan Advances, multiplied by (y) 20%.”</w:t>
      </w:r>
    </w:p>
    <w:p>
      <w:pPr>
        <w:spacing w:after="0" w:line="200" w:lineRule="exact"/>
        <w:rPr>
          <w:sz w:val="20"/>
          <w:szCs w:val="20"/>
          <w:color w:val="auto"/>
        </w:rPr>
      </w:pPr>
    </w:p>
    <w:p>
      <w:pPr>
        <w:spacing w:after="0" w:line="3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ind w:left="2040" w:hanging="535"/>
        <w:spacing w:after="0"/>
        <w:tabs>
          <w:tab w:leader="none" w:pos="20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Performance Covenant</w:t>
      </w:r>
      <w:r>
        <w:rPr>
          <w:rFonts w:ascii="Times New Roman" w:cs="Times New Roman" w:eastAsia="Times New Roman" w:hAnsi="Times New Roman"/>
          <w:sz w:val="19"/>
          <w:szCs w:val="19"/>
          <w:color w:val="auto"/>
        </w:rPr>
        <w:t>. Section 7.20(b) of the Loan Agreement is hereby amended in its entirety and replaced with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w:t>
      </w:r>
    </w:p>
    <w:p>
      <w:pPr>
        <w:spacing w:after="0" w:line="194"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“(b) Performance Covenant. Beginning on such date for which financial statements have been (or are required to be delivered) under Section 7.1(a) for the month ending September 30, 2024 and at all times thereafter, Borrower shall satisfy either of (i) Performance Covenant A or Performance Covenant B, tested at all times, or (ii) Performance Covenant C, tested monthly.”</w:t>
      </w:r>
    </w:p>
    <w:p>
      <w:pPr>
        <w:spacing w:after="0" w:line="180" w:lineRule="exact"/>
        <w:rPr>
          <w:sz w:val="20"/>
          <w:szCs w:val="20"/>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Exhibit A to the Loan Agreement is hereby replaced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Exhibit E to the Loan Agreement is hereby replaced with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Exhibit I to the Loan Agreement is hereby deleted in its entirety.</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Schedule 1.1(a) to the Loan Agreement is hereby replaced with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attached hereto.</w:t>
      </w:r>
    </w:p>
    <w:p>
      <w:pPr>
        <w:spacing w:after="0" w:line="21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References Within Loan Agreement</w:t>
      </w:r>
      <w:r>
        <w:rPr>
          <w:rFonts w:ascii="Times New Roman" w:cs="Times New Roman" w:eastAsia="Times New Roman" w:hAnsi="Times New Roman"/>
          <w:sz w:val="20"/>
          <w:szCs w:val="20"/>
          <w:color w:val="auto"/>
        </w:rPr>
        <w:t>. Each reference in the Loan Agreement to “this Agreement” and the words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“hereunder”, or words of like import, shall mean and be a reference to the Loan Agreement as amended by this Amendment. This Amendment shall be a Loan Document.</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9"/>
          <w:szCs w:val="19"/>
          <w:b w:val="1"/>
          <w:bCs w:val="1"/>
          <w:color w:val="auto"/>
        </w:rPr>
        <w:t>Amendment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Borrower will pay to Agent, for the account of the Lenders (in accordance with Section 2.6 of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Agreement), an amendment fee (the “</w:t>
      </w:r>
      <w:r>
        <w:rPr>
          <w:rFonts w:ascii="Times New Roman" w:cs="Times New Roman" w:eastAsia="Times New Roman" w:hAnsi="Times New Roman"/>
          <w:sz w:val="19"/>
          <w:szCs w:val="19"/>
          <w:u w:val="single" w:color="auto"/>
          <w:color w:val="auto"/>
        </w:rPr>
        <w:t>Amendment Fee</w:t>
      </w:r>
      <w:r>
        <w:rPr>
          <w:rFonts w:ascii="Times New Roman" w:cs="Times New Roman" w:eastAsia="Times New Roman" w:hAnsi="Times New Roman"/>
          <w:sz w:val="19"/>
          <w:szCs w:val="19"/>
          <w:color w:val="auto"/>
        </w:rPr>
        <w:t>”) equal to Two Hundred Fifty Thousand Dollars ($250,000). The Amendment Fee shall be fully earned, due and payable on the date hereof.</w:t>
      </w:r>
    </w:p>
    <w:p>
      <w:pPr>
        <w:spacing w:after="0" w:line="1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9"/>
          <w:szCs w:val="19"/>
          <w:b w:val="1"/>
          <w:bCs w:val="1"/>
          <w:color w:val="auto"/>
        </w:rPr>
        <w:t>Conditions of Effectiveness</w:t>
      </w:r>
      <w:r>
        <w:rPr>
          <w:rFonts w:ascii="Times New Roman" w:cs="Times New Roman" w:eastAsia="Times New Roman" w:hAnsi="Times New Roman"/>
          <w:sz w:val="19"/>
          <w:szCs w:val="19"/>
          <w:color w:val="auto"/>
        </w:rPr>
        <w:t>. The effectiveness of this Amendment (the “</w:t>
      </w:r>
      <w:r>
        <w:rPr>
          <w:rFonts w:ascii="Times New Roman" w:cs="Times New Roman" w:eastAsia="Times New Roman" w:hAnsi="Times New Roman"/>
          <w:sz w:val="19"/>
          <w:szCs w:val="19"/>
          <w:u w:val="single" w:color="auto"/>
          <w:color w:val="auto"/>
        </w:rPr>
        <w:t>Fourth Amendment Effective Date</w:t>
      </w:r>
      <w:r>
        <w:rPr>
          <w:rFonts w:ascii="Times New Roman" w:cs="Times New Roman" w:eastAsia="Times New Roman" w:hAnsi="Times New Roman"/>
          <w:sz w:val="19"/>
          <w:szCs w:val="19"/>
          <w:color w:val="auto"/>
        </w:rPr>
        <w:t>”)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Agent’s receipt of the following documents, in form and substance satisfactory to Agent, or, as applicable, the following conditions being met:</w:t>
      </w:r>
    </w:p>
    <w:p>
      <w:pPr>
        <w:spacing w:after="0" w:line="384" w:lineRule="exact"/>
        <w:rPr>
          <w:sz w:val="20"/>
          <w:szCs w:val="20"/>
          <w:color w:val="auto"/>
        </w:rPr>
      </w:pPr>
    </w:p>
    <w:p>
      <w:pPr>
        <w:ind w:left="1020" w:hanging="26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executed by Agent, each Lender and Borrower;</w:t>
      </w:r>
    </w:p>
    <w:p>
      <w:pPr>
        <w:spacing w:after="0" w:line="21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Borrower shall have paid (i) the Amendment Fee, (ii) the Tranche II Facility Charge payable for the Term Loan Advances requested pursuant to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(iii) all invoiced costs and expenses then due in accordance with </w:t>
      </w:r>
      <w:r>
        <w:rPr>
          <w:rFonts w:ascii="Times New Roman" w:cs="Times New Roman" w:eastAsia="Times New Roman" w:hAnsi="Times New Roman"/>
          <w:sz w:val="20"/>
          <w:szCs w:val="20"/>
          <w:u w:val="single" w:color="auto"/>
          <w:color w:val="auto"/>
        </w:rPr>
        <w:t>Section 7(d)</w:t>
      </w:r>
      <w:r>
        <w:rPr>
          <w:rFonts w:ascii="Times New Roman" w:cs="Times New Roman" w:eastAsia="Times New Roman" w:hAnsi="Times New Roman"/>
          <w:sz w:val="20"/>
          <w:szCs w:val="20"/>
          <w:color w:val="auto"/>
        </w:rPr>
        <w:t>, and (iv) all other fees, costs and expenses, if any, due and payable as of the date hereof under the Loan Agreement;</w:t>
      </w:r>
    </w:p>
    <w:p>
      <w:pPr>
        <w:spacing w:after="0" w:line="174" w:lineRule="exact"/>
        <w:rPr>
          <w:rFonts w:ascii="Times New Roman" w:cs="Times New Roman" w:eastAsia="Times New Roman" w:hAnsi="Times New Roman"/>
          <w:sz w:val="18"/>
          <w:szCs w:val="18"/>
          <w:color w:val="auto"/>
        </w:rPr>
      </w:pPr>
    </w:p>
    <w:p>
      <w:pPr>
        <w:ind w:firstLine="757"/>
        <w:spacing w:after="0" w:line="269"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shall have submitted an Advance Request for Term Loan Advances under Tranche II in an amount that is no less than $40,000,000;</w:t>
      </w:r>
    </w:p>
    <w:p>
      <w:pPr>
        <w:spacing w:after="0" w:line="159" w:lineRule="exact"/>
        <w:rPr>
          <w:rFonts w:ascii="Times New Roman" w:cs="Times New Roman" w:eastAsia="Times New Roman" w:hAnsi="Times New Roman"/>
          <w:sz w:val="18"/>
          <w:szCs w:val="18"/>
          <w:color w:val="auto"/>
        </w:rPr>
      </w:pPr>
    </w:p>
    <w:p>
      <w:pPr>
        <w:ind w:firstLine="757"/>
        <w:spacing w:after="0" w:line="269"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good standing certificate of Borrower, certified by the Secretary of State of Delaware, dated as of a date no earlier than 30 days prior to the date hereof;</w:t>
      </w:r>
    </w:p>
    <w:p>
      <w:pPr>
        <w:spacing w:after="0" w:line="159" w:lineRule="exact"/>
        <w:rPr>
          <w:rFonts w:ascii="Times New Roman" w:cs="Times New Roman" w:eastAsia="Times New Roman" w:hAnsi="Times New Roman"/>
          <w:sz w:val="18"/>
          <w:szCs w:val="18"/>
          <w:color w:val="auto"/>
        </w:rPr>
      </w:pPr>
    </w:p>
    <w:p>
      <w:pPr>
        <w:jc w:val="both"/>
        <w:ind w:firstLine="757"/>
        <w:spacing w:after="0" w:line="249"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certified copies, dated as of a recent date, of financing statement and other lien searches of Borrower, as Agent may request and which shall be obtained by Agent, accompanied by written evidence (including any UCC termination statements) that the Liens revealed in any such searches either (i) will be terminated prior to or in connection with the execution of this Amendment, or (ii) in the sole discretion of Agent, will constitute Permitted Liens; and</w:t>
      </w:r>
    </w:p>
    <w:p>
      <w:pPr>
        <w:spacing w:after="0" w:line="200" w:lineRule="exact"/>
        <w:rPr>
          <w:sz w:val="20"/>
          <w:szCs w:val="20"/>
          <w:color w:val="auto"/>
        </w:rPr>
      </w:pPr>
    </w:p>
    <w:p>
      <w:pPr>
        <w:spacing w:after="0" w:line="38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ind w:firstLine="757"/>
        <w:spacing w:after="0" w:line="269"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Fourth Amendment Effective Date, immediately after giving effect to the amendment of the Loan Agreement contemplated hereby:</w:t>
      </w:r>
    </w:p>
    <w:p>
      <w:pPr>
        <w:spacing w:after="0" w:line="159" w:lineRule="exact"/>
        <w:rPr>
          <w:rFonts w:ascii="Times New Roman" w:cs="Times New Roman" w:eastAsia="Times New Roman" w:hAnsi="Times New Roman"/>
          <w:sz w:val="18"/>
          <w:szCs w:val="18"/>
          <w:color w:val="auto"/>
        </w:rPr>
      </w:pPr>
    </w:p>
    <w:p>
      <w:pPr>
        <w:ind w:firstLine="1505"/>
        <w:spacing w:after="0" w:line="269" w:lineRule="auto"/>
        <w:tabs>
          <w:tab w:leader="none" w:pos="20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be true and correct on and as of the Fourth Amendment Effective Date as though made on and as of such date; and</w:t>
      </w:r>
    </w:p>
    <w:p>
      <w:pPr>
        <w:spacing w:after="0" w:line="15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exist no Events of Default or events that with the passage of time would result in an Event of Default.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To induce Agent and Lenders to enter into this Amendment, Borrower hereby confirms,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the date hereof, (a) that the representations and warranties made by it in Section 5 of the Loan Agreement and in the other Loan Documents are true and correct in all material respects;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such representations and warranties by their terms expressly relate only to a prior date such representations and warranties shall be true and correct as of such prior date, and (a) that no Event of Default has occurred and is continuing; (b) that there has not been and there does not exist a Material Adverse Effect; (c)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19"/>
          <w:szCs w:val="19"/>
          <w:b w:val="1"/>
          <w:bCs w:val="1"/>
          <w:u w:val="single" w:color="auto"/>
          <w:color w:val="auto"/>
        </w:rPr>
        <w:t>Error! Reference source not found.</w:t>
      </w: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each reference in Section 5 of the Loan Agreement to “this Agreement,” and the words “hereof”, “herein”, “hereunder”, or words of like import in such Section, shall mean and be a reference to the Loan Agreement as amended by this Amendment.</w:t>
      </w: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consideration of the agreements of Agent and each Lender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19"/>
          <w:szCs w:val="19"/>
          <w:b w:val="1"/>
          <w:bCs w:val="1"/>
          <w:color w:val="auto"/>
        </w:rPr>
        <w:t>Releasee</w:t>
      </w:r>
      <w:r>
        <w:rPr>
          <w:rFonts w:ascii="Times New Roman" w:cs="Times New Roman" w:eastAsia="Times New Roman" w:hAnsi="Times New Roman"/>
          <w:sz w:val="19"/>
          <w:szCs w:val="19"/>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ind w:firstLine="509"/>
        <w:spacing w:after="0" w:line="269" w:lineRule="auto"/>
        <w:rPr>
          <w:sz w:val="20"/>
          <w:szCs w:val="20"/>
          <w:color w:val="auto"/>
        </w:rPr>
      </w:pPr>
      <w:r>
        <w:rPr>
          <w:rFonts w:ascii="Times New Roman" w:cs="Times New Roman" w:eastAsia="Times New Roman" w:hAnsi="Times New Roman"/>
          <w:sz w:val="20"/>
          <w:szCs w:val="20"/>
          <w:color w:val="auto"/>
        </w:rPr>
        <w:t>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9"/>
          <w:szCs w:val="19"/>
          <w:b w:val="1"/>
          <w:bCs w:val="1"/>
          <w:color w:val="auto"/>
        </w:rPr>
        <w:t>Miscellaneous.</w:t>
      </w:r>
    </w:p>
    <w:p>
      <w:pPr>
        <w:spacing w:after="0" w:line="227" w:lineRule="exact"/>
        <w:rPr>
          <w:sz w:val="20"/>
          <w:szCs w:val="20"/>
          <w:color w:val="auto"/>
        </w:rPr>
      </w:pPr>
    </w:p>
    <w:p>
      <w:pPr>
        <w:ind w:left="1020" w:hanging="263"/>
        <w:spacing w:after="0"/>
        <w:tabs>
          <w:tab w:leader="none" w:pos="1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Loan Documents Otherwise Not Affected; Reaffirmation; No Novation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jc w:val="both"/>
        <w:ind w:firstLine="1505"/>
        <w:spacing w:after="0" w:line="249" w:lineRule="auto"/>
        <w:tabs>
          <w:tab w:leader="none" w:pos="2036"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9"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Borrower hereby expressly (1) reaffirms, ratifies and confirms its Secured Obligations under the Loan Agreement and the other Loan Documents, (2) reaffirms, ratifies and confirms the grant of security under Section 3 of the Loan Agreement, (3) reaffirms that such grant of security in the Collateral secures all Secured Obligations under the Loan Agreement, including without limitation any Term Loan Advances funded on or after the Fourth Amendment Effective Date, as of the date hereof, and with effect from (and including) the Fourth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w:t>
      </w:r>
    </w:p>
    <w:p>
      <w:pPr>
        <w:spacing w:after="0" w:line="3" w:lineRule="exact"/>
        <w:rPr>
          <w:rFonts w:ascii="Times New Roman" w:cs="Times New Roman" w:eastAsia="Times New Roman" w:hAnsi="Times New Roman"/>
          <w:sz w:val="17"/>
          <w:szCs w:val="17"/>
          <w:color w:val="auto"/>
        </w:rPr>
      </w:pPr>
    </w:p>
    <w:p>
      <w:pPr>
        <w:ind w:firstLine="8"/>
        <w:spacing w:after="0" w:line="246" w:lineRule="auto"/>
        <w:tabs>
          <w:tab w:leader="none" w:pos="28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the Loan Agreement and each other Loan Document shall remain in full force and effect following any action contemplated in connection herewith.</w:t>
      </w:r>
    </w:p>
    <w:p>
      <w:pPr>
        <w:spacing w:after="0" w:line="181"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0"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each Lender that has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7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Lenders that Borrower is executing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its own investigation and for its own reasons without reliance upon any agreement, representation, understanding or communication by or on behalf of any other Person.</w:t>
      </w:r>
    </w:p>
    <w:p>
      <w:pPr>
        <w:spacing w:after="0" w:line="168"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 costs and expenses of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party hereto, and the documented out-of-pocket fees and disbursements of counsel to Agent and each Lender party hereto in connection with the negotiation, preparation, execution and delivery of this Amendment and any other documents to be delivered in connection herewith on the date hereof.</w:t>
      </w:r>
    </w:p>
    <w:p>
      <w:pPr>
        <w:spacing w:after="0" w:line="200" w:lineRule="exact"/>
        <w:rPr>
          <w:sz w:val="20"/>
          <w:szCs w:val="20"/>
          <w:color w:val="auto"/>
        </w:rPr>
      </w:pPr>
    </w:p>
    <w:p>
      <w:pPr>
        <w:spacing w:after="0" w:line="38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ind w:left="1020" w:hanging="26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 assigns of each party.</w:t>
      </w:r>
    </w:p>
    <w:p>
      <w:pPr>
        <w:spacing w:after="0" w:line="21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THE OTHER LOAN DOCUMENTS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CALIFORNIA, EXCLUDING CONFLICT OF LAWS PRINCIPLES THAT WOULD CAUSE THE APPLICATION OF LAWS OF ANY OTHER JURISDICTION.</w:t>
      </w:r>
    </w:p>
    <w:p>
      <w:pPr>
        <w:spacing w:after="0" w:line="168"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 the entire agreement about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5" w:lineRule="exact"/>
        <w:rPr>
          <w:rFonts w:ascii="Times New Roman" w:cs="Times New Roman" w:eastAsia="Times New Roman" w:hAnsi="Times New Roman"/>
          <w:sz w:val="18"/>
          <w:szCs w:val="18"/>
          <w:color w:val="auto"/>
        </w:rPr>
      </w:pPr>
    </w:p>
    <w:p>
      <w:pPr>
        <w:ind w:firstLine="757"/>
        <w:spacing w:after="0" w:line="273"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 provision in determining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provision.</w:t>
      </w:r>
    </w:p>
    <w:p>
      <w:pPr>
        <w:spacing w:after="0" w:line="151"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5" w:lineRule="exact"/>
        <w:rPr>
          <w:rFonts w:ascii="Times New Roman" w:cs="Times New Roman" w:eastAsia="Times New Roman" w:hAnsi="Times New Roman"/>
          <w:sz w:val="18"/>
          <w:szCs w:val="18"/>
          <w:color w:val="auto"/>
        </w:rPr>
      </w:pPr>
    </w:p>
    <w:p>
      <w:pPr>
        <w:jc w:val="both"/>
        <w:ind w:firstLine="757"/>
        <w:spacing w:after="0" w:line="244"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 “signature,” and words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Amendment, as of the date first above written.</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0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Molly Henderson</w:t>
            </w:r>
          </w:p>
        </w:tc>
        <w:tc>
          <w:tcPr>
            <w:tcW w:w="160" w:type="dxa"/>
            <w:vAlign w:val="bottom"/>
          </w:tcPr>
          <w:p>
            <w:pPr>
              <w:spacing w:after="0"/>
              <w:rPr>
                <w:sz w:val="19"/>
                <w:szCs w:val="19"/>
                <w:color w:val="auto"/>
              </w:rPr>
            </w:pPr>
          </w:p>
        </w:tc>
      </w:tr>
      <w:tr>
        <w:trPr>
          <w:trHeight w:val="472"/>
        </w:trPr>
        <w:tc>
          <w:tcPr>
            <w:tcW w:w="1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Molly Henderson</w:t>
            </w:r>
          </w:p>
        </w:tc>
      </w:tr>
      <w:tr>
        <w:trPr>
          <w:trHeight w:val="446"/>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Chief Financial and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0" w:name="page181"/>
    <w:bookmarkEnd w:id="180"/>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CONTINUE ON THE NEXT PAGE]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500380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1" w:name="page182"/>
    <w:bookmarkEnd w:id="181"/>
    <w:p>
      <w:pPr>
        <w:ind w:left="4120"/>
        <w:spacing w:after="0"/>
        <w:rPr>
          <w:sz w:val="20"/>
          <w:szCs w:val="20"/>
          <w:color w:val="auto"/>
        </w:rPr>
      </w:pPr>
      <w:r>
        <w:rPr>
          <w:rFonts w:ascii="Times New Roman" w:cs="Times New Roman" w:eastAsia="Times New Roman" w:hAnsi="Times New Roman"/>
          <w:sz w:val="20"/>
          <w:szCs w:val="20"/>
          <w:color w:val="auto"/>
        </w:rPr>
        <w:t>AGENT:</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175"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2" w:name="page183"/>
    <w:bookmarkEnd w:id="182"/>
    <w:p>
      <w:pPr>
        <w:spacing w:after="0" w:line="2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LENDERS:</w:t>
      </w:r>
    </w:p>
    <w:p>
      <w:pPr>
        <w:spacing w:after="0" w:line="21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1"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right="240"/>
        <w:spacing w:after="0" w:line="273" w:lineRule="auto"/>
        <w:rPr>
          <w:sz w:val="20"/>
          <w:szCs w:val="20"/>
          <w:color w:val="auto"/>
        </w:rPr>
      </w:pPr>
      <w:r>
        <w:rPr>
          <w:rFonts w:ascii="Times New Roman" w:cs="Times New Roman" w:eastAsia="Times New Roman" w:hAnsi="Times New Roman"/>
          <w:sz w:val="20"/>
          <w:szCs w:val="20"/>
          <w:b w:val="1"/>
          <w:bCs w:val="1"/>
          <w:color w:val="auto"/>
        </w:rPr>
        <w:t>HERCULES VENTURE GROWTH CREDIT OPPORTUNITIES FUND 1 L.P.</w:t>
      </w:r>
    </w:p>
    <w:p>
      <w:pPr>
        <w:spacing w:after="0" w:line="1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27"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PRIVATE CREDIT FUND 1 L.P.</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Pr>
          <w:p>
            <w:pPr>
              <w:spacing w:after="0"/>
              <w:rPr>
                <w:sz w:val="19"/>
                <w:szCs w:val="19"/>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8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183" w:lineRule="exact"/>
        <w:rPr>
          <w:sz w:val="20"/>
          <w:szCs w:val="20"/>
          <w:color w:val="auto"/>
        </w:rPr>
      </w:pPr>
    </w:p>
    <w:p>
      <w:pPr>
        <w:ind w:left="4120" w:right="220"/>
        <w:spacing w:after="0" w:line="273" w:lineRule="auto"/>
        <w:rPr>
          <w:sz w:val="20"/>
          <w:szCs w:val="20"/>
          <w:color w:val="auto"/>
        </w:rPr>
      </w:pPr>
      <w:r>
        <w:rPr>
          <w:rFonts w:ascii="Times New Roman" w:cs="Times New Roman" w:eastAsia="Times New Roman" w:hAnsi="Times New Roman"/>
          <w:sz w:val="20"/>
          <w:szCs w:val="20"/>
          <w:b w:val="1"/>
          <w:bCs w:val="1"/>
          <w:color w:val="auto"/>
        </w:rPr>
        <w:t>HERCULES PRIVATE GLOBAL VENTURE GROWTH FUND I L.P.</w:t>
      </w:r>
    </w:p>
    <w:p>
      <w:pPr>
        <w:spacing w:after="0" w:line="156" w:lineRule="exact"/>
        <w:rPr>
          <w:sz w:val="20"/>
          <w:szCs w:val="20"/>
          <w:color w:val="auto"/>
        </w:rPr>
      </w:pPr>
    </w:p>
    <w:p>
      <w:pPr>
        <w:ind w:left="4700" w:hanging="561"/>
        <w:spacing w:after="0" w:line="269" w:lineRule="auto"/>
        <w:rPr>
          <w:sz w:val="20"/>
          <w:szCs w:val="20"/>
          <w:color w:val="auto"/>
        </w:rPr>
      </w:pPr>
      <w:r>
        <w:rPr>
          <w:rFonts w:ascii="Times New Roman" w:cs="Times New Roman" w:eastAsia="Times New Roman" w:hAnsi="Times New Roman"/>
          <w:sz w:val="20"/>
          <w:szCs w:val="20"/>
          <w:color w:val="auto"/>
        </w:rPr>
        <w:t>By: Hercules Private Global Venture Growth Fund GP I LLC, its general partner</w:t>
      </w:r>
    </w:p>
    <w:p>
      <w:pPr>
        <w:spacing w:after="0" w:line="173" w:lineRule="exact"/>
        <w:rPr>
          <w:sz w:val="20"/>
          <w:szCs w:val="20"/>
          <w:color w:val="auto"/>
        </w:rPr>
      </w:pPr>
    </w:p>
    <w:p>
      <w:pPr>
        <w:ind w:left="4120"/>
        <w:spacing w:after="0"/>
        <w:tabs>
          <w:tab w:leader="none" w:pos="4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Hercules Adviser LLC, its sole member</w:t>
      </w:r>
    </w:p>
    <w:p>
      <w:pPr>
        <w:spacing w:after="0" w:line="200" w:lineRule="exact"/>
        <w:rPr>
          <w:sz w:val="20"/>
          <w:szCs w:val="20"/>
          <w:color w:val="auto"/>
        </w:rPr>
      </w:pPr>
    </w:p>
    <w:p>
      <w:pPr>
        <w:spacing w:after="0" w:line="259" w:lineRule="exact"/>
        <w:rPr>
          <w:sz w:val="20"/>
          <w:szCs w:val="20"/>
          <w:color w:val="auto"/>
        </w:rPr>
      </w:pPr>
    </w:p>
    <w:p>
      <w:pPr>
        <w:ind w:left="4120"/>
        <w:spacing w:after="0"/>
        <w:tabs>
          <w:tab w:leader="none" w:pos="530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/s/ Seth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-10795</wp:posOffset>
            </wp:positionV>
            <wp:extent cx="12560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440" w:right="499" w:bottom="1440" w:gutter="0" w:footer="0" w:header="0"/>
        </w:sectPr>
      </w:pPr>
    </w:p>
    <w:bookmarkStart w:id="183" w:name="page184"/>
    <w:bookmarkEnd w:id="183"/>
    <w:p>
      <w:pPr>
        <w:ind w:left="5240"/>
        <w:spacing w:after="0"/>
        <w:tabs>
          <w:tab w:leader="none" w:pos="642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Seth Meyer</w:t>
      </w:r>
    </w:p>
    <w:p>
      <w:pPr>
        <w:spacing w:after="0" w:line="216" w:lineRule="exact"/>
        <w:rPr>
          <w:sz w:val="20"/>
          <w:szCs w:val="20"/>
          <w:color w:val="auto"/>
        </w:rPr>
      </w:pPr>
    </w:p>
    <w:p>
      <w:pPr>
        <w:ind w:left="5240"/>
        <w:spacing w:after="0"/>
        <w:tabs>
          <w:tab w:leader="none" w:pos="64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SAGARD HEALTHCARE PARTNERS (DELAWARE), LP</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Sagard Healthcare Royalty Partners GP LLC, its general partner</w:t>
      </w:r>
    </w:p>
    <w:p>
      <w:pPr>
        <w:spacing w:after="0" w:line="200" w:lineRule="exact"/>
        <w:rPr>
          <w:sz w:val="20"/>
          <w:szCs w:val="20"/>
          <w:color w:val="auto"/>
        </w:rPr>
      </w:pPr>
    </w:p>
    <w:p>
      <w:pPr>
        <w:spacing w:after="0" w:line="240"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Sneah</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Jason Sneah</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Manager</w:t>
            </w:r>
          </w:p>
        </w:tc>
      </w:tr>
      <w:tr>
        <w:trPr>
          <w:trHeight w:val="84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Adam Vigna</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Adam Vigna</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of Exhibits and Schedules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Advance Request</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Compliance Certificate</w:t>
      </w:r>
    </w:p>
    <w:p>
      <w:pPr>
        <w:spacing w:after="0" w:line="22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1.1(a):</w:t>
      </w:r>
      <w:r>
        <w:rPr>
          <w:sz w:val="20"/>
          <w:szCs w:val="20"/>
          <w:color w:val="auto"/>
        </w:rPr>
        <w:tab/>
      </w:r>
      <w:r>
        <w:rPr>
          <w:rFonts w:ascii="Times New Roman" w:cs="Times New Roman" w:eastAsia="Times New Roman" w:hAnsi="Times New Roman"/>
          <w:sz w:val="21"/>
          <w:szCs w:val="21"/>
          <w:color w:val="auto"/>
        </w:rPr>
        <w:t>Term Commitments</w:t>
      </w:r>
    </w:p>
    <w:p>
      <w:pPr>
        <w:spacing w:after="0" w:line="39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13" w:right="85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b w:val="1"/>
          <w:bCs w:val="1"/>
          <w:color w:val="auto"/>
        </w:rPr>
        <w:t>Exhibit 10.28</w:t>
      </w:r>
    </w:p>
    <w:p>
      <w:pPr>
        <w:spacing w:after="0" w:line="299"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auto"/>
        </w:rPr>
        <w:t>PHATHOM PHARMACEUTICALS BONUS PLAN</w:t>
      </w:r>
    </w:p>
    <w:p>
      <w:pPr>
        <w:spacing w:after="0" w:line="28"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Effective January 1, 2024</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INTRODUCTION AND PURPOSE</w:t>
      </w:r>
    </w:p>
    <w:p>
      <w:pPr>
        <w:spacing w:after="0" w:line="235" w:lineRule="exact"/>
        <w:rPr>
          <w:sz w:val="20"/>
          <w:szCs w:val="20"/>
          <w:color w:val="auto"/>
        </w:rPr>
      </w:pPr>
    </w:p>
    <w:p>
      <w:pPr>
        <w:ind w:left="20" w:right="60"/>
        <w:spacing w:after="0" w:line="236" w:lineRule="auto"/>
        <w:rPr>
          <w:sz w:val="20"/>
          <w:szCs w:val="20"/>
          <w:color w:val="auto"/>
        </w:rPr>
      </w:pPr>
      <w:r>
        <w:rPr>
          <w:rFonts w:ascii="Arial" w:cs="Arial" w:eastAsia="Arial" w:hAnsi="Arial"/>
          <w:sz w:val="22"/>
          <w:szCs w:val="22"/>
          <w:color w:val="auto"/>
        </w:rPr>
        <w:t>The Phathom Pharmaceuticals (“Phathom” or the “Company”) Bonus Plan (the “Plan”) is designed to reward eligible employees for the achievement of corporate objectives, as well as measured individual objectives that are consistent with and support the overall corporate objectives. Since cooperation between departments and employees will be required to achieve corporate objectives that represent a significant portion of the Plan, the Plan should help foster teamwork and build a cohesive management team. For purposes of the Plan, the "Plan year" will mean each calendar year.</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Plan is designed to:</w:t>
      </w:r>
    </w:p>
    <w:p>
      <w:pPr>
        <w:spacing w:after="0" w:line="247" w:lineRule="exact"/>
        <w:rPr>
          <w:sz w:val="20"/>
          <w:szCs w:val="20"/>
          <w:color w:val="auto"/>
        </w:rPr>
      </w:pPr>
    </w:p>
    <w:p>
      <w:pPr>
        <w:ind w:left="340" w:right="1980" w:hanging="332"/>
        <w:spacing w:after="0" w:line="239" w:lineRule="auto"/>
        <w:tabs>
          <w:tab w:leader="none" w:pos="34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Encourage high performance by providing an incentive program to achieve overall corporate objectives and to enhance shareholder value.</w:t>
      </w:r>
    </w:p>
    <w:p>
      <w:pPr>
        <w:spacing w:after="0" w:line="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Reward those individuals who significantly impact corporate results.</w:t>
      </w:r>
    </w:p>
    <w:p>
      <w:pPr>
        <w:spacing w:after="0" w:line="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Encourage increased teamwork among all disciplines within Phathom.</w:t>
      </w:r>
    </w:p>
    <w:p>
      <w:pPr>
        <w:spacing w:after="0" w:line="2" w:lineRule="exact"/>
        <w:rPr>
          <w:rFonts w:ascii="Times New Roman" w:cs="Times New Roman" w:eastAsia="Times New Roman" w:hAnsi="Times New Roman"/>
          <w:sz w:val="22"/>
          <w:szCs w:val="22"/>
          <w:color w:val="auto"/>
        </w:rPr>
      </w:pPr>
    </w:p>
    <w:p>
      <w:pPr>
        <w:ind w:left="340" w:right="1760" w:hanging="332"/>
        <w:spacing w:after="0" w:line="236" w:lineRule="auto"/>
        <w:tabs>
          <w:tab w:leader="none" w:pos="34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Incorporate an incentive program in the Phathom overall compensation program to help attract and retain employees.</w:t>
      </w:r>
    </w:p>
    <w:p>
      <w:pPr>
        <w:spacing w:after="0" w:line="1" w:lineRule="exact"/>
        <w:rPr>
          <w:rFonts w:ascii="Times New Roman" w:cs="Times New Roman" w:eastAsia="Times New Roman" w:hAnsi="Times New Roman"/>
          <w:sz w:val="22"/>
          <w:szCs w:val="22"/>
          <w:color w:val="auto"/>
        </w:rPr>
      </w:pPr>
    </w:p>
    <w:p>
      <w:pPr>
        <w:ind w:left="360" w:right="1160" w:hanging="352"/>
        <w:spacing w:after="0" w:line="239" w:lineRule="auto"/>
        <w:tabs>
          <w:tab w:leader="none" w:pos="36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Provide an incentive for eligible employees to remain employed by Phathom through and beyond the payout of any earned bonus.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ELIGIBILITY</w:t>
      </w:r>
    </w:p>
    <w:p>
      <w:pPr>
        <w:spacing w:after="0" w:line="235" w:lineRule="exact"/>
        <w:rPr>
          <w:sz w:val="20"/>
          <w:szCs w:val="20"/>
          <w:color w:val="auto"/>
        </w:rPr>
      </w:pPr>
    </w:p>
    <w:p>
      <w:pPr>
        <w:ind w:left="20" w:right="360"/>
        <w:spacing w:after="0" w:line="249" w:lineRule="auto"/>
        <w:rPr>
          <w:sz w:val="20"/>
          <w:szCs w:val="20"/>
          <w:color w:val="auto"/>
        </w:rPr>
      </w:pPr>
      <w:r>
        <w:rPr>
          <w:rFonts w:ascii="Arial" w:cs="Arial" w:eastAsia="Arial" w:hAnsi="Arial"/>
          <w:sz w:val="21"/>
          <w:szCs w:val="21"/>
          <w:color w:val="auto"/>
        </w:rPr>
        <w:t>All regular employees are eligible to participate in the Plan. Employees are not eligible if included in a separate formal incentive plan provided by the Company. In order to be eligible, a participant must remain employed through the date awards are paid for a Plan year. If the participant is not employed on the date awards are paid, the participant will not have earned any bonus. If the participant has been subject to a performance improvement plan or other disciplinary procedure during the Plan year, any award to such individual will be at the discretion of the CEO or Chief Human Resources Officer, with respect to executive officers, the Compensation Committee.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 in Status During the Plan Period</w:t>
      </w:r>
      <w:r>
        <w:rPr>
          <w:rFonts w:ascii="Arial" w:cs="Arial" w:eastAsia="Arial" w:hAnsi="Arial"/>
          <w:sz w:val="22"/>
          <w:szCs w:val="22"/>
          <w:color w:val="auto"/>
        </w:rPr>
        <w:t>:</w:t>
      </w:r>
    </w:p>
    <w:p>
      <w:pPr>
        <w:spacing w:after="0" w:line="12" w:lineRule="exact"/>
        <w:rPr>
          <w:sz w:val="20"/>
          <w:szCs w:val="20"/>
          <w:color w:val="auto"/>
        </w:rPr>
      </w:pPr>
    </w:p>
    <w:p>
      <w:pPr>
        <w:ind w:left="760" w:hanging="378"/>
        <w:spacing w:after="0"/>
        <w:tabs>
          <w:tab w:leader="none" w:pos="760" w:val="left"/>
        </w:tabs>
        <w:numPr>
          <w:ilvl w:val="0"/>
          <w:numId w:val="102"/>
        </w:numPr>
        <w:rPr>
          <w:rFonts w:ascii="Arial" w:cs="Arial" w:eastAsia="Arial" w:hAnsi="Arial"/>
          <w:sz w:val="22"/>
          <w:szCs w:val="22"/>
          <w:i w:val="1"/>
          <w:iCs w:val="1"/>
          <w:color w:val="auto"/>
        </w:rPr>
      </w:pPr>
      <w:r>
        <w:rPr>
          <w:rFonts w:ascii="Arial" w:cs="Arial" w:eastAsia="Arial" w:hAnsi="Arial"/>
          <w:sz w:val="22"/>
          <w:szCs w:val="22"/>
          <w:i w:val="1"/>
          <w:iCs w:val="1"/>
          <w:color w:val="auto"/>
        </w:rPr>
        <w:t>Participants hired during the Plan year:</w:t>
      </w:r>
    </w:p>
    <w:p>
      <w:pPr>
        <w:spacing w:after="0" w:line="3" w:lineRule="exact"/>
        <w:rPr>
          <w:rFonts w:ascii="Arial" w:cs="Arial" w:eastAsia="Arial" w:hAnsi="Arial"/>
          <w:sz w:val="22"/>
          <w:szCs w:val="22"/>
          <w:i w:val="1"/>
          <w:iCs w:val="1"/>
          <w:color w:val="auto"/>
        </w:rPr>
      </w:pPr>
    </w:p>
    <w:p>
      <w:pPr>
        <w:ind w:left="1100" w:right="680" w:hanging="344"/>
        <w:spacing w:after="0" w:line="239" w:lineRule="auto"/>
        <w:tabs>
          <w:tab w:leader="none" w:pos="1100" w:val="left"/>
        </w:tabs>
        <w:numPr>
          <w:ilvl w:val="2"/>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Participants hired during the Plan year are eligible for a prorated award based the number of days employed in an eligible position.</w:t>
      </w:r>
    </w:p>
    <w:p>
      <w:pPr>
        <w:spacing w:after="0" w:line="136" w:lineRule="exact"/>
        <w:rPr>
          <w:rFonts w:ascii="Times New Roman" w:cs="Times New Roman" w:eastAsia="Times New Roman" w:hAnsi="Times New Roman"/>
          <w:sz w:val="22"/>
          <w:szCs w:val="22"/>
          <w:color w:val="auto"/>
        </w:rPr>
      </w:pPr>
    </w:p>
    <w:p>
      <w:pPr>
        <w:ind w:left="900" w:hanging="383"/>
        <w:spacing w:after="0"/>
        <w:tabs>
          <w:tab w:leader="none" w:pos="900" w:val="left"/>
        </w:tabs>
        <w:numPr>
          <w:ilvl w:val="1"/>
          <w:numId w:val="102"/>
        </w:numPr>
        <w:rPr>
          <w:rFonts w:ascii="Arial" w:cs="Arial" w:eastAsia="Arial" w:hAnsi="Arial"/>
          <w:sz w:val="22"/>
          <w:szCs w:val="22"/>
          <w:i w:val="1"/>
          <w:iCs w:val="1"/>
          <w:color w:val="auto"/>
        </w:rPr>
      </w:pPr>
      <w:r>
        <w:rPr>
          <w:rFonts w:ascii="Arial" w:cs="Arial" w:eastAsia="Arial" w:hAnsi="Arial"/>
          <w:sz w:val="22"/>
          <w:szCs w:val="22"/>
          <w:i w:val="1"/>
          <w:iCs w:val="1"/>
          <w:color w:val="auto"/>
        </w:rPr>
        <w:t>Promotion/change in level:</w:t>
      </w:r>
    </w:p>
    <w:p>
      <w:pPr>
        <w:spacing w:after="0" w:line="23" w:lineRule="exact"/>
        <w:rPr>
          <w:rFonts w:ascii="Arial" w:cs="Arial" w:eastAsia="Arial" w:hAnsi="Arial"/>
          <w:sz w:val="22"/>
          <w:szCs w:val="22"/>
          <w:i w:val="1"/>
          <w:iCs w:val="1"/>
          <w:color w:val="auto"/>
        </w:rPr>
      </w:pPr>
    </w:p>
    <w:p>
      <w:pPr>
        <w:ind w:left="1220" w:right="1220" w:hanging="329"/>
        <w:spacing w:after="0" w:line="233" w:lineRule="auto"/>
        <w:tabs>
          <w:tab w:leader="none" w:pos="1220" w:val="left"/>
        </w:tabs>
        <w:numPr>
          <w:ilvl w:val="3"/>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For promotions that occur after the fourth month of the applicable Plan year, the calculation will be prorated, based on the number</w:t>
      </w:r>
    </w:p>
    <w:p>
      <w:pPr>
        <w:spacing w:after="0" w:line="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4" w:right="339" w:bottom="1440" w:gutter="0" w:footer="0" w:header="0"/>
        </w:sectPr>
      </w:pPr>
    </w:p>
    <w:bookmarkStart w:id="185" w:name="page186"/>
    <w:bookmarkEnd w:id="185"/>
    <w:p>
      <w:pPr>
        <w:ind w:left="1200"/>
        <w:spacing w:after="0"/>
        <w:rPr>
          <w:sz w:val="20"/>
          <w:szCs w:val="20"/>
          <w:color w:val="auto"/>
        </w:rPr>
      </w:pPr>
      <w:r>
        <w:rPr>
          <w:rFonts w:ascii="Arial" w:cs="Arial" w:eastAsia="Arial" w:hAnsi="Arial"/>
          <w:sz w:val="22"/>
          <w:szCs w:val="22"/>
          <w:color w:val="auto"/>
        </w:rPr>
        <w:t>of months at each bonus percentage level.</w:t>
      </w:r>
    </w:p>
    <w:p>
      <w:pPr>
        <w:spacing w:after="0" w:line="10" w:lineRule="exact"/>
        <w:rPr>
          <w:sz w:val="20"/>
          <w:szCs w:val="20"/>
          <w:color w:val="auto"/>
        </w:rPr>
      </w:pPr>
    </w:p>
    <w:p>
      <w:pPr>
        <w:ind w:left="840" w:right="480" w:hanging="343"/>
        <w:spacing w:after="0" w:line="230" w:lineRule="auto"/>
        <w:tabs>
          <w:tab w:leader="none" w:pos="840"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Transfer to a position that is included in a separate formal Incentive Plan: </w:t>
      </w:r>
      <w:r>
        <w:rPr>
          <w:rFonts w:ascii="Arial" w:cs="Arial" w:eastAsia="Arial" w:hAnsi="Arial"/>
          <w:sz w:val="22"/>
          <w:szCs w:val="22"/>
          <w:color w:val="auto"/>
        </w:rPr>
        <w:t>Awards will be pro-rated</w:t>
      </w:r>
      <w:r>
        <w:rPr>
          <w:rFonts w:ascii="Arial" w:cs="Arial" w:eastAsia="Arial" w:hAnsi="Arial"/>
          <w:sz w:val="22"/>
          <w:szCs w:val="22"/>
          <w:i w:val="1"/>
          <w:iCs w:val="1"/>
          <w:color w:val="auto"/>
        </w:rPr>
        <w:t xml:space="preserve"> </w:t>
      </w:r>
      <w:r>
        <w:rPr>
          <w:rFonts w:ascii="Arial" w:cs="Arial" w:eastAsia="Arial" w:hAnsi="Arial"/>
          <w:sz w:val="22"/>
          <w:szCs w:val="22"/>
          <w:color w:val="auto"/>
        </w:rPr>
        <w:t>using the same discipline as outlined for promotions above and in the separate formal incentive plan.</w:t>
      </w:r>
    </w:p>
    <w:p>
      <w:pPr>
        <w:spacing w:after="0" w:line="1" w:lineRule="exact"/>
        <w:rPr>
          <w:rFonts w:ascii="Arial" w:cs="Arial" w:eastAsia="Arial" w:hAnsi="Arial"/>
          <w:sz w:val="22"/>
          <w:szCs w:val="22"/>
          <w:i w:val="1"/>
          <w:iCs w:val="1"/>
          <w:color w:val="auto"/>
        </w:rPr>
      </w:pPr>
    </w:p>
    <w:p>
      <w:pPr>
        <w:ind w:left="880" w:hanging="383"/>
        <w:spacing w:after="0"/>
        <w:tabs>
          <w:tab w:leader="none" w:pos="880"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color w:val="auto"/>
        </w:rPr>
        <w:t>Termination of employment:</w:t>
      </w:r>
    </w:p>
    <w:p>
      <w:pPr>
        <w:spacing w:after="0" w:line="3" w:lineRule="exact"/>
        <w:rPr>
          <w:rFonts w:ascii="Arial" w:cs="Arial" w:eastAsia="Arial" w:hAnsi="Arial"/>
          <w:sz w:val="22"/>
          <w:szCs w:val="22"/>
          <w:i w:val="1"/>
          <w:iCs w:val="1"/>
          <w:color w:val="auto"/>
        </w:rPr>
      </w:pPr>
    </w:p>
    <w:p>
      <w:pPr>
        <w:ind w:left="1200" w:right="720" w:hanging="329"/>
        <w:spacing w:after="0" w:line="236" w:lineRule="auto"/>
        <w:tabs>
          <w:tab w:leader="none" w:pos="1200" w:val="left"/>
        </w:tabs>
        <w:numPr>
          <w:ilvl w:val="1"/>
          <w:numId w:val="103"/>
        </w:numPr>
        <w:rPr>
          <w:rFonts w:ascii="Times New Roman" w:cs="Times New Roman" w:eastAsia="Times New Roman" w:hAnsi="Times New Roman"/>
          <w:sz w:val="22"/>
          <w:szCs w:val="22"/>
          <w:color w:val="auto"/>
        </w:rPr>
      </w:pPr>
      <w:r>
        <w:rPr>
          <w:rFonts w:ascii="Arial" w:cs="Arial" w:eastAsia="Arial" w:hAnsi="Arial"/>
          <w:sz w:val="22"/>
          <w:szCs w:val="22"/>
          <w:color w:val="auto"/>
        </w:rPr>
        <w:t>If a participant’s employment is terminated voluntarily prior to the date awards are paid, the participant will not be eligible to receive an award.</w:t>
      </w:r>
    </w:p>
    <w:p>
      <w:pPr>
        <w:spacing w:after="0" w:line="1" w:lineRule="exact"/>
        <w:rPr>
          <w:rFonts w:ascii="Times New Roman" w:cs="Times New Roman" w:eastAsia="Times New Roman" w:hAnsi="Times New Roman"/>
          <w:sz w:val="22"/>
          <w:szCs w:val="22"/>
          <w:color w:val="auto"/>
        </w:rPr>
      </w:pPr>
    </w:p>
    <w:p>
      <w:pPr>
        <w:ind w:left="1200" w:right="660" w:hanging="329"/>
        <w:spacing w:after="0" w:line="241" w:lineRule="auto"/>
        <w:tabs>
          <w:tab w:leader="none" w:pos="1200" w:val="left"/>
        </w:tabs>
        <w:numPr>
          <w:ilvl w:val="1"/>
          <w:numId w:val="103"/>
        </w:numPr>
        <w:rPr>
          <w:rFonts w:ascii="Times New Roman" w:cs="Times New Roman" w:eastAsia="Times New Roman" w:hAnsi="Times New Roman"/>
          <w:sz w:val="21"/>
          <w:szCs w:val="21"/>
          <w:color w:val="auto"/>
        </w:rPr>
      </w:pPr>
      <w:r>
        <w:rPr>
          <w:rFonts w:ascii="Arial" w:cs="Arial" w:eastAsia="Arial" w:hAnsi="Arial"/>
          <w:sz w:val="21"/>
          <w:szCs w:val="21"/>
          <w:color w:val="auto"/>
        </w:rPr>
        <w:t>If a participant’s employment is terminated involuntarily prior to the date awards are paid, it will be at the absolute discretion of the Company whether or not an award payment is made.</w:t>
      </w:r>
    </w:p>
    <w:p>
      <w:pPr>
        <w:ind w:left="840" w:right="280" w:hanging="343"/>
        <w:spacing w:after="0" w:line="238" w:lineRule="auto"/>
        <w:tabs>
          <w:tab w:leader="none" w:pos="840"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Leave of Absence: </w:t>
      </w:r>
      <w:r>
        <w:rPr>
          <w:rFonts w:ascii="Arial" w:cs="Arial" w:eastAsia="Arial" w:hAnsi="Arial"/>
          <w:sz w:val="22"/>
          <w:szCs w:val="22"/>
          <w:color w:val="auto"/>
        </w:rPr>
        <w:t>Employee may be considered for a prorated award in the event of a leave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absence during the Plan year. The proration requirement can be waived at the discretion of the </w:t>
      </w:r>
      <w:r>
        <w:rPr>
          <w:rFonts w:ascii="Arial" w:cs="Arial" w:eastAsia="Arial" w:hAnsi="Arial"/>
          <w:sz w:val="19"/>
          <w:szCs w:val="19"/>
          <w:color w:val="auto"/>
        </w:rPr>
        <w:t>CEO</w:t>
      </w:r>
      <w:r>
        <w:rPr>
          <w:rFonts w:ascii="Arial" w:cs="Arial" w:eastAsia="Arial" w:hAnsi="Arial"/>
          <w:sz w:val="22"/>
          <w:szCs w:val="22"/>
          <w:color w:val="auto"/>
        </w:rPr>
        <w:t xml:space="preserve"> </w:t>
      </w:r>
      <w:r>
        <w:rPr>
          <w:rFonts w:ascii="Arial" w:cs="Arial" w:eastAsia="Arial" w:hAnsi="Arial"/>
          <w:sz w:val="19"/>
          <w:szCs w:val="19"/>
          <w:color w:val="auto"/>
        </w:rPr>
        <w:t xml:space="preserve">or Chief Human Resources Officer, </w:t>
      </w:r>
      <w:r>
        <w:rPr>
          <w:rFonts w:ascii="Arial" w:cs="Arial" w:eastAsia="Arial" w:hAnsi="Arial"/>
          <w:sz w:val="21"/>
          <w:szCs w:val="21"/>
          <w:color w:val="auto"/>
        </w:rPr>
        <w:t>or for members of Executive Leadership team at the discretion of</w:t>
      </w:r>
      <w:r>
        <w:rPr>
          <w:rFonts w:ascii="Arial" w:cs="Arial" w:eastAsia="Arial" w:hAnsi="Arial"/>
          <w:sz w:val="19"/>
          <w:szCs w:val="19"/>
          <w:color w:val="auto"/>
        </w:rPr>
        <w:t xml:space="preserve"> </w:t>
      </w:r>
      <w:r>
        <w:rPr>
          <w:rFonts w:ascii="Arial" w:cs="Arial" w:eastAsia="Arial" w:hAnsi="Arial"/>
          <w:sz w:val="21"/>
          <w:szCs w:val="21"/>
          <w:color w:val="auto"/>
        </w:rPr>
        <w:t>the Compensation Committee.</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AWARD CALCULATION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Awards will be determined by applying a “bonus percentage” to the</w:t>
      </w:r>
    </w:p>
    <w:p>
      <w:pPr>
        <w:spacing w:after="0" w:line="10" w:lineRule="exact"/>
        <w:rPr>
          <w:sz w:val="20"/>
          <w:szCs w:val="20"/>
          <w:color w:val="auto"/>
        </w:rPr>
      </w:pPr>
    </w:p>
    <w:p>
      <w:pPr>
        <w:ind w:left="120" w:right="720"/>
        <w:spacing w:after="0" w:line="237" w:lineRule="auto"/>
        <w:rPr>
          <w:sz w:val="20"/>
          <w:szCs w:val="20"/>
          <w:color w:val="auto"/>
        </w:rPr>
      </w:pPr>
      <w:r>
        <w:rPr>
          <w:rFonts w:ascii="Arial" w:cs="Arial" w:eastAsia="Arial" w:hAnsi="Arial"/>
          <w:sz w:val="22"/>
          <w:szCs w:val="22"/>
          <w:color w:val="auto"/>
        </w:rPr>
        <w:t>participant’s base salary earned or hourly wages earned during the Plan year. While the Compensation Committee may change the bonus percentage for any Plan year, the following bonus percentages will initially be used for this purpose: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5360" w:type="dxa"/>
            <w:vAlign w:val="bottom"/>
            <w:tcBorders>
              <w:top w:val="single" w:sz="8" w:color="auto"/>
              <w:left w:val="single" w:sz="8" w:color="auto"/>
              <w:bottom w:val="single" w:sz="8" w:color="auto"/>
              <w:right w:val="single" w:sz="8" w:color="auto"/>
            </w:tcBorders>
          </w:tcPr>
          <w:p>
            <w:pPr>
              <w:ind w:left="2080"/>
              <w:spacing w:after="0"/>
              <w:rPr>
                <w:sz w:val="20"/>
                <w:szCs w:val="20"/>
                <w:color w:val="auto"/>
              </w:rPr>
            </w:pPr>
            <w:r>
              <w:rPr>
                <w:rFonts w:ascii="Arial" w:cs="Arial" w:eastAsia="Arial" w:hAnsi="Arial"/>
                <w:sz w:val="22"/>
                <w:szCs w:val="22"/>
                <w:color w:val="auto"/>
              </w:rPr>
              <w:t>Position Title</w:t>
            </w:r>
          </w:p>
        </w:tc>
        <w:tc>
          <w:tcPr>
            <w:tcW w:w="5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Bonus Percentage</w:t>
            </w:r>
          </w:p>
        </w:tc>
      </w:tr>
      <w:tr>
        <w:trPr>
          <w:trHeight w:val="247"/>
        </w:trPr>
        <w:tc>
          <w:tcPr>
            <w:tcW w:w="5360" w:type="dxa"/>
            <w:vAlign w:val="bottom"/>
            <w:tcBorders>
              <w:left w:val="single" w:sz="8" w:color="auto"/>
              <w:bottom w:val="single" w:sz="8" w:color="auto"/>
              <w:right w:val="single" w:sz="8" w:color="auto"/>
            </w:tcBorders>
          </w:tcPr>
          <w:p>
            <w:pPr>
              <w:ind w:left="140"/>
              <w:spacing w:after="0" w:line="247" w:lineRule="exact"/>
              <w:rPr>
                <w:sz w:val="20"/>
                <w:szCs w:val="20"/>
                <w:color w:val="auto"/>
              </w:rPr>
            </w:pPr>
            <w:r>
              <w:rPr>
                <w:rFonts w:ascii="Arial" w:cs="Arial" w:eastAsia="Arial" w:hAnsi="Arial"/>
                <w:sz w:val="22"/>
                <w:szCs w:val="22"/>
                <w:color w:val="auto"/>
              </w:rPr>
              <w:t>CEO</w:t>
            </w:r>
          </w:p>
        </w:tc>
        <w:tc>
          <w:tcPr>
            <w:tcW w:w="532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22"/>
                <w:szCs w:val="22"/>
                <w:color w:val="auto"/>
                <w:w w:val="95"/>
              </w:rPr>
              <w:t>65%</w:t>
            </w:r>
          </w:p>
        </w:tc>
      </w:tr>
      <w:tr>
        <w:trPr>
          <w:trHeight w:val="264"/>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COO</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50%</w:t>
            </w:r>
          </w:p>
        </w:tc>
      </w:tr>
      <w:tr>
        <w:trPr>
          <w:trHeight w:val="263"/>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Executive Leadership Team</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45%</w:t>
            </w:r>
          </w:p>
        </w:tc>
      </w:tr>
      <w:tr>
        <w:trPr>
          <w:trHeight w:val="263"/>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VP</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30%</w:t>
            </w:r>
          </w:p>
        </w:tc>
      </w:tr>
      <w:tr>
        <w:trPr>
          <w:trHeight w:val="264"/>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Senior Director, Director</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25%</w:t>
            </w:r>
          </w:p>
        </w:tc>
      </w:tr>
      <w:tr>
        <w:trPr>
          <w:trHeight w:val="263"/>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Associate Director</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20%</w:t>
            </w:r>
          </w:p>
        </w:tc>
      </w:tr>
      <w:tr>
        <w:trPr>
          <w:trHeight w:val="263"/>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Senior Manager, Manager</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15%</w:t>
            </w:r>
          </w:p>
        </w:tc>
      </w:tr>
      <w:tr>
        <w:trPr>
          <w:trHeight w:val="264"/>
        </w:trPr>
        <w:tc>
          <w:tcPr>
            <w:tcW w:w="5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Below Manager</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and Individual Performance Factors</w:t>
      </w:r>
    </w:p>
    <w:p>
      <w:pPr>
        <w:spacing w:after="0" w:line="235" w:lineRule="exact"/>
        <w:rPr>
          <w:sz w:val="20"/>
          <w:szCs w:val="20"/>
          <w:color w:val="auto"/>
        </w:rPr>
      </w:pPr>
    </w:p>
    <w:p>
      <w:pPr>
        <w:ind w:left="120" w:right="740"/>
        <w:spacing w:after="0" w:line="255" w:lineRule="auto"/>
        <w:rPr>
          <w:sz w:val="20"/>
          <w:szCs w:val="20"/>
          <w:color w:val="auto"/>
        </w:rPr>
      </w:pPr>
      <w:r>
        <w:rPr>
          <w:rFonts w:ascii="Arial" w:cs="Arial" w:eastAsia="Arial" w:hAnsi="Arial"/>
          <w:sz w:val="21"/>
          <w:szCs w:val="21"/>
          <w:color w:val="auto"/>
        </w:rPr>
        <w:t>The CEO will present to the Compensation Committee a list of weighted corporate objectives for the applicable Plan year, which are subject to approval by the Compensation Committee. All participants in the Plan will then develop a list of key individual objectives, which must be approved by the responsible Vice President or Senior Vice President and, in the case of executive officers, by the CEO.</w:t>
      </w:r>
    </w:p>
    <w:p>
      <w:pPr>
        <w:spacing w:after="0" w:line="175" w:lineRule="exact"/>
        <w:rPr>
          <w:sz w:val="20"/>
          <w:szCs w:val="20"/>
          <w:color w:val="auto"/>
        </w:rPr>
      </w:pPr>
    </w:p>
    <w:p>
      <w:pPr>
        <w:ind w:left="60" w:right="720"/>
        <w:spacing w:after="0" w:line="262" w:lineRule="auto"/>
        <w:rPr>
          <w:sz w:val="20"/>
          <w:szCs w:val="20"/>
          <w:color w:val="auto"/>
        </w:rPr>
      </w:pPr>
      <w:r>
        <w:rPr>
          <w:rFonts w:ascii="Arial" w:cs="Arial" w:eastAsia="Arial" w:hAnsi="Arial"/>
          <w:sz w:val="21"/>
          <w:szCs w:val="21"/>
          <w:color w:val="auto"/>
        </w:rPr>
        <w:t>The relative weight between corporate and individual performance factors varies based on the individual’s assigned level within the organization. The weighting may be reviewed periodically and may be adjusted for any Plan year. The weighting for the performance factors will initially be as follows:</w:t>
      </w:r>
    </w:p>
    <w:p>
      <w:pPr>
        <w:spacing w:after="0" w:line="1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512445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60" w:top="1031" w:right="779" w:bottom="1440" w:gutter="0" w:footer="0" w:header="0"/>
        </w:sectPr>
      </w:pPr>
    </w:p>
    <w:bookmarkStart w:id="186" w:name="page187"/>
    <w:bookmarkEnd w:id="186"/>
    <w:tbl>
      <w:tblPr>
        <w:tblLayout w:type="fixed"/>
        <w:tblInd w:w="20" w:type="dxa"/>
        <w:tblCellMar>
          <w:top w:w="0" w:type="dxa"/>
          <w:left w:w="0" w:type="dxa"/>
          <w:bottom w:w="0" w:type="dxa"/>
          <w:right w:w="0" w:type="dxa"/>
        </w:tblCellMar>
      </w:tblPr>
      <w:tr>
        <w:trPr>
          <w:trHeight w:val="253"/>
        </w:trPr>
        <w:tc>
          <w:tcPr>
            <w:tcW w:w="4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Corporate</w:t>
            </w:r>
          </w:p>
        </w:tc>
        <w:tc>
          <w:tcPr>
            <w:tcW w:w="10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Individual</w:t>
            </w:r>
          </w:p>
        </w:tc>
      </w:tr>
      <w:tr>
        <w:trPr>
          <w:trHeight w:val="345"/>
        </w:trPr>
        <w:tc>
          <w:tcPr>
            <w:tcW w:w="4200" w:type="dxa"/>
            <w:vAlign w:val="bottom"/>
          </w:tcPr>
          <w:p>
            <w:pPr>
              <w:spacing w:after="0"/>
              <w:rPr>
                <w:sz w:val="20"/>
                <w:szCs w:val="20"/>
                <w:color w:val="auto"/>
              </w:rPr>
            </w:pPr>
            <w:r>
              <w:rPr>
                <w:rFonts w:ascii="Arial" w:cs="Arial" w:eastAsia="Arial" w:hAnsi="Arial"/>
                <w:sz w:val="22"/>
                <w:szCs w:val="22"/>
                <w:color w:val="auto"/>
              </w:rPr>
              <w:t>Executive Leadership Team</w:t>
            </w:r>
          </w:p>
        </w:tc>
        <w:tc>
          <w:tcPr>
            <w:tcW w:w="2500" w:type="dxa"/>
            <w:vAlign w:val="bottom"/>
            <w:gridSpan w:val="2"/>
          </w:tcPr>
          <w:p>
            <w:pPr>
              <w:jc w:val="right"/>
              <w:ind w:right="52"/>
              <w:spacing w:after="0"/>
              <w:rPr>
                <w:sz w:val="20"/>
                <w:szCs w:val="20"/>
                <w:color w:val="auto"/>
              </w:rPr>
            </w:pPr>
            <w:r>
              <w:rPr>
                <w:rFonts w:ascii="Arial" w:cs="Arial" w:eastAsia="Arial" w:hAnsi="Arial"/>
                <w:sz w:val="22"/>
                <w:szCs w:val="22"/>
                <w:color w:val="auto"/>
              </w:rPr>
              <w:t>100%</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4200" w:type="dxa"/>
            <w:vAlign w:val="bottom"/>
          </w:tcPr>
          <w:p>
            <w:pPr>
              <w:spacing w:after="0"/>
              <w:rPr>
                <w:sz w:val="20"/>
                <w:szCs w:val="20"/>
                <w:color w:val="auto"/>
              </w:rPr>
            </w:pPr>
            <w:r>
              <w:rPr>
                <w:rFonts w:ascii="Arial" w:cs="Arial" w:eastAsia="Arial" w:hAnsi="Arial"/>
                <w:sz w:val="22"/>
                <w:szCs w:val="22"/>
                <w:color w:val="auto"/>
              </w:rPr>
              <w:t>Vice President and Above</w:t>
            </w:r>
          </w:p>
        </w:tc>
        <w:tc>
          <w:tcPr>
            <w:tcW w:w="2500" w:type="dxa"/>
            <w:vAlign w:val="bottom"/>
            <w:gridSpan w:val="2"/>
          </w:tcPr>
          <w:p>
            <w:pPr>
              <w:jc w:val="right"/>
              <w:ind w:right="52"/>
              <w:spacing w:after="0"/>
              <w:rPr>
                <w:sz w:val="20"/>
                <w:szCs w:val="20"/>
                <w:color w:val="auto"/>
              </w:rPr>
            </w:pPr>
            <w:r>
              <w:rPr>
                <w:rFonts w:ascii="Arial" w:cs="Arial" w:eastAsia="Arial" w:hAnsi="Arial"/>
                <w:sz w:val="22"/>
                <w:szCs w:val="22"/>
                <w:color w:val="auto"/>
              </w:rPr>
              <w:t>80%</w:t>
            </w:r>
          </w:p>
        </w:tc>
        <w:tc>
          <w:tcPr>
            <w:tcW w:w="1940" w:type="dxa"/>
            <w:vAlign w:val="bottom"/>
            <w:gridSpan w:val="2"/>
          </w:tcPr>
          <w:p>
            <w:pPr>
              <w:jc w:val="right"/>
              <w:ind w:right="72"/>
              <w:spacing w:after="0"/>
              <w:rPr>
                <w:sz w:val="20"/>
                <w:szCs w:val="20"/>
                <w:color w:val="auto"/>
              </w:rPr>
            </w:pPr>
            <w:r>
              <w:rPr>
                <w:rFonts w:ascii="Arial" w:cs="Arial" w:eastAsia="Arial" w:hAnsi="Arial"/>
                <w:sz w:val="22"/>
                <w:szCs w:val="22"/>
                <w:color w:val="auto"/>
              </w:rPr>
              <w:t>20%</w:t>
            </w:r>
          </w:p>
        </w:tc>
      </w:tr>
      <w:tr>
        <w:trPr>
          <w:trHeight w:val="270"/>
        </w:trPr>
        <w:tc>
          <w:tcPr>
            <w:tcW w:w="4200" w:type="dxa"/>
            <w:vAlign w:val="bottom"/>
          </w:tcPr>
          <w:p>
            <w:pPr>
              <w:spacing w:after="0"/>
              <w:rPr>
                <w:sz w:val="20"/>
                <w:szCs w:val="20"/>
                <w:color w:val="auto"/>
              </w:rPr>
            </w:pPr>
            <w:r>
              <w:rPr>
                <w:rFonts w:ascii="Arial" w:cs="Arial" w:eastAsia="Arial" w:hAnsi="Arial"/>
                <w:sz w:val="22"/>
                <w:szCs w:val="22"/>
                <w:color w:val="auto"/>
              </w:rPr>
              <w:t>Director Level</w:t>
            </w:r>
          </w:p>
        </w:tc>
        <w:tc>
          <w:tcPr>
            <w:tcW w:w="2500" w:type="dxa"/>
            <w:vAlign w:val="bottom"/>
            <w:gridSpan w:val="2"/>
          </w:tcPr>
          <w:p>
            <w:pPr>
              <w:jc w:val="right"/>
              <w:ind w:right="52"/>
              <w:spacing w:after="0"/>
              <w:rPr>
                <w:sz w:val="20"/>
                <w:szCs w:val="20"/>
                <w:color w:val="auto"/>
              </w:rPr>
            </w:pPr>
            <w:r>
              <w:rPr>
                <w:rFonts w:ascii="Arial" w:cs="Arial" w:eastAsia="Arial" w:hAnsi="Arial"/>
                <w:sz w:val="22"/>
                <w:szCs w:val="22"/>
                <w:color w:val="auto"/>
              </w:rPr>
              <w:t>70%</w:t>
            </w:r>
          </w:p>
        </w:tc>
        <w:tc>
          <w:tcPr>
            <w:tcW w:w="1940" w:type="dxa"/>
            <w:vAlign w:val="bottom"/>
            <w:gridSpan w:val="2"/>
          </w:tcPr>
          <w:p>
            <w:pPr>
              <w:jc w:val="right"/>
              <w:ind w:right="72"/>
              <w:spacing w:after="0"/>
              <w:rPr>
                <w:sz w:val="20"/>
                <w:szCs w:val="20"/>
                <w:color w:val="auto"/>
              </w:rPr>
            </w:pPr>
            <w:r>
              <w:rPr>
                <w:rFonts w:ascii="Arial" w:cs="Arial" w:eastAsia="Arial" w:hAnsi="Arial"/>
                <w:sz w:val="22"/>
                <w:szCs w:val="22"/>
                <w:color w:val="auto"/>
              </w:rPr>
              <w:t>30%</w:t>
            </w:r>
          </w:p>
        </w:tc>
      </w:tr>
      <w:tr>
        <w:trPr>
          <w:trHeight w:val="283"/>
        </w:trPr>
        <w:tc>
          <w:tcPr>
            <w:tcW w:w="4200" w:type="dxa"/>
            <w:vAlign w:val="bottom"/>
          </w:tcPr>
          <w:p>
            <w:pPr>
              <w:spacing w:after="0"/>
              <w:rPr>
                <w:sz w:val="20"/>
                <w:szCs w:val="20"/>
                <w:color w:val="auto"/>
              </w:rPr>
            </w:pPr>
            <w:r>
              <w:rPr>
                <w:rFonts w:ascii="Arial" w:cs="Arial" w:eastAsia="Arial" w:hAnsi="Arial"/>
                <w:sz w:val="22"/>
                <w:szCs w:val="22"/>
                <w:color w:val="auto"/>
              </w:rPr>
              <w:t>Senior Manager and Below</w:t>
            </w:r>
          </w:p>
        </w:tc>
        <w:tc>
          <w:tcPr>
            <w:tcW w:w="2500" w:type="dxa"/>
            <w:vAlign w:val="bottom"/>
            <w:gridSpan w:val="2"/>
          </w:tcPr>
          <w:p>
            <w:pPr>
              <w:jc w:val="right"/>
              <w:ind w:right="52"/>
              <w:spacing w:after="0"/>
              <w:rPr>
                <w:sz w:val="20"/>
                <w:szCs w:val="20"/>
                <w:color w:val="auto"/>
              </w:rPr>
            </w:pPr>
            <w:r>
              <w:rPr>
                <w:rFonts w:ascii="Arial" w:cs="Arial" w:eastAsia="Arial" w:hAnsi="Arial"/>
                <w:sz w:val="22"/>
                <w:szCs w:val="22"/>
                <w:color w:val="auto"/>
              </w:rPr>
              <w:t>60%</w:t>
            </w:r>
          </w:p>
        </w:tc>
        <w:tc>
          <w:tcPr>
            <w:tcW w:w="1940" w:type="dxa"/>
            <w:vAlign w:val="bottom"/>
            <w:gridSpan w:val="2"/>
          </w:tcPr>
          <w:p>
            <w:pPr>
              <w:jc w:val="right"/>
              <w:ind w:right="72"/>
              <w:spacing w:after="0"/>
              <w:rPr>
                <w:sz w:val="20"/>
                <w:szCs w:val="20"/>
                <w:color w:val="auto"/>
              </w:rPr>
            </w:pPr>
            <w:r>
              <w:rPr>
                <w:rFonts w:ascii="Arial" w:cs="Arial" w:eastAsia="Arial" w:hAnsi="Arial"/>
                <w:sz w:val="22"/>
                <w:szCs w:val="22"/>
                <w:color w:val="auto"/>
              </w:rPr>
              <w:t>40%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Award Multipliers</w:t>
      </w:r>
    </w:p>
    <w:p>
      <w:pPr>
        <w:spacing w:after="0" w:line="235" w:lineRule="exact"/>
        <w:rPr>
          <w:sz w:val="20"/>
          <w:szCs w:val="20"/>
          <w:color w:val="auto"/>
        </w:rPr>
      </w:pPr>
    </w:p>
    <w:p>
      <w:pPr>
        <w:jc w:val="both"/>
        <w:ind w:right="440"/>
        <w:spacing w:after="0" w:line="236" w:lineRule="auto"/>
        <w:rPr>
          <w:sz w:val="20"/>
          <w:szCs w:val="20"/>
          <w:color w:val="auto"/>
        </w:rPr>
      </w:pPr>
      <w:r>
        <w:rPr>
          <w:rFonts w:ascii="Arial" w:cs="Arial" w:eastAsia="Arial" w:hAnsi="Arial"/>
          <w:sz w:val="22"/>
          <w:szCs w:val="22"/>
          <w:color w:val="auto"/>
        </w:rPr>
        <w:t>Separate award multipliers will be established for both the corporate and, if applicable, the individual components of each award. The award multiplier for the corporate component shall be determined by the Compensation Committee each Plan year, in its sole discretion. The same award multiplier for the corporate component of the award shall be used for all Plan participants. The award multiplier for the individual component shall be determined by the responsible Vice President or Senior Vice President and by the President and / or CEO.</w:t>
      </w:r>
    </w:p>
    <w:p>
      <w:pPr>
        <w:spacing w:after="0" w:line="209" w:lineRule="exact"/>
        <w:rPr>
          <w:sz w:val="20"/>
          <w:szCs w:val="20"/>
          <w:color w:val="auto"/>
        </w:rPr>
      </w:pPr>
    </w:p>
    <w:p>
      <w:pPr>
        <w:jc w:val="both"/>
        <w:ind w:right="380"/>
        <w:spacing w:after="0" w:line="245" w:lineRule="auto"/>
        <w:rPr>
          <w:sz w:val="20"/>
          <w:szCs w:val="20"/>
          <w:color w:val="auto"/>
        </w:rPr>
      </w:pPr>
      <w:r>
        <w:rPr>
          <w:rFonts w:ascii="Arial" w:cs="Arial" w:eastAsia="Arial" w:hAnsi="Arial"/>
          <w:sz w:val="22"/>
          <w:szCs w:val="22"/>
          <w:color w:val="auto"/>
        </w:rPr>
        <w:t>While the Compensation Committee may change the award multipliers for any Plan year, the following scale will be used to determine the actual performance award multiplier based upon the measurement of corporate and, if applicable, individual performance objectives.</w:t>
      </w:r>
    </w:p>
    <w:p>
      <w:pPr>
        <w:sectPr>
          <w:pgSz w:w="11900" w:h="16838" w:orient="portrait"/>
          <w:cols w:equalWidth="0" w:num="1">
            <w:col w:w="10120"/>
          </w:cols>
          <w:pgMar w:left="520" w:top="1277" w:right="1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Corporate Award Multipliers</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Performance Category</w:t>
      </w:r>
    </w:p>
    <w:p>
      <w:pPr>
        <w:spacing w:after="0" w:line="98" w:lineRule="exact"/>
        <w:rPr>
          <w:sz w:val="20"/>
          <w:szCs w:val="20"/>
          <w:color w:val="auto"/>
        </w:rPr>
      </w:pPr>
    </w:p>
    <w:p>
      <w:pPr>
        <w:ind w:left="620" w:hanging="238"/>
        <w:spacing w:after="0"/>
        <w:tabs>
          <w:tab w:leader="none" w:pos="62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Performance was truly outstanding or exceeded all objectives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5" w:lineRule="exact"/>
        <w:rPr>
          <w:rFonts w:ascii="Arial" w:cs="Arial" w:eastAsia="Arial" w:hAnsi="Arial"/>
          <w:sz w:val="22"/>
          <w:szCs w:val="22"/>
          <w:color w:val="auto"/>
        </w:rPr>
      </w:pPr>
    </w:p>
    <w:p>
      <w:pPr>
        <w:ind w:left="620" w:right="500" w:hanging="238"/>
        <w:spacing w:after="0" w:line="259" w:lineRule="auto"/>
        <w:tabs>
          <w:tab w:leader="none" w:pos="62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Performance met or exceeded all objectives or was excellent in view of prevailing conditions</w:t>
      </w:r>
    </w:p>
    <w:p>
      <w:pPr>
        <w:spacing w:after="0" w:line="200" w:lineRule="exact"/>
        <w:rPr>
          <w:rFonts w:ascii="Arial" w:cs="Arial" w:eastAsia="Arial" w:hAnsi="Arial"/>
          <w:sz w:val="22"/>
          <w:szCs w:val="22"/>
          <w:color w:val="auto"/>
        </w:rPr>
      </w:pPr>
    </w:p>
    <w:p>
      <w:pPr>
        <w:spacing w:after="0" w:line="361" w:lineRule="exact"/>
        <w:rPr>
          <w:rFonts w:ascii="Arial" w:cs="Arial" w:eastAsia="Arial" w:hAnsi="Arial"/>
          <w:sz w:val="22"/>
          <w:szCs w:val="22"/>
          <w:color w:val="auto"/>
        </w:rPr>
      </w:pPr>
    </w:p>
    <w:p>
      <w:pPr>
        <w:ind w:left="620" w:right="40" w:hanging="283"/>
        <w:spacing w:after="0" w:line="259" w:lineRule="auto"/>
        <w:tabs>
          <w:tab w:leader="none" w:pos="58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Performance generally met the year’s objectives and was very acceptable in view of prevailing conditions</w:t>
      </w:r>
    </w:p>
    <w:p>
      <w:pPr>
        <w:spacing w:after="0" w:line="210" w:lineRule="exact"/>
        <w:rPr>
          <w:rFonts w:ascii="Arial" w:cs="Arial" w:eastAsia="Arial" w:hAnsi="Arial"/>
          <w:sz w:val="22"/>
          <w:szCs w:val="22"/>
          <w:color w:val="auto"/>
        </w:rPr>
      </w:pPr>
    </w:p>
    <w:p>
      <w:pPr>
        <w:ind w:left="620" w:hanging="238"/>
        <w:spacing w:after="0"/>
        <w:tabs>
          <w:tab w:leader="none" w:pos="6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Performance for the year met some, but not all, objectives</w:t>
      </w:r>
    </w:p>
    <w:p>
      <w:pPr>
        <w:spacing w:after="0" w:line="206" w:lineRule="exact"/>
        <w:rPr>
          <w:rFonts w:ascii="Arial" w:cs="Arial" w:eastAsia="Arial" w:hAnsi="Arial"/>
          <w:sz w:val="22"/>
          <w:szCs w:val="22"/>
          <w:color w:val="auto"/>
        </w:rPr>
      </w:pPr>
    </w:p>
    <w:p>
      <w:pPr>
        <w:ind w:left="620" w:hanging="238"/>
        <w:spacing w:after="0"/>
        <w:tabs>
          <w:tab w:leader="none" w:pos="6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Performance for the year was not acceptable in view of prevailing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hanging="53"/>
        <w:spacing w:after="0" w:line="390" w:lineRule="auto"/>
        <w:rPr>
          <w:sz w:val="20"/>
          <w:szCs w:val="20"/>
          <w:color w:val="auto"/>
        </w:rPr>
      </w:pPr>
      <w:r>
        <w:rPr>
          <w:rFonts w:ascii="Arial" w:cs="Arial" w:eastAsia="Arial" w:hAnsi="Arial"/>
          <w:sz w:val="21"/>
          <w:szCs w:val="21"/>
          <w:u w:val="single" w:color="auto"/>
          <w:color w:val="auto"/>
        </w:rPr>
        <w:t xml:space="preserve">Award Multiplier </w:t>
      </w:r>
      <w:r>
        <w:rPr>
          <w:rFonts w:ascii="Arial" w:cs="Arial" w:eastAsia="Arial" w:hAnsi="Arial"/>
          <w:sz w:val="21"/>
          <w:szCs w:val="21"/>
          <w:color w:val="auto"/>
        </w:rPr>
        <w:t>125% - 150%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100% - 125%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50% - 100%</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0% - 50%</w:t>
      </w:r>
    </w:p>
    <w:p>
      <w:pPr>
        <w:spacing w:after="0" w:line="200" w:lineRule="exact"/>
        <w:rPr>
          <w:sz w:val="20"/>
          <w:szCs w:val="20"/>
          <w:color w:val="auto"/>
        </w:rPr>
      </w:pPr>
    </w:p>
    <w:p>
      <w:pPr>
        <w:spacing w:after="0" w:line="26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7900" w:space="680"/>
            <w:col w:w="1540"/>
          </w:cols>
          <w:pgMar w:left="520" w:top="1277" w:right="125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Example for Employee (Other than Executive Leadership Team)</w:t>
      </w:r>
    </w:p>
    <w:p>
      <w:pPr>
        <w:spacing w:after="0" w:line="249" w:lineRule="exact"/>
        <w:rPr>
          <w:sz w:val="20"/>
          <w:szCs w:val="20"/>
          <w:color w:val="auto"/>
        </w:rPr>
      </w:pPr>
    </w:p>
    <w:p>
      <w:pPr>
        <w:ind w:right="500"/>
        <w:spacing w:after="0" w:line="259" w:lineRule="auto"/>
        <w:rPr>
          <w:sz w:val="20"/>
          <w:szCs w:val="20"/>
          <w:color w:val="auto"/>
        </w:rPr>
      </w:pPr>
      <w:r>
        <w:rPr>
          <w:rFonts w:ascii="Arial" w:cs="Arial" w:eastAsia="Arial" w:hAnsi="Arial"/>
          <w:sz w:val="22"/>
          <w:szCs w:val="22"/>
          <w:color w:val="auto"/>
        </w:rPr>
        <w:t>The example below shows a sample cash bonus award calculation under the Plan for a non-executive employee, which is determined after the end of the Plan year.</w:t>
      </w:r>
    </w:p>
    <w:p>
      <w:pPr>
        <w:spacing w:after="0" w:line="18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512445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520" w:top="1277" w:right="1259" w:bottom="1440" w:gutter="0" w:footer="0" w:header="0"/>
          <w:type w:val="continuous"/>
        </w:sectPr>
      </w:pPr>
    </w:p>
    <w:bookmarkStart w:id="187" w:name="page188"/>
    <w:bookmarkEnd w:id="187"/>
    <w:p>
      <w:pPr>
        <w:ind w:right="340"/>
        <w:spacing w:after="0" w:line="259" w:lineRule="auto"/>
        <w:rPr>
          <w:sz w:val="20"/>
          <w:szCs w:val="20"/>
          <w:color w:val="auto"/>
        </w:rPr>
      </w:pPr>
      <w:r>
        <w:rPr>
          <w:rFonts w:ascii="Arial" w:cs="Arial" w:eastAsia="Arial" w:hAnsi="Arial"/>
          <w:sz w:val="22"/>
          <w:szCs w:val="22"/>
          <w:i w:val="1"/>
          <w:iCs w:val="1"/>
          <w:u w:val="single" w:color="auto"/>
          <w:color w:val="auto"/>
        </w:rPr>
        <w:t>Step #1</w:t>
      </w:r>
      <w:r>
        <w:rPr>
          <w:rFonts w:ascii="Arial" w:cs="Arial" w:eastAsia="Arial" w:hAnsi="Arial"/>
          <w:sz w:val="22"/>
          <w:szCs w:val="22"/>
          <w:i w:val="1"/>
          <w:iCs w:val="1"/>
          <w:color w:val="auto"/>
        </w:rPr>
        <w:t xml:space="preserve">: </w:t>
      </w:r>
      <w:r>
        <w:rPr>
          <w:rFonts w:ascii="Arial" w:cs="Arial" w:eastAsia="Arial" w:hAnsi="Arial"/>
          <w:sz w:val="22"/>
          <w:szCs w:val="22"/>
          <w:color w:val="auto"/>
        </w:rPr>
        <w:t>A potential target bonus award is calculated by multiplying the employee’s base salary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assigned target bonus percentage.</w:t>
      </w:r>
    </w:p>
    <w:p>
      <w:pPr>
        <w:spacing w:after="0" w:line="129" w:lineRule="exact"/>
        <w:rPr>
          <w:sz w:val="20"/>
          <w:szCs w:val="20"/>
          <w:color w:val="auto"/>
        </w:rPr>
      </w:pPr>
    </w:p>
    <w:p>
      <w:pPr>
        <w:ind w:right="200"/>
        <w:spacing w:after="0"/>
        <w:rPr>
          <w:sz w:val="20"/>
          <w:szCs w:val="20"/>
          <w:color w:val="auto"/>
        </w:rPr>
      </w:pPr>
      <w:r>
        <w:rPr>
          <w:rFonts w:ascii="Arial" w:cs="Arial" w:eastAsia="Arial" w:hAnsi="Arial"/>
          <w:sz w:val="22"/>
          <w:szCs w:val="22"/>
          <w:i w:val="1"/>
          <w:iCs w:val="1"/>
          <w:u w:val="single" w:color="auto"/>
          <w:color w:val="auto"/>
        </w:rPr>
        <w:t>Step #2</w:t>
      </w:r>
      <w:r>
        <w:rPr>
          <w:rFonts w:ascii="Arial" w:cs="Arial" w:eastAsia="Arial" w:hAnsi="Arial"/>
          <w:sz w:val="22"/>
          <w:szCs w:val="22"/>
          <w:color w:val="auto"/>
        </w:rPr>
        <w:t>: The calculated potential target bonus award is then split between the corporate and individual</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factors by the employee’s assigned level (per the weighting above). This calculation establishes specific potential dollar awards for the performance period based on both the individual and corporate performance factor components.</w:t>
      </w:r>
    </w:p>
    <w:p>
      <w:pPr>
        <w:spacing w:after="0" w:line="203" w:lineRule="exact"/>
        <w:rPr>
          <w:sz w:val="20"/>
          <w:szCs w:val="20"/>
          <w:color w:val="auto"/>
        </w:rPr>
      </w:pPr>
    </w:p>
    <w:p>
      <w:pPr>
        <w:ind w:right="500"/>
        <w:spacing w:after="0" w:line="245" w:lineRule="auto"/>
        <w:rPr>
          <w:sz w:val="20"/>
          <w:szCs w:val="20"/>
          <w:color w:val="auto"/>
        </w:rPr>
      </w:pPr>
      <w:r>
        <w:rPr>
          <w:rFonts w:ascii="Arial" w:cs="Arial" w:eastAsia="Arial" w:hAnsi="Arial"/>
          <w:sz w:val="22"/>
          <w:szCs w:val="22"/>
          <w:i w:val="1"/>
          <w:iCs w:val="1"/>
          <w:u w:val="single" w:color="auto"/>
          <w:color w:val="auto"/>
        </w:rPr>
        <w:t>Step #3</w:t>
      </w:r>
      <w:r>
        <w:rPr>
          <w:rFonts w:ascii="Arial" w:cs="Arial" w:eastAsia="Arial" w:hAnsi="Arial"/>
          <w:sz w:val="22"/>
          <w:szCs w:val="22"/>
          <w:i w:val="1"/>
          <w:iCs w:val="1"/>
          <w:color w:val="auto"/>
        </w:rPr>
        <w:t xml:space="preserve">: </w:t>
      </w:r>
      <w:r>
        <w:rPr>
          <w:rFonts w:ascii="Arial" w:cs="Arial" w:eastAsia="Arial" w:hAnsi="Arial"/>
          <w:sz w:val="22"/>
          <w:szCs w:val="22"/>
          <w:color w:val="auto"/>
        </w:rPr>
        <w:t>After the end of the Plan year, corporate and individual award multipliers will be established</w:t>
      </w:r>
      <w:r>
        <w:rPr>
          <w:rFonts w:ascii="Arial" w:cs="Arial" w:eastAsia="Arial" w:hAnsi="Arial"/>
          <w:sz w:val="22"/>
          <w:szCs w:val="22"/>
          <w:i w:val="1"/>
          <w:iCs w:val="1"/>
          <w:color w:val="auto"/>
        </w:rPr>
        <w:t xml:space="preserve"> </w:t>
      </w:r>
      <w:r>
        <w:rPr>
          <w:rFonts w:ascii="Arial" w:cs="Arial" w:eastAsia="Arial" w:hAnsi="Arial"/>
          <w:sz w:val="22"/>
          <w:szCs w:val="22"/>
          <w:color w:val="auto"/>
        </w:rPr>
        <w:t>using the criteria described above. Awards are determined by multiplying the potential target bonus awards in Step #2 by the actual corporate and individual award multipliers.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r>
              <w:rPr>
                <w:rFonts w:ascii="Arial" w:cs="Arial" w:eastAsia="Arial" w:hAnsi="Arial"/>
                <w:sz w:val="18"/>
                <w:szCs w:val="18"/>
                <w:i w:val="1"/>
                <w:iCs w:val="1"/>
                <w:color w:val="auto"/>
              </w:rPr>
              <w:t>Example:</w:t>
            </w:r>
          </w:p>
        </w:tc>
        <w:tc>
          <w:tcPr>
            <w:tcW w:w="5300" w:type="dxa"/>
            <w:vAlign w:val="bottom"/>
          </w:tcPr>
          <w:p>
            <w:pPr>
              <w:ind w:left="340"/>
              <w:spacing w:after="0"/>
              <w:rPr>
                <w:sz w:val="20"/>
                <w:szCs w:val="20"/>
                <w:color w:val="auto"/>
              </w:rPr>
            </w:pPr>
            <w:r>
              <w:rPr>
                <w:rFonts w:ascii="Arial" w:cs="Arial" w:eastAsia="Arial" w:hAnsi="Arial"/>
                <w:sz w:val="18"/>
                <w:szCs w:val="18"/>
                <w:color w:val="auto"/>
              </w:rPr>
              <w:t>Step #1: Determine Target Bonus Award</w:t>
            </w:r>
          </w:p>
        </w:tc>
        <w:tc>
          <w:tcPr>
            <w:tcW w:w="3240" w:type="dxa"/>
            <w:vAlign w:val="bottom"/>
          </w:tcPr>
          <w:p>
            <w:pPr>
              <w:spacing w:after="0"/>
              <w:rPr>
                <w:sz w:val="20"/>
                <w:szCs w:val="20"/>
                <w:color w:val="auto"/>
              </w:rPr>
            </w:pPr>
          </w:p>
        </w:tc>
      </w:tr>
      <w:tr>
        <w:trPr>
          <w:trHeight w:val="342"/>
        </w:trPr>
        <w:tc>
          <w:tcPr>
            <w:tcW w:w="110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Position:</w:t>
            </w:r>
          </w:p>
        </w:tc>
        <w:tc>
          <w:tcPr>
            <w:tcW w:w="3240" w:type="dxa"/>
            <w:vAlign w:val="bottom"/>
          </w:tcPr>
          <w:p>
            <w:pPr>
              <w:jc w:val="right"/>
              <w:spacing w:after="0"/>
              <w:rPr>
                <w:sz w:val="20"/>
                <w:szCs w:val="20"/>
                <w:color w:val="auto"/>
              </w:rPr>
            </w:pPr>
            <w:r>
              <w:rPr>
                <w:rFonts w:ascii="Arial" w:cs="Arial" w:eastAsia="Arial" w:hAnsi="Arial"/>
                <w:sz w:val="18"/>
                <w:szCs w:val="18"/>
                <w:color w:val="auto"/>
              </w:rPr>
              <w:t>Associate Director</w:t>
            </w:r>
          </w:p>
        </w:tc>
      </w:tr>
      <w:tr>
        <w:trPr>
          <w:trHeight w:val="229"/>
        </w:trPr>
        <w:tc>
          <w:tcPr>
            <w:tcW w:w="110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Base salary:</w:t>
            </w:r>
          </w:p>
        </w:tc>
        <w:tc>
          <w:tcPr>
            <w:tcW w:w="32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110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Target bonus percentage:</w:t>
            </w:r>
          </w:p>
        </w:tc>
        <w:tc>
          <w:tcPr>
            <w:tcW w:w="3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9"/>
        </w:trPr>
        <w:tc>
          <w:tcPr>
            <w:tcW w:w="110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Potential target bonus:</w:t>
            </w:r>
          </w:p>
        </w:tc>
        <w:tc>
          <w:tcPr>
            <w:tcW w:w="3240" w:type="dxa"/>
            <w:vAlign w:val="bottom"/>
          </w:tcPr>
          <w:p>
            <w:pPr>
              <w:jc w:val="right"/>
              <w:spacing w:after="0"/>
              <w:rPr>
                <w:sz w:val="20"/>
                <w:szCs w:val="20"/>
                <w:color w:val="auto"/>
              </w:rPr>
            </w:pPr>
            <w:r>
              <w:rPr>
                <w:rFonts w:ascii="Arial" w:cs="Arial" w:eastAsia="Arial" w:hAnsi="Arial"/>
                <w:sz w:val="18"/>
                <w:szCs w:val="18"/>
                <w:color w:val="auto"/>
              </w:rPr>
              <w:t>$ 20,000</w:t>
            </w:r>
          </w:p>
        </w:tc>
      </w:tr>
    </w:tbl>
    <w:p>
      <w:pPr>
        <w:spacing w:after="0" w:line="193" w:lineRule="exact"/>
        <w:rPr>
          <w:sz w:val="20"/>
          <w:szCs w:val="20"/>
          <w:color w:val="auto"/>
        </w:rPr>
      </w:pPr>
    </w:p>
    <w:p>
      <w:pPr>
        <w:ind w:left="2520"/>
        <w:spacing w:after="0"/>
        <w:rPr>
          <w:sz w:val="20"/>
          <w:szCs w:val="20"/>
          <w:color w:val="auto"/>
        </w:rPr>
      </w:pPr>
      <w:r>
        <w:rPr>
          <w:rFonts w:ascii="Arial" w:cs="Arial" w:eastAsia="Arial" w:hAnsi="Arial"/>
          <w:sz w:val="18"/>
          <w:szCs w:val="18"/>
          <w:i w:val="1"/>
          <w:iCs w:val="1"/>
          <w:u w:val="single" w:color="auto"/>
          <w:color w:val="auto"/>
        </w:rPr>
        <w:t xml:space="preserve">Step #2: </w:t>
      </w:r>
      <w:r>
        <w:rPr>
          <w:rFonts w:ascii="Arial" w:cs="Arial" w:eastAsia="Arial" w:hAnsi="Arial"/>
          <w:sz w:val="18"/>
          <w:szCs w:val="18"/>
          <w:u w:val="single" w:color="auto"/>
          <w:color w:val="auto"/>
        </w:rPr>
        <w:t>Split Target Bonus Award Based on Corporate/Individual Weightings</w:t>
      </w:r>
    </w:p>
    <w:p>
      <w:pPr>
        <w:spacing w:after="0" w:line="234"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Arial" w:cs="Arial" w:eastAsia="Arial" w:hAnsi="Arial"/>
                <w:sz w:val="18"/>
                <w:szCs w:val="18"/>
                <w:color w:val="auto"/>
              </w:rPr>
              <w:t>Potential corporate performance bonus (70%):</w:t>
            </w:r>
          </w:p>
        </w:tc>
        <w:tc>
          <w:tcPr>
            <w:tcW w:w="3460" w:type="dxa"/>
            <w:vAlign w:val="bottom"/>
          </w:tcPr>
          <w:p>
            <w:pPr>
              <w:ind w:left="160"/>
              <w:spacing w:after="0"/>
              <w:rPr>
                <w:sz w:val="20"/>
                <w:szCs w:val="20"/>
                <w:color w:val="auto"/>
              </w:rPr>
            </w:pPr>
            <w:r>
              <w:rPr>
                <w:rFonts w:ascii="Arial" w:cs="Arial" w:eastAsia="Arial" w:hAnsi="Arial"/>
                <w:sz w:val="18"/>
                <w:szCs w:val="18"/>
                <w:color w:val="auto"/>
                <w:w w:val="99"/>
              </w:rPr>
              <w:t>$ 14,000 Potential individual performance</w:t>
            </w:r>
          </w:p>
        </w:tc>
      </w:tr>
      <w:tr>
        <w:trPr>
          <w:trHeight w:val="239"/>
        </w:trPr>
        <w:tc>
          <w:tcPr>
            <w:tcW w:w="3840" w:type="dxa"/>
            <w:vAlign w:val="bottom"/>
            <w:gridSpan w:val="2"/>
          </w:tcPr>
          <w:p>
            <w:pPr>
              <w:spacing w:after="0"/>
              <w:rPr>
                <w:sz w:val="20"/>
                <w:szCs w:val="20"/>
                <w:color w:val="auto"/>
              </w:rPr>
            </w:pPr>
            <w:r>
              <w:rPr>
                <w:rFonts w:ascii="Arial" w:cs="Arial" w:eastAsia="Arial" w:hAnsi="Arial"/>
                <w:sz w:val="18"/>
                <w:szCs w:val="18"/>
                <w:color w:val="auto"/>
              </w:rPr>
              <w:t>bonus (30%):  $ 6,000</w:t>
            </w:r>
          </w:p>
        </w:tc>
        <w:tc>
          <w:tcPr>
            <w:tcW w:w="3460" w:type="dxa"/>
            <w:vAlign w:val="bottom"/>
          </w:tcPr>
          <w:p>
            <w:pPr>
              <w:spacing w:after="0"/>
              <w:rPr>
                <w:sz w:val="20"/>
                <w:szCs w:val="20"/>
                <w:color w:val="auto"/>
              </w:rPr>
            </w:pPr>
          </w:p>
        </w:tc>
      </w:tr>
      <w:tr>
        <w:trPr>
          <w:trHeight w:val="360"/>
        </w:trPr>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Step # 3: </w:t>
            </w:r>
            <w:r>
              <w:rPr>
                <w:rFonts w:ascii="Arial" w:cs="Arial" w:eastAsia="Arial" w:hAnsi="Arial"/>
                <w:sz w:val="18"/>
                <w:szCs w:val="18"/>
                <w:color w:val="auto"/>
              </w:rPr>
              <w:t>Actual Bonus Award Calculation</w:t>
            </w:r>
          </w:p>
        </w:tc>
        <w:tc>
          <w:tcPr>
            <w:tcW w:w="3460" w:type="dxa"/>
            <w:vAlign w:val="bottom"/>
          </w:tcPr>
          <w:p>
            <w:pPr>
              <w:spacing w:after="0"/>
              <w:rPr>
                <w:sz w:val="24"/>
                <w:szCs w:val="24"/>
                <w:color w:val="auto"/>
              </w:rPr>
            </w:pPr>
          </w:p>
        </w:tc>
      </w:tr>
      <w:tr>
        <w:trPr>
          <w:trHeight w:val="20"/>
        </w:trPr>
        <w:tc>
          <w:tcPr>
            <w:tcW w:w="3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25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Assumed payment multipliers based on assessment of corporate and individual performance:</w:t>
      </w:r>
    </w:p>
    <w:p>
      <w:pPr>
        <w:spacing w:after="0" w:line="23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Corporate multiplier 75%-performance generally met objectives</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Individual multiplier 125%-performance exceeded objectives</w:t>
      </w:r>
    </w:p>
    <w:p>
      <w:pPr>
        <w:spacing w:after="0" w:line="162"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Cash Award: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000" w:type="dxa"/>
            <w:vAlign w:val="bottom"/>
          </w:tcPr>
          <w:p>
            <w:pPr>
              <w:ind w:left="1000"/>
              <w:spacing w:after="0"/>
              <w:rPr>
                <w:sz w:val="20"/>
                <w:szCs w:val="20"/>
                <w:color w:val="auto"/>
              </w:rPr>
            </w:pPr>
            <w:r>
              <w:rPr>
                <w:rFonts w:ascii="Arial" w:cs="Arial" w:eastAsia="Arial" w:hAnsi="Arial"/>
                <w:sz w:val="18"/>
                <w:szCs w:val="18"/>
                <w:color w:val="auto"/>
              </w:rPr>
              <w:t>Corporate component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10,500 ($14,000 x 75%)</w:t>
            </w:r>
          </w:p>
        </w:tc>
      </w:tr>
      <w:tr>
        <w:trPr>
          <w:trHeight w:val="194"/>
        </w:trPr>
        <w:tc>
          <w:tcPr>
            <w:tcW w:w="3000" w:type="dxa"/>
            <w:vAlign w:val="bottom"/>
          </w:tcPr>
          <w:p>
            <w:pPr>
              <w:ind w:left="1000"/>
              <w:spacing w:after="0" w:line="195" w:lineRule="exact"/>
              <w:rPr>
                <w:sz w:val="20"/>
                <w:szCs w:val="20"/>
                <w:color w:val="auto"/>
              </w:rPr>
            </w:pPr>
            <w:r>
              <w:rPr>
                <w:rFonts w:ascii="Arial" w:cs="Arial" w:eastAsia="Arial" w:hAnsi="Arial"/>
                <w:sz w:val="18"/>
                <w:szCs w:val="18"/>
                <w:color w:val="auto"/>
              </w:rPr>
              <w:t>Individual component</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220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7,500 ($ 6,000 x 125%)</w:t>
            </w:r>
          </w:p>
        </w:tc>
      </w:tr>
      <w:tr>
        <w:trPr>
          <w:trHeight w:val="203"/>
        </w:trPr>
        <w:tc>
          <w:tcPr>
            <w:tcW w:w="3000" w:type="dxa"/>
            <w:vAlign w:val="bottom"/>
          </w:tcPr>
          <w:p>
            <w:pPr>
              <w:ind w:left="1000"/>
              <w:spacing w:after="0" w:line="203" w:lineRule="exact"/>
              <w:rPr>
                <w:sz w:val="20"/>
                <w:szCs w:val="20"/>
                <w:color w:val="auto"/>
              </w:rPr>
            </w:pPr>
            <w:r>
              <w:rPr>
                <w:rFonts w:ascii="Arial" w:cs="Arial" w:eastAsia="Arial" w:hAnsi="Arial"/>
                <w:sz w:val="18"/>
                <w:szCs w:val="18"/>
                <w:b w:val="1"/>
                <w:bCs w:val="1"/>
                <w:color w:val="auto"/>
              </w:rPr>
              <w:t>Total Award  $ 17,500</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22"/>
          <w:szCs w:val="22"/>
          <w:b w:val="1"/>
          <w:bCs w:val="1"/>
          <w:u w:val="single" w:color="auto"/>
          <w:color w:val="auto"/>
        </w:rPr>
        <w:t>AWARD PAYMENTS</w:t>
      </w:r>
    </w:p>
    <w:p>
      <w:pPr>
        <w:spacing w:after="0" w:line="186"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Bonus award payments may be made in cash, through the issuance of stock, stock options or another form of equity award, or by a combination of cash, stock, stock options and/or another form of equity award, at the discretion of the Compensation Committee. All bonus award payments are subject to applicable tax withholdings. In the event that the Compensation Committee elects to pay bonus awards in stock or stock options, the Compensation Committee, in its sole discretion, will make a determination as to the number of shares of stock or stock options to be issued to each Plan participant in satisfaction of such bonus awards. The issuance of stock and stock options may also be subject to the approval of the Company’s stockholders, and any stock options issued will be subject to the terms and conditions of the Company’s equity plan.</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512445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520" w:top="1261" w:right="1319" w:bottom="1440" w:gutter="0" w:footer="0" w:header="0"/>
        </w:sectPr>
      </w:pPr>
    </w:p>
    <w:bookmarkStart w:id="188" w:name="page189"/>
    <w:bookmarkEnd w:id="188"/>
    <w:p>
      <w:pPr>
        <w:ind w:left="60" w:right="480"/>
        <w:spacing w:after="0" w:line="259" w:lineRule="auto"/>
        <w:rPr>
          <w:sz w:val="20"/>
          <w:szCs w:val="20"/>
          <w:color w:val="auto"/>
        </w:rPr>
      </w:pPr>
      <w:r>
        <w:rPr>
          <w:rFonts w:ascii="Arial" w:cs="Arial" w:eastAsia="Arial" w:hAnsi="Arial"/>
          <w:sz w:val="22"/>
          <w:szCs w:val="22"/>
          <w:color w:val="auto"/>
        </w:rPr>
        <w:t>Payment of bonus awards will be made at such times as determined by the Compensation Committee, but not later than four months following the Plan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PLAN PROVISIONS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w:t>
      </w: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Plan will be administered by the Compensation Committee of the Board of Directors (the “Compensation Committee”). The CEO and Chief Human Resources Officer of Phathom will be responsible for the administration of the Plan with respect to non-executive employees. The Compensation Committee will be responsible for approving any compensation or incentive awards to executive officers of the Company. All determinations of the Compensation Committee or the CEO and Chief Human Resources Officer, as applicable, under the Plan, shall be final and binding on all Plan participants.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Committee’s Absolute Right to Alter or Abolish the Plan</w:t>
      </w:r>
    </w:p>
    <w:p>
      <w:pPr>
        <w:spacing w:after="0" w:line="24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Compensation Committee reserves the right in its absolute discretion to abolish the Plan at any time or to alter the terms and conditions under which incentive compensation will be paid. Such discretion may be exercised any time before, during, and after the Plan year is completed. No participant shall have any vested right to receive any compensation hereunder until actual delivery of such compensation. Participation in the Plan at any given time does not guarantee ongoing participation.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Duration/Employment Relationship</w:t>
      </w:r>
    </w:p>
    <w:p>
      <w:pPr>
        <w:spacing w:after="0" w:line="24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This Plan does not, and Phathom’s policies and practices in administering this Plan do not, constitute an express or implied contract or other agreement concerning the duration of any participant’s employment with the Company. The employment relationship of each participant is “at will” and may be terminated at any time by Phathom or by the participant, with or without cause.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Unfunded</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Plan shall be unfunded. Amounts payable under the Plan are not and will not be transferred into a trust or otherwise set aside. The Company shall not be required to establish any special or separate fund or to make any other segregation of assets to assure the payment of any award under the Plan. Any accounts under the Plan are for bookkeeping purposes only and do not represent a claim against the specific assets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Not Transferable</w:t>
      </w:r>
    </w:p>
    <w:p>
      <w:pPr>
        <w:spacing w:after="0" w:line="235"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color w:val="auto"/>
        </w:rPr>
        <w:t>No rights of any participant to payments of any amounts under the Plan may be sold, transferred, pledged, assigned, or otherwise alienated or hypothecated. All</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504190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460" w:top="1261" w:right="1059" w:bottom="1440" w:gutter="0" w:footer="0" w:header="0"/>
        </w:sectPr>
      </w:pPr>
    </w:p>
    <w:bookmarkStart w:id="189" w:name="page190"/>
    <w:bookmarkEnd w:id="189"/>
    <w:p>
      <w:pPr>
        <w:ind w:left="20" w:right="580"/>
        <w:spacing w:after="0" w:line="259" w:lineRule="auto"/>
        <w:rPr>
          <w:sz w:val="20"/>
          <w:szCs w:val="20"/>
          <w:color w:val="auto"/>
        </w:rPr>
      </w:pPr>
      <w:r>
        <w:rPr>
          <w:rFonts w:ascii="Arial" w:cs="Arial" w:eastAsia="Arial" w:hAnsi="Arial"/>
          <w:sz w:val="22"/>
          <w:szCs w:val="22"/>
          <w:color w:val="auto"/>
        </w:rPr>
        <w:t>rights with respect to an award granted to a participant under the Plan shall be available during his or her lifetime only to the participant.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Governing Law</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The Plan shall be construed, interpreted and the rights of the parties determined in accordance with the laws of the State of New Jersey (without regard to principles of conflicts of law).</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Any questions pertaining to this plan should be directed to the Human Resources Department.</w:t>
      </w:r>
    </w:p>
    <w:p>
      <w:pPr>
        <w:spacing w:after="0" w:line="24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512445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440" w:top="1018" w:right="85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333" w:lineRule="exact"/>
        <w:rPr>
          <w:sz w:val="20"/>
          <w:szCs w:val="20"/>
          <w:color w:val="auto"/>
        </w:rPr>
      </w:pPr>
    </w:p>
    <w:p>
      <w:pPr>
        <w:ind w:left="1020" w:right="460" w:hanging="503"/>
        <w:spacing w:after="0" w:line="282" w:lineRule="auto"/>
        <w:tabs>
          <w:tab w:leader="none" w:pos="1020" w:val="left"/>
        </w:tabs>
        <w:numPr>
          <w:ilvl w:val="0"/>
          <w:numId w:val="10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333-234357) pertaining to the 2019 Equity Incentive Plan, 2019 Incentive Award Plan, and 2019 Employee Stock Purchase Plan of Phathom Pharmaceuticals, Inc.,</w:t>
      </w:r>
    </w:p>
    <w:p>
      <w:pPr>
        <w:spacing w:after="0" w:line="53" w:lineRule="exact"/>
        <w:rPr>
          <w:rFonts w:ascii="Times New Roman" w:cs="Times New Roman" w:eastAsia="Times New Roman" w:hAnsi="Times New Roman"/>
          <w:sz w:val="18"/>
          <w:szCs w:val="18"/>
          <w:color w:val="333333"/>
        </w:rPr>
      </w:pPr>
    </w:p>
    <w:p>
      <w:pPr>
        <w:ind w:left="1020" w:right="80" w:hanging="503"/>
        <w:spacing w:after="0" w:line="282" w:lineRule="auto"/>
        <w:tabs>
          <w:tab w:leader="none" w:pos="1020" w:val="left"/>
        </w:tabs>
        <w:numPr>
          <w:ilvl w:val="0"/>
          <w:numId w:val="10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333-263420) pertaining to the 2019 Incentive Award Plan and 2019 Employee Stock Purchase Plan of Phathom Pharmaceuticals, Inc., and</w:t>
      </w:r>
    </w:p>
    <w:p>
      <w:pPr>
        <w:spacing w:after="0" w:line="53" w:lineRule="exact"/>
        <w:rPr>
          <w:rFonts w:ascii="Times New Roman" w:cs="Times New Roman" w:eastAsia="Times New Roman" w:hAnsi="Times New Roman"/>
          <w:sz w:val="18"/>
          <w:szCs w:val="18"/>
          <w:color w:val="333333"/>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333-275431) of Phathom Pharmaceuticals, Inc.;</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333333"/>
        </w:rPr>
        <w:t>of our report dated March 7, 2024, with respect to the financial statements of Phathom Pharmaceuticals, Inc. included in this Annual Report (Form 10-K) of Phathom Pharmaceuticals, Inc. for the year ended December 31, 2023.</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color w:val="auto"/>
        </w:rPr>
        <w:t>Exhibit 24.1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LIMITED POWER OF ATTORNEY</w:t>
      </w:r>
    </w:p>
    <w:p>
      <w:pPr>
        <w:spacing w:after="0" w:line="237"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KNOW ALL PERSONS BY THESE PRESENTS, that each person or entity whose signature appears below constitutes, designates and appoints each of Terrie Curran and Molly Henderson, each of whom are officers of Phathom Pharmaceuticals, Inc. (the “Company”), as its true and lawful attorneys-in-fact and agent, each with power of substitution, with full power to act without the other and on behalf of and as attorney for me, for the purpose of executing and filing with the Securities and Exchange Commission the Company’s Annual Report on Form 10-K for the year ended December 31, 2023,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704"/>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Michael Cola</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4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Michael Cola</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Frank Karbe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Frank Karbe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Heidi Kunz</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Heidi Kunz</w:t>
            </w:r>
          </w:p>
        </w:tc>
        <w:tc>
          <w:tcPr>
            <w:tcW w:w="10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Asit Parikh</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Asit Parikh</w:t>
            </w:r>
          </w:p>
        </w:tc>
        <w:tc>
          <w:tcPr>
            <w:tcW w:w="120" w:type="dxa"/>
            <w:vAlign w:val="bottom"/>
            <w:gridSpan w:val="3"/>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David Socks</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David Socks</w:t>
            </w: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Mark Stenhouse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6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Mark Stenhouse</w:t>
            </w: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703"/>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James Topper</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7, 2024</w:t>
            </w:r>
          </w:p>
        </w:tc>
      </w:tr>
      <w:tr>
        <w:trPr>
          <w:trHeight w:val="276"/>
        </w:trPr>
        <w:tc>
          <w:tcPr>
            <w:tcW w:w="100" w:type="dxa"/>
            <w:vAlign w:val="bottom"/>
          </w:tcPr>
          <w:p>
            <w:pPr>
              <w:spacing w:after="0"/>
              <w:rPr>
                <w:sz w:val="23"/>
                <w:szCs w:val="23"/>
                <w:color w:val="auto"/>
              </w:rPr>
            </w:pPr>
          </w:p>
        </w:tc>
        <w:tc>
          <w:tcPr>
            <w:tcW w:w="1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James Topper</w:t>
            </w:r>
          </w:p>
        </w:tc>
        <w:tc>
          <w:tcPr>
            <w:tcW w:w="1260" w:type="dxa"/>
            <w:vAlign w:val="bottom"/>
            <w:gridSpan w:val="2"/>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1871"/>
        </w:trPr>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2" w:name="page193"/>
    <w:bookmarkEnd w:id="19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Terrie Curran, certify that:</w:t>
      </w:r>
    </w:p>
    <w:p>
      <w:pPr>
        <w:spacing w:after="0" w:line="239" w:lineRule="exact"/>
        <w:rPr>
          <w:sz w:val="20"/>
          <w:szCs w:val="20"/>
          <w:color w:val="auto"/>
        </w:rPr>
      </w:pPr>
    </w:p>
    <w:p>
      <w:pPr>
        <w:ind w:left="840" w:hanging="832"/>
        <w:spacing w:after="0"/>
        <w:tabs>
          <w:tab w:leader="none" w:pos="8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Phathom Pharmaceuticals, Inc.</w:t>
      </w:r>
    </w:p>
    <w:p>
      <w:pPr>
        <w:spacing w:after="0" w:line="198" w:lineRule="exact"/>
        <w:rPr>
          <w:rFonts w:ascii="Times New Roman" w:cs="Times New Roman" w:eastAsia="Times New Roman" w:hAnsi="Times New Roman"/>
          <w:sz w:val="18"/>
          <w:szCs w:val="18"/>
          <w:color w:val="auto"/>
        </w:rPr>
      </w:pPr>
    </w:p>
    <w:p>
      <w:pPr>
        <w:ind w:left="840" w:hanging="832"/>
        <w:spacing w:after="0" w:line="266" w:lineRule="auto"/>
        <w:tabs>
          <w:tab w:leader="none" w:pos="8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40" w:right="180" w:hanging="832"/>
        <w:spacing w:after="0" w:line="282" w:lineRule="auto"/>
        <w:tabs>
          <w:tab w:leader="none" w:pos="8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840" w:right="80" w:hanging="832"/>
        <w:spacing w:after="0" w:line="266" w:lineRule="auto"/>
        <w:tabs>
          <w:tab w:leader="none" w:pos="8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660" w:right="200" w:hanging="829"/>
        <w:spacing w:after="0" w:line="266" w:lineRule="auto"/>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60" w:hanging="829"/>
        <w:spacing w:after="0"/>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84" w:lineRule="exact"/>
        <w:rPr>
          <w:rFonts w:ascii="Times New Roman" w:cs="Times New Roman" w:eastAsia="Times New Roman" w:hAnsi="Times New Roman"/>
          <w:sz w:val="18"/>
          <w:szCs w:val="18"/>
          <w:color w:val="auto"/>
        </w:rPr>
      </w:pPr>
    </w:p>
    <w:p>
      <w:pPr>
        <w:ind w:left="1660" w:right="140" w:hanging="829"/>
        <w:spacing w:after="0" w:line="266" w:lineRule="auto"/>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60" w:right="260" w:hanging="829"/>
        <w:spacing w:after="0" w:line="266" w:lineRule="auto"/>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40" w:right="100" w:hanging="832"/>
        <w:spacing w:after="0" w:line="282" w:lineRule="auto"/>
        <w:tabs>
          <w:tab w:leader="none" w:pos="8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660" w:right="100" w:hanging="829"/>
        <w:spacing w:after="0" w:line="282" w:lineRule="auto"/>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60" w:right="380" w:hanging="829"/>
        <w:spacing w:after="0" w:line="282" w:lineRule="auto"/>
        <w:tabs>
          <w:tab w:leader="none" w:pos="1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26746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Terrie Curran</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Molly Henderson, certify that:</w:t>
      </w:r>
    </w:p>
    <w:p>
      <w:pPr>
        <w:spacing w:after="0" w:line="239" w:lineRule="exact"/>
        <w:rPr>
          <w:sz w:val="20"/>
          <w:szCs w:val="20"/>
          <w:color w:val="auto"/>
        </w:rPr>
      </w:pPr>
    </w:p>
    <w:p>
      <w:pPr>
        <w:ind w:left="840" w:hanging="832"/>
        <w:spacing w:after="0"/>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Phathom Pharmaceuticals, Inc.</w:t>
      </w:r>
    </w:p>
    <w:p>
      <w:pPr>
        <w:spacing w:after="0" w:line="198" w:lineRule="exact"/>
        <w:rPr>
          <w:rFonts w:ascii="Times New Roman" w:cs="Times New Roman" w:eastAsia="Times New Roman" w:hAnsi="Times New Roman"/>
          <w:sz w:val="18"/>
          <w:szCs w:val="18"/>
          <w:color w:val="auto"/>
        </w:rPr>
      </w:pPr>
    </w:p>
    <w:p>
      <w:pPr>
        <w:ind w:left="840" w:hanging="832"/>
        <w:spacing w:after="0" w:line="266" w:lineRule="auto"/>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40" w:right="180" w:hanging="832"/>
        <w:spacing w:after="0" w:line="282" w:lineRule="auto"/>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840" w:right="80" w:hanging="832"/>
        <w:spacing w:after="0" w:line="266" w:lineRule="auto"/>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660" w:right="200" w:hanging="829"/>
        <w:spacing w:after="0" w:line="266" w:lineRule="auto"/>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60" w:hanging="829"/>
        <w:spacing w:after="0"/>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84" w:lineRule="exact"/>
        <w:rPr>
          <w:rFonts w:ascii="Times New Roman" w:cs="Times New Roman" w:eastAsia="Times New Roman" w:hAnsi="Times New Roman"/>
          <w:sz w:val="18"/>
          <w:szCs w:val="18"/>
          <w:color w:val="auto"/>
        </w:rPr>
      </w:pPr>
    </w:p>
    <w:p>
      <w:pPr>
        <w:ind w:left="1660" w:right="140" w:hanging="829"/>
        <w:spacing w:after="0" w:line="266" w:lineRule="auto"/>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60" w:right="260" w:hanging="829"/>
        <w:spacing w:after="0" w:line="266" w:lineRule="auto"/>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40" w:right="100" w:hanging="832"/>
        <w:spacing w:after="0" w:line="282" w:lineRule="auto"/>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660" w:right="100" w:hanging="829"/>
        <w:spacing w:after="0" w:line="282" w:lineRule="auto"/>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60" w:right="380" w:hanging="829"/>
        <w:spacing w:after="0" w:line="282" w:lineRule="auto"/>
        <w:tabs>
          <w:tab w:leader="none" w:pos="1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1200"/>
        <w:spacing w:after="0"/>
        <w:tabs>
          <w:tab w:leader="none" w:pos="5260" w:val="left"/>
        </w:tabs>
        <w:rPr>
          <w:sz w:val="20"/>
          <w:szCs w:val="20"/>
          <w:color w:val="auto"/>
        </w:rPr>
      </w:pPr>
      <w:r>
        <w:rPr>
          <w:rFonts w:ascii="Times New Roman" w:cs="Times New Roman" w:eastAsia="Times New Roman" w:hAnsi="Times New Roman"/>
          <w:sz w:val="18"/>
          <w:szCs w:val="18"/>
          <w:color w:val="auto"/>
        </w:rPr>
        <w:t>Date: March 7, 2024</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26035</wp:posOffset>
            </wp:positionV>
            <wp:extent cx="30435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1270635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spacing w:after="0" w:line="1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2023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20"/>
        <w:spacing w:after="0"/>
        <w:tabs>
          <w:tab w:leader="none" w:pos="5460" w:val="left"/>
        </w:tabs>
        <w:rPr>
          <w:sz w:val="20"/>
          <w:szCs w:val="20"/>
          <w:color w:val="auto"/>
        </w:rPr>
      </w:pPr>
      <w:r>
        <w:rPr>
          <w:rFonts w:ascii="Times New Roman" w:cs="Times New Roman" w:eastAsia="Times New Roman" w:hAnsi="Times New Roman"/>
          <w:sz w:val="18"/>
          <w:szCs w:val="18"/>
          <w:color w:val="auto"/>
        </w:rPr>
        <w:t>Date: March 7, 2024</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26035</wp:posOffset>
            </wp:positionV>
            <wp:extent cx="27686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Terrie Curran</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8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2023 as filed with the Securities and Exchange Commission on the date hereof (the “Report”), I, Molly Henderson, as Principal Financial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40"/>
        <w:spacing w:after="0"/>
        <w:tabs>
          <w:tab w:leader="none" w:pos="5060" w:val="left"/>
        </w:tabs>
        <w:rPr>
          <w:sz w:val="20"/>
          <w:szCs w:val="20"/>
          <w:color w:val="auto"/>
        </w:rPr>
      </w:pPr>
      <w:r>
        <w:rPr>
          <w:rFonts w:ascii="Times New Roman" w:cs="Times New Roman" w:eastAsia="Times New Roman" w:hAnsi="Times New Roman"/>
          <w:sz w:val="18"/>
          <w:szCs w:val="18"/>
          <w:color w:val="auto"/>
        </w:rPr>
        <w:t>Date: March 7, 2024</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2746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3"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87" w:right="260" w:hanging="4765"/>
        <w:spacing w:after="0" w:line="262" w:lineRule="auto"/>
        <w:rPr>
          <w:sz w:val="20"/>
          <w:szCs w:val="20"/>
          <w:color w:val="auto"/>
        </w:rPr>
      </w:pPr>
      <w:r>
        <w:rPr>
          <w:rFonts w:ascii="Times New Roman" w:cs="Times New Roman" w:eastAsia="Times New Roman" w:hAnsi="Times New Roman"/>
          <w:sz w:val="22"/>
          <w:szCs w:val="22"/>
          <w:b w:val="1"/>
          <w:bCs w:val="1"/>
          <w:color w:val="auto"/>
        </w:rPr>
        <w:t>PHATHOM PHARMACEUTICALS, INC. POLICY FOR RECOVERY OF ERRONEOUSLY AWARDED COMPENSATION</w:t>
      </w:r>
    </w:p>
    <w:p>
      <w:pPr>
        <w:spacing w:after="0" w:line="148" w:lineRule="exact"/>
        <w:rPr>
          <w:sz w:val="20"/>
          <w:szCs w:val="20"/>
          <w:color w:val="auto"/>
        </w:rPr>
      </w:pPr>
    </w:p>
    <w:p>
      <w:pPr>
        <w:jc w:val="both"/>
        <w:ind w:left="7" w:right="120" w:firstLine="749"/>
        <w:spacing w:after="0" w:line="247" w:lineRule="auto"/>
        <w:rPr>
          <w:sz w:val="20"/>
          <w:szCs w:val="20"/>
          <w:color w:val="auto"/>
        </w:rPr>
      </w:pPr>
      <w:r>
        <w:rPr>
          <w:rFonts w:ascii="Times New Roman" w:cs="Times New Roman" w:eastAsia="Times New Roman" w:hAnsi="Times New Roman"/>
          <w:sz w:val="22"/>
          <w:szCs w:val="22"/>
          <w:color w:val="auto"/>
        </w:rPr>
        <w:t>Phathom Pharmaceuticals,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747" w:hanging="747"/>
        <w:spacing w:after="0"/>
        <w:tabs>
          <w:tab w:leader="none" w:pos="747"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rFonts w:ascii="Times New Roman" w:cs="Times New Roman" w:eastAsia="Times New Roman" w:hAnsi="Times New Roman"/>
          <w:sz w:val="22"/>
          <w:szCs w:val="22"/>
          <w:b w:val="1"/>
          <w:bCs w:val="1"/>
          <w:color w:val="auto"/>
        </w:rPr>
      </w:pPr>
    </w:p>
    <w:p>
      <w:pPr>
        <w:ind w:left="747"/>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Executive Officers of the Company.</w:t>
      </w:r>
    </w:p>
    <w:p>
      <w:pPr>
        <w:spacing w:after="0" w:line="202" w:lineRule="exact"/>
        <w:rPr>
          <w:rFonts w:ascii="Times New Roman" w:cs="Times New Roman" w:eastAsia="Times New Roman" w:hAnsi="Times New Roman"/>
          <w:sz w:val="22"/>
          <w:szCs w:val="22"/>
          <w:b w:val="1"/>
          <w:bCs w:val="1"/>
          <w:color w:val="auto"/>
        </w:rPr>
      </w:pPr>
    </w:p>
    <w:p>
      <w:pPr>
        <w:ind w:left="747" w:hanging="747"/>
        <w:spacing w:after="0"/>
        <w:tabs>
          <w:tab w:leader="none" w:pos="747"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left="7" w:right="120"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747" w:hanging="747"/>
        <w:spacing w:after="0"/>
        <w:tabs>
          <w:tab w:leader="none" w:pos="747"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left="7" w:right="120" w:firstLine="749"/>
        <w:spacing w:after="0" w:line="235" w:lineRule="auto"/>
        <w:rPr>
          <w:sz w:val="20"/>
          <w:szCs w:val="20"/>
          <w:color w:val="auto"/>
        </w:rPr>
      </w:pPr>
      <w:r>
        <w:rPr>
          <w:rFonts w:ascii="Times New Roman" w:cs="Times New Roman" w:eastAsia="Times New Roman" w:hAnsi="Times New Roman"/>
          <w:sz w:val="22"/>
          <w:szCs w:val="22"/>
          <w:color w:val="auto"/>
        </w:rPr>
        <w:t>If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Executive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747" w:hanging="747"/>
        <w:spacing w:after="0"/>
        <w:tabs>
          <w:tab w:leader="none" w:pos="747"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left="7" w:right="120" w:firstLine="749"/>
        <w:spacing w:after="0" w:line="23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against the amount of Erroneously Awarded Compensation required to be recovered pursuant to this Policy from such person.</w:t>
      </w:r>
    </w:p>
    <w:p>
      <w:pPr>
        <w:spacing w:after="0" w:line="31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313055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00" w:right="339" w:bottom="1440" w:gutter="0" w:footer="0" w:header="0"/>
        </w:sectPr>
      </w:pPr>
    </w:p>
    <w:bookmarkStart w:id="197" w:name="page198"/>
    <w:bookmarkEnd w:id="197"/>
    <w:p>
      <w:pPr>
        <w:spacing w:after="0" w:line="127" w:lineRule="exact"/>
        <w:rPr>
          <w:sz w:val="20"/>
          <w:szCs w:val="20"/>
          <w:color w:val="auto"/>
        </w:rPr>
      </w:pPr>
    </w:p>
    <w:p>
      <w:pPr>
        <w:ind w:left="747" w:hanging="747"/>
        <w:spacing w:after="0"/>
        <w:tabs>
          <w:tab w:leader="none" w:pos="747"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left="7" w:firstLine="749"/>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9" w:lineRule="exact"/>
        <w:rPr>
          <w:sz w:val="20"/>
          <w:szCs w:val="20"/>
          <w:color w:val="auto"/>
        </w:rPr>
      </w:pPr>
    </w:p>
    <w:p>
      <w:pPr>
        <w:ind w:left="747" w:hanging="747"/>
        <w:spacing w:after="0"/>
        <w:tabs>
          <w:tab w:leader="none" w:pos="747"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left="7"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747" w:hanging="747"/>
        <w:spacing w:after="0"/>
        <w:tabs>
          <w:tab w:leader="none" w:pos="747"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left="7"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747" w:hanging="747"/>
        <w:spacing w:after="0"/>
        <w:tabs>
          <w:tab w:leader="none" w:pos="747"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left="7"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Company.</w:t>
      </w:r>
    </w:p>
    <w:p>
      <w:pPr>
        <w:spacing w:after="0" w:line="202" w:lineRule="exact"/>
        <w:rPr>
          <w:sz w:val="20"/>
          <w:szCs w:val="20"/>
          <w:color w:val="auto"/>
        </w:rPr>
      </w:pPr>
    </w:p>
    <w:p>
      <w:pPr>
        <w:ind w:left="747" w:hanging="747"/>
        <w:spacing w:after="0"/>
        <w:tabs>
          <w:tab w:leader="none" w:pos="747"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left="7"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31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313055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198" w:name="page199"/>
    <w:bookmarkEnd w:id="198"/>
    <w:p>
      <w:pPr>
        <w:spacing w:after="0" w:line="127" w:lineRule="exact"/>
        <w:rPr>
          <w:sz w:val="20"/>
          <w:szCs w:val="20"/>
          <w:color w:val="auto"/>
        </w:rPr>
      </w:pPr>
    </w:p>
    <w:p>
      <w:pPr>
        <w:ind w:left="747" w:hanging="747"/>
        <w:spacing w:after="0"/>
        <w:tabs>
          <w:tab w:leader="none" w:pos="747"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left="7"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3" w:lineRule="exact"/>
        <w:rPr>
          <w:sz w:val="20"/>
          <w:szCs w:val="20"/>
          <w:color w:val="auto"/>
        </w:rPr>
      </w:pPr>
    </w:p>
    <w:p>
      <w:pPr>
        <w:ind w:left="747" w:hanging="747"/>
        <w:spacing w:after="0"/>
        <w:tabs>
          <w:tab w:leader="none" w:pos="747"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left="7"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1" w:lineRule="exact"/>
        <w:rPr>
          <w:sz w:val="20"/>
          <w:szCs w:val="20"/>
          <w:color w:val="auto"/>
        </w:rPr>
      </w:pPr>
    </w:p>
    <w:p>
      <w:pPr>
        <w:jc w:val="both"/>
        <w:ind w:left="7"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left="7"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Executive Officer that exceeds the amount of Incentive-Based Compensation that would have been received by such current or former Executive Officer based on a restated Financial Reporting Measure, as determined on a pre-tax basis in accordance with the Applicable Rules.</w:t>
      </w:r>
    </w:p>
    <w:p>
      <w:pPr>
        <w:spacing w:after="0" w:line="17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ind w:left="7"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5" w:lineRule="exact"/>
        <w:rPr>
          <w:sz w:val="20"/>
          <w:szCs w:val="20"/>
          <w:color w:val="auto"/>
        </w:rPr>
      </w:pPr>
    </w:p>
    <w:p>
      <w:pPr>
        <w:jc w:val="both"/>
        <w:ind w:left="7"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spacing w:after="0" w:line="17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44"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Board.</w:t>
      </w:r>
    </w:p>
    <w:p>
      <w:pPr>
        <w:spacing w:after="0" w:line="176" w:lineRule="exact"/>
        <w:rPr>
          <w:sz w:val="20"/>
          <w:szCs w:val="20"/>
          <w:color w:val="auto"/>
        </w:rPr>
      </w:pPr>
    </w:p>
    <w:p>
      <w:pPr>
        <w:jc w:val="both"/>
        <w:ind w:left="7"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w:t>
      </w:r>
    </w:p>
    <w:p>
      <w:pPr>
        <w:spacing w:after="0" w:line="30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321945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199" w:name="page200"/>
    <w:bookmarkEnd w:id="199"/>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Company, to fail to meet the requirements of 26 U.S.C. 401(a)(13) or 26 U.S.C. 411(a) and the regulations thereunder.</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Executive Officer; (b) who served as an Executive Officer at any time during the performance period for that compensation; (c) while the issuer has a class of its securities listed on a national securities exchange or association; and (d) during the applicable Three-Year Period.</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313055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lowerRoman"/>
      <w:start w:val="4"/>
    </w:lvl>
  </w:abstractNum>
  <w:abstractNum w:abstractNumId="54">
    <w:nsid w:val="4C04A8AF"/>
    <w:multiLevelType w:val="hybridMultilevel"/>
    <w:lvl w:ilvl="0">
      <w:lvlJc w:val="left"/>
      <w:lvlText w:val="(%1)"/>
      <w:numFmt w:val="lowerRoman"/>
      <w:start w:val="1"/>
    </w:lvl>
    <w:lvl w:ilvl="1">
      <w:lvlJc w:val="left"/>
      <w:lvlText w:val="%2."/>
      <w:numFmt w:val="lowerLetter"/>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decimal"/>
      <w:start w:val="1"/>
    </w:lvl>
  </w:abstractNum>
  <w:abstractNum w:abstractNumId="58">
    <w:nsid w:val="74DE0EE3"/>
    <w:multiLevelType w:val="hybridMultilevel"/>
    <w:lvl w:ilvl="0">
      <w:lvlJc w:val="left"/>
      <w:lvlText w:val="%1."/>
      <w:numFmt w:val="decimal"/>
      <w:start w:val="2"/>
    </w:lvl>
  </w:abstractNum>
  <w:abstractNum w:abstractNumId="59">
    <w:nsid w:val="68EBC550"/>
    <w:multiLevelType w:val="hybridMultilevel"/>
    <w:lvl w:ilvl="0">
      <w:lvlJc w:val="left"/>
      <w:lvlText w:val="%1."/>
      <w:numFmt w:val="decimal"/>
      <w:start w:val="3"/>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1)"/>
      <w:numFmt w:val="lowerRoman"/>
      <w:start w:val="4"/>
    </w:lvl>
  </w:abstractNum>
  <w:abstractNum w:abstractNumId="62">
    <w:nsid w:val="4A2AC315"/>
    <w:multiLevelType w:val="hybridMultilevel"/>
    <w:lvl w:ilvl="0">
      <w:lvlJc w:val="left"/>
      <w:lvlText w:val="(%1)"/>
      <w:numFmt w:val="lowerLetter"/>
      <w:start w:val="4"/>
    </w:lvl>
  </w:abstractNum>
  <w:abstractNum w:abstractNumId="63">
    <w:nsid w:val="39EE015C"/>
    <w:multiLevelType w:val="hybridMultilevel"/>
    <w:lvl w:ilvl="0">
      <w:lvlJc w:val="left"/>
      <w:lvlText w:val="(%1)"/>
      <w:numFmt w:val="lowerRoman"/>
      <w:start w:val="1"/>
    </w:lvl>
    <w:lvl w:ilvl="1">
      <w:lvlJc w:val="left"/>
      <w:lvlText w:val="%2."/>
      <w:numFmt w:val="lowerLetter"/>
      <w:start w:val="1"/>
    </w:lvl>
  </w:abstractNum>
  <w:abstractNum w:abstractNumId="64">
    <w:nsid w:val="57FC4FBB"/>
    <w:multiLevelType w:val="hybridMultilevel"/>
    <w:lvl w:ilvl="0">
      <w:lvlJc w:val="left"/>
      <w:lvlText w:val="(%1)"/>
      <w:numFmt w:val="decimal"/>
      <w:start w:val="1"/>
    </w:lvl>
  </w:abstractNum>
  <w:abstractNum w:abstractNumId="65">
    <w:nsid w:val="CC1016F"/>
    <w:multiLevelType w:val="hybridMultilevel"/>
    <w:lvl w:ilvl="0">
      <w:lvlJc w:val="left"/>
      <w:lvlText w:val="(%1)"/>
      <w:numFmt w:val="decimal"/>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1."/>
      <w:numFmt w:val="upperLetter"/>
      <w:start w:val="2"/>
    </w:lvl>
  </w:abstractNum>
  <w:abstractNum w:abstractNumId="68">
    <w:nsid w:val="26F324BA"/>
    <w:multiLevelType w:val="hybridMultilevel"/>
    <w:lvl w:ilvl="0">
      <w:lvlJc w:val="left"/>
      <w:lvlText w:val="%1."/>
      <w:numFmt w:val="decimal"/>
      <w:start w:val="1"/>
    </w:lvl>
    <w:lvl w:ilvl="1">
      <w:lvlJc w:val="left"/>
      <w:lvlText w:val="%2."/>
      <w:numFmt w:val="upperLetter"/>
      <w:start w:val="1"/>
    </w:lvl>
  </w:abstractNum>
  <w:abstractNum w:abstractNumId="69">
    <w:nsid w:val="7F01579B"/>
    <w:multiLevelType w:val="hybridMultilevel"/>
    <w:lvl w:ilvl="0">
      <w:lvlJc w:val="left"/>
      <w:lvlText w:val="%1."/>
      <w:numFmt w:val="upperLetter"/>
      <w:start w:val="2"/>
    </w:lvl>
  </w:abstractNum>
  <w:abstractNum w:abstractNumId="70">
    <w:nsid w:val="49DA307D"/>
    <w:multiLevelType w:val="hybridMultilevel"/>
    <w:lvl w:ilvl="0">
      <w:lvlJc w:val="left"/>
      <w:lvlText w:val="%1."/>
      <w:numFmt w:val="upperLetter"/>
      <w:start w:val="4"/>
    </w:lvl>
  </w:abstractNum>
  <w:abstractNum w:abstractNumId="71">
    <w:nsid w:val="7055A5F5"/>
    <w:multiLevelType w:val="hybridMultilevel"/>
    <w:lvl w:ilvl="0">
      <w:lvlJc w:val="left"/>
      <w:lvlText w:val="%1."/>
      <w:numFmt w:val="decimal"/>
      <w:start w:val="3"/>
    </w:lvl>
  </w:abstractNum>
  <w:abstractNum w:abstractNumId="72">
    <w:nsid w:val="5FB8370B"/>
    <w:multiLevelType w:val="hybridMultilevel"/>
    <w:lvl w:ilvl="0">
      <w:lvlJc w:val="left"/>
      <w:lvlText w:val="%1."/>
      <w:numFmt w:val="decimal"/>
      <w:start w:val="5"/>
    </w:lvl>
  </w:abstractNum>
  <w:abstractNum w:abstractNumId="73">
    <w:nsid w:val="50801EE1"/>
    <w:multiLevelType w:val="hybridMultilevel"/>
    <w:lvl w:ilvl="0">
      <w:lvlJc w:val="left"/>
      <w:lvlText w:val="%1."/>
      <w:numFmt w:val="upperLetter"/>
      <w:start w:val="1"/>
    </w:lvl>
  </w:abstractNum>
  <w:abstractNum w:abstractNumId="74">
    <w:nsid w:val="488AC1A"/>
    <w:multiLevelType w:val="hybridMultilevel"/>
    <w:lvl w:ilvl="0">
      <w:lvlJc w:val="left"/>
      <w:lvlText w:val="(%1)"/>
      <w:numFmt w:val="lowerLetter"/>
      <w:start w:val="1"/>
    </w:lvl>
  </w:abstractNum>
  <w:abstractNum w:abstractNumId="75">
    <w:nsid w:val="5FB8011C"/>
    <w:multiLevelType w:val="hybridMultilevel"/>
    <w:lvl w:ilvl="0">
      <w:lvlJc w:val="left"/>
      <w:lvlText w:val="(%1)"/>
      <w:numFmt w:val="lowerLetter"/>
      <w:start w:val="1"/>
    </w:lvl>
    <w:lvl w:ilvl="1">
      <w:lvlJc w:val="left"/>
      <w:lvlText w:val="(%2)"/>
      <w:numFmt w:val="lowerLetter"/>
      <w:start w:val="9"/>
    </w:lvl>
  </w:abstractNum>
  <w:abstractNum w:abstractNumId="76">
    <w:nsid w:val="6AA78F7F"/>
    <w:multiLevelType w:val="hybridMultilevel"/>
    <w:lvl w:ilvl="0">
      <w:lvlJc w:val="left"/>
      <w:lvlText w:val="(%1)"/>
      <w:numFmt w:val="lowerRoman"/>
      <w:start w:val="2"/>
    </w:lvl>
  </w:abstractNum>
  <w:abstractNum w:abstractNumId="77">
    <w:nsid w:val="7672BD23"/>
    <w:multiLevelType w:val="hybridMultilevel"/>
    <w:lvl w:ilvl="0">
      <w:lvlJc w:val="left"/>
      <w:lvlText w:val="(%1)"/>
      <w:numFmt w:val="lowerRoman"/>
      <w:start w:val="2"/>
    </w:lvl>
  </w:abstractNum>
  <w:abstractNum w:abstractNumId="78">
    <w:nsid w:val="6FC75AF8"/>
    <w:multiLevelType w:val="hybridMultilevel"/>
    <w:lvl w:ilvl="0">
      <w:lvlJc w:val="left"/>
      <w:lvlText w:val="(%1)"/>
      <w:numFmt w:val="lowerRoman"/>
      <w:start w:val="3"/>
    </w:lvl>
  </w:abstractNum>
  <w:abstractNum w:abstractNumId="79">
    <w:nsid w:val="6A5F7029"/>
    <w:multiLevelType w:val="hybridMultilevel"/>
    <w:lvl w:ilvl="0">
      <w:lvlJc w:val="left"/>
      <w:lvlText w:val="(%1)"/>
      <w:numFmt w:val="lowerRoman"/>
      <w:start w:val="4"/>
    </w:lvl>
  </w:abstractNum>
  <w:abstractNum w:abstractNumId="80">
    <w:nsid w:val="7D5E18F8"/>
    <w:multiLevelType w:val="hybridMultilevel"/>
    <w:lvl w:ilvl="0">
      <w:lvlJc w:val="left"/>
      <w:lvlText w:val="(%1)"/>
      <w:numFmt w:val="lowerRoman"/>
      <w:start w:val="5"/>
    </w:lvl>
  </w:abstractNum>
  <w:abstractNum w:abstractNumId="81">
    <w:nsid w:val="5F3534A4"/>
    <w:multiLevelType w:val="hybridMultilevel"/>
    <w:lvl w:ilvl="0">
      <w:lvlJc w:val="left"/>
      <w:lvlText w:val="(%1)"/>
      <w:numFmt w:val="lowerRoman"/>
      <w:start w:val="6"/>
    </w:lvl>
  </w:abstractNum>
  <w:abstractNum w:abstractNumId="82">
    <w:nsid w:val="73A1821B"/>
    <w:multiLevelType w:val="hybridMultilevel"/>
    <w:lvl w:ilvl="0">
      <w:lvlJc w:val="left"/>
      <w:lvlText w:val="(%1)"/>
      <w:numFmt w:val="lowerRoman"/>
      <w:start w:val="7"/>
    </w:lvl>
  </w:abstractNum>
  <w:abstractNum w:abstractNumId="83">
    <w:nsid w:val="7DE67713"/>
    <w:multiLevelType w:val="hybridMultilevel"/>
    <w:lvl w:ilvl="0">
      <w:lvlJc w:val="left"/>
      <w:lvlText w:val="(%1)"/>
      <w:numFmt w:val="lowerRoman"/>
      <w:start w:val="8"/>
    </w:lvl>
  </w:abstractNum>
  <w:abstractNum w:abstractNumId="84">
    <w:nsid w:val="555C55B5"/>
    <w:multiLevelType w:val="hybridMultilevel"/>
    <w:lvl w:ilvl="0">
      <w:lvlJc w:val="left"/>
      <w:lvlText w:val="(%1)"/>
      <w:numFmt w:val="lowerRoman"/>
      <w:start w:val="9"/>
    </w:lvl>
  </w:abstractNum>
  <w:abstractNum w:abstractNumId="85">
    <w:nsid w:val="3FA62ACA"/>
    <w:multiLevelType w:val="hybridMultilevel"/>
    <w:lvl w:ilvl="0">
      <w:lvlJc w:val="left"/>
      <w:lvlText w:val="(%1)"/>
      <w:numFmt w:val="lowerRoman"/>
      <w:start w:val="10"/>
    </w:lvl>
  </w:abstractNum>
  <w:abstractNum w:abstractNumId="86">
    <w:nsid w:val="14FCE74E"/>
    <w:multiLevelType w:val="hybridMultilevel"/>
    <w:lvl w:ilvl="0">
      <w:lvlJc w:val="left"/>
      <w:lvlText w:val="(%1)"/>
      <w:numFmt w:val="lowerRoman"/>
      <w:start w:val="11"/>
    </w:lvl>
  </w:abstractNum>
  <w:abstractNum w:abstractNumId="87">
    <w:nsid w:val="6A3DD3E8"/>
    <w:multiLevelType w:val="hybridMultilevel"/>
    <w:lvl w:ilvl="0">
      <w:lvlJc w:val="left"/>
      <w:lvlText w:val="(%1)"/>
      <w:numFmt w:val="lowerRoman"/>
      <w:start w:val="12"/>
    </w:lvl>
  </w:abstractNum>
  <w:abstractNum w:abstractNumId="88">
    <w:nsid w:val="71C91298"/>
    <w:multiLevelType w:val="hybridMultilevel"/>
    <w:lvl w:ilvl="0">
      <w:lvlJc w:val="left"/>
      <w:lvlText w:val="(%1)"/>
      <w:numFmt w:val="lowerRoman"/>
      <w:start w:val="3"/>
    </w:lvl>
  </w:abstractNum>
  <w:abstractNum w:abstractNumId="89">
    <w:nsid w:val="9DAF632"/>
    <w:multiLevelType w:val="hybridMultilevel"/>
    <w:lvl w:ilvl="0">
      <w:lvlJc w:val="left"/>
      <w:lvlText w:val="(%1)"/>
      <w:numFmt w:val="lowerRoman"/>
      <w:start w:val="13"/>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Roman"/>
      <w:start w:val="15"/>
    </w:lvl>
  </w:abstractNum>
  <w:abstractNum w:abstractNumId="92">
    <w:nsid w:val="5092CA79"/>
    <w:multiLevelType w:val="hybridMultilevel"/>
    <w:lvl w:ilvl="0">
      <w:lvlJc w:val="left"/>
      <w:lvlText w:val="(%1)"/>
      <w:numFmt w:val="lowerRoman"/>
      <w:start w:val="16"/>
    </w:lvl>
  </w:abstractNum>
  <w:abstractNum w:abstractNumId="93">
    <w:nsid w:val="1D545C4D"/>
    <w:multiLevelType w:val="hybridMultilevel"/>
    <w:lvl w:ilvl="0">
      <w:lvlJc w:val="left"/>
      <w:lvlText w:val="%1"/>
      <w:numFmt w:val="lowerLetter"/>
      <w:start w:val="1"/>
    </w:lvl>
    <w:lvl w:ilvl="1">
      <w:lvlJc w:val="left"/>
      <w:lvlText w:val="(%2)"/>
      <w:numFmt w:val="lowerRoman"/>
      <w:start w:val="17"/>
    </w:lvl>
  </w:abstractNum>
  <w:abstractNum w:abstractNumId="94">
    <w:nsid w:val="59ADEA3D"/>
    <w:multiLevelType w:val="hybridMultilevel"/>
    <w:lvl w:ilvl="0">
      <w:lvlJc w:val="left"/>
      <w:lvlText w:val="(%1)"/>
      <w:numFmt w:val="lowerLetter"/>
      <w:start w:val="2"/>
    </w:lvl>
    <w:lvl w:ilvl="1">
      <w:lvlJc w:val="left"/>
      <w:lvlText w:val="%2"/>
      <w:numFmt w:val="lowerRoman"/>
      <w:start w:val="1"/>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6"/>
    </w:lvl>
    <w:lvl w:ilvl="1">
      <w:lvlJc w:val="left"/>
      <w:lvlText w:val="(%2)"/>
      <w:numFmt w:val="lowerRoman"/>
      <w:start w:val="1"/>
    </w:lvl>
  </w:abstractNum>
  <w:abstractNum w:abstractNumId="97">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97E1B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abstractNum>
  <w:abstractNum w:abstractNumId="99">
    <w:nsid w:val="51088277"/>
    <w:multiLevelType w:val="hybridMultilevel"/>
    <w:lvl w:ilvl="0">
      <w:lvlJc w:val="left"/>
      <w:lvlText w:val="(%1)"/>
      <w:numFmt w:val="lowerLetter"/>
      <w:start w:val="5"/>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02">
    <w:nsid w:val="415E286C"/>
    <w:multiLevelType w:val="hybridMultilevel"/>
    <w:lvl w:ilvl="0">
      <w:lvlJc w:val="left"/>
      <w:lvlText w:val="%1."/>
      <w:numFmt w:val="lowerLetter"/>
      <w:start w:val="3"/>
    </w:lvl>
    <w:lvl w:ilvl="1">
      <w:lvlJc w:val="left"/>
      <w:lvlText w:val="•"/>
      <w:numFmt w:val="bullet"/>
      <w:start w:val="1"/>
    </w:lvl>
  </w:abstractNum>
  <w:abstractNum w:abstractNumId="103">
    <w:nsid w:val="7C58FD05"/>
    <w:multiLevelType w:val="hybridMultilevel"/>
    <w:lvl w:ilvl="0">
      <w:lvlJc w:val="left"/>
      <w:lvlText w:val="%1"/>
      <w:numFmt w:val="decimal"/>
      <w:start w:val="1"/>
    </w:lvl>
    <w:lvl w:ilvl="1">
      <w:lvlJc w:val="left"/>
      <w:lvlText w:val="%2."/>
      <w:numFmt w:val="decimal"/>
      <w:start w:val="1"/>
    </w:lvl>
  </w:abstractNum>
  <w:abstractNum w:abstractNumId="104">
    <w:nsid w:val="23D86AAC"/>
    <w:multiLevelType w:val="hybridMultilevel"/>
    <w:lvl w:ilvl="0">
      <w:lvlJc w:val="left"/>
      <w:lvlText w:val="%1."/>
      <w:numFmt w:val="decimal"/>
      <w:start w:val="3"/>
    </w:lvl>
    <w:lvl w:ilvl="1">
      <w:lvlJc w:val="left"/>
      <w:lvlText w:val="%2."/>
      <w:numFmt w:val="decimal"/>
      <w:start w:val="4"/>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1."/>
      <w:numFmt w:val="decimal"/>
      <w:start w:val="1"/>
    </w:lvl>
    <w:lvl w:ilvl="1">
      <w:lvlJc w:val="left"/>
      <w:lvlText w:val="%2)"/>
      <w:numFmt w:val="lowerLetter"/>
      <w:start w:val="1"/>
    </w:lvl>
  </w:abstractNum>
  <w:abstractNum w:abstractNumId="107">
    <w:nsid w:val="E7FFA2B"/>
    <w:multiLevelType w:val="hybridMultilevel"/>
    <w:lvl w:ilvl="0">
      <w:lvlJc w:val="left"/>
      <w:lvlText w:val="%1."/>
      <w:numFmt w:val="decimal"/>
      <w:start w:val="1"/>
    </w:lvl>
    <w:lvl w:ilvl="1">
      <w:lvlJc w:val="left"/>
      <w:lvlText w:val="%2)"/>
      <w:numFmt w:val="lowerLetter"/>
      <w:start w:val="1"/>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3"/>
    </w:lvl>
  </w:abstractNum>
  <w:abstractNum w:abstractNumId="112">
    <w:nsid w:val="2B0D8DBE"/>
    <w:multiLevelType w:val="hybridMultilevel"/>
    <w:lvl w:ilvl="0">
      <w:lvlJc w:val="left"/>
      <w:lvlText w:val="%1."/>
      <w:numFmt w:val="decimal"/>
      <w:start w:val="4"/>
    </w:lvl>
  </w:abstractNum>
  <w:abstractNum w:abstractNumId="113">
    <w:nsid w:val="6C80EC70"/>
    <w:multiLevelType w:val="hybridMultilevel"/>
    <w:lvl w:ilvl="0">
      <w:lvlJc w:val="left"/>
      <w:lvlText w:val="%1."/>
      <w:numFmt w:val="decimal"/>
      <w:start w:val="5"/>
    </w:lvl>
  </w:abstractNum>
  <w:abstractNum w:abstractNumId="114">
    <w:nsid w:val="379E21B5"/>
    <w:multiLevelType w:val="hybridMultilevel"/>
    <w:lvl w:ilvl="0">
      <w:lvlJc w:val="left"/>
      <w:lvlText w:val="%1."/>
      <w:numFmt w:val="decimal"/>
      <w:start w:val="6"/>
    </w:lvl>
  </w:abstractNum>
  <w:abstractNum w:abstractNumId="115">
    <w:nsid w:val="69E373"/>
    <w:multiLevelType w:val="hybridMultilevel"/>
    <w:lvl w:ilvl="0">
      <w:lvlJc w:val="left"/>
      <w:lvlText w:val="%1."/>
      <w:numFmt w:val="decimal"/>
      <w:start w:val="7"/>
    </w:lvl>
  </w:abstractNum>
  <w:abstractNum w:abstractNumId="116">
    <w:nsid w:val="2C27173B"/>
    <w:multiLevelType w:val="hybridMultilevel"/>
    <w:lvl w:ilvl="0">
      <w:lvlJc w:val="left"/>
      <w:lvlText w:val="%1."/>
      <w:numFmt w:val="decimal"/>
      <w:start w:val="8"/>
    </w:lvl>
  </w:abstractNum>
  <w:abstractNum w:abstractNumId="117">
    <w:nsid w:val="4C9B0904"/>
    <w:multiLevelType w:val="hybridMultilevel"/>
    <w:lvl w:ilvl="0">
      <w:lvlJc w:val="left"/>
      <w:lvlText w:val="%1."/>
      <w:numFmt w:val="decimal"/>
      <w:start w:val="9"/>
    </w:lvl>
  </w:abstractNum>
  <w:abstractNum w:abstractNumId="118">
    <w:nsid w:val="6AA7B75C"/>
    <w:multiLevelType w:val="hybridMultilevel"/>
    <w:lvl w:ilvl="0">
      <w:lvlJc w:val="left"/>
      <w:lvlText w:val="%1."/>
      <w:numFmt w:val="decimal"/>
      <w:start w:val="10"/>
    </w:lvl>
  </w:abstractNum>
  <w:abstractNum w:abstractNumId="119">
    <w:nsid w:val="1DF029D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309"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292" Type="http://schemas.openxmlformats.org/officeDocument/2006/relationships/hyperlink" Target="https://www.sec.gov/Archives/edgar/data/1783183/000119312519277761/d795888dex31.htm" TargetMode="External"/><Relationship Id="rId293" Type="http://schemas.openxmlformats.org/officeDocument/2006/relationships/hyperlink" Target="https://www.sec.gov/Archives/edgar/data/1783183/000119312523156713/d487635dex31.htm" TargetMode="External"/><Relationship Id="rId294" Type="http://schemas.openxmlformats.org/officeDocument/2006/relationships/hyperlink" Target="https://www.sec.gov/Archives/edgar/data/1783183/000119312523296630/d602391dex31.htm" TargetMode="External"/><Relationship Id="rId295" Type="http://schemas.openxmlformats.org/officeDocument/2006/relationships/hyperlink" Target="https://www.sec.gov/Archives/edgar/data/1783183/000119312519267053/d63338dex41.htm" TargetMode="External"/><Relationship Id="rId296" Type="http://schemas.openxmlformats.org/officeDocument/2006/relationships/hyperlink" Target="https://www.sec.gov/Archives/edgar/data/1783183/000119312519258922/d63338dex43.htm" TargetMode="External"/><Relationship Id="rId297" Type="http://schemas.openxmlformats.org/officeDocument/2006/relationships/hyperlink" Target="https://www.sec.gov/Archives/edgar/data/1783183/000119312519258922/d63338dex44.htm" TargetMode="External"/><Relationship Id="rId298" Type="http://schemas.openxmlformats.org/officeDocument/2006/relationships/hyperlink" Target="https://www.sec.gov/Archives/edgar/data/1783183/000119312519267053/d63338dex45.htm" TargetMode="External"/><Relationship Id="rId299" Type="http://schemas.openxmlformats.org/officeDocument/2006/relationships/hyperlink" Target="https://www.sec.gov/Archives/edgar/data/1783183/000156459021055073/phat-ex102_212.htm" TargetMode="External"/><Relationship Id="rId300" Type="http://schemas.openxmlformats.org/officeDocument/2006/relationships/hyperlink" Target="https://www.sec.gov/Archives/edgar/data/1783183/000095017023020109/phat-ex4_6.htm" TargetMode="External"/><Relationship Id="rId301" Type="http://schemas.openxmlformats.org/officeDocument/2006/relationships/hyperlink" Target="https://www.sec.gov/Archives/edgar/data/1783183/000095017023020109/phat-ex4_5.htm" TargetMode="External"/><Relationship Id="rId302" Type="http://schemas.openxmlformats.org/officeDocument/2006/relationships/hyperlink" Target="https://www.sec.gov/Archives/edgar/data/1783183/000119312519258922/d63338dex101.htm" TargetMode="External"/><Relationship Id="rId303" Type="http://schemas.openxmlformats.org/officeDocument/2006/relationships/hyperlink" Target="https://www.sec.gov/Archives/edgar/data/1783183/000119312519258922/d63338dex102.htm" TargetMode="External"/><Relationship Id="rId304" Type="http://schemas.openxmlformats.org/officeDocument/2006/relationships/hyperlink" Target="https://www.sec.gov/Archives/edgar/data/1783183/000119312519258922/d63338dex103.htm" TargetMode="External"/><Relationship Id="rId305" Type="http://schemas.openxmlformats.org/officeDocument/2006/relationships/hyperlink" Target="https://www.sec.gov/Archives/edgar/data/1783183/000119312519267053/d63338dex104.htm" TargetMode="External"/><Relationship Id="rId306" Type="http://schemas.openxmlformats.org/officeDocument/2006/relationships/hyperlink" Target="https://www.sec.gov/Archives/edgar/data/1783183/000156459020037296/phat-ex103_248.htm" TargetMode="External"/><Relationship Id="rId307" Type="http://schemas.openxmlformats.org/officeDocument/2006/relationships/hyperlink" Target="https://www.sec.gov/Archives/edgar/data/1783183/000119312519267053/d63338dex105.htm" TargetMode="External"/><Relationship Id="rId308" Type="http://schemas.openxmlformats.org/officeDocument/2006/relationships/hyperlink" Target="https://www.sec.gov/Archives/edgar/data/1783183/000095017023040977/phat-ex10_2.htm" TargetMode="External"/><Relationship Id="rId310" Type="http://schemas.openxmlformats.org/officeDocument/2006/relationships/hyperlink" Target="https://www.sec.gov/Archives/edgar/data/1783183/000119312519258922/d63338dex109.htm" TargetMode="External"/><Relationship Id="rId311" Type="http://schemas.openxmlformats.org/officeDocument/2006/relationships/hyperlink" Target="https://www.sec.gov/Archives/edgar/data/1783183/000119312519258922/d63338dex1011.htm" TargetMode="External"/><Relationship Id="rId312" Type="http://schemas.openxmlformats.org/officeDocument/2006/relationships/hyperlink" Target="https://www.sec.gov/Archives/edgar/data/1783183/000119312519258922/d63338dex1012.htm" TargetMode="External"/><Relationship Id="rId313" Type="http://schemas.openxmlformats.org/officeDocument/2006/relationships/hyperlink" Target="https://www.sec.gov/Archives/edgar/data/1783183/000119312519258922/d63338dex1014.htm" TargetMode="External"/><Relationship Id="rId314" Type="http://schemas.openxmlformats.org/officeDocument/2006/relationships/hyperlink" Target="https://www.sec.gov/Archives/edgar/data/1783183/000156459021016682/phat-ex1020_1409.htm" TargetMode="External"/><Relationship Id="rId315" Type="http://schemas.openxmlformats.org/officeDocument/2006/relationships/hyperlink" Target="https://www.sec.gov/Archives/edgar/data/1783183/000156459021016682/phat-ex1021_1410.htm" TargetMode="External"/><Relationship Id="rId316" Type="http://schemas.openxmlformats.org/officeDocument/2006/relationships/hyperlink" Target="https://www.sec.gov/Archives/edgar/data/1783183/000156459021042895/phat-ex104_267.htm" TargetMode="External"/><Relationship Id="rId317" Type="http://schemas.openxmlformats.org/officeDocument/2006/relationships/hyperlink" Target="https://www.sec.gov/Archives/edgar/data/1783183/000156459021055073/phat-ex101_211.htm" TargetMode="External"/><Relationship Id="rId318" Type="http://schemas.openxmlformats.org/officeDocument/2006/relationships/hyperlink" Target="https://www.sec.gov/Archives/edgar/data/1783183/000095017022002536/phat-ex10_30.htm" TargetMode="External"/><Relationship Id="rId319" Type="http://schemas.openxmlformats.org/officeDocument/2006/relationships/hyperlink" Target="https://www.sec.gov/Archives/edgar/data/1783183/000095017022008741/phat-ex10_1.htm" TargetMode="External"/><Relationship Id="rId320" Type="http://schemas.openxmlformats.org/officeDocument/2006/relationships/hyperlink" Target="https://www.sec.gov/Archives/edgar/data/1783183/000095017022013743/phat-ex10_2.htm" TargetMode="External"/><Relationship Id="rId321" Type="http://schemas.openxmlformats.org/officeDocument/2006/relationships/hyperlink" Target="https://www.sec.gov/Archives/edgar/data/1783183/000095017022013743/phat-ex10_3.htm" TargetMode="External"/><Relationship Id="rId322" Type="http://schemas.openxmlformats.org/officeDocument/2006/relationships/hyperlink" Target="https://www.sec.gov/Archives/edgar/data/1783183/000095017022013743/phat-ex10_4.htm" TargetMode="External"/><Relationship Id="rId323" Type="http://schemas.openxmlformats.org/officeDocument/2006/relationships/hyperlink" Target="https://www.sec.gov/Archives/edgar/data/1783183/000095017022023372/phat-ex10_1.htm" TargetMode="External"/><Relationship Id="rId324" Type="http://schemas.openxmlformats.org/officeDocument/2006/relationships/hyperlink" Target="https://www.sec.gov/Archives/edgar/data/1783183/000095017022023372/phat-ex10_2.htm" TargetMode="External"/><Relationship Id="rId325" Type="http://schemas.openxmlformats.org/officeDocument/2006/relationships/hyperlink" Target="https://www.sec.gov/Archives/edgar/data/1783183/000095017023004875/phat-ex10_37.htm" TargetMode="External"/><Relationship Id="rId326" Type="http://schemas.openxmlformats.org/officeDocument/2006/relationships/hyperlink" Target="https://www.sec.gov/Archives/edgar/data/1783183/000095017023020109/phat-ex10_1.htm" TargetMode="External"/><Relationship Id="rId327" Type="http://schemas.openxmlformats.org/officeDocument/2006/relationships/hyperlink" Target="https://www.sec.gov/Archives/edgar/data/1783183/000095017023040977/pha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2024-03-07T15:24:57Z</dcterms:created>
  <dcterms:modified xsi:type="dcterms:W3CDTF">2024-03-07T15:24:57Z</dcterms:modified>
</cp:coreProperties>
</file>