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7" w:lineRule="exact"/>
        <w:rPr>
          <w:sz w:val="24"/>
          <w:szCs w:val="24"/>
          <w:color w:val="auto"/>
        </w:rPr>
      </w:pPr>
    </w:p>
    <w:p>
      <w:pPr>
        <w:ind w:left="386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0</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PHATHOM PHARMACEUTICALS,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40" w:type="dxa"/>
            <w:vAlign w:val="bottom"/>
          </w:tcPr>
          <w:p>
            <w:pPr>
              <w:jc w:val="right"/>
              <w:ind w:right="2331"/>
              <w:spacing w:after="0"/>
              <w:rPr>
                <w:sz w:val="20"/>
                <w:szCs w:val="20"/>
                <w:color w:val="auto"/>
              </w:rPr>
            </w:pPr>
            <w:r>
              <w:rPr>
                <w:rFonts w:ascii="Times New Roman" w:cs="Times New Roman" w:eastAsia="Times New Roman" w:hAnsi="Times New Roman"/>
                <w:sz w:val="14"/>
                <w:szCs w:val="14"/>
                <w:b w:val="1"/>
                <w:bCs w:val="1"/>
                <w:color w:val="auto"/>
              </w:rPr>
              <w:t>82-4151574</w:t>
            </w:r>
          </w:p>
        </w:tc>
        <w:tc>
          <w:tcPr>
            <w:tcW w:w="0" w:type="dxa"/>
            <w:vAlign w:val="bottom"/>
          </w:tcPr>
          <w:p>
            <w:pPr>
              <w:spacing w:after="0"/>
              <w:rPr>
                <w:sz w:val="1"/>
                <w:szCs w:val="1"/>
                <w:color w:val="auto"/>
              </w:rPr>
            </w:pPr>
          </w:p>
        </w:tc>
      </w:tr>
      <w:tr>
        <w:trPr>
          <w:trHeight w:val="148"/>
        </w:trPr>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740" w:type="dxa"/>
            <w:vAlign w:val="bottom"/>
          </w:tcPr>
          <w:p>
            <w:pPr>
              <w:jc w:val="center"/>
              <w:ind w:right="1691"/>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40" w:type="dxa"/>
            <w:vAlign w:val="bottom"/>
          </w:tcPr>
          <w:p>
            <w:pPr>
              <w:jc w:val="center"/>
              <w:ind w:right="1691"/>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32"/>
        </w:trPr>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4"/>
                <w:szCs w:val="14"/>
                <w:b w:val="1"/>
                <w:bCs w:val="1"/>
                <w:color w:val="auto"/>
              </w:rPr>
              <w:t>100 Campus Drive, Suite 102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4"/>
                <w:szCs w:val="14"/>
                <w:b w:val="1"/>
                <w:bCs w:val="1"/>
                <w:color w:val="auto"/>
              </w:rPr>
              <w:t>Florham Park, New Jersey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40" w:type="dxa"/>
            <w:vAlign w:val="bottom"/>
          </w:tcPr>
          <w:p>
            <w:pPr>
              <w:jc w:val="right"/>
              <w:ind w:right="2491"/>
              <w:spacing w:after="0"/>
              <w:rPr>
                <w:sz w:val="20"/>
                <w:szCs w:val="20"/>
                <w:color w:val="auto"/>
              </w:rPr>
            </w:pPr>
            <w:r>
              <w:rPr>
                <w:rFonts w:ascii="Times New Roman" w:cs="Times New Roman" w:eastAsia="Times New Roman" w:hAnsi="Times New Roman"/>
                <w:sz w:val="14"/>
                <w:szCs w:val="14"/>
                <w:b w:val="1"/>
                <w:bCs w:val="1"/>
                <w:color w:val="auto"/>
              </w:rPr>
              <w:t>07932</w:t>
            </w:r>
          </w:p>
        </w:tc>
        <w:tc>
          <w:tcPr>
            <w:tcW w:w="0" w:type="dxa"/>
            <w:vAlign w:val="bottom"/>
          </w:tcPr>
          <w:p>
            <w:pPr>
              <w:spacing w:after="0"/>
              <w:rPr>
                <w:sz w:val="1"/>
                <w:szCs w:val="1"/>
                <w:color w:val="auto"/>
              </w:rPr>
            </w:pPr>
          </w:p>
        </w:tc>
      </w:tr>
      <w:tr>
        <w:trPr>
          <w:trHeight w:val="178"/>
        </w:trPr>
        <w:tc>
          <w:tcPr>
            <w:tcW w:w="6980" w:type="dxa"/>
            <w:vAlign w:val="bottom"/>
            <w:gridSpan w:val="8"/>
          </w:tcPr>
          <w:p>
            <w:pPr>
              <w:jc w:val="center"/>
              <w:ind w:right="14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20" w:type="dxa"/>
            <w:vAlign w:val="bottom"/>
          </w:tcPr>
          <w:p>
            <w:pPr>
              <w:spacing w:after="0"/>
              <w:rPr>
                <w:sz w:val="15"/>
                <w:szCs w:val="15"/>
                <w:color w:val="auto"/>
              </w:rPr>
            </w:pPr>
          </w:p>
        </w:tc>
        <w:tc>
          <w:tcPr>
            <w:tcW w:w="3740" w:type="dxa"/>
            <w:vAlign w:val="bottom"/>
          </w:tcPr>
          <w:p>
            <w:pPr>
              <w:jc w:val="center"/>
              <w:ind w:right="1691"/>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20"/>
        </w:trPr>
        <w:tc>
          <w:tcPr>
            <w:tcW w:w="1124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(877) 742-8466</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38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8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20" w:type="dxa"/>
            <w:vAlign w:val="bottom"/>
          </w:tcPr>
          <w:p>
            <w:pPr>
              <w:spacing w:after="0"/>
              <w:rPr>
                <w:sz w:val="19"/>
                <w:szCs w:val="19"/>
                <w:color w:val="auto"/>
              </w:rPr>
            </w:pPr>
          </w:p>
        </w:tc>
        <w:tc>
          <w:tcPr>
            <w:tcW w:w="3740" w:type="dxa"/>
            <w:vAlign w:val="bottom"/>
          </w:tcPr>
          <w:p>
            <w:pPr>
              <w:jc w:val="center"/>
              <w:ind w:right="57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2"/>
        </w:trPr>
        <w:tc>
          <w:tcPr>
            <w:tcW w:w="3680" w:type="dxa"/>
            <w:vAlign w:val="bottom"/>
            <w:tcBorders>
              <w:top w:val="single" w:sz="8" w:color="auto"/>
            </w:tcBorders>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PHAT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740" w:type="dxa"/>
            <w:vAlign w:val="bottom"/>
            <w:tcBorders>
              <w:top w:val="single" w:sz="8" w:color="auto"/>
            </w:tcBorders>
          </w:tcPr>
          <w:p>
            <w:pPr>
              <w:jc w:val="center"/>
              <w:ind w:right="551"/>
              <w:spacing w:after="0"/>
              <w:rPr>
                <w:sz w:val="20"/>
                <w:szCs w:val="20"/>
                <w:color w:val="auto"/>
              </w:rPr>
            </w:pPr>
            <w:r>
              <w:rPr>
                <w:rFonts w:ascii="Times New Roman" w:cs="Times New Roman" w:eastAsia="Times New Roman" w:hAnsi="Times New Roman"/>
                <w:sz w:val="13"/>
                <w:szCs w:val="13"/>
                <w:b w:val="1"/>
                <w:bCs w:val="1"/>
                <w:color w:val="auto"/>
              </w:rPr>
              <w:t>The Nasdaq Global Select Market</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7560" w:type="dxa"/>
            <w:vAlign w:val="bottom"/>
            <w:gridSpan w:val="9"/>
          </w:tcPr>
          <w:p>
            <w:pPr>
              <w:jc w:val="center"/>
              <w:ind w:right="363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3"/>
        </w:trPr>
        <w:tc>
          <w:tcPr>
            <w:tcW w:w="4500" w:type="dxa"/>
            <w:vAlign w:val="bottom"/>
            <w:gridSpan w:val="3"/>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40" w:type="dxa"/>
            <w:vAlign w:val="bottom"/>
            <w:gridSpan w:val="3"/>
          </w:tcPr>
          <w:p>
            <w:pPr>
              <w:spacing w:after="0"/>
              <w:rPr>
                <w:sz w:val="2"/>
                <w:szCs w:val="2"/>
                <w:color w:val="auto"/>
              </w:rPr>
            </w:pPr>
          </w:p>
        </w:tc>
        <w:tc>
          <w:tcPr>
            <w:tcW w:w="52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Yes </w:t>
            </w:r>
            <w:r>
              <w:rPr>
                <w:rFonts w:ascii="Arial Unicode MS" w:cs="Arial Unicode MS" w:eastAsia="Arial Unicode MS" w:hAnsi="Arial Unicode MS"/>
                <w:sz w:val="13"/>
                <w:szCs w:val="13"/>
                <w:color w:val="auto"/>
              </w:rPr>
              <w:t>☐</w:t>
            </w:r>
          </w:p>
        </w:tc>
        <w:tc>
          <w:tcPr>
            <w:tcW w:w="374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187"/>
        </w:trPr>
        <w:tc>
          <w:tcPr>
            <w:tcW w:w="6980" w:type="dxa"/>
            <w:vAlign w:val="bottom"/>
            <w:gridSpan w:val="8"/>
          </w:tcPr>
          <w:p>
            <w:pPr>
              <w:ind w:left="52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20" w:type="dxa"/>
            <w:vAlign w:val="bottom"/>
            <w:vMerge w:val="continue"/>
          </w:tcPr>
          <w:p>
            <w:pPr>
              <w:spacing w:after="0"/>
              <w:rPr>
                <w:sz w:val="16"/>
                <w:szCs w:val="16"/>
                <w:color w:val="auto"/>
              </w:rPr>
            </w:pP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80" w:type="dxa"/>
            <w:vAlign w:val="bottom"/>
            <w:gridSpan w:val="8"/>
          </w:tcPr>
          <w:p>
            <w:pPr>
              <w:ind w:left="52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Yes </w:t>
            </w:r>
            <w:r>
              <w:rPr>
                <w:rFonts w:ascii="Arial Unicode MS" w:cs="Arial Unicode MS" w:eastAsia="Arial Unicode MS" w:hAnsi="Arial Unicode MS"/>
                <w:sz w:val="13"/>
                <w:szCs w:val="13"/>
                <w:color w:val="auto"/>
              </w:rPr>
              <w:t>☐</w:t>
            </w:r>
          </w:p>
        </w:tc>
        <w:tc>
          <w:tcPr>
            <w:tcW w:w="374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ind w:right="10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40" w:firstLine="509"/>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 w:lineRule="exact"/>
        <w:rPr>
          <w:sz w:val="24"/>
          <w:szCs w:val="24"/>
          <w:color w:val="auto"/>
        </w:rPr>
      </w:pPr>
    </w:p>
    <w:p>
      <w:pPr>
        <w:ind w:right="600" w:firstLine="509"/>
        <w:spacing w:after="0" w:line="26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1"/>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80" w:type="dxa"/>
            <w:vAlign w:val="bottom"/>
          </w:tcPr>
          <w:p>
            <w:pPr>
              <w:ind w:left="5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5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80" w:type="dxa"/>
            <w:vAlign w:val="bottom"/>
          </w:tcPr>
          <w:p>
            <w:pPr>
              <w:ind w:left="5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57"/>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80" w:type="dxa"/>
            <w:vAlign w:val="bottom"/>
          </w:tcPr>
          <w:p>
            <w:pPr>
              <w:ind w:left="5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4" w:lineRule="exact"/>
        <w:rPr>
          <w:sz w:val="24"/>
          <w:szCs w:val="24"/>
          <w:color w:val="auto"/>
        </w:rPr>
      </w:pPr>
    </w:p>
    <w:p>
      <w:pPr>
        <w:ind w:right="180" w:firstLine="50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4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 (b))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300" w:firstLine="509"/>
        <w:spacing w:after="0" w:line="168"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000000"/>
        </w:rPr>
        <w:t>☐</w:t>
      </w:r>
    </w:p>
    <w:p>
      <w:pPr>
        <w:spacing w:after="0" w:line="42" w:lineRule="exact"/>
        <w:rPr>
          <w:sz w:val="24"/>
          <w:szCs w:val="24"/>
          <w:color w:val="auto"/>
        </w:rPr>
      </w:pPr>
    </w:p>
    <w:p>
      <w:pPr>
        <w:ind w:right="400" w:firstLine="554"/>
        <w:spacing w:after="0" w:line="182" w:lineRule="exact"/>
        <w:rPr>
          <w:sz w:val="20"/>
          <w:szCs w:val="20"/>
          <w:color w:val="auto"/>
        </w:rPr>
      </w:pPr>
      <w:r>
        <w:rPr>
          <w:rFonts w:ascii="Times New Roman" w:cs="Times New Roman" w:eastAsia="Times New Roman" w:hAnsi="Times New Roman"/>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Times New Roman" w:cs="Times New Roman" w:eastAsia="Times New Roman" w:hAnsi="Times New Roman"/>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33" w:lineRule="exact"/>
        <w:rPr>
          <w:sz w:val="24"/>
          <w:szCs w:val="24"/>
          <w:color w:val="auto"/>
        </w:rPr>
      </w:pPr>
    </w:p>
    <w:p>
      <w:pPr>
        <w:ind w:left="520"/>
        <w:spacing w:after="0" w:line="175" w:lineRule="exact"/>
        <w:tabs>
          <w:tab w:leader="none" w:pos="66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ab/>
        <w:t xml:space="preserve">No </w:t>
      </w:r>
      <w:r>
        <w:rPr>
          <w:rFonts w:ascii="Arial Unicode MS" w:cs="Arial Unicode MS" w:eastAsia="Arial Unicode MS" w:hAnsi="Arial Unicode MS"/>
          <w:sz w:val="13"/>
          <w:szCs w:val="13"/>
          <w:color w:val="auto"/>
        </w:rPr>
        <w:t>☒</w:t>
      </w:r>
    </w:p>
    <w:p>
      <w:pPr>
        <w:spacing w:after="0" w:line="65" w:lineRule="exact"/>
        <w:rPr>
          <w:sz w:val="24"/>
          <w:szCs w:val="24"/>
          <w:color w:val="auto"/>
        </w:rPr>
      </w:pPr>
    </w:p>
    <w:p>
      <w:pPr>
        <w:ind w:right="540" w:firstLine="509"/>
        <w:spacing w:after="0" w:line="260" w:lineRule="auto"/>
        <w:rPr>
          <w:sz w:val="20"/>
          <w:szCs w:val="20"/>
          <w:color w:val="auto"/>
        </w:rPr>
      </w:pPr>
      <w:r>
        <w:rPr>
          <w:rFonts w:ascii="Times New Roman" w:cs="Times New Roman" w:eastAsia="Times New Roman" w:hAnsi="Times New Roman"/>
          <w:sz w:val="13"/>
          <w:szCs w:val="13"/>
          <w:color w:val="auto"/>
        </w:rPr>
        <w:t>As of June 30, 2022, the aggregate market value of the registrant’s common stock held by non-affiliates of the registrant was approximately $198.0 million, based on the closing price of the registrant’s common stock on the Nasdaq Global Select Market of $8.44 per share.</w:t>
      </w:r>
    </w:p>
    <w:p>
      <w:pPr>
        <w:ind w:left="520"/>
        <w:spacing w:after="0"/>
        <w:rPr>
          <w:sz w:val="20"/>
          <w:szCs w:val="20"/>
          <w:color w:val="auto"/>
        </w:rPr>
      </w:pPr>
      <w:r>
        <w:rPr>
          <w:rFonts w:ascii="Times New Roman" w:cs="Times New Roman" w:eastAsia="Times New Roman" w:hAnsi="Times New Roman"/>
          <w:sz w:val="13"/>
          <w:szCs w:val="13"/>
          <w:color w:val="auto"/>
        </w:rPr>
        <w:t>As of February 24, 2023, the registrant had 41,973,271 shares of common stock ($0.0001 par value) outstanding.</w:t>
      </w:r>
    </w:p>
    <w:p>
      <w:pPr>
        <w:spacing w:after="0" w:line="3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4" w:lineRule="exact"/>
        <w:rPr>
          <w:sz w:val="24"/>
          <w:szCs w:val="24"/>
          <w:color w:val="auto"/>
        </w:rPr>
      </w:pPr>
    </w:p>
    <w:p>
      <w:pPr>
        <w:ind w:right="140" w:firstLine="509"/>
        <w:spacing w:after="0" w:line="278" w:lineRule="auto"/>
        <w:rPr>
          <w:sz w:val="20"/>
          <w:szCs w:val="20"/>
          <w:color w:val="auto"/>
        </w:rPr>
      </w:pPr>
      <w:r>
        <w:rPr>
          <w:rFonts w:ascii="Times New Roman" w:cs="Times New Roman" w:eastAsia="Times New Roman" w:hAnsi="Times New Roman"/>
          <w:sz w:val="13"/>
          <w:szCs w:val="13"/>
          <w:color w:val="auto"/>
        </w:rPr>
        <w:t>Certain sections of the registrant’s definitive proxy statement for the 2023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40" w:type="dxa"/>
            <w:vAlign w:val="bottom"/>
            <w:gridSpan w:val="10"/>
          </w:tcPr>
          <w:p>
            <w:pPr>
              <w:jc w:val="center"/>
              <w:ind w:right="2460"/>
              <w:spacing w:after="0"/>
              <w:rPr>
                <w:sz w:val="20"/>
                <w:szCs w:val="20"/>
                <w:color w:val="auto"/>
              </w:rPr>
            </w:pPr>
            <w:r>
              <w:rPr>
                <w:rFonts w:ascii="Calibri" w:cs="Calibri" w:eastAsia="Calibri" w:hAnsi="Calibri"/>
                <w:sz w:val="18"/>
                <w:szCs w:val="18"/>
                <w:b w:val="1"/>
                <w:bCs w:val="1"/>
                <w:color w:val="auto"/>
                <w:w w:val="96"/>
              </w:rPr>
              <w:t>PHATHOM PHARMACEUTICALS, INC.</w:t>
            </w:r>
          </w:p>
        </w:tc>
        <w:tc>
          <w:tcPr>
            <w:tcW w:w="1840" w:type="dxa"/>
            <w:vAlign w:val="bottom"/>
          </w:tcPr>
          <w:p>
            <w:pPr>
              <w:spacing w:after="0"/>
              <w:rPr>
                <w:sz w:val="19"/>
                <w:szCs w:val="19"/>
                <w:color w:val="auto"/>
              </w:rPr>
            </w:pPr>
          </w:p>
        </w:tc>
      </w:tr>
      <w:tr>
        <w:trPr>
          <w:trHeight w:val="405"/>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gridSpan w:val="10"/>
          </w:tcPr>
          <w:p>
            <w:pPr>
              <w:jc w:val="center"/>
              <w:ind w:right="2440"/>
              <w:spacing w:after="0"/>
              <w:rPr>
                <w:sz w:val="20"/>
                <w:szCs w:val="20"/>
                <w:color w:val="auto"/>
              </w:rPr>
            </w:pPr>
            <w:r>
              <w:rPr>
                <w:rFonts w:ascii="Calibri" w:cs="Calibri" w:eastAsia="Calibri" w:hAnsi="Calibri"/>
                <w:sz w:val="18"/>
                <w:szCs w:val="18"/>
                <w:b w:val="1"/>
                <w:bCs w:val="1"/>
                <w:color w:val="auto"/>
                <w:w w:val="96"/>
              </w:rPr>
              <w:t>TABLE OF CONTENTS</w:t>
            </w:r>
          </w:p>
        </w:tc>
        <w:tc>
          <w:tcPr>
            <w:tcW w:w="1840" w:type="dxa"/>
            <w:vAlign w:val="bottom"/>
          </w:tcPr>
          <w:p>
            <w:pPr>
              <w:spacing w:after="0"/>
              <w:rPr>
                <w:sz w:val="24"/>
                <w:szCs w:val="24"/>
                <w:color w:val="auto"/>
              </w:rPr>
            </w:pPr>
          </w:p>
        </w:tc>
      </w:tr>
      <w:tr>
        <w:trPr>
          <w:trHeight w:val="392"/>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gridSpan w:val="8"/>
          </w:tcPr>
          <w:p>
            <w:pPr>
              <w:jc w:val="center"/>
              <w:ind w:right="3260"/>
              <w:spacing w:after="0"/>
              <w:rPr>
                <w:sz w:val="20"/>
                <w:szCs w:val="20"/>
                <w:color w:val="auto"/>
              </w:rPr>
            </w:pPr>
            <w:r>
              <w:rPr>
                <w:rFonts w:ascii="Calibri" w:cs="Calibri" w:eastAsia="Calibri" w:hAnsi="Calibri"/>
                <w:sz w:val="18"/>
                <w:szCs w:val="18"/>
                <w:b w:val="1"/>
                <w:bCs w:val="1"/>
                <w:color w:val="auto"/>
                <w:w w:val="97"/>
              </w:rPr>
              <w:t>FORM 10-K</w:t>
            </w:r>
          </w:p>
        </w:tc>
        <w:tc>
          <w:tcPr>
            <w:tcW w:w="18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80" w:type="dxa"/>
            <w:vAlign w:val="bottom"/>
            <w:gridSpan w:val="11"/>
          </w:tcPr>
          <w:p>
            <w:pPr>
              <w:jc w:val="center"/>
              <w:ind w:right="2200"/>
              <w:spacing w:after="0" w:line="216" w:lineRule="exact"/>
              <w:rPr>
                <w:sz w:val="20"/>
                <w:szCs w:val="20"/>
                <w:color w:val="auto"/>
              </w:rPr>
            </w:pPr>
            <w:r>
              <w:rPr>
                <w:rFonts w:ascii="Calibri" w:cs="Calibri" w:eastAsia="Calibri" w:hAnsi="Calibri"/>
                <w:sz w:val="18"/>
                <w:szCs w:val="18"/>
                <w:b w:val="1"/>
                <w:bCs w:val="1"/>
                <w:color w:val="auto"/>
                <w:w w:val="97"/>
              </w:rPr>
              <w:t>For the Year Ended December 31, 2022</w:t>
            </w:r>
          </w:p>
        </w:tc>
        <w:tc>
          <w:tcPr>
            <w:tcW w:w="184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gridSpan w:val="8"/>
          </w:tcPr>
          <w:p>
            <w:pPr>
              <w:jc w:val="center"/>
              <w:ind w:right="3220"/>
              <w:spacing w:after="0"/>
              <w:rPr>
                <w:sz w:val="20"/>
                <w:szCs w:val="20"/>
                <w:color w:val="auto"/>
              </w:rPr>
            </w:pPr>
            <w:r>
              <w:rPr>
                <w:rFonts w:ascii="Calibri" w:cs="Calibri" w:eastAsia="Calibri" w:hAnsi="Calibri"/>
                <w:sz w:val="18"/>
                <w:szCs w:val="18"/>
                <w:b w:val="1"/>
                <w:bCs w:val="1"/>
                <w:color w:val="auto"/>
                <w:w w:val="98"/>
              </w:rPr>
              <w:t>INDEX</w:t>
            </w:r>
          </w:p>
        </w:tc>
        <w:tc>
          <w:tcPr>
            <w:tcW w:w="1840" w:type="dxa"/>
            <w:vAlign w:val="bottom"/>
          </w:tcPr>
          <w:p>
            <w:pPr>
              <w:spacing w:after="0"/>
              <w:rPr>
                <w:sz w:val="24"/>
                <w:szCs w:val="24"/>
                <w:color w:val="auto"/>
              </w:rPr>
            </w:pPr>
          </w:p>
        </w:tc>
      </w:tr>
      <w:tr>
        <w:trPr>
          <w:trHeight w:val="469"/>
        </w:trPr>
        <w:tc>
          <w:tcPr>
            <w:tcW w:w="104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Calibri" w:cs="Calibri" w:eastAsia="Calibri" w:hAnsi="Calibri"/>
                <w:sz w:val="18"/>
                <w:szCs w:val="18"/>
                <w:b w:val="1"/>
                <w:bCs w:val="1"/>
                <w:color w:val="0000FF"/>
                <w:w w:val="90"/>
              </w:rPr>
              <w:t>PART I</w:t>
            </w:r>
          </w:p>
        </w:tc>
        <w:tc>
          <w:tcPr>
            <w:tcW w:w="20" w:type="dxa"/>
            <w:vAlign w:val="bottom"/>
            <w:tcBorders>
              <w:bottom w:val="single" w:sz="8" w:color="0000EE"/>
            </w:tcBorders>
          </w:tcPr>
          <w:p>
            <w:pPr>
              <w:spacing w:after="0"/>
              <w:rPr>
                <w:sz w:val="24"/>
                <w:szCs w:val="24"/>
                <w:color w:val="auto"/>
              </w:rPr>
            </w:pPr>
          </w:p>
        </w:tc>
        <w:tc>
          <w:tcPr>
            <w:tcW w:w="76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69"/>
        </w:trPr>
        <w:tc>
          <w:tcPr>
            <w:tcW w:w="104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Business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4</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1A.</w:t>
            </w:r>
          </w:p>
        </w:tc>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Risk Factors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66</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1B.</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Unresolved Staf Comments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143</w:t>
            </w:r>
          </w:p>
        </w:tc>
      </w:tr>
      <w:tr>
        <w:trPr>
          <w:trHeight w:val="253"/>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2.</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6"/>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Propertes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143</w:t>
            </w:r>
          </w:p>
        </w:tc>
      </w:tr>
      <w:tr>
        <w:trPr>
          <w:trHeight w:val="253"/>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3.</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6"/>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Legal Proceedings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143</w:t>
            </w:r>
          </w:p>
        </w:tc>
      </w:tr>
      <w:tr>
        <w:trPr>
          <w:trHeight w:val="253"/>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4.</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Mine Safety Disclosures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143</w:t>
            </w:r>
          </w:p>
        </w:tc>
      </w:tr>
      <w:tr>
        <w:trPr>
          <w:trHeight w:val="466"/>
        </w:trPr>
        <w:tc>
          <w:tcPr>
            <w:tcW w:w="104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sz w:val="20"/>
                <w:szCs w:val="20"/>
                <w:color w:val="auto"/>
              </w:rPr>
            </w:pPr>
            <w:r>
              <w:rPr>
                <w:rFonts w:ascii="Calibri" w:cs="Calibri" w:eastAsia="Calibri" w:hAnsi="Calibri"/>
                <w:sz w:val="18"/>
                <w:szCs w:val="18"/>
                <w:b w:val="1"/>
                <w:bCs w:val="1"/>
                <w:color w:val="0000FF"/>
                <w:w w:val="90"/>
              </w:rPr>
              <w:t>PART II</w:t>
            </w:r>
          </w:p>
        </w:tc>
        <w:tc>
          <w:tcPr>
            <w:tcW w:w="740" w:type="dxa"/>
            <w:vAlign w:val="bottom"/>
            <w:gridSpan w:val="3"/>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104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5.</w:t>
            </w:r>
          </w:p>
        </w:tc>
        <w:tc>
          <w:tcPr>
            <w:tcW w:w="7120" w:type="dxa"/>
            <w:vAlign w:val="bottom"/>
            <w:tcBorders>
              <w:bottom w:val="single" w:sz="8" w:color="0000FF"/>
            </w:tcBorders>
            <w:gridSpan w:val="22"/>
          </w:tcPr>
          <w:p>
            <w:pPr>
              <w:spacing w:after="0"/>
              <w:rPr>
                <w:sz w:val="20"/>
                <w:szCs w:val="20"/>
                <w:color w:val="auto"/>
              </w:rPr>
            </w:pPr>
            <w:r>
              <w:rPr>
                <w:rFonts w:ascii="Calibri" w:cs="Calibri" w:eastAsia="Calibri" w:hAnsi="Calibri"/>
                <w:sz w:val="18"/>
                <w:szCs w:val="18"/>
                <w:color w:val="0000FF"/>
                <w:w w:val="97"/>
              </w:rPr>
              <w:t>Market for Registrant’s Common Equity, Related Stockholder Maters and Issuer Purchases of Equity</w:t>
            </w:r>
          </w:p>
        </w:tc>
        <w:tc>
          <w:tcPr>
            <w:tcW w:w="18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120" w:type="dxa"/>
            <w:vAlign w:val="bottom"/>
            <w:gridSpan w:val="22"/>
          </w:tcPr>
          <w:p>
            <w:pPr>
              <w:spacing w:after="0" w:line="196" w:lineRule="exact"/>
              <w:rPr>
                <w:sz w:val="20"/>
                <w:szCs w:val="20"/>
                <w:color w:val="auto"/>
              </w:rPr>
            </w:pPr>
            <w:r>
              <w:rPr>
                <w:rFonts w:ascii="Calibri" w:cs="Calibri" w:eastAsia="Calibri" w:hAnsi="Calibri"/>
                <w:sz w:val="18"/>
                <w:szCs w:val="18"/>
                <w:color w:val="0000FF"/>
              </w:rPr>
              <w:t>Securites</w:t>
            </w:r>
          </w:p>
        </w:tc>
        <w:tc>
          <w:tcPr>
            <w:tcW w:w="184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144</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6.</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Reserved</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145</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7.</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146</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7A.</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Quanttatve and Qualitatve Disclosures About Market Risk</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160</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8.</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Financial Statements and Supplementary Data</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160</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160</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9A.</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Controls and Procedures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161</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9B.</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00" w:type="dxa"/>
            <w:vAlign w:val="bottom"/>
            <w:tcBorders>
              <w:bottom w:val="single" w:sz="8" w:color="0000FF"/>
            </w:tcBorders>
            <w:gridSpan w:val="7"/>
          </w:tcPr>
          <w:p>
            <w:pPr>
              <w:spacing w:after="0" w:line="185" w:lineRule="exact"/>
              <w:rPr>
                <w:sz w:val="20"/>
                <w:szCs w:val="20"/>
                <w:color w:val="auto"/>
              </w:rPr>
            </w:pPr>
            <w:r>
              <w:rPr>
                <w:rFonts w:ascii="Calibri" w:cs="Calibri" w:eastAsia="Calibri" w:hAnsi="Calibri"/>
                <w:sz w:val="18"/>
                <w:szCs w:val="18"/>
                <w:color w:val="0000FF"/>
                <w:w w:val="98"/>
              </w:rPr>
              <w:t>Other Informaton</w:t>
            </w:r>
          </w:p>
        </w:tc>
        <w:tc>
          <w:tcPr>
            <w:tcW w:w="20" w:type="dxa"/>
            <w:vAlign w:val="bottom"/>
            <w:tcBorders>
              <w:bottom w:val="single" w:sz="8" w:color="0000EE"/>
            </w:tcBorders>
          </w:tcPr>
          <w:p>
            <w:pPr>
              <w:spacing w:after="0"/>
              <w:rPr>
                <w:sz w:val="16"/>
                <w:szCs w:val="16"/>
                <w:color w:val="auto"/>
              </w:rPr>
            </w:pPr>
          </w:p>
        </w:tc>
        <w:tc>
          <w:tcPr>
            <w:tcW w:w="5800" w:type="dxa"/>
            <w:vAlign w:val="bottom"/>
            <w:gridSpan w:val="14"/>
          </w:tcPr>
          <w:p>
            <w:pPr>
              <w:spacing w:after="0"/>
              <w:rPr>
                <w:sz w:val="16"/>
                <w:szCs w:val="16"/>
                <w:color w:val="auto"/>
              </w:rPr>
            </w:pP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161</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9C.</w:t>
            </w:r>
          </w:p>
        </w:tc>
        <w:tc>
          <w:tcPr>
            <w:tcW w:w="7120" w:type="dxa"/>
            <w:vAlign w:val="bottom"/>
            <w:gridSpan w:val="22"/>
          </w:tcPr>
          <w:p>
            <w:pPr>
              <w:spacing w:after="0"/>
              <w:rPr>
                <w:sz w:val="20"/>
                <w:szCs w:val="20"/>
                <w:color w:val="auto"/>
              </w:rPr>
            </w:pPr>
            <w:r>
              <w:rPr>
                <w:rFonts w:ascii="Calibri" w:cs="Calibri" w:eastAsia="Calibri" w:hAnsi="Calibri"/>
                <w:sz w:val="18"/>
                <w:szCs w:val="18"/>
                <w:color w:val="0000FF"/>
              </w:rPr>
              <w:t>Disclosure Regarding Foreign Jurisdictons that Prevent Inspectons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231F20"/>
              </w:rPr>
              <w:t>161</w:t>
            </w:r>
          </w:p>
        </w:tc>
      </w:tr>
      <w:tr>
        <w:trPr>
          <w:trHeight w:val="466"/>
        </w:trPr>
        <w:tc>
          <w:tcPr>
            <w:tcW w:w="104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b w:val="1"/>
                <w:bCs w:val="1"/>
                <w:color w:val="0000FF"/>
              </w:rPr>
              <w:t>PART III</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70"/>
        </w:trPr>
        <w:tc>
          <w:tcPr>
            <w:tcW w:w="104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10.</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Directors, Executve Ofcers and Corporate Governance</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162</w:t>
            </w:r>
          </w:p>
        </w:tc>
      </w:tr>
      <w:tr>
        <w:trPr>
          <w:trHeight w:val="253"/>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11.</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Executve Compensaton</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162</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12.</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5"/>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tcBorders>
              <w:bottom w:val="single" w:sz="8" w:color="0000FF"/>
            </w:tcBorders>
            <w:gridSpan w:val="22"/>
          </w:tcPr>
          <w:p>
            <w:pPr>
              <w:spacing w:after="0" w:line="185" w:lineRule="exact"/>
              <w:rPr>
                <w:sz w:val="20"/>
                <w:szCs w:val="20"/>
                <w:color w:val="auto"/>
              </w:rPr>
            </w:pPr>
            <w:r>
              <w:rPr>
                <w:rFonts w:ascii="Calibri" w:cs="Calibri" w:eastAsia="Calibri" w:hAnsi="Calibri"/>
                <w:sz w:val="18"/>
                <w:szCs w:val="18"/>
                <w:color w:val="0000FF"/>
                <w:w w:val="98"/>
              </w:rPr>
              <w:t>Security Ownership of Certain Benefcial Owners and Management and Related Stockholder Maters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162</w:t>
            </w:r>
          </w:p>
        </w:tc>
      </w:tr>
      <w:tr>
        <w:trPr>
          <w:trHeight w:val="254"/>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13.</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6"/>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Certain Relatonships and Related Transactons, and Director Independence</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162</w:t>
            </w:r>
          </w:p>
        </w:tc>
      </w:tr>
      <w:tr>
        <w:trPr>
          <w:trHeight w:val="253"/>
        </w:trPr>
        <w:tc>
          <w:tcPr>
            <w:tcW w:w="104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14.</w:t>
            </w:r>
          </w:p>
        </w:tc>
        <w:tc>
          <w:tcPr>
            <w:tcW w:w="6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86"/>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22"/>
          </w:tcPr>
          <w:p>
            <w:pPr>
              <w:spacing w:after="0" w:line="185" w:lineRule="exact"/>
              <w:rPr>
                <w:sz w:val="20"/>
                <w:szCs w:val="20"/>
                <w:color w:val="auto"/>
              </w:rPr>
            </w:pPr>
            <w:r>
              <w:rPr>
                <w:rFonts w:ascii="Calibri" w:cs="Calibri" w:eastAsia="Calibri" w:hAnsi="Calibri"/>
                <w:sz w:val="18"/>
                <w:szCs w:val="18"/>
                <w:color w:val="0000FF"/>
              </w:rPr>
              <w:t>Principal Accountng Fees and Services</w:t>
            </w: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162</w:t>
            </w:r>
          </w:p>
        </w:tc>
      </w:tr>
      <w:tr>
        <w:trPr>
          <w:trHeight w:val="466"/>
        </w:trPr>
        <w:tc>
          <w:tcPr>
            <w:tcW w:w="1040" w:type="dxa"/>
            <w:vAlign w:val="bottom"/>
          </w:tcPr>
          <w:p>
            <w:pPr>
              <w:spacing w:after="0"/>
              <w:rPr>
                <w:sz w:val="24"/>
                <w:szCs w:val="24"/>
                <w:color w:val="auto"/>
              </w:rPr>
            </w:pPr>
          </w:p>
        </w:tc>
        <w:tc>
          <w:tcPr>
            <w:tcW w:w="560" w:type="dxa"/>
            <w:vAlign w:val="bottom"/>
            <w:tcBorders>
              <w:bottom w:val="single" w:sz="8" w:color="0000FF"/>
            </w:tcBorders>
            <w:gridSpan w:val="4"/>
          </w:tcPr>
          <w:p>
            <w:pPr>
              <w:spacing w:after="0"/>
              <w:rPr>
                <w:sz w:val="20"/>
                <w:szCs w:val="20"/>
                <w:color w:val="auto"/>
              </w:rPr>
            </w:pPr>
            <w:r>
              <w:rPr>
                <w:rFonts w:ascii="Calibri" w:cs="Calibri" w:eastAsia="Calibri" w:hAnsi="Calibri"/>
                <w:sz w:val="18"/>
                <w:szCs w:val="18"/>
                <w:b w:val="1"/>
                <w:bCs w:val="1"/>
                <w:color w:val="0000FF"/>
                <w:w w:val="87"/>
              </w:rPr>
              <w:t>PART IV</w:t>
            </w:r>
          </w:p>
        </w:tc>
        <w:tc>
          <w:tcPr>
            <w:tcW w:w="20" w:type="dxa"/>
            <w:vAlign w:val="bottom"/>
            <w:tcBorders>
              <w:bottom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69"/>
        </w:trPr>
        <w:tc>
          <w:tcPr>
            <w:tcW w:w="104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15.</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6"/>
        </w:trPr>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tcBorders>
              <w:bottom w:val="single" w:sz="8" w:color="0000FF"/>
            </w:tcBorders>
            <w:gridSpan w:val="14"/>
          </w:tcPr>
          <w:p>
            <w:pPr>
              <w:spacing w:after="0" w:line="185" w:lineRule="exact"/>
              <w:rPr>
                <w:sz w:val="20"/>
                <w:szCs w:val="20"/>
                <w:color w:val="auto"/>
              </w:rPr>
            </w:pPr>
            <w:r>
              <w:rPr>
                <w:rFonts w:ascii="Calibri" w:cs="Calibri" w:eastAsia="Calibri" w:hAnsi="Calibri"/>
                <w:sz w:val="18"/>
                <w:szCs w:val="18"/>
                <w:color w:val="0000FF"/>
                <w:w w:val="96"/>
              </w:rPr>
              <w:t>Exhibits, Financial Statement Schedules</w:t>
            </w:r>
          </w:p>
        </w:tc>
        <w:tc>
          <w:tcPr>
            <w:tcW w:w="4320" w:type="dxa"/>
            <w:vAlign w:val="bottom"/>
            <w:gridSpan w:val="8"/>
          </w:tcPr>
          <w:p>
            <w:pPr>
              <w:spacing w:after="0"/>
              <w:rPr>
                <w:sz w:val="16"/>
                <w:szCs w:val="16"/>
                <w:color w:val="auto"/>
              </w:rPr>
            </w:pPr>
          </w:p>
        </w:tc>
        <w:tc>
          <w:tcPr>
            <w:tcW w:w="1840" w:type="dxa"/>
            <w:vAlign w:val="bottom"/>
          </w:tcPr>
          <w:p>
            <w:pPr>
              <w:jc w:val="right"/>
              <w:ind w:right="930"/>
              <w:spacing w:after="0" w:line="185" w:lineRule="exact"/>
              <w:rPr>
                <w:sz w:val="20"/>
                <w:szCs w:val="20"/>
                <w:color w:val="auto"/>
              </w:rPr>
            </w:pPr>
            <w:r>
              <w:rPr>
                <w:rFonts w:ascii="Calibri" w:cs="Calibri" w:eastAsia="Calibri" w:hAnsi="Calibri"/>
                <w:sz w:val="18"/>
                <w:szCs w:val="18"/>
                <w:color w:val="auto"/>
              </w:rPr>
              <w:t>163</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16.</w:t>
            </w:r>
          </w:p>
        </w:tc>
        <w:tc>
          <w:tcPr>
            <w:tcW w:w="7120" w:type="dxa"/>
            <w:vAlign w:val="bottom"/>
            <w:gridSpan w:val="22"/>
          </w:tcPr>
          <w:p>
            <w:pPr>
              <w:spacing w:after="0"/>
              <w:rPr>
                <w:sz w:val="20"/>
                <w:szCs w:val="20"/>
                <w:color w:val="auto"/>
              </w:rPr>
            </w:pPr>
            <w:r>
              <w:rPr>
                <w:rFonts w:ascii="Calibri" w:cs="Calibri" w:eastAsia="Calibri" w:hAnsi="Calibri"/>
                <w:sz w:val="18"/>
                <w:szCs w:val="18"/>
                <w:color w:val="0000FF"/>
              </w:rPr>
              <w:t>Form 10-K Summary</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163</w:t>
            </w:r>
          </w:p>
        </w:tc>
      </w:tr>
      <w:tr>
        <w:trPr>
          <w:trHeight w:val="223"/>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Borders>
              <w:top w:val="single" w:sz="8" w:color="0000FF"/>
            </w:tcBorders>
            <w:gridSpan w:val="9"/>
          </w:tcPr>
          <w:p>
            <w:pPr>
              <w:spacing w:after="0"/>
              <w:rPr>
                <w:sz w:val="20"/>
                <w:szCs w:val="20"/>
                <w:color w:val="auto"/>
              </w:rPr>
            </w:pPr>
            <w:r>
              <w:rPr>
                <w:rFonts w:ascii="Calibri" w:cs="Calibri" w:eastAsia="Calibri" w:hAnsi="Calibri"/>
                <w:sz w:val="18"/>
                <w:szCs w:val="18"/>
                <w:color w:val="0000FF"/>
              </w:rPr>
              <w:t>Signatures</w:t>
            </w:r>
          </w:p>
        </w:tc>
        <w:tc>
          <w:tcPr>
            <w:tcW w:w="5680" w:type="dxa"/>
            <w:vAlign w:val="bottom"/>
            <w:gridSpan w:val="13"/>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170</w:t>
            </w:r>
          </w:p>
        </w:tc>
      </w:tr>
      <w:tr>
        <w:trPr>
          <w:trHeight w:val="695"/>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top w:val="single" w:sz="8" w:color="0000FF"/>
            </w:tcBorders>
            <w:gridSpan w:val="4"/>
          </w:tcPr>
          <w:p>
            <w:pPr>
              <w:spacing w:after="0"/>
              <w:rPr>
                <w:sz w:val="24"/>
                <w:szCs w:val="24"/>
                <w:color w:val="auto"/>
              </w:rPr>
            </w:pPr>
          </w:p>
        </w:tc>
        <w:tc>
          <w:tcPr>
            <w:tcW w:w="3200" w:type="dxa"/>
            <w:vAlign w:val="bottom"/>
            <w:gridSpan w:val="12"/>
          </w:tcPr>
          <w:p>
            <w:pPr>
              <w:jc w:val="center"/>
              <w:ind w:left="1910"/>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4" w:right="339" w:bottom="595" w:gutter="0" w:footer="0" w:header="0"/>
        </w:sectPr>
      </w:pPr>
    </w:p>
    <w:bookmarkStart w:id="2" w:name="page3"/>
    <w:bookmarkEnd w:id="2"/>
    <w:p>
      <w:pPr>
        <w:jc w:val="center"/>
        <w:ind w:right="20"/>
        <w:spacing w:after="0"/>
        <w:rPr>
          <w:sz w:val="20"/>
          <w:szCs w:val="20"/>
          <w:color w:val="auto"/>
        </w:rPr>
      </w:pPr>
      <w:r>
        <w:rPr>
          <w:rFonts w:ascii="Calibri" w:cs="Calibri" w:eastAsia="Calibri" w:hAnsi="Calibri"/>
          <w:sz w:val="18"/>
          <w:szCs w:val="18"/>
          <w:b w:val="1"/>
          <w:bCs w:val="1"/>
          <w:color w:val="auto"/>
        </w:rPr>
        <w:t>PART I</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annual report on Form 10-K contains forward-looking statements within the meaning of Secton 21E of the Securites Exchange Act of 1934, as amended, or the Exchange Act. All statements other than statements of historical facts contained in this annual report, including statements regarding our future results of operatons and fnancial positon, business strategy, research and development plans and costs, the tming and likelihood of regulatory flings and approvals, commercializaton plans, pricing and reimbursement, the potental to develop future product candidates, the tming and likelihood of success of the plans and objectves of management for future operatons, and future results of antcipated product development eforts, are forward-looking statements. These statements involve known and unknown risks, uncertaintes and other important factors that may cause our actual results, performance or achievements to be materially diferent from any future results, performance or achievements expressed or implied by the forward-looking statements. This annual report on Form 10-K also contains estmates and other statstcal data made by independent partes and by us relatng to market size and growth and other data about our industry. This data involves a number of assumptons and limitatons, and you are cautoned not to give undue weight to such estmates. In additon, projectons, assumptons and estmates of our future performance and the future performance of the markets in which we operate are necessarily subject to a high degree of uncertainty and risk.</w:t>
      </w:r>
    </w:p>
    <w:p>
      <w:pPr>
        <w:spacing w:after="0" w:line="185" w:lineRule="exact"/>
        <w:rPr>
          <w:sz w:val="20"/>
          <w:szCs w:val="20"/>
          <w:color w:val="auto"/>
        </w:rPr>
      </w:pPr>
    </w:p>
    <w:p>
      <w:pPr>
        <w:ind w:right="100" w:firstLine="509"/>
        <w:spacing w:after="0" w:line="250" w:lineRule="auto"/>
        <w:rPr>
          <w:sz w:val="20"/>
          <w:szCs w:val="20"/>
          <w:color w:val="auto"/>
        </w:rPr>
      </w:pPr>
      <w:r>
        <w:rPr>
          <w:rFonts w:ascii="Calibri" w:cs="Calibri" w:eastAsia="Calibri" w:hAnsi="Calibri"/>
          <w:sz w:val="17"/>
          <w:szCs w:val="17"/>
          <w:color w:val="auto"/>
        </w:rPr>
        <w:t>In some cases, you can identfy forward-looking statements by terms such as “may,” “will,” “should,” “expect,” “plan,” “antcipate,” “could,” “intend,” “target,” “project,” “contemplates,” “believes,” “estmates,” “predicts,” “potental” or “contnue” or the negatve of these terms or other similar expressions. The forward-looking statements in this annual report are only predictons. We have based these forward-looking statements largely on our current expectatons and projectons about future events and fnancial trends that we believe may afect our fnancial conditon, operatng results, business strategy, and short term and long term business operatons and objectves. These forward-looking statements speak only as of the date of this annual report and are subject to a number of risks, uncertaintes and assumptons, including those described in Part I, Item 1A, “Risk Factors.” The events and circumstances refected in our forward-looking statements may not be achieved or occur and actual results could difer materially from those projected in the forward-looking statements. Moreover, we operate in an evolving environment. New risk factors and uncertaintes may emerge from tme to tme, and it is not possible for management to predict all risk factors and uncertaintes. Except as required by applicable law, we do not plan to publicly update or revise any forward-looking statements contained herein, whether as a result of any new informaton, future events, changed circumstances or otherwise.</w:t>
      </w:r>
    </w:p>
    <w:p>
      <w:pPr>
        <w:spacing w:after="0" w:line="17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This annual report includes trademarks, tradenames and service marks that are the property of other organizatons.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92"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We maintain a website at www.phathompharma.com, to which we regularly post copies of our press releases as well as additonal informaton about us. Our flings with the Securites and Exchange Commission, or SEC, are available free of charge through our website as soon as reasonably practcable afer being electronically fled with or furnished to the SEC. Informaton contained in our website does not consttute a part of this report or our other flings with the SEC.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Item 1. Business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are a biopharmaceutcal company focused on developing and commercializing novel treatments for gastrointestnal, or GI, diseases. Our inital approved products, VOQUEZNA TRIPLE PAK™ and VOQUEZNA DUAL PAK™, and our current product candidate, VOQUEZNA™, contain vonoprazan, an oral small molecule potassium-compettve acid blocker, or PCAB. PCABs are a novel class of medicines that block acid secreton in the stomach. Vonoprazan is the frst gastric ant-secretory agent from a novel class approved in the United States, Europe, or Canada in over 30 years, and has shown rapid, potent, and durable ant-secretory efects. Vonoprazan has also demonstrated clinical benefts over the current standard of care as a single agent in the treatment of erosive gastroesophageal refux disease, or erosive GERD, and in combinaton with antbiotcs for the treatment of </w:t>
      </w:r>
      <w:r>
        <w:rPr>
          <w:rFonts w:ascii="Calibri" w:cs="Calibri" w:eastAsia="Calibri" w:hAnsi="Calibri"/>
          <w:sz w:val="18"/>
          <w:szCs w:val="18"/>
          <w:i w:val="1"/>
          <w:iCs w:val="1"/>
          <w:color w:val="auto"/>
        </w:rPr>
        <w:t>Helicobacter pylori</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infecton. Takeda Pharmaceutcal Company Limited, or Takeda, developed vonoprazan and has received marketng approval in numerous countries in Asia and Latn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9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 xml:space="preserve">In 2021 we reported positve topline data from two pivotal Phase 3 clinical trials for vonoprazan: one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or PHALCON-HP, and a second for the treatment of erosive GERD, also known as erosive esophagits or EE, PHALCON-EE. In April 2021, we reported positve topline data from PHALCON-HP, and in October 2021, we reported positve topline data from PHALCON-EE. These data are supplemented by the extensive existng clinical data generated by Takeda as part of their development program for vonoprazan in Japan and other markets. In September 2021, we submited two new drug applicatons, or NDAs, for combinaton packs that contain vonoprazan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one in combinaton with amoxicillin and clarithromycin (vonoprazan triple therapy) and the other in combinaton with amoxicillin alone (vonoprazan dual therapy). In May 2022, the U.S. Food and Drug Administraton, or FDA, approved the NDAs for vonoprazan triple therapy, under the brand name VOQUEZNA TRIPLE PAK, and vonoprazan dual therapy, under the brand name VOQUEZNA DUAL PAK. Prior to these approvals, in May 2021, we received qualifed infectous disease product, or QIDP, designatons for VOQUEZNA TRIPLE PAK and VOQUEZNA DUAL PAK, which, upon approval of these products, added fve years of regulatory exclusivity to the fve years of new chemical entty, or NCE, exclusivity for vonoprazan to which these products were, and future products we develop containing vonoprazan will be, enttled.</w:t>
      </w:r>
    </w:p>
    <w:p>
      <w:pPr>
        <w:spacing w:after="0" w:line="185"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 xml:space="preserve">In March 2022, we submited an NDA for vonoprazan as a treatment for adults for the healing of all grades of erosive GERD, maintenance of healing of all grades of erosive GERD, and relief of heartburn associated with erosive GERD. If approved, we expect to market the product under the brand name VOQUEZNA. In August 2022, prior to the launch of VOQUEZNA TRIPLE PAK and VOQUEZNA DUAL PAK, we announced that, consistent with current FDA Guidance for Industry: </w:t>
      </w:r>
      <w:r>
        <w:rPr>
          <w:rFonts w:ascii="Calibri" w:cs="Calibri" w:eastAsia="Calibri" w:hAnsi="Calibri"/>
          <w:sz w:val="17"/>
          <w:szCs w:val="17"/>
          <w:i w:val="1"/>
          <w:iCs w:val="1"/>
          <w:color w:val="auto"/>
        </w:rPr>
        <w:t>Control of Nitrosamine Impurites in Human Drug Products</w:t>
      </w:r>
      <w:r>
        <w:rPr>
          <w:rFonts w:ascii="Calibri" w:cs="Calibri" w:eastAsia="Calibri" w:hAnsi="Calibri"/>
          <w:sz w:val="17"/>
          <w:szCs w:val="17"/>
          <w:color w:val="auto"/>
        </w:rPr>
        <w:t xml:space="preserve">, we initated testng to determine whether nitrosamine impurites were present in our inital commercial drug product for VOQUEZNA TRIPLE PAK and VOQUEZNA DUAL PAK. These tests revealed trace levels of a nitrosamine impurity, </w:t>
      </w:r>
      <w:r>
        <w:rPr>
          <w:rFonts w:ascii="Calibri" w:cs="Calibri" w:eastAsia="Calibri" w:hAnsi="Calibri"/>
          <w:sz w:val="17"/>
          <w:szCs w:val="17"/>
          <w:i w:val="1"/>
          <w:iCs w:val="1"/>
          <w:color w:val="auto"/>
        </w:rPr>
        <w:t>N</w:t>
      </w:r>
      <w:r>
        <w:rPr>
          <w:rFonts w:ascii="Calibri" w:cs="Calibri" w:eastAsia="Calibri" w:hAnsi="Calibri"/>
          <w:sz w:val="17"/>
          <w:szCs w:val="17"/>
          <w:color w:val="auto"/>
        </w:rPr>
        <w:t xml:space="preserve">-nitroso-vonoprazan, or NVP, that is not described within the FDA Guidance document. In January 2023, we announced that, although the FDA established an acceptable daily intake, or AI, for NVP at 96 ng/day, the FDA (Division of Gastroenterology) advised us that it would not be actng on our erosive GERD NDA on or prior to the Prescripton Drug User Fee Act, or PDUFA, target acton date of January 11, 2023. Rather, the FDA requested additonal stability data demonstratng that the levels of NVP will remain at or below the AI throughout the proposed shelf life of the product. In February 2023, we received complete response leters from the FDA relatng to our erosive GERD NDA and post approval supplement relatng to our approved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NDAs, both of which address specifcatons and controls for NVP. These leters formalized FDA’s prior request that we provide additonal stability data to demonstrate that levels of NVP will remain at or below the AI throughout the proposed shelf life of the product. No additonal defciencies were cited by the FDA in either leter. We have scheduled a meetng with the FDA in March of 2023 to discuss our resubmission plan and tmeline. If we are unable to demonstrate to the FDA that we will be able to maintain NVP levels at or below the AI, launches of VOQUEZNA TRIPLE PAK and VOQUEZNA DUAL</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4" w:name="page5"/>
    <w:bookmarkEnd w:id="4"/>
    <w:p>
      <w:pPr>
        <w:ind w:right="180"/>
        <w:spacing w:after="0" w:line="235" w:lineRule="auto"/>
        <w:rPr>
          <w:sz w:val="20"/>
          <w:szCs w:val="20"/>
          <w:color w:val="auto"/>
        </w:rPr>
      </w:pPr>
      <w:r>
        <w:rPr>
          <w:rFonts w:ascii="Calibri" w:cs="Calibri" w:eastAsia="Calibri" w:hAnsi="Calibri"/>
          <w:sz w:val="18"/>
          <w:szCs w:val="18"/>
          <w:color w:val="auto"/>
        </w:rPr>
        <w:t>PAK will be further delayed and approval of our erosive GERD NDA will contnue to be delayed, which could substantally increase our costs and delay or put at risk our ability to generate revenue and adversely afect our commercial prospects.</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Also in January 2023, we reported positve topline results from PHALCON-NERD-301, a Phase 3 study evaluatng the efcacy and safety of vonoprazan for the daily treatment of adults with symptomatc non-erosive gastroesophageal refux disease, or non-erosive GERD. This study will contnue through a 20-week extension period to evaluate long term safety and efcacy before its completon. We are also in discussions with the FDA regarding the design of a Phase 3 trial to evaluate the novel dosing regimen of vonoprazan as an as needed treatment for episodic heartburn relief in patents with non-erosive GERD, a dosing regimen not approved in the United States for proton pump inhibitors. This trial would consttute our fourth Phase 3 trial for vonoprazan. In February 2022, we reported positve topline results from PHALCON-NERD-201, the Phase 2 study evaluatng proof-of-concept efcacy from this novel dosing regimen.</w:t>
      </w:r>
    </w:p>
    <w:p>
      <w:pPr>
        <w:spacing w:after="0" w:line="16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plan to independently commercialize vonoprazan in the United States. In additon, we plan to seek commercial partnerships for vonoprazan in Europe and Canada, expand development of vonoprazan into other indicatons, dosing regimens and alternatve formulatons and packaging, and in-license or acquire additonal clinical or commercial stage product candidates for the treatment of GI diseases in a capital efcient manner.</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are two of the most common acid-related GI diseases and impact millions of people. The prevalence of GERD is estmated to be 20% of the U.S. populaton and 15% of the populaton in the fve major countries in Europe (France, Germany, Italy, Spain and the United Kingdom) (collectvely, the “EU5”). GERD is a disease that develops when the refux of acidic stomach contents causes troublesome symptoms and/or complicatons. Approximately 30% of GERD patents have erosive GERD.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is a bacterial pathogen that infects approximately 35% of the U.S. populaton and 45% of the EU5 populaton. As a result of the chronic infammaton induced by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approximately 20% of infected patents will develop a range of pathologies, including dyspepsia, peptc ulcer disease, gastric cancer, and mucosa-associated lymphoid tssue (MALT) lymphoma.</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Over the last thirty years, the proton pump inhibitor, or PPI, class, has been the standard of care for the treatment of acid-related GI diseases. PPIs are generally used as a single agent for the treatment of GERD and in combinaton with antbiotcs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The PPI class includes drugs such as Prilosec (omeprazole), Nexium (esomeprazole), and Prevacid (lansoprazole). Prior to the introducton of generic and over-the-counter, or OTC, alternatves, annual PPI class sales reached approximately $12.5 billion in the United States, with peak sales for individual brands of approximately $3.7 billion for Prilosec, $3.5 billion for Nexium, and $3.4 billion for Prevacid.</w:t>
      </w:r>
    </w:p>
    <w:p>
      <w:pPr>
        <w:spacing w:after="0" w:line="18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While PPIs are the current standard of care and have experienced signifcant commercial success, they have signifcant limitatons that result in a large unmet medical need. In GERD, PPI therapy is suboptmal for many patents due to the slow onset and insufcient duraton of acid control which can lead to inadequate symptom relief. Approximately 15% to 45% of GERD patents remain inadequately treated with PPIs. In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the standard of care consists of a combinaton of a PPI and at least two oral antbiotcs. However, increasing antbiotc resistance has resulted in declining eradicaton rates with PPI-based therapy. We believe these unmet medical needs are in part driven by limitatons associated with the mechanism of acton and pharmacokinetcs of PPIs.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 w:name="page6"/>
    <w:bookmarkEnd w:id="5"/>
    <w:p>
      <w:pPr>
        <w:ind w:firstLine="509"/>
        <w:spacing w:after="0" w:line="235" w:lineRule="auto"/>
        <w:rPr>
          <w:sz w:val="20"/>
          <w:szCs w:val="20"/>
          <w:color w:val="auto"/>
        </w:rPr>
      </w:pPr>
      <w:r>
        <w:rPr>
          <w:rFonts w:ascii="Calibri" w:cs="Calibri" w:eastAsia="Calibri" w:hAnsi="Calibri"/>
          <w:sz w:val="18"/>
          <w:szCs w:val="18"/>
          <w:color w:val="auto"/>
        </w:rPr>
        <w:t>PPIs reduce gastric acid secreton by irreversibly binding to and inhibitng actve proton pumps expressed on the parietal cells. PPIs require actvaton by gastric acid, but they are unstable in the presence of acid. This instability, combined with the short circulatng half-life of PPIs, limits their efcacy. Additonally, because proton pumps contnuously switch between actve and inactve states, multple doses of PPIs are required to inhibit enough proton pumps to achieve a clinical beneft. As a result, PPIs have a relatvely slow onset of acton and limited potency and duraton of efect, which may result in patents experiencing only partal relief, increasing PPI dosage, and/or cycling through multple PPIs seeking relief.</w:t>
      </w:r>
    </w:p>
    <w:p>
      <w:pPr>
        <w:spacing w:after="0" w:line="391"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Vonoprazan has a diferentated mechanism of acton from PPIs. Unlike PPIs, vonoprazan:</w:t>
      </w:r>
    </w:p>
    <w:p>
      <w:pPr>
        <w:spacing w:after="0" w:line="185"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does not require actvaton by gastric acid;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 stable in the presence of acid;</w:t>
      </w:r>
    </w:p>
    <w:p>
      <w:pPr>
        <w:spacing w:after="0" w:line="190" w:lineRule="exact"/>
        <w:rPr>
          <w:rFonts w:ascii="Times New Roman" w:cs="Times New Roman" w:eastAsia="Times New Roman" w:hAnsi="Times New Roman"/>
          <w:sz w:val="18"/>
          <w:szCs w:val="18"/>
          <w:color w:val="auto"/>
        </w:rPr>
      </w:pPr>
    </w:p>
    <w:p>
      <w:pPr>
        <w:ind w:left="900" w:right="540" w:hanging="383"/>
        <w:spacing w:after="0" w:line="235" w:lineRule="auto"/>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 designed to selectvely concentrate in the parietal cells in both the restng and stmulated states, bind to the actve pumps and remain associated with the actve and inactve pumps;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binds to the pumps in a noncovalent and reversible manner;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has a long plasma half-life that replenishes the drug at the site of acton over the course of the day.</w:t>
      </w:r>
    </w:p>
    <w:p>
      <w:pPr>
        <w:spacing w:after="0" w:line="177" w:lineRule="exact"/>
        <w:rPr>
          <w:sz w:val="20"/>
          <w:szCs w:val="20"/>
          <w:color w:val="auto"/>
        </w:rPr>
      </w:pPr>
    </w:p>
    <w:p>
      <w:pPr>
        <w:jc w:val="both"/>
        <w:ind w:right="100" w:firstLine="509"/>
        <w:spacing w:after="0" w:line="252" w:lineRule="auto"/>
        <w:rPr>
          <w:sz w:val="20"/>
          <w:szCs w:val="20"/>
          <w:color w:val="auto"/>
        </w:rPr>
      </w:pPr>
      <w:r>
        <w:rPr>
          <w:rFonts w:ascii="Calibri" w:cs="Calibri" w:eastAsia="Calibri" w:hAnsi="Calibri"/>
          <w:sz w:val="17"/>
          <w:szCs w:val="17"/>
          <w:color w:val="auto"/>
        </w:rPr>
        <w:t>These factors have enabled vonoprazan to demonstrate more rapid and potent acid suppression versus the PPIs esomeprazole and lansoprazole in human subjects two hours afer oral dosing and maintain target acid inhibiton over a 24-hour period in randomized, open-label, crossover clinical trials. In contrast, PPIs require three to fve days to reach steady state acid suppression and do not reliably maintain target acid inhibiton over a 24-hour period. In additon, vonoprazan demonstrated approximately 10-to-100-fold beter acid control compared to lansoprazole and esomeprazole.</w:t>
      </w:r>
    </w:p>
    <w:p>
      <w:pPr>
        <w:spacing w:after="0" w:line="168"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 xml:space="preserve">Vonoprazan has demonstrated clinical advantages over the PPI lansoprazole in the treatment of erosive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in completed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Phase 3 clinical trials conducted in the United States and Europe, including:</w:t>
      </w:r>
    </w:p>
    <w:p>
      <w:pPr>
        <w:spacing w:after="0" w:line="11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faster and more complete healing of erosive GERD in patents with moderate to severe disease;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more durable healing of erosive GERD in patents with all grades of disease;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higher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in combinaton with antbiotcs compared to standard of care triple therapy;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more fexible dosing, including dosing independent of food and tme of day</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Moreover, we believe that vonoprazan’s ant-secretory mechanism has the potental to contribute to additonal clinical advantages over PPIs such as rapid symptom relief through as needed dosing in the treatment of patents with non-erosive GERD.</w:t>
      </w:r>
    </w:p>
    <w:p>
      <w:pPr>
        <w:spacing w:after="0" w:line="2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98" w:right="499" w:bottom="1440" w:gutter="0" w:footer="0" w:header="0"/>
        </w:sectPr>
      </w:pPr>
    </w:p>
    <w:bookmarkStart w:id="6" w:name="page7"/>
    <w:bookmarkEnd w:id="6"/>
    <w:p>
      <w:pPr>
        <w:ind w:firstLine="509"/>
        <w:spacing w:after="0" w:line="282" w:lineRule="auto"/>
        <w:rPr>
          <w:sz w:val="20"/>
          <w:szCs w:val="20"/>
          <w:color w:val="auto"/>
        </w:rPr>
      </w:pPr>
      <w:r>
        <w:rPr>
          <w:rFonts w:ascii="Calibri" w:cs="Calibri" w:eastAsia="Calibri" w:hAnsi="Calibri"/>
          <w:sz w:val="18"/>
          <w:szCs w:val="18"/>
          <w:b w:val="1"/>
          <w:bCs w:val="1"/>
          <w:i w:val="1"/>
          <w:iCs w:val="1"/>
          <w:color w:val="auto"/>
        </w:rPr>
        <w:t>Erosive GERD</w:t>
      </w:r>
      <w:r>
        <w:rPr>
          <w:rFonts w:ascii="MS PGothic" w:cs="MS PGothic" w:eastAsia="MS PGothic" w:hAnsi="MS PGothic"/>
          <w:sz w:val="18"/>
          <w:szCs w:val="18"/>
          <w:color w:val="auto"/>
        </w:rPr>
        <w:t>. Our NDA seeking approval of vonoprazan, under the brand name VOQUEZNA, for the treatment of adults with erosive GERD was based</w:t>
      </w:r>
      <w:r>
        <w:rPr>
          <w:rFonts w:ascii="Calibri" w:cs="Calibri" w:eastAsia="Calibri" w:hAnsi="Calibri"/>
          <w:sz w:val="18"/>
          <w:szCs w:val="18"/>
          <w:b w:val="1"/>
          <w:bCs w:val="1"/>
          <w:i w:val="1"/>
          <w:iCs w:val="1"/>
          <w:color w:val="auto"/>
        </w:rPr>
        <w:t xml:space="preserve"> </w:t>
      </w:r>
      <w:r>
        <w:rPr>
          <w:rFonts w:ascii="MS PGothic" w:cs="MS PGothic" w:eastAsia="MS PGothic" w:hAnsi="MS PGothic"/>
          <w:sz w:val="18"/>
          <w:szCs w:val="18"/>
          <w:color w:val="auto"/>
        </w:rPr>
        <w:t>on the results from PHALCON‑EE, our Phase 3 clinical trial conducted in the United States and Europe. This trial assessed vonoprazan versus lansoprazole in the healing and maintenance of healing of adult patents with erosive GERD. In PHALCON-EE, vonoprazan met its primary healing endpoint demonstratng non-inferiority to lansoprazole in the number of patents who showed complete healing of erosive GERD afer eight weeks of treatment. Further, in a pre-specifed secondary endpoint, vonoprazan demonstrated superior healing afer two weeks of treatment in patents with moderate to severe erosive GERD compared to lansoprazole. Afer two weeks of treatment, 70% of patents with moderate to severe erosive GERD were healed afer treatment with vonoprazan versus 53% with lansoprazole (p=0.0008). In the maintenance phase of the trial both doses of vonoprazan (10 mg and 20 mg) met the primary endpoint of non-inferiority compared to lansoprazole in the number of all patents who maintained healing of erosive GERD through week 24. Further, both vonoprazan doses also met a pre-specifed secondary endpoint demonstratng superiority of maintenance of healing versus lansoprazole (79% for vonoprazan 10 mg, 81% for vonoprazan 20 mg compared to 72% for lansoprazole 15 mg) (p&lt;0.0001 for both non-inferiority comparisons; p=0.0436 for vonoprazan 10 mg superiority comparison; p=0.0272 for vonoprazan 20 mg superiority comparison). Both vonoprazan doses also met the pre-specifed secondary endpoint of demonstratng superiority of the percentage of patents with moderate-to-severe disease who maintained healing of erosive GERD through week 24 (75% vonoprazan 10 mg, 77% vonoprazan 20 mg v. 61% lansoprazole 15 mg) (p=0.0490 for vonoprazan 10 mg superiority comparison; p=0.0196 for vonoprazan 20 mg superiority comparison).</w:t>
      </w:r>
    </w:p>
    <w:p>
      <w:pPr>
        <w:spacing w:after="0" w:line="145" w:lineRule="exact"/>
        <w:rPr>
          <w:sz w:val="20"/>
          <w:szCs w:val="20"/>
          <w:color w:val="auto"/>
        </w:rPr>
      </w:pPr>
    </w:p>
    <w:p>
      <w:pPr>
        <w:ind w:right="40" w:firstLine="509"/>
        <w:spacing w:after="0" w:line="326" w:lineRule="auto"/>
        <w:rPr>
          <w:sz w:val="20"/>
          <w:szCs w:val="20"/>
          <w:color w:val="auto"/>
        </w:rPr>
      </w:pPr>
      <w:r>
        <w:rPr>
          <w:rFonts w:ascii="MS PGothic" w:cs="MS PGothic" w:eastAsia="MS PGothic" w:hAnsi="MS PGothic"/>
          <w:sz w:val="17"/>
          <w:szCs w:val="17"/>
          <w:color w:val="auto"/>
        </w:rPr>
        <w:t>In PHALCON-EE, vonoprazan 20 mg met the secondary endpoint of showing non-inferiority to lansoprazole 30 mg in the mean percentage of 24-hour heartburn free days over the healing period, and both vonoprazan doses met the secondary endpoint of showing non-inferiority to lansoprazole 15 mg in the mean percentage of 24-hour heartburn free days over the maintenance period. Finally, vonoprazan 20 mg was also compared to lansoprazole 30 mg in a superiority test for onset of sustained resoluton of heartburn by day three of the healing phase but did not achieve statstcal signifcance (p=0.2196).</w:t>
      </w:r>
    </w:p>
    <w:p>
      <w:pPr>
        <w:spacing w:after="0" w:line="116" w:lineRule="exact"/>
        <w:rPr>
          <w:sz w:val="20"/>
          <w:szCs w:val="20"/>
          <w:color w:val="auto"/>
        </w:rPr>
      </w:pPr>
    </w:p>
    <w:p>
      <w:pPr>
        <w:ind w:firstLine="509"/>
        <w:spacing w:after="0" w:line="311" w:lineRule="auto"/>
        <w:rPr>
          <w:sz w:val="20"/>
          <w:szCs w:val="20"/>
          <w:color w:val="auto"/>
        </w:rPr>
      </w:pPr>
      <w:r>
        <w:rPr>
          <w:rFonts w:ascii="MS PGothic" w:cs="MS PGothic" w:eastAsia="MS PGothic" w:hAnsi="MS PGothic"/>
          <w:sz w:val="18"/>
          <w:szCs w:val="18"/>
          <w:color w:val="auto"/>
        </w:rPr>
        <w:t>A p-value is the probability that the reported result was achieved purely by chance, such that a p-value of less than or equal to 0.05 or 0.01 means that there is a 5.0% or 1.0% or less probability, respectvely, that the diference between the control group and the treatment group is purely due to chance. A p-value of 0.05 or less typically represents a statstcally signifcant result.</w:t>
      </w:r>
    </w:p>
    <w:p>
      <w:pPr>
        <w:spacing w:after="0" w:line="137" w:lineRule="exact"/>
        <w:rPr>
          <w:sz w:val="20"/>
          <w:szCs w:val="20"/>
          <w:color w:val="auto"/>
        </w:rPr>
      </w:pPr>
    </w:p>
    <w:p>
      <w:pPr>
        <w:jc w:val="both"/>
        <w:ind w:right="60" w:firstLine="509"/>
        <w:spacing w:after="0" w:line="311" w:lineRule="auto"/>
        <w:rPr>
          <w:sz w:val="20"/>
          <w:szCs w:val="20"/>
          <w:color w:val="auto"/>
        </w:rPr>
      </w:pPr>
      <w:r>
        <w:rPr>
          <w:rFonts w:ascii="MS PGothic" w:cs="MS PGothic" w:eastAsia="MS PGothic" w:hAnsi="MS PGothic"/>
          <w:sz w:val="18"/>
          <w:szCs w:val="18"/>
          <w:color w:val="auto"/>
        </w:rPr>
        <w:t>The results from PHALCON-EE were consistent with the results of four Phase 3 clinical trials previously conducted by Takeda, two in each of Japan and China, assessing vonoprazan versus lansoprazole in the healing and maintenance of healing of erosive GERD in which vonoprazan met its primary endpoint in demonstratng non-inferiority to lansoprazole.</w:t>
      </w:r>
    </w:p>
    <w:p>
      <w:pPr>
        <w:spacing w:after="0" w:line="124" w:lineRule="exact"/>
        <w:rPr>
          <w:sz w:val="20"/>
          <w:szCs w:val="20"/>
          <w:color w:val="auto"/>
        </w:rPr>
      </w:pPr>
    </w:p>
    <w:p>
      <w:pPr>
        <w:ind w:right="80" w:firstLine="509"/>
        <w:spacing w:after="0" w:line="265" w:lineRule="auto"/>
        <w:rPr>
          <w:sz w:val="20"/>
          <w:szCs w:val="20"/>
          <w:color w:val="auto"/>
        </w:rPr>
      </w:pPr>
      <w:r>
        <w:rPr>
          <w:rFonts w:ascii="Calibri" w:cs="Calibri" w:eastAsia="Calibri" w:hAnsi="Calibri"/>
          <w:sz w:val="17"/>
          <w:szCs w:val="17"/>
          <w:b w:val="1"/>
          <w:bCs w:val="1"/>
          <w:i w:val="1"/>
          <w:iCs w:val="1"/>
          <w:color w:val="auto"/>
        </w:rPr>
        <w:t xml:space="preserve">Symptomatc non-erosive gastroesophageal refux disease. </w:t>
      </w:r>
      <w:r>
        <w:rPr>
          <w:rFonts w:ascii="MS PGothic" w:cs="MS PGothic" w:eastAsia="MS PGothic" w:hAnsi="MS PGothic"/>
          <w:sz w:val="17"/>
          <w:szCs w:val="17"/>
          <w:color w:val="auto"/>
        </w:rPr>
        <w:t>In PHALCON-NERD-301, a Phase 3 study evaluatng the efcacy and safety of vonoprazan</w:t>
      </w:r>
      <w:r>
        <w:rPr>
          <w:rFonts w:ascii="Calibri" w:cs="Calibri" w:eastAsia="Calibri" w:hAnsi="Calibri"/>
          <w:sz w:val="17"/>
          <w:szCs w:val="17"/>
          <w:b w:val="1"/>
          <w:bCs w:val="1"/>
          <w:i w:val="1"/>
          <w:iCs w:val="1"/>
          <w:color w:val="auto"/>
        </w:rPr>
        <w:t xml:space="preserve"> </w:t>
      </w:r>
      <w:r>
        <w:rPr>
          <w:rFonts w:ascii="MS PGothic" w:cs="MS PGothic" w:eastAsia="MS PGothic" w:hAnsi="MS PGothic"/>
          <w:sz w:val="17"/>
          <w:szCs w:val="17"/>
          <w:color w:val="auto"/>
        </w:rPr>
        <w:t>for the daily treatment of adults with non-erosive GERD, both doses of vonoprazan (10 mg and 20 mg) met the primary endpoint evaluatng the mean percentage of 24-hour heartburn -free days through week four by demonstratng statstcal signifcance versus placebo (mean 46.4% vonoprazan 10 mg,</w:t>
      </w:r>
    </w:p>
    <w:p>
      <w:pPr>
        <w:spacing w:after="0" w:line="2" w:lineRule="exact"/>
        <w:rPr>
          <w:sz w:val="20"/>
          <w:szCs w:val="20"/>
          <w:color w:val="auto"/>
        </w:rPr>
      </w:pPr>
    </w:p>
    <w:p>
      <w:pPr>
        <w:ind w:right="100"/>
        <w:spacing w:after="0" w:line="320" w:lineRule="auto"/>
        <w:rPr>
          <w:sz w:val="20"/>
          <w:szCs w:val="20"/>
          <w:color w:val="auto"/>
        </w:rPr>
      </w:pPr>
      <w:r>
        <w:rPr>
          <w:rFonts w:ascii="MS PGothic" w:cs="MS PGothic" w:eastAsia="MS PGothic" w:hAnsi="MS PGothic"/>
          <w:sz w:val="17"/>
          <w:szCs w:val="17"/>
          <w:color w:val="auto"/>
        </w:rPr>
        <w:t>46.0% vonoprazan 20 mg, compared to 27.5% for placebo; p&lt;0.0001 for both vonoprazan 10 mg and 20 mg versus placebo). The median percentage of 24-hour heartburn-free days was 48.3%, 46.7% and 17.0% for vonoprazan 10 mg, vonoprazan 20 mg, and placebo, respectvely. We antcipate full results from this trial will be available in the second half of 2023 afer the completon of the 20-week extension period, which is currently ongoing to further evaluate the safety and efcacy of both doses of vonoprazan afer six months of contnuous use. Pending receipt of these results, we expect to submit an applicaton to the FDA in the second half of 2023 seeking approval of vonoprazan as a daily treatment of adults with non-erosive GERD.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7" w:name="page8"/>
    <w:bookmarkEnd w:id="7"/>
    <w:p>
      <w:pPr>
        <w:ind w:firstLine="509"/>
        <w:spacing w:after="0" w:line="235" w:lineRule="auto"/>
        <w:rPr>
          <w:sz w:val="20"/>
          <w:szCs w:val="20"/>
          <w:color w:val="auto"/>
        </w:rPr>
      </w:pPr>
      <w:r>
        <w:rPr>
          <w:rFonts w:ascii="Calibri" w:cs="Calibri" w:eastAsia="Calibri" w:hAnsi="Calibri"/>
          <w:sz w:val="18"/>
          <w:szCs w:val="18"/>
          <w:color w:val="auto"/>
        </w:rPr>
        <w:t>In PHALCON-NERD-201, a Phase 2 study evaluatng three doses of vonoprazan (10 mg, 20 mg, and 40 mg) as an as needed therapy for relief of episodic heartburn in subjects with non-erosive GERD, all three vonoprazan doses successfully met the primary endpoint evaluatng the percentage of heartburn episodes completely relieved within three hours with relief sustained for over 24 hours and were statstcally signifcant (p&lt;0.0001) when compared to placebo. Within three hours, vonoprazan 10 mg, 20 mg, and 40 mg achieved complete and sustained relief in 56.0%, 60.6% and 70.0% of evaluable heartburn episodes, respectvely, as compared to 27.3% of episodes for placebo. An evaluable heartburn episode is a heartburn episode for which the partcipant completes a minimum of one tmed assessment afer taking study medicaton.</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Further, based on the positve PHALCON-NERD-201 results, we are in discussions with the FDA regarding the design of a Phase 3 trial, which would be our fourth Phase 3 trial for vonoprazan, to evaluate the novel dosing regimen of vonoprazan as an as needed treatment for episodic heartburn relief in patents with non-erosive GERD, a dosing regimen not approved in the United States for PPIs.</w:t>
      </w:r>
    </w:p>
    <w:p>
      <w:pPr>
        <w:spacing w:after="0" w:line="178"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b w:val="1"/>
          <w:bCs w:val="1"/>
          <w:i w:val="1"/>
          <w:iCs w:val="1"/>
          <w:color w:val="auto"/>
        </w:rPr>
        <w:t>H. pylori</w:t>
      </w:r>
      <w:r>
        <w:rPr>
          <w:rFonts w:ascii="Calibri" w:cs="Calibri" w:eastAsia="Calibri" w:hAnsi="Calibri"/>
          <w:sz w:val="17"/>
          <w:szCs w:val="17"/>
          <w:color w:val="auto"/>
        </w:rPr>
        <w:t>. The FDA’s approval of VOQUEZNA TRIPLE PAK and VOQUEZNA DUAL PAK was based on the results from PHALCON-HP, our Phase 3 clinical</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 xml:space="preserve">trial in the United States and Europe studying two vonoprazan-based treatment regimens for the eradicaton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both of which successfully met their primary endpoints and all secondary endpoints. The trial studied vonoprazan triple therapy and vonoprazan dual therapy compared to lansoprazole in combinaton with amoxicillin and clarithromycin, or lansoprazole triple therapy. The objectve of the PHALCON-HP trial was to compare eradicaton rates in all treated subjects as well as in two pre-identfed subgroups of patents: those patents with clarithromycin resistant strains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and those patents who did not have clarithromycin or amoxicillin resistant strains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For regulatory purposes, the primary endpoint of this study was a non-inferiority comparison in the non-resistant subgroup for each of vonoprazan triple therapy and vonoprazan dual therapy compared to lansoprazole triple therapy.</w:t>
      </w:r>
    </w:p>
    <w:p>
      <w:pPr>
        <w:spacing w:after="0" w:line="1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In PHALCON-HP, both vonoprazan-based regimens successfully met their primary endpoints. In the modifed intent-to-treat (mITT) populaton,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rates were 84.7% for vonoprazan triple therapy and 78.5% for vonoprazan dual therapy compared to 78.8% with lansoprazole triple therapy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(p&lt;0.0001 and p=0.0073, respectvely, for non-inferiority). In the pre-specifed per protocol populaton, a subset of the mITT populaton comprised of patents who were protocol compliant,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were 90.4% with vonoprazan triple therapy and 81.2% with vonoprazan dual therapy compared to 82.1% with lansoprazole triple therapy (p&lt;0.0001 and p=0.0155, respectvely, for non-inferiority).</w:t>
      </w:r>
    </w:p>
    <w:p>
      <w:pPr>
        <w:spacing w:after="0" w:line="180"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 xml:space="preserve">In PHALCON-HP vonoprazan triple therapy and vonoprazan dual therapy also met all secondary endpoints, demonstratng superior eradicaton rates versus lansoprazole triple therapy in all patents and in the subgroup of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Among all patents, the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 of vonoprazan triple therapy was superior to that of lansoprazole triple therapy in both the mITT populaton (80.8% vs. 68.5%;</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p=0.0001) and the per protocol populaton (85.7% vs. 70.0%; p&lt;0.0001).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resistant to clarithromycin, the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 with vonoprazan triple therapy was superior to that of lansoprazole triple therapy in both the mITT populaton (65.8% vs. 31.9%;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p&lt;0.0001) and the per protocol populaton (67.2% vs. 29.0%; p&lt;0.0001).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 w:name="page9"/>
    <w:bookmarkEnd w:id="8"/>
    <w:p>
      <w:pPr>
        <w:ind w:right="360" w:firstLine="509"/>
        <w:spacing w:after="0" w:line="235" w:lineRule="auto"/>
        <w:rPr>
          <w:sz w:val="20"/>
          <w:szCs w:val="20"/>
          <w:color w:val="auto"/>
        </w:rPr>
      </w:pPr>
      <w:r>
        <w:rPr>
          <w:rFonts w:ascii="Calibri" w:cs="Calibri" w:eastAsia="Calibri" w:hAnsi="Calibri"/>
          <w:sz w:val="18"/>
          <w:szCs w:val="18"/>
          <w:color w:val="auto"/>
        </w:rPr>
        <w:t xml:space="preserve">Among all patents,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superior to that of lansoprazole triple therapy in both the mITT populaton (77.2% vs. 68.5%; p=0.0127) and the per protocol populaton (81.1% vs. 70.0%; p=0.0027).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also superior to that of lansoprazole triple therapy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resistant to clarithromycin in both the mITT populaton (69.6% vs. 31.9%; p&lt;0.0001) and the per protocol populaton (79.5% vs. 29.0%; p&lt;0.0001).</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The vonoprazan triple therapy results of PHALCON-HP were consistent with the results of a Phase 3 clinical trial previously conducted by Takeda in Japan assessing vonoprazan in combinaton with the antbiotcs amoxicillin and clarithromycin versus lansoprazole in combinaton with these same antbiotcs in frst line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at antbiotc doses and treatment duraton (7 days) consistent with local practce in Japan. Vonoprazan dual therapy was not tested in this study.</w:t>
      </w:r>
    </w:p>
    <w:p>
      <w:pPr>
        <w:spacing w:after="0" w:line="17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management team has deep expertse in developing GI therapeutcs, including ant-secretory agents, and direct experience developing vonoprazan at Takeda. Our Chief Executve Ofcer, Terrie Curran, has more than 20 years of experience in the biopharmaceutcal industry. Ms. Curran served as President, Global Infammaton and Immunology (I&amp;I) Franchise and as a member of the Executve Commitee at Celgene Corporaton from 2017 to 2019. Ms. Curran joined Celgene in 2013 as the U.S. Commercial Head of the I&amp;I Franchise, where she built the capabilites and recruited the teams that executed the successful launch of OTEZLA, which was sold to Amgen in November 2019 for $13.4 billion.</w:t>
      </w:r>
    </w:p>
    <w:p>
      <w:pPr>
        <w:spacing w:after="0" w:line="193"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Azmi Nabulsi, M.D., M.P.H., our Chief Operatng Ofcer, is the former Deputy Chief Medical and Scientfc Ofcer at Takeda. Our Head of Regulatory, Tom Harris, is the former Senior Vice President and Head of Global Regulatory at Takeda. Dr. Nabulsi and Mr. Harris were extensively involved with the development of vonoprazan at Takeda.</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Pipeline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chart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5349240" cy="258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color w:val="auto"/>
        </w:rPr>
        <w:t>Our Strategy</w:t>
      </w:r>
    </w:p>
    <w:p>
      <w:pPr>
        <w:spacing w:after="0" w:line="177" w:lineRule="exact"/>
        <w:rPr>
          <w:sz w:val="20"/>
          <w:szCs w:val="20"/>
          <w:color w:val="auto"/>
        </w:rPr>
      </w:pPr>
    </w:p>
    <w:p>
      <w:pPr>
        <w:ind w:right="180" w:firstLine="509"/>
        <w:spacing w:after="0" w:line="258" w:lineRule="auto"/>
        <w:rPr>
          <w:sz w:val="20"/>
          <w:szCs w:val="20"/>
          <w:color w:val="auto"/>
        </w:rPr>
      </w:pPr>
      <w:r>
        <w:rPr>
          <w:rFonts w:ascii="Calibri" w:cs="Calibri" w:eastAsia="Calibri" w:hAnsi="Calibri"/>
          <w:sz w:val="17"/>
          <w:szCs w:val="17"/>
          <w:color w:val="auto"/>
        </w:rPr>
        <w:t>Our mission is to improve the lives of people sufering from gastrointestnal diseases. Our strategy is initally focused on developing and commercializing vonoprazan as a frst-in-class PCAB in the United States for the treatment of acid-related GI diseases. Key elements of this strategy include:</w:t>
      </w:r>
    </w:p>
    <w:p>
      <w:pPr>
        <w:spacing w:after="0" w:line="175" w:lineRule="exact"/>
        <w:rPr>
          <w:sz w:val="20"/>
          <w:szCs w:val="20"/>
          <w:color w:val="auto"/>
        </w:rPr>
      </w:pPr>
    </w:p>
    <w:p>
      <w:pPr>
        <w:ind w:left="900" w:hanging="383"/>
        <w:spacing w:after="0" w:line="250" w:lineRule="auto"/>
        <w:tabs>
          <w:tab w:leader="none" w:pos="900" w:val="left"/>
        </w:tabs>
        <w:numPr>
          <w:ilvl w:val="0"/>
          <w:numId w:val="5"/>
        </w:numPr>
        <w:rPr>
          <w:rFonts w:ascii="Times New Roman" w:cs="Times New Roman" w:eastAsia="Times New Roman" w:hAnsi="Times New Roman"/>
          <w:sz w:val="17"/>
          <w:szCs w:val="17"/>
          <w:color w:val="auto"/>
        </w:rPr>
      </w:pPr>
      <w:r>
        <w:rPr>
          <w:rFonts w:ascii="Calibri" w:cs="Calibri" w:eastAsia="Calibri" w:hAnsi="Calibri"/>
          <w:sz w:val="17"/>
          <w:szCs w:val="17"/>
          <w:b w:val="1"/>
          <w:bCs w:val="1"/>
          <w:i w:val="1"/>
          <w:iCs w:val="1"/>
          <w:color w:val="auto"/>
        </w:rPr>
        <w:t>Obtain marketng approval of VOQUEZNA for treatment of erosive GERD and initate commercial launch of VOQUEZNA, VOQUEZNA TRIPLE PAK and DUAL PAK in the U.S</w:t>
      </w:r>
      <w:r>
        <w:rPr>
          <w:rFonts w:ascii="Calibri" w:cs="Calibri" w:eastAsia="Calibri" w:hAnsi="Calibri"/>
          <w:sz w:val="17"/>
          <w:szCs w:val="17"/>
          <w:color w:val="auto"/>
        </w:rPr>
        <w:t>. In May 2022, the FDA approved VOQUEZNA TRIPLE PAK and VOQUEZNA DUAL PAK for the treatment of</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i w:val="1"/>
          <w:iCs w:val="1"/>
          <w:color w:val="auto"/>
        </w:rPr>
        <w:t>H. pylori</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 xml:space="preserve">infecton in adults. In February 2023, we received complete response leters from the FDA relatng to our erosive GERD NDA and post approval supplement relatng to our approved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NDAs, both of which address specifcatons and controls for NVP. We have scheduled a meetng in March 2023 with the FDA to discuss our resubmission plan and tmeline. Following potental approval of resubmissions and launch, we expect all our approved products containing vonoprazan will beneft from a 10-year period of marketng exclusivity that commenced upon approval of our inital products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in May 2022. This 10-year period of exclusivity is the result of vonoprazan being approved as new chemical entty, or NCE, which provided a fve-year period of marketng exclusivity for all our products containing vonoprazan commencing with approval of VOQUEZNA TRIPLE PAK and DUAL PAK in May 2022. And, because those products received QIDP designatons, the fve-year NCE period of marketng exclusivity for all our products containing vonoprazan was automatcally extended by fve years, untl May 2032.</w:t>
      </w:r>
    </w:p>
    <w:p>
      <w:pPr>
        <w:spacing w:after="0" w:line="200" w:lineRule="exact"/>
        <w:rPr>
          <w:rFonts w:ascii="Times New Roman" w:cs="Times New Roman" w:eastAsia="Times New Roman" w:hAnsi="Times New Roman"/>
          <w:sz w:val="17"/>
          <w:szCs w:val="17"/>
          <w:color w:val="auto"/>
        </w:rPr>
      </w:pPr>
    </w:p>
    <w:p>
      <w:pPr>
        <w:ind w:left="90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Advance the clinical development of vonoprazan in non-erosive GERD and seek marketng approval. </w:t>
      </w:r>
      <w:r>
        <w:rPr>
          <w:rFonts w:ascii="Calibri" w:cs="Calibri" w:eastAsia="Calibri" w:hAnsi="Calibri"/>
          <w:sz w:val="18"/>
          <w:szCs w:val="18"/>
          <w:color w:val="auto"/>
        </w:rPr>
        <w:t>Symptomatc non-erosive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gastroesophageal refux disease, or non-erosive GERD, is a major subcategory of GERD and is characterized by refux-related symptoms in the absence of esophageal mucosal erosions. We are pursuing development of vonoprazan for treatment of non-erosive GERD as both an as needed and once-daily therapy. In January 2023, we reported positve topline results for the primary endpoint of PHALCON-NERD-301, a Phase 3 study evaluatng the efcacy and safety of vonoprazan for the daily treatment of non-erosive GERD in adults. We are also in discussions with the FDA regarding the design of a Phase 3 trial in order to evaluate the novel dosing regimen of vonoprazan as an as needed treatment for episodic heartburn relief in patents with non-erosive GERD, a dosing regimen not approved in the U.S. for PPIs. The pursuit of this novel dosing regimen is supported by the positve topline results we reported in February 2022 for PHALCON-NERD-201, a Phase 2 study evaluatng various doses of vonoprazan and placebo as an as needed treatment for adults with non-erosive GERD.</w:t>
      </w:r>
    </w:p>
    <w:p>
      <w:pPr>
        <w:spacing w:after="0" w:line="196"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Commercialize vonoprazan in the United States</w:t>
      </w:r>
      <w:r>
        <w:rPr>
          <w:rFonts w:ascii="Calibri" w:cs="Calibri" w:eastAsia="Calibri" w:hAnsi="Calibri"/>
          <w:sz w:val="18"/>
          <w:szCs w:val="18"/>
          <w:color w:val="auto"/>
        </w:rPr>
        <w:t>. We plan to independently commercialize VOQUEZNA TRIPLE PAK, VOQUEZNA DUAL PAK, and if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approved, VOQUEZNA, in the United States by building a leading gastroenterology commercial infrastructure to support the adopton of vonoprazan. We believe we can successfully commercialize these products in the United States with a focused sales force targetng prescribers of treatments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GERD, partcularly gastroenterologists. Prescriptons for treatments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GERD are both highly concentrated, with approximately 76% of prescriptons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65% of prescriptons in erosive GERD being writen by 10% of the PPI prescribers. We believe we have an opportunity to achieve signifcant share of voice and exposure to physicians given the scarcity of actvely marketed ant-secretory medicines. Given the limitatons of PPIs and current unmet need, we believe the commercial opportunity for VOQUEZNA, VOQUEZNA TRIPLE PAK and DUAL PAK is substantal.</w:t>
      </w:r>
    </w:p>
    <w:p>
      <w:pPr>
        <w:spacing w:after="0" w:line="195"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Seek commercial partnerships to maximize the vonoprazan opportunity outside of the United States</w:t>
      </w:r>
      <w:r>
        <w:rPr>
          <w:rFonts w:ascii="Calibri" w:cs="Calibri" w:eastAsia="Calibri" w:hAnsi="Calibri"/>
          <w:sz w:val="18"/>
          <w:szCs w:val="18"/>
          <w:color w:val="auto"/>
        </w:rPr>
        <w:t>. To address the opportunity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vonoprazan in Europe and Canada, we plan to seek one or more partners with existng commercial infrastructure and expertse in these markets. We believe this strategy will allow us to realize the value of the market opportunity in Europe and Canada while focusing our resources on the U.S. market.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0" w:name="page11"/>
    <w:bookmarkEnd w:id="10"/>
    <w:p>
      <w:pPr>
        <w:ind w:left="383" w:right="80" w:hanging="383"/>
        <w:spacing w:after="0" w:line="235" w:lineRule="auto"/>
        <w:tabs>
          <w:tab w:leader="none" w:pos="383"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Further expand the development of vonoprazan across indicatons, dosing regimens, and alternatve formulatons and packaging</w:t>
      </w:r>
      <w:r>
        <w:rPr>
          <w:rFonts w:ascii="Calibri" w:cs="Calibri" w:eastAsia="Calibri" w:hAnsi="Calibri"/>
          <w:sz w:val="18"/>
          <w:szCs w:val="18"/>
          <w:color w:val="auto"/>
        </w:rPr>
        <w:t>. In additon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to both daily and as needed dosing for the treatment of symptoms related to non-erosive GERD, we plan to pursue vonoprazan lifecycle extension strategies in areas with clear unmet need, clinical ratonale, and commercial justfcaton. For example, we are planning discussions with the FDA on our proposed development plan to study vonoprazan as a treatment for eosinophilic esophagits, or EoE. These strategies may include: (i) potental indicatons in additon to EoE, including treatment of gastric and duodenal ulcers, and Barret’s esophagus; and (ii) alternatve formulatons and packaging, such as orally disintegratng tablets and other oral dosage forms for patents with difculty swallowing, and an intravenous formulaton for in-hospital applicatons. Additonally, we believe that vonoprazan has the ideal profle for an OTC product because of the potental for as needed symptom relief and a well-tolerated safety profle.</w:t>
      </w:r>
    </w:p>
    <w:p>
      <w:pPr>
        <w:spacing w:after="0" w:line="195" w:lineRule="exact"/>
        <w:rPr>
          <w:rFonts w:ascii="Times New Roman" w:cs="Times New Roman" w:eastAsia="Times New Roman" w:hAnsi="Times New Roman"/>
          <w:sz w:val="18"/>
          <w:szCs w:val="18"/>
          <w:color w:val="auto"/>
        </w:rPr>
      </w:pPr>
    </w:p>
    <w:p>
      <w:pPr>
        <w:ind w:left="383" w:hanging="383"/>
        <w:spacing w:after="0" w:line="235" w:lineRule="auto"/>
        <w:tabs>
          <w:tab w:leader="none" w:pos="383"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In-license or acquire additonal clinical or commercial stage product candidates for the treatment of GI diseases in a capital efcient manner</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We intend to take advantage of our management team’s GI expertse to opportunistcally in-license or acquire additonal innovatve therapies for diseases treated by gastroenterologists. We plan to leverage our development and planned commercial infrastructure to support multple assets targetng GI indicatons.</w:t>
      </w:r>
    </w:p>
    <w:p>
      <w:pPr>
        <w:spacing w:after="0" w:line="200" w:lineRule="exact"/>
        <w:rPr>
          <w:sz w:val="20"/>
          <w:szCs w:val="20"/>
          <w:color w:val="auto"/>
        </w:rPr>
      </w:pPr>
    </w:p>
    <w:p>
      <w:pPr>
        <w:spacing w:after="0" w:line="240"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711" w:right="39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Acid-Related GI Diseases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Gastric acid is a digestve fuid formed in the stomach. The highly acidic environment of the stomach causes the unfolding, or denaturing, of food proteins that are subsequently broken down by gastric enzymes. Gastric acid is secreted by the hydrogen potassium ATPase enzyme, which is known as the proton pump. Proton pumps are expressed on the channeled surfaces, or canaliculi, of parietal cells in the stomach, which secrete acid. Proton pumps are contnuously synthesized and switch between actve and inactve states in response to various stmuli, such as food. When actvated, proton pumps increase acid secreton.</w:t>
      </w:r>
    </w:p>
    <w:p>
      <w:pPr>
        <w:spacing w:after="0" w:line="19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 diseases where treatment is related to acid control, such as GERD, peptc ulcer disease, Zollinger Ellison syndrome,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are signifcant medical problems because of their high prevalence, chronic nature and clinical sequelae. GERD results from the efects of acid on compromised mucosal defenses in the gastrointestnal tract. The refux of gastric acid into the esophagus produces frequent and/or severe heartburn, indigeston, and refux symptoms. Chronic GERD may damage esophageal tssue and progress to more severe diseases including erosive GERD, Barret’s esophagus, and esophageal cancer. GERD and related diseases are associated with impaired quality of life and substantal costs to the healthcare system given their chronic nature and sequelae.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gastric acid limits the efectveness of antbiotcs used to eradicate infecton. Chronic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can lead to dyspepsia, peptc ulcer disease, gastric cancer, and mucosa-associated lymphoid tssue (MALT) lymphoma.</w:t>
      </w: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i w:val="1"/>
          <w:iCs w:val="1"/>
          <w:color w:val="auto"/>
        </w:rPr>
        <w:t>Prevalence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The prevalence of GI diseases is high. Approximately 20% to 40% of Western adults report chronic heartburn or regurgitaton symptoms potentally related to GERD. We estmate that there are approximately 65 million individuals in the United States and 50 million individuals in the EU5 with GERD. In the United States, GERD is the most common gastroenterology-related outpatent diagnosis. Additonally, approximately 35% of the U.S. populaton and 45% of the EU5 populaton are infected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We estmate that there are approximately 115 million individuals in the United States and 145 million individuals in the EU5 infected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w:t>
      </w:r>
    </w:p>
    <w:p>
      <w:pPr>
        <w:spacing w:after="0" w:line="175"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 xml:space="preserve">Prevalence of GERD and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14605</wp:posOffset>
            </wp:positionV>
            <wp:extent cx="5246370" cy="1868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4637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Treatments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Treatments of acid-related GI diseases aim to provide relief of acute symptoms, healing of damaged tssue, and preventon of long-term clinical sequelae associated with chronic acid exposure. Gastric acidity is measured by the pH scale, a logarithmic scale where 7.0 describes a neutral state and lower levels indicate a higher level of acidity. The pH of the stomach typically ranges from 1.5 to 3.5. In patents with acid-related GI diseases, increasing gastric pH has been shown to improve mucosal healing rates and provide more rapid symptom relief for patents. For example, the duraton of tme that intra-gastric acidity is greater than pH 3.0 correlates with the healing of duodenal and gastric ulcers, and pH greater than 4.0 is correlated with the healing of erosive GERD. Similarly, in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 more neutral gastric pH of 6.0 to 8.0 preserves antbiotc functon and is optmal for successful eradicaton.</w:t>
      </w:r>
    </w:p>
    <w:p>
      <w:pPr>
        <w:spacing w:after="0" w:line="181" w:lineRule="exact"/>
        <w:rPr>
          <w:sz w:val="20"/>
          <w:szCs w:val="20"/>
          <w:color w:val="auto"/>
        </w:rPr>
      </w:pPr>
    </w:p>
    <w:p>
      <w:pPr>
        <w:ind w:right="440" w:firstLine="509"/>
        <w:spacing w:after="0" w:line="258" w:lineRule="auto"/>
        <w:rPr>
          <w:sz w:val="20"/>
          <w:szCs w:val="20"/>
          <w:color w:val="auto"/>
        </w:rPr>
      </w:pPr>
      <w:r>
        <w:rPr>
          <w:rFonts w:ascii="Calibri" w:cs="Calibri" w:eastAsia="Calibri" w:hAnsi="Calibri"/>
          <w:sz w:val="17"/>
          <w:szCs w:val="17"/>
          <w:color w:val="auto"/>
        </w:rPr>
        <w:t>Drug-induced gastric acid suppression is a key component of the management of acid-related GI diseases. Three classes of drugs with distnct mechanisms of acton are principally used for treatment in the United States and Europe: antacids, histamine receptor antagonists, or H2RAs, and PPIs.</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Antacids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Antacids, frst commercially available in the 1930s, directly neutralize gastric acid to raise intra-gastric pH and can alleviate intermitent, mild symptoms of acid-related GI diseases, such as heartburn, but they are only efectve for a short duraton and require frequent administratons per day. In additon, antacids do not signifcantly help heal or prevent complicatons of acid-related diseases. Antacids include commonly known OTC products, such as Alka-Seltzer, Pepto-Bismol, Rolaids, and TUMS.</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i w:val="1"/>
          <w:iCs w:val="1"/>
          <w:color w:val="auto"/>
        </w:rPr>
        <w:t>Histamine Receptor Antagonists (H2RAs)</w:t>
      </w:r>
    </w:p>
    <w:p>
      <w:pPr>
        <w:spacing w:after="0" w:line="177"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H2RAs, frst commercially available in the 1970s, decrease gastric acid secreton in order to raise gastric pH. H2RAs represented a dramatc improvement over antacids in the control of gastric acid and consequently in the management of acid-related GI diseases. H2RAs are also generally safe and well-tolerated. Among the H2RA class were the frst commercial blockbuster drugs, Pepcid (famotdine), Tagamet (cimetdine), and Zantac (ranitdine). Zantac was the world’s highest-selling prescripton drug in the mid-1990s, with peak global sales of $3.7 billion and U.S. sales of $2.2 billion. Prior to the launch of generic H2RAs and increasing competton from PPIs, the H2RA class achieved sales of approximately $3.5 billion in the United States. H2RAs achieved commercial success despite clinical limitatons, including unreliable 24-hour acid control, poor control of post-meal symptoms, and loss of efcacy over tme.</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Proton Pump Inhibitors (PPIs)</w:t>
      </w:r>
    </w:p>
    <w:p>
      <w:pPr>
        <w:spacing w:after="0" w:line="190"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PPIs, frst commercially available in 1989, ofered improved acid control over H2RAs. Pharmacodynamic data demonstrated that PPIs maintain gastric pH above target levels for a longer duraton than H2RAs. A commonly used benchmark of ant-secretory actvity is the percentage of tme in a 24-hour period that gastric pH exceeds 4.0, which we refer to as tme above pH 4.0, which ranges from 40% to 71% for PPIs versus 33% for H2RAs.</w:t>
      </w:r>
    </w:p>
    <w:p>
      <w:pPr>
        <w:spacing w:after="0" w:line="178"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Given this improved pharmacodynamic profle, PPIs demonstrated improved clinical symptom relief and healing over H2RAs. In a meta-analysis of results from 33 randomized clinical trials with over 3,000 GERD patents, a reducton in symptoms was achieved in 83% of patents taking PPIs versus 60% of those on H2RAs. In a second meta-analysis, the eight-week healing rate in patents with erosive GERD was 82% for PPIs versus 52% for H2RAs.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PPI class is currently the frst-line treatment of acid-related GI diseases. Prior to the introducton and adopton of generic and OTC alternatves, annual PPI class sales reached approximately $12.5 billion in the United States, with peak sales for individual brands of approximately $3.7 billion for Prilosec, $3.5 billion for Nexium, and $3.4 billion for Prevacid. As recently as 2015, the last branded PPI, Dexilant (dexlansoprazole), reached approximately $530 million in sales in the United States despite limited diferentaton from other PPIs. While Dexilant demonstrated a modest improvement in tme above pH 4.0 compared to other PPIs, the approved dose did not demonstrate consistent superiority in Phase 3 trials against other PPIs for the healing of erosive GERD and has not been tested against PPIs in other indicatons. We believe that the commercial success of Dexilant highlights the value to physicians and patents of even incremental improvements over other PPIs.</w:t>
      </w:r>
    </w:p>
    <w:p>
      <w:pPr>
        <w:spacing w:after="0" w:line="19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History of Pharmaceutcal Agents for Control of Gastric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14605</wp:posOffset>
            </wp:positionV>
            <wp:extent cx="5349240" cy="2314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auto"/>
        </w:rPr>
        <w:t>PPI Limitatons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While PPIs provide clinically meaningful symptom relief and healing for millions of patents sufering from acid-related GI diseases, they are inadequate for many patents. The suboptmal ant-secretory profle of PPIs results in slow onset of symptom relief, breakthrough nightme or postprandial heartburn, and treatment failure. A recent populaton-based survey with over 70,000 partcipants in the United States showed that 55% of patents who reported having GERD symptoms were taking PPIs, with 68% taking them daily, and 54% of those daily PPI users reportng persistent symptoms. This is consistent with earlier studies that have shown that approximately 15% to 45% of GERD patents are inadequately treated with PPIs, experiencing persistent, troublesome symptoms, such as heartburn and regurgitaton. In approximately two-thirds of symptomatc GERD patents, refux symptoms are not adequately controlled afer the frst dose of a PPI, and nearly 50% of patents stll sufer from symptoms three days later. Given these limitatons, more than 20% of GERD patents on PPI therapy take their PPI twice daily, which is not FDA approved, or purchase OTC heartburn treatments in additon to their prescripton medicine. In a survey of approximately 1,000 GERD patents and 1,000 physicians, approximately one third of GERD patents reported persistent symptoms and were dissatsfed with PPI therapy and 35% of physicians perceived patents as somewhat satsfed to completely dissatsfed with PPI treatment. In additon, in a real world study conducted in 2020 and 2021 evaluatng the perspectves and unmet needs of over 400 physicians and patents in the U.S. in the management of acid related disorders, fewer than one-third of the physician partcipants were satsfed with current treatment optons for their patents. Moreover, fewer than 50% of patents in the study reported they were satsfed with their current treatment.</w:t>
      </w:r>
    </w:p>
    <w:p>
      <w:pPr>
        <w:spacing w:after="0" w:line="186"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patents with more severe grades of erosive GERD, studies with PPIs have reported failure rates of healing of esophageal erosions exceeding 25%. Additonally, recurrence of erosions is common in healed erosive GERD patents receiving maintenance PPI therapy. One study reported recurrence in 15% to 23% of patents with less severe erosive GERD and 24% to 41% of patents with more severe erosive GERD. We believe that these limitatons of PPIs are in part driven by their mechanism of acton and pharmacokinetcs.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Mechanistc Diferences Between PPIs and Vonoprazan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PPIs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Afer oral dosing, PPIs reach the gastric parietal cells through the bloodstream. PPIs are prodrugs that are converted to their actve form in the acidic environment of the secretory canaliculus of the parietal cell but degrade quickly because their actve form is unstable in acid. For example, the half-life of omeprazole (Prilosec) is less than 10 minutes at pH 2.0. The actve form of a PPI blocks acid producton by covalently binding to actve proton pumps that have moved to the surface of the secretory canaliculi afer actvaton of the parietal cell with stmuli, such as a meal. Because PPIs bind only to actvely secretng pumps, it is generally recommended that they be administered 30 to 60 minutes before a meal to achieve maximal efcacy. Once covalently bound to the proton pumps, the actve PPI molecule is no longer available to bind to newly synthesized or actvated proton pumps. Furthermore, given the relatvely short plasma half-life of most PPIs of one to two hours, resupply of additonal PPI molecules from the bloodstream is limited, and newly actvated pumps are not inhibited. Due to this profle, PPIs must be dosed over several days to inhibit enough proton pumps to increase gastric pH to a clinically meaningful threshold. Moreover, PPIs have a limited window of efcacy leading to incomplete acid suppression over the 24-hour dosing interval. In additon, PPIs are primarily metabolized by CYP2C19, an enzyme which has signifcant interpatent metabolic variability based on genotype. As a result, PPI exposure levels in some patents may not achieve target levels, potentally reducing clinical efcacy.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i w:val="1"/>
          <w:iCs w:val="1"/>
          <w:color w:val="auto"/>
        </w:rPr>
        <w:t>Vonoprazan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 a PCAB, has a diferentated mechanism of acton relatve to PPIs. Vonoprazan is designed to selectvely concentrate in the parietal cell in both the restng and stmulated states. In contrast to most PPIs, vonoprazan does not require gastric acid for actvaton, remains stable in the presence of gastric acid, binds to the actve proton pumps in a noncovalent and reversible manner, remains associated with the actve and inactve proton pumps, and remains in the secretory canaliculus where it contnues to inhibit acid secreton over an extended period. Vonoprazan’s prolonged efect is also maintained through a slow dissociaton rate from the proton pumps and resupply from the bloodstream due to its seven-hour half-life. These characteristcs allow vonoprazan to rapidly achieve target 24-hour acid suppression within two hours of a single dose, unlike PPIs that require three to fve days to achieve stable acid suppression. In additon, vonoprazan is primarily metabolized by CYP3A4/5, an enzyme which has less genetc variability than CYP2C19, and may exhibit more consistent actvity than PPIs across U.S. and European populatons.</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mechanistc and pharmacologic diferences of PPIs and vonoprazan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134620</wp:posOffset>
            </wp:positionV>
            <wp:extent cx="3660140" cy="2477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601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Pharmacodynamics vs. PPIs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Vonoprazan’s more rapid, potent, and durable ant-secretory efects versus the PPI lansoprazole (Prevacid®) were demonstrated in a randomized, open-label, crossover clinical trial comparing 20 mg of once daily, or QD, vonoprazan to 30 mg QD of lansoprazole for 7 days in 41 healthy volunteers. As shown below, vonoprazan had a signifcantly higher 24-hour holding tme rato than lansoprazole for pH&gt;4.0 on Day 1 (62.4% vs. 22.6%) and Day 7 (87.8% vs. 42.3%) and for pH&gt;6.0 on Day 1 (33.1 vs. 7.4) and Day 7 (62.5% vs. 16.4%). Mean 24-hour intragastric pH for vonoprazan and lansoprazole was 4.6 and 2.8, respectvely, on Day 1, and 5.9 and 3.8, respectvely, on Day 7. Gastric pH levels are measured on a logarithmic scale from 0.0 to 14.0, in which each point represents a 10-fold change in acidity and higher pH values represent less acidity. In this study, vonoprazan maintained an average pH approximately two points higher than lansoprazole at Day 7.</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93" w:right="439" w:bottom="1440" w:gutter="0" w:footer="0" w:header="0"/>
        </w:sectPr>
      </w:pPr>
    </w:p>
    <w:bookmarkStart w:id="16" w:name="page17"/>
    <w:bookmarkEnd w:id="16"/>
    <w:p>
      <w:pPr>
        <w:jc w:val="center"/>
        <w:ind w:right="-79"/>
        <w:spacing w:after="0"/>
        <w:rPr>
          <w:sz w:val="20"/>
          <w:szCs w:val="20"/>
          <w:color w:val="auto"/>
        </w:rPr>
      </w:pPr>
      <w:r>
        <w:rPr>
          <w:rFonts w:ascii="Calibri" w:cs="Calibri" w:eastAsia="Calibri" w:hAnsi="Calibri"/>
          <w:sz w:val="18"/>
          <w:szCs w:val="18"/>
          <w:b w:val="1"/>
          <w:bCs w:val="1"/>
          <w:color w:val="auto"/>
        </w:rPr>
        <w:t>Improved Onset and Potency of pH Control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2391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This improved potency and duraton of pH control with vonoprazan, as measured by 24-hour pH hold tme and tme above pH 4.0, was evident not only at Day 1, but also at Day 7 when lansoprazole had reached its steady state (see table below).</w:t>
      </w:r>
    </w:p>
    <w:p>
      <w:pPr>
        <w:spacing w:after="0" w:line="186"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24-hr Hold Time &gt; pH 4.0 and Mean pH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126365</wp:posOffset>
            </wp:positionV>
            <wp:extent cx="4800600" cy="1663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060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 demonstrated similarly greater tme above pH 4.0 versus the PPI esomeprazole (Nexium) in a randomized, open-label, crossover clinical trial comparing 20 mg QD vonoprazan to 20 mg QD of esomeprazole in 20 healthy volunteers. In that trial, greater duraton of pH control with vonoprazan, as measured by tme above pH 4.0 was observed both on Day 1 and Day 7 (see table below).</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sectPr>
      </w:pPr>
    </w:p>
    <w:bookmarkStart w:id="17" w:name="page18"/>
    <w:bookmarkEnd w:id="17"/>
    <w:p>
      <w:pPr>
        <w:jc w:val="center"/>
        <w:ind w:right="-39"/>
        <w:spacing w:after="0"/>
        <w:rPr>
          <w:sz w:val="20"/>
          <w:szCs w:val="20"/>
          <w:color w:val="auto"/>
        </w:rPr>
      </w:pPr>
      <w:r>
        <w:rPr>
          <w:rFonts w:ascii="Calibri" w:cs="Calibri" w:eastAsia="Calibri" w:hAnsi="Calibri"/>
          <w:sz w:val="18"/>
          <w:szCs w:val="18"/>
          <w:b w:val="1"/>
          <w:bCs w:val="1"/>
          <w:color w:val="auto"/>
        </w:rPr>
        <w:t>24-hr Hold Time &gt; pH 4.0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126365</wp:posOffset>
            </wp:positionV>
            <wp:extent cx="3592195" cy="128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9219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for the Potental Treatment of Acid-Related GI Diseases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Given the shortcomings of PPI therapy, we believe that there is a signifcant unmet medical need for a safe and efectve ant-secretory agent with rapid, potent, and durable efects. In May 2022, we received FDA approval for VOQUEZNA TRIPLE PAK and VOQUEZNA DUAL PAK, each for the treatment of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infecton in adults. In March 2022, we submited an NDA seeking approval of vonoprazan, under the brand name VOQUEZNA, for the treatment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erosive GERD in adults. At present, have been unable to initate commercial launch of VOQUEZNA TRIPLE PAK and VOQUEZNA DUAL PAK, or obtain FDA approval of VOQUEZNA due to the presence of trace levels of a nitrosamine impurity detected in our intended commercial drug product. Before we developed and obtained our inital approvals for products containing vonoprazan in the United States, vonoprazan was developed in markets outside of the United States by Takeda through an extensive clinical program, including 19 Phase 3 clinical trials. As of December 2022, over 9,000 subjects were exposed to vonoprazan in completed and ongoing clinical trials. Vonoprazan received marketng approval in Japan in late 2014 and generated approximately $850 million in net sales in its seventh full year on the market in Japan.</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in GERD</w:t>
      </w:r>
    </w:p>
    <w:p>
      <w:pPr>
        <w:spacing w:after="0" w:line="177"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Based on the signifcant unmet medical need, previous Phase 3 trial results from Japan and elsewhere in Asia, and commercial potental, we have prioritzed the development and commercializaton of vonoprazan in GERD, specifcally for:</w:t>
      </w:r>
    </w:p>
    <w:p>
      <w:pPr>
        <w:spacing w:after="0" w:line="199"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healing of erosive GERD and relief of associated heartburn;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maintenance of healing of erosive GERD and relief of associated heartburn.</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January 2023, we also reported positve topline data for the primary endpoint from our frst Phase 3 trial for vonoprazan as a once-daily treatment for patents with non-erosive GERD.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GERD Disease Overview</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GERD is one of the most prevalent diseases of any kind and is the most prevalent GI disease, afectng approximately 20% of the U.S. populaton and approximately 15% of the European populaton. We estmate there are approximately 65 million individuals with GERD in the United States and 50 million individuals with GERD in the EU5. GERD is a disease that develops when the refux of acidic stomach contents into the esophagus causes troublesome symptoms and/or complicatons. The term covers a spectrum of diseases, the main categories of which are erosive GERD, or EE, and non-erosive refux disease, or non-erosive GERD. These diseases are detailed below:</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8" w:name="page19"/>
    <w:bookmarkEnd w:id="18"/>
    <w:p>
      <w:pPr>
        <w:ind w:left="900" w:right="20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Erosive GERD</w:t>
      </w:r>
      <w:r>
        <w:rPr>
          <w:rFonts w:ascii="Calibri" w:cs="Calibri" w:eastAsia="Calibri" w:hAnsi="Calibri"/>
          <w:sz w:val="18"/>
          <w:szCs w:val="18"/>
          <w:color w:val="auto"/>
        </w:rPr>
        <w:t>: Approximately 30% of GERD patents have erosive GERD, which is classifed by erosions in the gastric mucosa caused by acidic</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refux of stomach contents into the esophagus. Erosive GERD is commonly graded by the Los Angeles (LA) classifcaton system, which characterizes the extent of erosions in the esophagus and is graded on a scale of increasing severity from A to D, with D being the most severe. Approximately 20% to 30% of erosive GERD patents have moderate-to-severe disease with LA grade C or D erosions. Erosive GERD can have serious consequences. If lef untreated, esophagits may develop into peptc stricture, Barret’s esophagus or esophageal cancer.</w:t>
      </w:r>
    </w:p>
    <w:p>
      <w:pPr>
        <w:spacing w:after="0" w:line="193" w:lineRule="exact"/>
        <w:rPr>
          <w:rFonts w:ascii="Times New Roman" w:cs="Times New Roman" w:eastAsia="Times New Roman" w:hAnsi="Times New Roman"/>
          <w:sz w:val="18"/>
          <w:szCs w:val="18"/>
          <w:color w:val="auto"/>
        </w:rPr>
      </w:pPr>
    </w:p>
    <w:p>
      <w:pPr>
        <w:ind w:left="900" w:right="200" w:hanging="383"/>
        <w:spacing w:after="0" w:line="258" w:lineRule="auto"/>
        <w:tabs>
          <w:tab w:leader="none" w:pos="900" w:val="left"/>
        </w:tabs>
        <w:numPr>
          <w:ilvl w:val="0"/>
          <w:numId w:val="8"/>
        </w:numPr>
        <w:rPr>
          <w:rFonts w:ascii="Times New Roman" w:cs="Times New Roman" w:eastAsia="Times New Roman" w:hAnsi="Times New Roman"/>
          <w:sz w:val="17"/>
          <w:szCs w:val="17"/>
          <w:color w:val="auto"/>
        </w:rPr>
      </w:pPr>
      <w:r>
        <w:rPr>
          <w:rFonts w:ascii="Calibri" w:cs="Calibri" w:eastAsia="Calibri" w:hAnsi="Calibri"/>
          <w:sz w:val="17"/>
          <w:szCs w:val="17"/>
          <w:b w:val="1"/>
          <w:bCs w:val="1"/>
          <w:i w:val="1"/>
          <w:iCs w:val="1"/>
          <w:color w:val="auto"/>
        </w:rPr>
        <w:t>Symptomatc non-erosive gastroesophageal refux disease (non-erosive GERD)</w:t>
      </w:r>
      <w:r>
        <w:rPr>
          <w:rFonts w:ascii="Calibri" w:cs="Calibri" w:eastAsia="Calibri" w:hAnsi="Calibri"/>
          <w:sz w:val="17"/>
          <w:szCs w:val="17"/>
          <w:color w:val="auto"/>
        </w:rPr>
        <w:t>: Approximately 70% of GERD patents have non-erosive GERD,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which is classifed by an endoscopically normal esophagus, but abnormal gastric acid exposure in the esophagus and persistent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142240</wp:posOffset>
            </wp:positionV>
            <wp:extent cx="5349240" cy="1971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GERD patents typically present with heartburn and refux symptoms. Based on these symptoms, patents are typically treated frst-line with PPIs prior to a diagnostc endoscopy for specifc disease classifcaton of erosive GERD or non-erosive GERD. Clinical guidelines suggest that endoscopy be performed in patents who contnue to have symptoms despite a four- to-eight-week course of daily PPIs or have alarm symptoms, including GI bleeding, anemia, weight loss, chest pain, or difcult or painful swallowing. Our market research suggests that most patents are treated empirically based on symptoms rather than based on endoscopic characterizaton of disease.</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GERD Treatment Paradigm</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Approximately 80% of GERD patents are pharmacologically treated with prescripton or OTC medicatons. PPIs are currently the most efectve ant-secretory agents available in the United States and Europe for relieving GERD symptoms and healing erosions in gastric mucosa. Our market research suggests that approximately 80% of patents who are pharmacologically treated receive PPIs, and more than 80% of PPI use is prescripton rather than OTC. The majority of PPI use is chronic, with more than 70% of patents prescribed PPIs for daily use. According to IQVIA NSP, there were approximately 7.8 billion prescripton PPI doses dispensed during the 12 months ended December 31, 2022.</w:t>
      </w:r>
    </w:p>
    <w:p>
      <w:pPr>
        <w:spacing w:after="0" w:line="18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There are few treatment optons for GERD patents who are inadequately managed on PPI therapy. In a real world study conducted in 2020 and 2021 evaluatng the perspectves and unmet needs of over 400 physicians and patents in the U.S. in the management of acid related disorders, only half of physicians reported that their patents are getng long-lastng relief from a PPI resultng in approximately 25% of patents taking a PPI more than once a day despite patents’ concerns about long term side efects of PPI use. A limited number of patents proceed to a surgical procedure, such as Nissen fundoplicaton. However, this procedure results in postoperatve morbidity of 5% to 20%, as well as a two- to six-week recovery period and a median hospital stay of two days.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sectPr>
      </w:pPr>
    </w:p>
    <w:bookmarkStart w:id="19" w:name="page20"/>
    <w:bookmarkEnd w:id="19"/>
    <w:p>
      <w:pPr>
        <w:ind w:right="160" w:firstLine="509"/>
        <w:spacing w:after="0" w:line="235" w:lineRule="auto"/>
        <w:rPr>
          <w:sz w:val="20"/>
          <w:szCs w:val="20"/>
          <w:color w:val="auto"/>
        </w:rPr>
      </w:pPr>
      <w:r>
        <w:rPr>
          <w:rFonts w:ascii="Calibri" w:cs="Calibri" w:eastAsia="Calibri" w:hAnsi="Calibri"/>
          <w:sz w:val="18"/>
          <w:szCs w:val="18"/>
          <w:color w:val="auto"/>
        </w:rPr>
        <w:t>Our U.S. market research survey reported that 55% to 60% of physicians included in the survey believed that vonoprazan has demonstrated superior efcacy in the healing and maintenance of healed esophageal erosions compared to existng erosive GERD treatments, provides faster onset of acton compared to existng GERD treatments, and has superior duraton and magnitude of gastric pH control compared to existng GERD treatments.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Clinical Data for Vonoprazan in GERD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Development Program in Erosive GERD</w:t>
      </w:r>
    </w:p>
    <w:p>
      <w:pPr>
        <w:spacing w:after="0" w:line="19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Five Phase 3 clinical trials have been completed comparing vonoprazan to PPIs in erosive GERD: our healing and maintenance of healing trial in the United States and Europe; a healing trial in Japan; a maintenance of healing trial in Japan; a healing trial in Asia (China, Taiwan, and Korea); and a maintenance of healing trial in Asia. In additon to these Phase 3 trials, several published investgator-sponsored studies have compared vonoprazan to PPIs across dosing regimens and endpoints. Results of these clinical trials are summarized below.</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and Maintenance of Healing of Erosive GERD in the United States and Europe (PHALCON-EE)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October 2021, we announced that vonoprazan successfully met its primary endpoints and key secondary superiority endpoints in PHALCON-EE, our pivotal Phase 3 trial evaluatng vonoprazan versus lansoprazole for the treatment of erosive GERD.</w:t>
      </w:r>
    </w:p>
    <w:p>
      <w:pPr>
        <w:spacing w:after="0" w:line="191" w:lineRule="exact"/>
        <w:rPr>
          <w:sz w:val="20"/>
          <w:szCs w:val="20"/>
          <w:color w:val="auto"/>
        </w:rPr>
      </w:pPr>
    </w:p>
    <w:p>
      <w:pPr>
        <w:ind w:right="200" w:firstLine="509"/>
        <w:spacing w:after="0" w:line="254" w:lineRule="auto"/>
        <w:rPr>
          <w:sz w:val="20"/>
          <w:szCs w:val="20"/>
          <w:color w:val="auto"/>
        </w:rPr>
      </w:pPr>
      <w:r>
        <w:rPr>
          <w:rFonts w:ascii="Calibri" w:cs="Calibri" w:eastAsia="Calibri" w:hAnsi="Calibri"/>
          <w:sz w:val="17"/>
          <w:szCs w:val="17"/>
          <w:color w:val="auto"/>
        </w:rPr>
        <w:t>PHALCON-EE was a randomized, double-blind, two-phase, multcenter, Phase 3 trial that enrolled 1,024 patents with EE in the U.S. and Europe. PHALCON-EE was modeled afer the successful Phase 3 clinical trials conducted in Japan and Asia with limited diferences, including the combinaton of the healing and maintenance phases into one single study whereas in Japan and Asia separate clinical trials were conducted for each of these indicatons.</w:t>
      </w:r>
    </w:p>
    <w:p>
      <w:pPr>
        <w:spacing w:after="0" w:line="16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frst phase of the trial, the Healing Phase, evaluated the efcacy and safety of vonoprazan 20 mg QD compared to lansoprazole 30 mg QD for the healing of erosive GERD for up to eight weeks. In the Healing Phase, patents were assessed via endoscopy to determine complete healing following 2 weeks of treatment and, if complete healing was not achieved, a second endoscopy occurred at 8 weeks of treatment. Patents who achieved complete healing were re-randomized into the second phase of the trial, the Maintenance Phase, where vonoprazan 10 mg and 20 mg were compared to lansoprazole 15 mg to assess maintenance of healing of erosive GERD via endoscopy following 24 weeks of treatment. Heartburn symptom relief was assessed via secondary endpoints in both the Healing and Maintenance Phases of the study based on twice daily e-diary data collecton.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20" w:name="page21"/>
    <w:bookmarkEnd w:id="20"/>
    <w:p>
      <w:pPr>
        <w:jc w:val="center"/>
        <w:ind w:right="-19"/>
        <w:spacing w:after="0"/>
        <w:rPr>
          <w:sz w:val="20"/>
          <w:szCs w:val="20"/>
          <w:color w:val="auto"/>
        </w:rPr>
      </w:pPr>
      <w:r>
        <w:rPr>
          <w:rFonts w:ascii="Calibri" w:cs="Calibri" w:eastAsia="Calibri" w:hAnsi="Calibri"/>
          <w:sz w:val="18"/>
          <w:szCs w:val="18"/>
          <w:b w:val="1"/>
          <w:bCs w:val="1"/>
          <w:color w:val="auto"/>
        </w:rPr>
        <w:t>Design of US/EU Phase 3 Clinical Trial for the Healing and Maintenance of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2528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Phase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primary endpoint analysis of the Healing Phase was non-inferiority of vonoprazan 20 mg compared to lansoprazole 30 mg in the percentage of all patents who have complete healing of erosive GERD by Week 8. Vonoprazan met the non-inferiority criteria for the primary comparison with a healing rate of 93% compared to 85% for lansoprazole (p&lt;0.0001). Based on a prespecifed exploratory comparison test, the diference in healing rates in all patents between vonoprazan and lansoprazole was also signifcant (nominal p&lt;0.0001). Non-inferiority analyses are conducted to evaluate whether the efect of an agent is not worse than the actve control by more than a specifed margin, while superiority analyses are conducted to evaluate whether an agent outperformed a comparator by a statstcally signifcant margin.</w:t>
      </w:r>
    </w:p>
    <w:p>
      <w:pPr>
        <w:spacing w:after="0" w:line="194"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Vonoprazan met the secondary superiority endpoint of healing in patents with moderate-to-severe disease, defned as patents with esophageal erosions classifed as Grades C or D by the Los Angeles (LA) Classifcaton System, at Week 2, demonstratng signifcantly faster healing than lansoprazole (70% for vonoprazan 20 mg and 53% for lansoprazole 30 mg) (p=0.0008). Vonoprazan also met the secondary endpoint of showing non-inferiority to lansoprazole 30 mg in the mean percentage of 24-hour heartburn free days over the healing period. In additonal pre-specifed secondary endpoint superiority comparisons, vonoprazan 20 mg healing rates were numerically greater than lansoprazole 30 mg in all patents at Week 2 (nominal p=0.0348) and in moderate-to-severe patents by Week 8 (nominal p&lt;0.0001), although these superiority comparisons were not tested in the pre-specifed testng hierarchy.</w:t>
      </w:r>
    </w:p>
    <w:p>
      <w:pPr>
        <w:spacing w:after="0" w:line="169"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Vonoprazan 20 mg was also compared to lansoprazole 30 mg in a superiority test for onset of sustained resoluton of heartburn by day 3 but did not achieve statstcal signifcance (p=0.439).</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21" w:name="page22"/>
    <w:bookmarkEnd w:id="21"/>
    <w:p>
      <w:pPr>
        <w:jc w:val="center"/>
        <w:ind w:right="-19"/>
        <w:spacing w:after="0"/>
        <w:rPr>
          <w:sz w:val="20"/>
          <w:szCs w:val="20"/>
          <w:color w:val="auto"/>
        </w:rPr>
      </w:pPr>
      <w:r>
        <w:rPr>
          <w:rFonts w:ascii="Calibri" w:cs="Calibri" w:eastAsia="Calibri" w:hAnsi="Calibri"/>
          <w:sz w:val="18"/>
          <w:szCs w:val="18"/>
          <w:b w:val="1"/>
          <w:bCs w:val="1"/>
          <w:color w:val="auto"/>
        </w:rPr>
        <w:t>Results of US/EU Phase 3 Clinical Trial in the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2331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Maintenance Phase</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 met the primary and all secondary endpoints in the Maintenance Phase. The primary endpoint of the Maintenance Phase was non-inferiority of vonoprazan 10 mg and 20 mg compared to lansoprazole 15 mg in the percentage of all patents who maintained healing of erosive GERD through Week 24.</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Both vonoprazan doses met the Maintenance Phase primary endpoint of non-inferiority while also meetng the pre-specifed secondary comparison demonstratng superiority of maintenance of healing versus lansoprazole (79% for vonoprazan 10 mg, 81% for vonoprazan 20 mg compared to 72% for lansoprazole 15 mg) (p&lt;0.0001 for both non-inferiority comparisons; p=0.0438 for vonoprazan 10 mg superiority comparison; p=0.0136 for vonoprazan 20 mg superiority comparison).</w:t>
      </w:r>
    </w:p>
    <w:p>
      <w:pPr>
        <w:spacing w:after="0" w:line="179" w:lineRule="exact"/>
        <w:rPr>
          <w:sz w:val="20"/>
          <w:szCs w:val="20"/>
          <w:color w:val="auto"/>
        </w:rPr>
      </w:pPr>
    </w:p>
    <w:p>
      <w:pPr>
        <w:ind w:right="100" w:firstLine="509"/>
        <w:spacing w:after="0" w:line="252" w:lineRule="auto"/>
        <w:rPr>
          <w:sz w:val="20"/>
          <w:szCs w:val="20"/>
          <w:color w:val="auto"/>
        </w:rPr>
      </w:pPr>
      <w:r>
        <w:rPr>
          <w:rFonts w:ascii="Calibri" w:cs="Calibri" w:eastAsia="Calibri" w:hAnsi="Calibri"/>
          <w:sz w:val="17"/>
          <w:szCs w:val="17"/>
          <w:color w:val="auto"/>
        </w:rPr>
        <w:t>Both vonoprazan doses also met the secondary endpoint of demonstratng superiority of the percentage of patents with moderate-to-severe disease who maintained healing of erosive GERD through Week 24 (75% vonoprazan 10 mg, 77% vonoprazan 20 mg v. 61% lansoprazole 15 mg) (p=0.0490 for vonoprazan 10 mg superiority comparison; p=0.0196 for vonoprazan 20 mg superiority comparison). Additonally, both vonoprazan doses also met the secondary endpoint of showing non-inferiority to lansoprazole 15 mg in the mean percentage of 24-hour heartburn free days over the maintenance period.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22" w:name="page23"/>
    <w:bookmarkEnd w:id="22"/>
    <w:p>
      <w:pPr>
        <w:jc w:val="center"/>
        <w:ind w:right="-99"/>
        <w:spacing w:after="0"/>
        <w:rPr>
          <w:sz w:val="20"/>
          <w:szCs w:val="20"/>
          <w:color w:val="auto"/>
        </w:rPr>
      </w:pPr>
      <w:r>
        <w:rPr>
          <w:rFonts w:ascii="Calibri" w:cs="Calibri" w:eastAsia="Calibri" w:hAnsi="Calibri"/>
          <w:sz w:val="18"/>
          <w:szCs w:val="18"/>
          <w:b w:val="1"/>
          <w:bCs w:val="1"/>
          <w:color w:val="auto"/>
        </w:rPr>
        <w:t>Results of US/EU Phase 3 Clinical Trial in Maintenance of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2348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and Maintenance of Healing of Erosive GERD Clinical Trials in Japan and Asia</w:t>
      </w:r>
    </w:p>
    <w:p>
      <w:pPr>
        <w:spacing w:after="0" w:line="19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results of PHALCON-EE were consistent with the results of earlier Phase 3 trials of vonoprazan in healing and maintenance of healing of erosive GERD afer which it was modeled. These trials were conducted in Japan as well as other countries in Asia.</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two Phase 3 trials in healing of erosive GERD comparing vonoprazan 20 mg QD to lansoprazole 30 mg QD for up to eight weeks, one conducted in Japan and the other in several countries in Asia, vonoprazan achieved the primary endpoint of non-inferiority versus lansoprazole on the percent of patents with healed erosive GERD up to Week 8. Exploratory testng suggested higher healing rates for vonoprazan versus lansoprazole in the moderate to severe patents at Week 2 in both studies.</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Similarly, in two Phase 3 trials in maintenance of healing of erosive GERD comparing two doses of vonoprazan (10 mg and 20 mg QD) to lansoprazole 15 mg QD for 24 weeks, one conducted in Japan and the other in several countries in Asia, both vonoprazan doses achieved the primary endpoint of non-inferiority versus lansoprazole on the percent of patents with recurrence of erosive GERD during the 24-week maintenance period. In both studies, exploratory testng suggested higher maintenance of healing rates for both vonoprazan doses versus lansoprazole in all patents and in the moderate to severe patents.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Development Program in Symptomatc Non-Erosive Gastroesophageal Refux Disease (Non-Erosive GERD)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believe that there is an opportunity to broadly positon vonoprazan’s use in GERD with an indicaton in symptomatc GERD in patents without erosions, non-erosive GERD, in additon to an indicaton in erosive GERD. We are evaluatng vonoprazan as a treatment for non-erosive GERD with both daily and as needed dosing regimens. Non-erosive GERD patents do not have esophageal erosions which require chronic treatment to prevent recurrence of erosions and their potental sequelae. We believe the rapid onset of acid control of vonoprazan may enable as-needed use for the management of heartburn in non-erosive GERD patents as an alternatve to chronic daily treatment with PPIs.</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3" w:right="41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i w:val="1"/>
          <w:iCs w:val="1"/>
          <w:color w:val="auto"/>
        </w:rPr>
        <w:t>Daily Dosing of Vonoprazan for the Treatment of Non-Erosive GERD(PHALCON-NERD-301)</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January 2023, we reported positve topline data from the primary endpoint in PHALCON-NERD-301, our Phase 3 study evaluatng the efcacy and safety of vonoprazan for the daily treatment of non-erosive GERD in adults. In this trial, patents in each vonoprazan treatment group, 10 mg and 20 mg, had a signifcantly higher mean percentage of 24-hour heartburn-free days (without daytme or nightme heartburn as assessed by daily diary) compared to placebo afer four weeks. This is the same endpoint used in other Phase 3 trials for PPIs that are approved in the U.S. for the treatment of non-erosive GERD. Results from the full trial are expected in the second half of 2023.</w:t>
      </w:r>
    </w:p>
    <w:p>
      <w:pPr>
        <w:spacing w:after="0" w:line="180" w:lineRule="exact"/>
        <w:rPr>
          <w:sz w:val="20"/>
          <w:szCs w:val="20"/>
          <w:color w:val="auto"/>
        </w:rPr>
      </w:pPr>
    </w:p>
    <w:p>
      <w:pPr>
        <w:ind w:right="200" w:firstLine="509"/>
        <w:spacing w:after="0" w:line="252" w:lineRule="auto"/>
        <w:rPr>
          <w:sz w:val="20"/>
          <w:szCs w:val="20"/>
          <w:color w:val="auto"/>
        </w:rPr>
      </w:pPr>
      <w:r>
        <w:rPr>
          <w:rFonts w:ascii="Calibri" w:cs="Calibri" w:eastAsia="Calibri" w:hAnsi="Calibri"/>
          <w:sz w:val="17"/>
          <w:szCs w:val="17"/>
          <w:color w:val="auto"/>
        </w:rPr>
        <w:t>PHALCON-NERD-301 is a Phase 3 study evaluatng the efcacy of vonoprazan 10 mg and 20 mg as a daily dosing (QD) treatment, as compared to placebo (QD), in the relief of heartburn over four weeks in partcipants with symptomatc non-erosive refux disease, or non-erosive GERD. The trial also includes a blinded 20-week long-term extension period, which is currently ongoing, to further evaluate the safety and efcacy of both doses of vonoprazan afer six months of contnuous use. A total of 772 patents with non-erosive GERD were enrolled, randomized and dosed in the multsite U.S. trial.</w:t>
      </w:r>
    </w:p>
    <w:p>
      <w:pPr>
        <w:spacing w:after="0" w:line="16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Design of PHALCON-NERD-301 Phase 3 Non-Erosive Daily Dosing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2811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Primary Endpoint of Phase 3 Clinical Trial in the Treatment of Non-Erosive GERD</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primary endpoint of the study, measured during the four-week, double-blind, placebo-controlled period, is the mean percentage of 24-hour heartburn free days. The topline results from the study showed both doses of vonoprazan, 20 mg and 10 mg, met the primary endpoint and demonstrated a signifcantly greater mean percentage of 24-hour heartburn-free days versus placebo (46.4% vonoprazan 10 mg, 46.0% vonoprazan 20 mg, 27.5% for placebo; p&lt;0.0001 for both vonoprazan doses versus placebo). Additonally, the median percentage of 24-hour heartburn-free days was 48.3%, 46.7% and 17.0% for vonoprazan 10 mg, vonoprazan 20 mg, and placebo, respectvely.</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4" w:right="379" w:bottom="1440" w:gutter="0" w:footer="0" w:header="0"/>
        </w:sectPr>
      </w:pPr>
    </w:p>
    <w:bookmarkStart w:id="24" w:name="page25"/>
    <w:bookmarkEnd w:id="24"/>
    <w:p>
      <w:pPr>
        <w:jc w:val="both"/>
        <w:ind w:firstLine="509"/>
        <w:spacing w:after="0" w:line="249" w:lineRule="auto"/>
        <w:rPr>
          <w:sz w:val="20"/>
          <w:szCs w:val="20"/>
          <w:color w:val="auto"/>
        </w:rPr>
      </w:pPr>
      <w:r>
        <w:rPr>
          <w:rFonts w:ascii="Calibri" w:cs="Calibri" w:eastAsia="Calibri" w:hAnsi="Calibri"/>
          <w:sz w:val="17"/>
          <w:szCs w:val="17"/>
          <w:color w:val="auto"/>
        </w:rPr>
        <w:t>Vonoprazan was generally well tolerated in the inital four week double-blind, placebo-controlled phase of the trial. The overall adverse events for all vonoprazan arms were comparable to placebo and consistent with what was reported in previous studies. The most commonly reported adverse event was nausea (2.3% vonoprazan 10 mg, 3.1% vonoprazan 20 mg, 0.4% placebo) with no other events reported above 3.0% in either vonoprazan dose arm.</w:t>
      </w:r>
    </w:p>
    <w:p>
      <w:pPr>
        <w:jc w:val="center"/>
        <w:ind w:right="-179"/>
        <w:spacing w:after="0" w:line="237" w:lineRule="auto"/>
        <w:rPr>
          <w:sz w:val="20"/>
          <w:szCs w:val="20"/>
          <w:color w:val="auto"/>
        </w:rPr>
      </w:pPr>
      <w:r>
        <w:rPr>
          <w:rFonts w:ascii="Calibri" w:cs="Calibri" w:eastAsia="Calibri" w:hAnsi="Calibri"/>
          <w:sz w:val="18"/>
          <w:szCs w:val="18"/>
          <w:b w:val="1"/>
          <w:bCs w:val="1"/>
          <w:color w:val="auto"/>
        </w:rPr>
        <w:t>Results of Phase 3 Clinical Trial in the Treatment of Non-Erosive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349240" cy="2459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98" w:right="49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i w:val="1"/>
          <w:iCs w:val="1"/>
          <w:color w:val="auto"/>
        </w:rPr>
        <w:t>As Needed Dosing of Vonoprazan for the Treatment of Non-Erosive GERD</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February 2022, we announced that vonoprazan (10 mg, 20 mg and 40 mg), successfully met the primary endpoint in PHALCON-NERD-201, a Phase 2 trial evaluatng three doses of vonoprazan versus placebo as an as needed treatment of non-erosive GERD.</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PHALCON-NERD-201 was a Phase 2, randomized, double-blind, multcenter study that enrolled 458 subjects in the U.S. to evaluate the efcacy and safety of vonoprazan 10 mg, 20 mg, and 40 mg administered as needed for relief of episodic heartburn compared to placebo in subjects with non-erosive GERD (as confrmed by endoscopy). Afer an inital four-week vonoprazan 20 mg QD dose open-label run-in period, two hundred and seven subjects without a heartburn episode during the last 7 days of the run-in period and who also met drug and diary compliance requirements were randomized to receive vonoprazan 10 mg, 20 mg, 40 mg or placebo as needed for six weeks. Subjects completed an electronic diary to assess presence and severity of heartburn symptoms and use of rescue antacid (if needed).</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 xml:space="preserve">Design for PHALCON-NERD Phase 2 </w:t>
      </w:r>
      <w:r>
        <w:rPr>
          <w:rFonts w:ascii="Calibri" w:cs="Calibri" w:eastAsia="Calibri" w:hAnsi="Calibri"/>
          <w:sz w:val="18"/>
          <w:szCs w:val="18"/>
          <w:b w:val="1"/>
          <w:bCs w:val="1"/>
          <w:i w:val="1"/>
          <w:iCs w:val="1"/>
          <w:color w:val="auto"/>
        </w:rPr>
        <w:t>Non-Erosive GERD As Needed Dosing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14605</wp:posOffset>
            </wp:positionV>
            <wp:extent cx="5349240" cy="27343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this Phase 2 proof -of-concept trial, the primary endpoint was the percentage of heartburn episodes completely relieved within three hours and with no further heartburn reported for 24 hours afer taking study drug. All three vonoprazan doses met this primary endpoint and were statstcally signifcant (p&lt;0.0001) when compared to placebo. Within three hours, vonoprazan 10 mg, 20 mg and 40 mg achieved complete and sustained relief in 56.0%, 60.6% and 70.0% of evaluable heartburn episodes, respectvely, as compared to 27.3% of episodes for placebo.</w:t>
      </w:r>
    </w:p>
    <w:p>
      <w:pPr>
        <w:spacing w:after="0" w:line="19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During the PHALCON-NERD open-label daily dosing run-in phase, where all enrolled partcipants received vonoprazan 20 mg QD for four weeks, the mean percentage of 24-hour heartburn free days observed was 65.4% (median 76.0%).</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Based on the results of PHALCON-NERD-201, we are in discussions with the FDA regarding the design of a Phase 3 trial to evaluate the novel dosing regimen of vonoprazan as an as -needed treatment for episodic heartburn relief in patents with non-erosive GERD, a dosing regimen not approved in the U.S. for PPIs.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17"/>
          <w:szCs w:val="17"/>
          <w:b w:val="1"/>
          <w:bCs w:val="1"/>
          <w:i w:val="1"/>
          <w:iCs w:val="1"/>
          <w:color w:val="auto"/>
        </w:rPr>
        <w:t>Results of Phase 2 Non-Erosive GERD As Needed Dosing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263515" cy="3215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63515" cy="3215005"/>
                    </a:xfrm>
                    <a:prstGeom prst="rect">
                      <a:avLst/>
                    </a:prstGeom>
                    <a:noFill/>
                  </pic:spPr>
                </pic:pic>
              </a:graphicData>
            </a:graphic>
          </wp:anchor>
        </w:drawing>
      </w:r>
    </w:p>
    <w:p>
      <w:pPr>
        <w:sectPr>
          <w:pgSz w:w="11900" w:h="16838" w:orient="portrait"/>
          <w:cols w:equalWidth="0" w:num="1">
            <w:col w:w="9019"/>
          </w:cols>
          <w:pgMar w:left="1440" w:top="6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98"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8"/>
          <w:szCs w:val="18"/>
          <w:b w:val="1"/>
          <w:bCs w:val="1"/>
          <w:color w:val="auto"/>
        </w:rPr>
        <w:t xml:space="preserve">Vonoprazan in Combinaton with Antbiotcs for the Treatment of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Disease Burden and Outcomes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i w:val="1"/>
          <w:iCs w:val="1"/>
          <w:color w:val="auto"/>
        </w:rPr>
        <w:t xml:space="preserve">H. pylori </w:t>
      </w:r>
      <w:r>
        <w:rPr>
          <w:rFonts w:ascii="Calibri" w:cs="Calibri" w:eastAsia="Calibri" w:hAnsi="Calibri"/>
          <w:sz w:val="18"/>
          <w:szCs w:val="18"/>
          <w:color w:val="auto"/>
        </w:rPr>
        <w:t>is a bacterial pathogen that infects approximately 35% of the U.S. populaton, 45% of the EU5 populaton, and more than 50% of the global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populaton. We estmate that there are approximately 115 million individuals in the United States and 145 million individuals in the EU5 infected with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pylori</w:t>
      </w:r>
      <w:r>
        <w:rPr>
          <w:rFonts w:ascii="Calibri" w:cs="Calibri" w:eastAsia="Calibri" w:hAnsi="Calibri"/>
          <w:sz w:val="18"/>
          <w:szCs w:val="18"/>
          <w:color w:val="auto"/>
        </w:rPr>
        <w:t>, and we believe there are approximately 2.5 million patents treated for</w:t>
      </w:r>
      <w:r>
        <w:rPr>
          <w:rFonts w:ascii="Calibri" w:cs="Calibri" w:eastAsia="Calibri" w:hAnsi="Calibri"/>
          <w:sz w:val="18"/>
          <w:szCs w:val="18"/>
          <w:i w:val="1"/>
          <w:iCs w:val="1"/>
          <w:color w:val="auto"/>
        </w:rPr>
        <w:t xml:space="preserve"> H. pylori </w:t>
      </w:r>
      <w:r>
        <w:rPr>
          <w:rFonts w:ascii="Calibri" w:cs="Calibri" w:eastAsia="Calibri" w:hAnsi="Calibri"/>
          <w:sz w:val="18"/>
          <w:szCs w:val="18"/>
          <w:color w:val="auto"/>
        </w:rPr>
        <w:t>infecton in the United States each year. As a result of the chronic</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infammaton induced by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approximately 20% of infected patents develop a range of pathologies including dyspepsia, peptc ulcer disease, gastric cancer, and mucosa-associated lymphoid tssue (MALT) lymphoma. Gastric cancer is the third most common cause of cancer-related death worldwide, and over 80% of gastric cancers are atributed to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Globally there are more than one million new cases of gastric cancer and approximately 782,000 deaths each year.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has been proven to reduce the incidence of gastric cancer, and the American College of Gastroenterologists, or ACG, guidelines recommend treatment for all patents diagnosed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w:t>
      </w:r>
    </w:p>
    <w:p>
      <w:pPr>
        <w:spacing w:after="0" w:line="196"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i w:val="1"/>
          <w:iCs w:val="1"/>
          <w:color w:val="auto"/>
        </w:rPr>
        <w:t xml:space="preserve">H. pylori </w:t>
      </w:r>
      <w:r>
        <w:rPr>
          <w:rFonts w:ascii="Calibri" w:cs="Calibri" w:eastAsia="Calibri" w:hAnsi="Calibri"/>
          <w:sz w:val="17"/>
          <w:szCs w:val="17"/>
          <w:color w:val="auto"/>
        </w:rPr>
        <w:t>eradicaton rates from the 1990s have fallen to current rates of &lt;80% due to increasing antbiotc resistance. In 2017, the World Health</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 xml:space="preserve">Organizaton (WHO) listed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among the 16 antbiotc-resistant bacteria that pose the greatest threat to human health and designated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as a Class 1 carcinogen, meaning that it is a defnite known cause of cancer. In 2014, the FDA added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to the agency’s list of qualifying pathogens that have the potental to pose a serious threat to public health under the GAIN Act. We believe that vonoprazan-based treatment regimens have the potental to restore eradicaton rates to their original rates in the United States and Europe given the clinical and post-marketng experience in the Japanese market.</w:t>
      </w:r>
    </w:p>
    <w:p>
      <w:pPr>
        <w:spacing w:after="0" w:line="1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A recent study compiled real-world health insurance claims data in Japan from 2008 to 2016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Prior to vonoprazan’s approval in late 2014,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across Japan fell to below 80% as shown in the fgure below. Approximately one year afer vonoprazan’s launch, the eradicaton rate increased to greater than 85%. From January 2015 to March 2016, the eradicaton rate with PPI-containing regimens in Japan was between 78% and 82% while the eradicaton rate with vonoprazan-containing regimens was 91% across all patents in this analysis.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28" w:name="page29"/>
    <w:bookmarkEnd w:id="28"/>
    <w:p>
      <w:pPr>
        <w:jc w:val="center"/>
        <w:ind w:right="-19"/>
        <w:spacing w:after="0"/>
        <w:rPr>
          <w:sz w:val="20"/>
          <w:szCs w:val="20"/>
          <w:color w:val="auto"/>
        </w:rPr>
      </w:pPr>
      <w:r>
        <w:rPr>
          <w:rFonts w:ascii="Calibri" w:cs="Calibri" w:eastAsia="Calibri" w:hAnsi="Calibri"/>
          <w:sz w:val="18"/>
          <w:szCs w:val="18"/>
          <w:b w:val="1"/>
          <w:bCs w:val="1"/>
          <w:color w:val="auto"/>
        </w:rPr>
        <w:t xml:space="preserve">Eradicaton Rate of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 in Japan Before and Afer Launch of Vonoprazan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126365</wp:posOffset>
            </wp:positionV>
            <wp:extent cx="4003040" cy="2151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030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Results were similar in a real-world study using a diferent Japanese health insurance claims database. Among patents initatng vonoprazan or a PPI between January 2015 and January 2020 to treat H. pylori infecton, 80% of PPI-treated patents and 93% of vonoprazan-treated patents did not receive a second line of triple therapy.</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Japan, vonoprazan-containing regimens have become the most common frst line treatment. One-year post launch, approximately 80% of all treated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-infected patents received vonoprazan-based regimens. In the study of</w:t>
      </w:r>
      <w:r>
        <w:rPr>
          <w:rFonts w:ascii="Calibri" w:cs="Calibri" w:eastAsia="Calibri" w:hAnsi="Calibri"/>
          <w:sz w:val="18"/>
          <w:szCs w:val="18"/>
          <w:i w:val="1"/>
          <w:iCs w:val="1"/>
          <w:color w:val="auto"/>
        </w:rPr>
        <w:t xml:space="preserve"> H. pylori</w:t>
      </w:r>
      <w:r>
        <w:rPr>
          <w:rFonts w:ascii="Calibri" w:cs="Calibri" w:eastAsia="Calibri" w:hAnsi="Calibri"/>
          <w:sz w:val="18"/>
          <w:szCs w:val="18"/>
          <w:color w:val="auto"/>
        </w:rPr>
        <w:t>-infected patents, vonoprazan-based regimens overtook PPI-based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regimens as the most common frst-line treatment between 2015 and 2019. Within this Japanese database, the number of patents using vonoprazan-based regimens increased from 6,594 to 28,956 patents, while the number of patents using a PPI-based regimen decreased from 11,238 to 2,629, shown in the fgure below.</w:t>
      </w:r>
    </w:p>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 xml:space="preserve">Uptake of Vonoprazan-Based vs. PPI-Based Therapy for First Line Treatment of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 in Japan from 2015-2019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126365</wp:posOffset>
            </wp:positionV>
            <wp:extent cx="4620260" cy="2803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20260" cy="280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color w:val="auto"/>
        </w:rPr>
        <w:t>Current Treatment Paradigm in the United States and Europe</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 xml:space="preserve">The ACG treatment guidelines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recommend using PPIs in conjuncton with antbiotcs to improve antbiotc efcacy against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infecton. The use of ant-secretory agents enhances the efect of antbiotcs in two ways. First, ant-secretory agents increase gastric pH, which in turn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increases the stability of the antbiotcs. For example, amoxicillin and clarithromycin are chemically unstable at the low pH typically found in the human stomach. Second, several antbiotcs, including amoxicillin and clarithromycin, are most potent against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at the tme of maximum bacterial replicaton, which occurs at pH 6.0 to 8.0.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is in a dormant state at lower pH values, which reduces the efectveness of the antbiotcs.</w:t>
      </w:r>
    </w:p>
    <w:p>
      <w:pPr>
        <w:spacing w:after="0" w:line="180"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 xml:space="preserve">The table below shows the minimum inhibitory concentraton of antbiotc required to eradicate 90%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 vitro, or MIC90. As pH increases, the amount of antbiotc required for 90% eradicaton decreases substantally.</w:t>
      </w:r>
    </w:p>
    <w:p>
      <w:pPr>
        <w:spacing w:after="0" w:line="1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i w:val="1"/>
          <w:iCs w:val="1"/>
          <w:color w:val="auto"/>
        </w:rPr>
        <w:t xml:space="preserve">H. pylori </w:t>
      </w:r>
      <w:r>
        <w:rPr>
          <w:rFonts w:ascii="Calibri" w:cs="Calibri" w:eastAsia="Calibri" w:hAnsi="Calibri"/>
          <w:sz w:val="18"/>
          <w:szCs w:val="18"/>
          <w:b w:val="1"/>
          <w:bCs w:val="1"/>
          <w:color w:val="auto"/>
        </w:rPr>
        <w:t>MIC</w:t>
      </w:r>
      <w:r>
        <w:rPr>
          <w:rFonts w:ascii="Calibri" w:cs="Calibri" w:eastAsia="Calibri" w:hAnsi="Calibri"/>
          <w:sz w:val="24"/>
          <w:szCs w:val="24"/>
          <w:b w:val="1"/>
          <w:bCs w:val="1"/>
          <w:color w:val="auto"/>
          <w:vertAlign w:val="subscript"/>
        </w:rPr>
        <w:t>90</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b w:val="1"/>
          <w:bCs w:val="1"/>
          <w:color w:val="auto"/>
        </w:rPr>
        <w:t>Values as a Functon of 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118110</wp:posOffset>
            </wp:positionV>
            <wp:extent cx="3077210" cy="1208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7721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A triple therapy regimen (PPI, clarithromycin, and either amoxicillin or metronidazole) is the regimen most commonly used in clinical practce for the frst-line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However,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with PPI triple therapy in the 1990s have fallen to current levels of &lt;80%, primarily due to increased resistance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to clarithromycin and metronidazole. A recent meta-analysis indicates that U.S. resistance rates measured from 2012 to 2016 were 20% for clarithromycin, 29% for metronidazole, and 19% for levofoxacin. Additonally, in a U.S.-based study from 2021, 65.6% of tested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was resistant to at least one antbiotc currently used for treatment, with resistance rates of 33% for clarithromycin and approximately 30% for metronidazole and levofoxacin. These fgures represent a marked increase from 2009 to 2011 for both clarithromycin and metronidazole, for which resistance was 9% for clarithromycin, 21% for metronidazole, and 11% for levofoxacin.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resistance to amoxicillin remains low despite its use in most triple therapy regimens; resistance is generally &lt;2% among isolates in the United States and Europe. There is a similar trend of increasing resistance to key antbiotcs in Europe.</w:t>
      </w:r>
    </w:p>
    <w:p>
      <w:pPr>
        <w:spacing w:after="0" w:line="19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Given the declining eradicaton rates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bismuth quadruple therapy is recommended as frst-line treatment in areas with known high rates of clarithromycin or metronidazole resistance; however, our U.S. market research study reported that physicians prescribe quadruple therapy to only 17% of frst-line patents. Due predominantly to consideratons of convenience and patent compliance, approximately 75% of physicians surveyed in our market research expressed a preference for convenience, or combinaton packs compared to individual botles for both dual and triple therapy. Further, geographic paterns of resistance in the United States are poorly understood and treatment is largely empiric, with susceptbility testng rarely conducted prior to frst-line treatment. Our U.S. market research study reported that only 8% and 16% of physicians conduct resistance testng prior to prescribing treatment for frst-line and second-line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respectvely.</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In our U.S. market research study, physicians highlighted the need for more efectve and simpler frst-line treatment optons. For the treatment of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infecton, surveyed physicians highlighted the need for improved eradicaton rates and more convenient dosing as key unmet needs. In fact, on average,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53% and 52% reported a preference to use vonoprazan frst line in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and in patents with refractory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respectvely.</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i w:val="1"/>
          <w:iCs w:val="1"/>
          <w:color w:val="auto"/>
        </w:rPr>
        <w:t>Our H. pylori Phase 3 Clinical Trial in the United States and Europe – PHALCON-HP</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April 2021, we announced that in PHALCON-HP, our pivotal Phase 3 clinical trial for the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both vonoprazan-based regimens successfully met their primary endpoints and met all secondary endpoints. The trial studied vonoprazan triple therapy and vonoprazan dual therapy compared to lansoprazole triple therapy. We believe PHALCON-HP was the largest U.S. Phase 3 registraton trial ever conducted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randomizing 992 patents with confrmed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w:t>
      </w:r>
    </w:p>
    <w:p>
      <w:pPr>
        <w:spacing w:after="0" w:line="1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PHALCON-HP was a randomized, multcenter, Phase 3 trial that enrolled 1,046 patents of which 992 patents with a confrmed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were randomized to one of three arms:</w:t>
      </w:r>
    </w:p>
    <w:p>
      <w:pPr>
        <w:spacing w:after="0" w:line="199"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vonoprazan dual therapy</w:t>
      </w:r>
      <w:r>
        <w:rPr>
          <w:rFonts w:ascii="Calibri" w:cs="Calibri" w:eastAsia="Calibri" w:hAnsi="Calibri"/>
          <w:sz w:val="18"/>
          <w:szCs w:val="18"/>
          <w:color w:val="auto"/>
        </w:rPr>
        <w:t>: vonoprazan 20 mg BID and amoxicillin 1 g TID for 14 days (n=324);</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vonoprazan triple therapy</w:t>
      </w:r>
      <w:r>
        <w:rPr>
          <w:rFonts w:ascii="Calibri" w:cs="Calibri" w:eastAsia="Calibri" w:hAnsi="Calibri"/>
          <w:sz w:val="18"/>
          <w:szCs w:val="18"/>
          <w:color w:val="auto"/>
        </w:rPr>
        <w:t>: vonoprazan 20 mg BID, amoxicillin 1000 mg BID and clarithromycin 500 mg BID for 14 days (n=338);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PPI triple therapy</w:t>
      </w:r>
      <w:r>
        <w:rPr>
          <w:rFonts w:ascii="Calibri" w:cs="Calibri" w:eastAsia="Calibri" w:hAnsi="Calibri"/>
          <w:sz w:val="18"/>
          <w:szCs w:val="18"/>
          <w:color w:val="auto"/>
        </w:rPr>
        <w:t>: lansoprazole 30 mg BID, amoxicillin 1000 mg BID and clarithromycin 500 mg BID for 14 days (n=330).</w:t>
      </w:r>
    </w:p>
    <w:p>
      <w:pPr>
        <w:spacing w:after="0" w:line="190" w:lineRule="exact"/>
        <w:rPr>
          <w:sz w:val="20"/>
          <w:szCs w:val="20"/>
          <w:color w:val="auto"/>
        </w:rPr>
      </w:pPr>
    </w:p>
    <w:p>
      <w:pPr>
        <w:ind w:firstLine="509"/>
        <w:spacing w:after="0" w:line="230" w:lineRule="auto"/>
        <w:rPr>
          <w:sz w:val="20"/>
          <w:szCs w:val="20"/>
          <w:color w:val="auto"/>
        </w:rPr>
      </w:pPr>
      <w:r>
        <w:rPr>
          <w:rFonts w:ascii="Calibri" w:cs="Calibri" w:eastAsia="Calibri" w:hAnsi="Calibri"/>
          <w:sz w:val="18"/>
          <w:szCs w:val="18"/>
          <w:color w:val="auto"/>
        </w:rPr>
        <w:t xml:space="preserve">The objectve of the PHALCON-HP trial was to compare eradicaton rates in all treated subjects as well as in two pre-identfed subgroups of patents: those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those patents who did not have clarithromycin or amoxicillin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For regulatory purposes, the primary endpoint of this study was a non-inferiority comparison in the non-resistant subgroup for each of vonoprazan triple therapy and vonoprazan dual therapy compared to lansoprazole triple therapy. All endpoints measured the percentage of patents with successful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as assessed by </w:t>
      </w:r>
      <w:r>
        <w:rPr>
          <w:rFonts w:ascii="Calibri" w:cs="Calibri" w:eastAsia="Calibri" w:hAnsi="Calibri"/>
          <w:sz w:val="24"/>
          <w:szCs w:val="24"/>
          <w:color w:val="auto"/>
          <w:vertAlign w:val="superscript"/>
        </w:rPr>
        <w:t>13</w:t>
      </w:r>
      <w:r>
        <w:rPr>
          <w:rFonts w:ascii="Calibri" w:cs="Calibri" w:eastAsia="Calibri" w:hAnsi="Calibri"/>
          <w:sz w:val="18"/>
          <w:szCs w:val="18"/>
          <w:color w:val="auto"/>
        </w:rPr>
        <w:t xml:space="preserve">C-urea breath test four weeks afer completon of treatment. The primary analysis in the non-resistant populaton assessed the non-inferiority of vonoprazan dual therapy compared to lansoprazole triple therapy and vonoprazan triple therapy compared to lansoprazole triple therapy. Secondary analyses for superiority were conducted in all patents and in the subgroup of patents with clarithromycin-resistant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Further efcacy analyses were conducted using the pre-specifed per protocol populaton (n=822), which is comprised of patents who were protocol compliant as defned by FDA established criteria.</w:t>
      </w:r>
    </w:p>
    <w:p>
      <w:pPr>
        <w:spacing w:after="0" w:line="17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 xml:space="preserve">Design for PHALCON-HP Phase 3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2442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color w:val="auto"/>
        </w:rPr>
        <w:t>Primary endpoint analysis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Both vonoprazan-based regimens successfully met their primary endpoints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that were not shown to be resistant to clarithromycin or amoxicillin. In the mITT populaton</w:t>
      </w:r>
      <w:r>
        <w:rPr>
          <w:rFonts w:ascii="Calibri" w:cs="Calibri" w:eastAsia="Calibri" w:hAnsi="Calibri"/>
          <w:sz w:val="18"/>
          <w:szCs w:val="18"/>
          <w:i w:val="1"/>
          <w:iCs w:val="1"/>
          <w:color w:val="auto"/>
        </w:rPr>
        <w:t>, H. pylori</w:t>
      </w:r>
      <w:r>
        <w:rPr>
          <w:rFonts w:ascii="Calibri" w:cs="Calibri" w:eastAsia="Calibri" w:hAnsi="Calibri"/>
          <w:sz w:val="18"/>
          <w:szCs w:val="18"/>
          <w:color w:val="auto"/>
        </w:rPr>
        <w:t xml:space="preserve"> eradicaton rates were 84.7% with vonoprazan triple therapy and 78.5% for vonoprazan dual therapy compared to 78.8% with lansoprazole triple therapy (p&lt;0.0001 and p=0.0073, respectvely, for non-inferiority).</w:t>
      </w:r>
    </w:p>
    <w:p>
      <w:pPr>
        <w:spacing w:after="0" w:line="178"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 xml:space="preserve">In the per protocol populaton,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were 90.4% with vonoprazan triple therapy and 81.2% with vonoprazan dual therapy compared to 82.1% with lansoprazole triple therapy (p&lt;0.0001 and p=0.0155, respectvely, for non-inferiority).</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Secondary endpoint analysis</w:t>
      </w:r>
    </w:p>
    <w:p>
      <w:pPr>
        <w:spacing w:after="0" w:line="177"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 xml:space="preserve">Vonoprazan triple therapy and vonoprazan dual therapy also met all secondary endpoints, and demonstrated superior eradicaton rates versus lansoprazole triple therapy in all patents and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Patents with clarithromycin resistant strains comprised 20.3% of the PHALCON-HP study populaton.</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triple therapy</w:t>
      </w:r>
    </w:p>
    <w:p>
      <w:pPr>
        <w:spacing w:after="0" w:line="19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triple therapy was superior to that of lansoprazole triple therapy among all patents in both the mITT populaton (80.8% vs. 68.5%; p=0.0003) and the per protocol populaton (85.7% vs. 70.0%; p&lt;0.0001).</w:t>
      </w:r>
    </w:p>
    <w:p>
      <w:pPr>
        <w:spacing w:after="0" w:line="177" w:lineRule="exact"/>
        <w:rPr>
          <w:sz w:val="20"/>
          <w:szCs w:val="20"/>
          <w:color w:val="auto"/>
        </w:rPr>
      </w:pPr>
    </w:p>
    <w:p>
      <w:pPr>
        <w:ind w:right="20" w:firstLine="509"/>
        <w:spacing w:after="0" w:line="258" w:lineRule="auto"/>
        <w:rPr>
          <w:sz w:val="20"/>
          <w:szCs w:val="20"/>
          <w:color w:val="auto"/>
        </w:rPr>
      </w:pPr>
      <w:r>
        <w:rPr>
          <w:rFonts w:ascii="Calibri" w:cs="Calibri" w:eastAsia="Calibri" w:hAnsi="Calibri"/>
          <w:sz w:val="17"/>
          <w:szCs w:val="17"/>
          <w:color w:val="auto"/>
        </w:rPr>
        <w:t xml:space="preserve">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rate of vonoprazan triple therapy was superior to that of lansoprazole triple therapy in the subset of patents with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strains resistant to clarithromycin in both the mITT populaton (65.8% vs. 31.9%; p&lt;0.0001) and the per protocol populaton (67.2% vs. 29.0%; p&lt;0.0001).</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dual therapy</w:t>
      </w:r>
    </w:p>
    <w:p>
      <w:pPr>
        <w:spacing w:after="0" w:line="19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superior to that of lansoprazole triple therapy among all patents in both the mITT populaton (77.2% vs. 68.5%; p=0.0127) and the per protocol populaton (81.1% vs. 70.0%; p=0.0027).</w:t>
      </w:r>
    </w:p>
    <w:p>
      <w:pPr>
        <w:spacing w:after="0" w:line="177" w:lineRule="exact"/>
        <w:rPr>
          <w:sz w:val="20"/>
          <w:szCs w:val="20"/>
          <w:color w:val="auto"/>
        </w:rPr>
      </w:pPr>
    </w:p>
    <w:p>
      <w:pPr>
        <w:jc w:val="both"/>
        <w:ind w:right="100" w:firstLine="509"/>
        <w:spacing w:after="0" w:line="258" w:lineRule="auto"/>
        <w:rPr>
          <w:sz w:val="20"/>
          <w:szCs w:val="20"/>
          <w:color w:val="auto"/>
        </w:rPr>
      </w:pPr>
      <w:r>
        <w:rPr>
          <w:rFonts w:ascii="Calibri" w:cs="Calibri" w:eastAsia="Calibri" w:hAnsi="Calibri"/>
          <w:sz w:val="17"/>
          <w:szCs w:val="17"/>
          <w:color w:val="auto"/>
        </w:rPr>
        <w:t xml:space="preserve">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rate of vonoprazan dual therapy was superior to that of lansoprazole triple therapy in the subset of patents with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strains resistant to clarithromycin in both the mITT populaton (69.6% vs. 31.9%; p&lt;0.0001) and the per protocol populaton (79.5% vs. 29.0%; p&lt;0.0001).</w:t>
      </w: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93" w:right="559" w:bottom="1440" w:gutter="0" w:footer="0" w:header="0"/>
        </w:sectPr>
      </w:pPr>
    </w:p>
    <w:bookmarkStart w:id="32" w:name="page33"/>
    <w:bookmarkEnd w:id="32"/>
    <w:p>
      <w:pPr>
        <w:jc w:val="center"/>
        <w:ind w:right="-39"/>
        <w:spacing w:after="0"/>
        <w:rPr>
          <w:sz w:val="20"/>
          <w:szCs w:val="20"/>
          <w:color w:val="auto"/>
        </w:rPr>
      </w:pPr>
      <w:r>
        <w:rPr>
          <w:rFonts w:ascii="Calibri" w:cs="Calibri" w:eastAsia="Calibri" w:hAnsi="Calibri"/>
          <w:sz w:val="18"/>
          <w:szCs w:val="18"/>
          <w:b w:val="1"/>
          <w:bCs w:val="1"/>
          <w:color w:val="auto"/>
        </w:rPr>
        <w:t xml:space="preserve">Results of US/EU Phase 3 Clinical Trial in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17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Primary Endpoint Analysis –Subjects without clarithromycin or amoxicillin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1920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Secondary Endpoint Analyses – All subject and subjects with clarithromycin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26492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Antbiotc resistance and declining eradicaton rates are signifcant clinical issues, and we believe that vonoprazan triple therapy and vonoprazan dual therapy have the potental to provide improvements over PPI-based therapies in addressing each of these issues. Vonoprazan dual therapy also has potental to spare the use of clarithromycin, representng an opportunity both for efectve treatment and sound antbiotc stewardship through the avoidance of an additonal antbiotc. As an alternatve to mult-antbiotc drug regimens, vonoprazan dual therapy might also help to limit the spread of resistance among other pathogenic bacteria within populatons. In additon, vonoprazan triple therapy and vonoprazan dual therapy will both be available in daily dosing blister cards inclusive of the appropriate antbiotc. We believe this convenience pack has the potental to enhance compliance in a category where full adherence to treatment regimen is ofen a challenge.</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i w:val="1"/>
          <w:iCs w:val="1"/>
          <w:color w:val="auto"/>
        </w:rPr>
        <w:t>Convenience Packs for H. pylori</w:t>
      </w:r>
    </w:p>
    <w:p>
      <w:pPr>
        <w:spacing w:after="0" w:line="177"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 xml:space="preserve">In September 2021, we submited NDAs for VOQUEZNA TRIPLE PAK and VOQUEZNA DUAL PAK,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each as a pre-packaged convenience, or combinaton pack with either clarithromycin and amoxicillin or amoxicillin alone. On May 3, 2022, the FDA approved both NDAs.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15875</wp:posOffset>
            </wp:positionV>
            <wp:extent cx="5349240" cy="2305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Convenience packs have the potental to improve patent adherence and treatment outcomes, and we believe there is a meaningful market opportunity for such a product. In the United States, PrevPac was formerly marketed as a pre-packaged convenience pack of lansoprazole, clarithromycin, and amoxicillin and achieved peak sales of $150 million. In Japan, vonoprazan is marketed both as a stand-alone medicine as well as in pre-packaged convenience packs with either clarithromycin and amoxicillin (Vonosap) or metronidazole and amoxicillin (Vonopion).</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Phase 3 Clinical Trial in Japan of Vonoprazan in Combinaton with Antbiotcs to Treat H. pylori Infecton</w:t>
      </w:r>
    </w:p>
    <w:p>
      <w:pPr>
        <w:spacing w:after="0" w:line="177" w:lineRule="exact"/>
        <w:rPr>
          <w:sz w:val="20"/>
          <w:szCs w:val="20"/>
          <w:color w:val="auto"/>
        </w:rPr>
      </w:pPr>
    </w:p>
    <w:p>
      <w:pPr>
        <w:ind w:right="200" w:firstLine="509"/>
        <w:spacing w:after="0" w:line="238" w:lineRule="auto"/>
        <w:rPr>
          <w:sz w:val="20"/>
          <w:szCs w:val="20"/>
          <w:color w:val="auto"/>
        </w:rPr>
      </w:pPr>
      <w:r>
        <w:rPr>
          <w:rFonts w:ascii="Calibri" w:cs="Calibri" w:eastAsia="Calibri" w:hAnsi="Calibri"/>
          <w:sz w:val="17"/>
          <w:szCs w:val="17"/>
          <w:color w:val="auto"/>
        </w:rPr>
        <w:t xml:space="preserve">The results of PHALCON-HP were consistent with the results of a Phase 3 clinical trial in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-positve patents completed in Japan. In that trial, patents were treated with either vonoprazan triple therapy (vonoprazan 20 mg BID, amoxicillin 750 mg BID, and clarithromycin (200 mg or 400 mg) BID) or lansoprazole triple therapy (lansoprazole 30 mg BID, amoxicillin 750 mg BID, and clarithromycin (200 mg or 400 mg) BID) for seven days as is customary in Japan. The primary endpoint of the clinical trial was confrmed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determined by </w:t>
      </w:r>
      <w:r>
        <w:rPr>
          <w:rFonts w:ascii="Calibri" w:cs="Calibri" w:eastAsia="Calibri" w:hAnsi="Calibri"/>
          <w:sz w:val="23"/>
          <w:szCs w:val="23"/>
          <w:color w:val="auto"/>
          <w:vertAlign w:val="superscript"/>
        </w:rPr>
        <w:t>13</w:t>
      </w:r>
      <w:r>
        <w:rPr>
          <w:rFonts w:ascii="Calibri" w:cs="Calibri" w:eastAsia="Calibri" w:hAnsi="Calibri"/>
          <w:sz w:val="17"/>
          <w:szCs w:val="17"/>
          <w:color w:val="auto"/>
        </w:rPr>
        <w:t>C-urea breath test. The primary analysis was non-inferiority, and additonal analyses of the second line eradicaton rate and eradicaton rate in antbiotc-resistant subgroups were also conducted.</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Vonoprazan-based triple therapy demonstrated a non-inferior eradicaton rate of 93% compared to 76% for lansoprazole-based triple therapy (p&lt;0.0001). Post hoc analyses suggested that vonoprazan-based triple therapy was superior to lansoprazole-based triple therapy (p&lt;0.0001). Patents who were not eradicated on vonoprazan-based triple therapy or lansoprazole-based triple therapy were treated with a diferent triple therapy regimen of vonoprazan, amoxicillin, and metronidazole. In this second-line setng,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with the diferent vonoprazan triple therapy was 98%. Exploratory analysis suggested that vonoprazan-based triple therapy had signifcantly higher eradicaton rates versus the lansoprazole-based triple therapy in the subgroup of subjects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b w:val="1"/>
          <w:bCs w:val="1"/>
          <w:color w:val="auto"/>
        </w:rPr>
        <w:t>Summary of Vonoprazan Safety Data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Safety in Clinical Studies</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As of December 2022, over 9,000 subjects have been exposed to vonoprazan in completed and ongoing Phase 1 to 3 clinical trials. The doses studied have ranged from 1 to 120 mg with duratons up to one year.</w:t>
      </w:r>
    </w:p>
    <w:p>
      <w:pPr>
        <w:spacing w:after="0" w:line="191" w:lineRule="exact"/>
        <w:rPr>
          <w:sz w:val="20"/>
          <w:szCs w:val="20"/>
          <w:color w:val="auto"/>
        </w:rPr>
      </w:pPr>
    </w:p>
    <w:p>
      <w:pPr>
        <w:jc w:val="both"/>
        <w:ind w:right="20" w:firstLine="509"/>
        <w:spacing w:after="0" w:line="249" w:lineRule="auto"/>
        <w:rPr>
          <w:sz w:val="20"/>
          <w:szCs w:val="20"/>
          <w:color w:val="auto"/>
        </w:rPr>
      </w:pPr>
      <w:r>
        <w:rPr>
          <w:rFonts w:ascii="Calibri" w:cs="Calibri" w:eastAsia="Calibri" w:hAnsi="Calibri"/>
          <w:sz w:val="17"/>
          <w:szCs w:val="17"/>
          <w:color w:val="auto"/>
        </w:rPr>
        <w:t>In PHALCON-HP, both vonoprazan-based regimens were generally well tolerated with safety results comparable to patents who received lansoprazole triple therapy. The most common adverse events (≥2.0%) reported in the vonoprazan triple therapy, vonoprazan dual therapy, and lansoprazole triple therapy arms, respectvely, were diarrhea (4.0%, 5.2%, and 9.6%), dysgeusia (4.3%, 0.6%, and 6.1%), abdominal pain (2.3%, 2.6% and 2.9%), headache (2.6%, 1.4%,</w:t>
      </w:r>
    </w:p>
    <w:p>
      <w:pPr>
        <w:spacing w:after="0" w:line="2"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1.4%), vulvovaginal candidiasis (2.3%, 1.4%, 1.2%), hypertension (2.0%, 1.1%, 0.9%), and nasopharyngits (0.3%, 2.0%, 0.9%). Overall rates of discontnuaton due to adverse events were 2.3% for vonoprazan triple therapy-treated patents, 0.9% for vonoprazan dual therapy-treated patents, and 1.2% for lansoprazole triple therapy-treated patents.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the safety results for vonoprazan observed in PHALCON-EE were consistent with the results observed in prior clinical studies. In the healing phase of the study, the most common adverse events (≥2%) were abdominal pain (2.1% for vonoprazan and 1.2% for lansoprazole), diarrhea (2.1% for vonoprazan and 2.5% for lansoprazole). Rates of discontnuaton due to adverse events in the healing phase were 1% for vonoprazan 20 mg and 2.2% for lansoprazole 30 mg.</w:t>
      </w:r>
    </w:p>
    <w:p>
      <w:pPr>
        <w:spacing w:after="0" w:line="179"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7"/>
          <w:szCs w:val="17"/>
          <w:color w:val="auto"/>
        </w:rPr>
        <w:t>In the maintenance phase of the study, the most common adverse events (≥2%) were gastrits (2.7% vonoprazan 10 mg, 6.4% vonoprazan 20 mg, 2.7% lansoprazole), diarrhea (1.0% vonoprazan 10 mg, 2.7% vonoprazan 20 mg, 4.4% lansoprazole), abdominal pain (4.1% vonoprazan 10 mg, 5.4% vonoprazan 20 mg, 2.4% lansoprazole), dyspepsia (3.7% vonoprazan 10 mg, 4.1% vonoprazan 20 mg, 2.7% lansoprazole), gastroesophageal refux disease (2.4% vonoprazan 10 mg, 3.7% vonoprazan 20 mg, 2.0 lansoprazole), hypertension (3.0% vonoprazan 10 mg, 3.4% vonoprazan 20 mg, 2.0% lansoprazole), liver functon test</w:t>
      </w:r>
    </w:p>
    <w:p>
      <w:pPr>
        <w:spacing w:after="0" w:line="3"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(1.0% vonoprazan 10 mg, 2.0% vonoprazan 20 mg, 3.0% lansoprazole), and nausea (2.0% vonoprazan 10 mg, 1.4% vonoprazan 20 mg, 1.0% lansoprazole). Rates of discontnuaton due to adverse events in the maintenance phase were 0.7% for vonoprazan10 mg, 2.7% for vonoprazan 20 mg, and 0.7% for lansoprazole.</w:t>
      </w:r>
    </w:p>
    <w:p>
      <w:pPr>
        <w:spacing w:after="0" w:line="19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Frequency of serious adverse events, or SAEs, in the healing phase were similar between vonoprazan 20 mg and lansoprazole at 0.6%. In the maintenance phase, SAEs were reported in 4.7% of patents for vonoprazan 20 mg, 3.4% for vonoprazan 10 mg and 2.4% for lansoprazole. Further, this clinical trial was conducted during the 2020-2021 global pandemic, and coronavirus infecton was reported in 2.1% of the vonoprazan 20 mg-treated patents and 1.8% of the lansoprazole-treated patents in the healing phase whereas it was reported in 6.1% of the vonoprazan 10 mg-treated patents, 10.1% of the vonoprazan 20 mg-treated patents and 6.7% of the lansoprazole-treated patents in the maintenance phase. There were 2 deaths in the vonoprazan 20 mg-treated patents due to coronavirus infecton. None of the coronavirus infecton events reported were considered related by the investgator.</w:t>
      </w:r>
    </w:p>
    <w:p>
      <w:pPr>
        <w:spacing w:after="0" w:line="169"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In PHALCON-NERD-301, vonoprazan was generally well tolerated in the inital four-week double-blind, placebo-controlled phase of the trial. The overall adverse events for all vonoprazan arms were comparable to placebo and consistent with what was reported in previous studies. The most commonly reported adverse event was nausea (2.3% vonoprazan 10 mg, 3.1% vonoprazan 20 mg, 0.4% placebo) with no other events reported above 3.0% in either vonoprazan dose arm. There was a total of three SAEs reported in the four-week period of the study, one in the vonoprazan 10 mg arm and two in the vonoprazan 20 mg arm. Full safety data from this study will be available following the completon of the 20-week long-term extension period.</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35" w:name="page36"/>
    <w:bookmarkEnd w:id="35"/>
    <w:p>
      <w:pPr>
        <w:jc w:val="center"/>
        <w:spacing w:after="0" w:line="254" w:lineRule="auto"/>
        <w:rPr>
          <w:sz w:val="20"/>
          <w:szCs w:val="20"/>
          <w:color w:val="auto"/>
        </w:rPr>
      </w:pPr>
      <w:r>
        <w:rPr>
          <w:rFonts w:ascii="Calibri" w:cs="Calibri" w:eastAsia="Calibri" w:hAnsi="Calibri"/>
          <w:sz w:val="17"/>
          <w:szCs w:val="17"/>
          <w:color w:val="auto"/>
        </w:rPr>
        <w:t>In PHALCON-NERD-201, vonoprazan was generally well tolerated. In both phases of the trial, no adverse event was reported in more than three percent of the partcipants in a treatment group. There was a total of four SAEs in the daily dosing phase, only one of which was related to study drug, and no SAEs in the as needed phase. The safety data for all vonoprazan arms were comparable to placebo and consistent with what was reported in previous studies.</w:t>
      </w:r>
    </w:p>
    <w:p>
      <w:pPr>
        <w:spacing w:after="0" w:line="16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Certain earlier generaton PCABs previously under development by other companies may have been discontnued in-part due to their hepatc safety profle. These hepatc safety concerns may be compound-specifc and not generalizable to the PCAB class. It is notable that vonoprazan is based on a pyrrole chemical structure and is chemically distnct from previously discontnued PCABs that were based on an imidazole structure. Vonoprazan has had a similar hepatc safety profle to lansoprazole across all clinical studies conducted by Takeda, in which 1.0% of subjects treated with vonoprazan 10 mg or 20 mg and 0.8% of subjects treated with lansoprazole 15 mg or 30 mg had ALT or AST elevatons greater than three tmes the upper limit of normal or bilirubin elevatons greater than two tmes the upper limit of normal. Similarly, in the healing phase of PHALCON-EE, transient elevatons in ALT or AST greater than 3 tmes the upper limit of normal were observed in 0.4% of subjects treated with vonoprazan 20 mgs and 0.2% of subjects treated with lansoprazole. In the maintenance phase, transient ALT or AST elevatons greater than three tmes the upper limit of normal were observed in 1% of subjects treated with vonoprazan 10 mg, 0.3% of subjects treated with vonoprazan 20 mg, and 2% of subjects treated with lansoprazole.</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Post-Marketng Safety in Japan and Asia</w:t>
      </w:r>
    </w:p>
    <w:p>
      <w:pPr>
        <w:spacing w:after="0" w:line="190" w:lineRule="exact"/>
        <w:rPr>
          <w:sz w:val="20"/>
          <w:szCs w:val="20"/>
          <w:color w:val="auto"/>
        </w:rPr>
      </w:pPr>
    </w:p>
    <w:p>
      <w:pPr>
        <w:ind w:firstLine="509"/>
        <w:spacing w:after="0" w:line="255" w:lineRule="auto"/>
        <w:rPr>
          <w:sz w:val="20"/>
          <w:szCs w:val="20"/>
          <w:color w:val="auto"/>
        </w:rPr>
      </w:pPr>
      <w:r>
        <w:rPr>
          <w:rFonts w:ascii="Calibri" w:cs="Calibri" w:eastAsia="Calibri" w:hAnsi="Calibri"/>
          <w:sz w:val="17"/>
          <w:szCs w:val="17"/>
          <w:color w:val="auto"/>
        </w:rPr>
        <w:t>The most recent post-marketng safety report from December 2022 includes an estmate of over 50 million patents who have received vonoprazan in Japan and other countries in Asia since its launch. Based on the post-marketng experience, the clinically signifcant adverse reactons secton of the Japanese prescribing informaton for vonoprazan was updated to include shock, anaphylaxis, hepatc impairment, skin reactons such as toxic epidermal necrolysis, Steven-Johnson syndrome, and erythema multforme; and events of pancytopenia, agranulocytosis, leukocytopenia, and thrombocytopenia. The incidence of these reactons was considered extremely rare (less than 1 in 100,000 patents) and a causal relatonship to vonoprazan could not be ruled out. Although serious hepatc adverse events have been observed among patents exposed to vonoprazan in Japan in the post-marketng setng, these cases were typically confounded by comorbidites or other concomitant medicatons and believed to be idiosyncratc reactons. Post-marketng safety data, including the December 2022 post-marketng safety report, has been submited to the PMDA. Moreover, the four year interim results from the VISION trial, a fve year randomized, open-label, multcenter study conducted by Takeda evaluatng the long-term efcacy and safety of vonoprazan compared with the PPI lansoprazole in patents with EE, further demonstrate that the safety profle of vonoprazan is generally comparable to lansoprazole.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b w:val="1"/>
          <w:bCs w:val="1"/>
          <w:color w:val="auto"/>
        </w:rPr>
        <w:t>Vonoprazan Launch in Japan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Regulatory Status</w:t>
      </w:r>
    </w:p>
    <w:p>
      <w:pPr>
        <w:spacing w:after="0" w:line="177"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Vonoprazan frst received approval in Japan on December 26, 2014, and was launched shortly thereafer in February 2015, as TAKECAB® for the following indicatons:</w:t>
      </w:r>
    </w:p>
    <w:p>
      <w:pPr>
        <w:spacing w:after="0" w:line="199"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Healing and maintenance of healing of erosive esophagits;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Adjunct to antbiotcs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treatment;</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Gastric ulcer;</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Duodenal ulcer;</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Preventon of recurrence of gastric ulcer or duodenal ulcer during low-dose aspirin administraton;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Preventon of recurrence of gastric ulcer or duodenal ulcer during nonsteroidal ant-infammatory drug (NSAID) administraton.</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Vonoprazan was subsequently approved in Japan in February 2016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 combinaton packs with antbiotcs (Vonosap Pack 400, Vonosap Pack 800, and Vonopion Pack), and has since been approved in numerous other countries in Asia and Latn America as well as Russia.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Commercializaton in Japan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 was approved in Japan in December 2014. In 2021, its seventh full year on the market, vonoprazan generated approximately $850 million in net sales in Japan, a 17% increase over the prior year. In additon, in the quarter ended December 31, 2021, vonoprazan generated over $249 million in net sales, a 16% increase over the corresponding quarter from the prior year. Finally, based on sales during the 12 month period ending September 2022, vonoprazan had achieved a 26.5% market share based on volume and 45.7% market share based on sales among prescripton acid suppression therapies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137160</wp:posOffset>
            </wp:positionV>
            <wp:extent cx="4886325" cy="28975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8632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sectPr>
      </w:pPr>
    </w:p>
    <w:bookmarkStart w:id="37" w:name="page38"/>
    <w:bookmarkEnd w:id="37"/>
    <w:p>
      <w:pPr>
        <w:ind w:firstLine="509"/>
        <w:spacing w:after="0" w:line="235" w:lineRule="auto"/>
        <w:rPr>
          <w:sz w:val="20"/>
          <w:szCs w:val="20"/>
          <w:color w:val="auto"/>
        </w:rPr>
      </w:pPr>
      <w:r>
        <w:rPr>
          <w:rFonts w:ascii="Calibri" w:cs="Calibri" w:eastAsia="Calibri" w:hAnsi="Calibri"/>
          <w:sz w:val="18"/>
          <w:szCs w:val="18"/>
          <w:color w:val="auto"/>
        </w:rPr>
        <w:t>We believe that the market dynamic for ant-secretory agents in Japan is similar to that in the United States. In both countries, the ant-secretory market is largely genericized. Ahead of the vonoprazan launch in Japan, all PPIs, other than Nexium, were available as generics. As of September 2021, generic drugs in Japan represent approximately 80% of the market by volume, compared to the United States where generics are currently approximately 90% of the market by volume. Although vonoprazan and Dexilant are priced at a premium to generic PPIs in Japan and the United States, respectvely, both have experienced commercial success.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Commercial Opportunity and Strategy</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The market for preventon and treatment of acid-related GI diseases in the United States and Europe is large. There were approximately 7.8 billion prescripton PPI doses dispensed during the 12 months ended December 31, 2022. We estmate that there are approximately 65 million individuals with GERD in the United States and 50 million individuals with GERD in the EU5, of whom 15% to 45% are inadequately treated with PPIs. In additon, we estmate that there are approximately 115 million individuals in the United States infected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of which 2.5 million are treated each year, and 145 million individuals in the EU5 infected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w:t>
      </w:r>
    </w:p>
    <w:p>
      <w:pPr>
        <w:spacing w:after="0" w:line="19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Over many decades of use, multple drug classes and individual drugs have demonstrated the substantal commercial opportunity for therapies treatng acid-related GI diseases. H2RAs including Axid, Pepcid, Tagamet, and Zantac provided the frst signifcant improvement in disease management over antacids and as a class reached approximately $3.5 billion in annual sales. Afer H2RAs, PPIs emerged as the new standard of care. Prior to the introducton of generic and OTC alternatves, annual PPI class sales reached approximately $12.5 billion in the United States, and peak sales for individual brands were approximately $3.7 billion for Prilosec, $3.5 billion for Nexium, and $3.4 billion for Prevacid.</w:t>
      </w:r>
    </w:p>
    <w:p>
      <w:pPr>
        <w:spacing w:after="0" w:line="18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 xml:space="preserve">We believe the results of our Phase 3 clinical trials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subject to FDA approval, erosive GERD, support the diferentaton of products containing vonoprazan from the PPI-based standard of care, which could result in atractve market access and formulary positoning. For example, following approval of VOQUEZNA TRIPLE PAK and VOQUEZNA DUAL PAK, and although these products are not yet available in the U.S. market, we believe our interactons with payers highlight the commercial potental of these products. For example, as of February 2023, 51% of commercial lives have coverage for both VOQUEZNA TRIPLE PAK and VOQUEZNA DUAL PAK. Moreover, if approved for the treatment of GERD, we believe vonoprazan has the potental to improve the standard of care for acid-related GI diseases by providing a safe and efectve treatment opton for the millions of patents in need of more potent, rapid, or durable acid suppression.</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8" w:name="page39"/>
    <w:bookmarkEnd w:id="38"/>
    <w:p>
      <w:pPr>
        <w:ind w:right="180" w:firstLine="509"/>
        <w:spacing w:after="0" w:line="254" w:lineRule="auto"/>
        <w:rPr>
          <w:sz w:val="20"/>
          <w:szCs w:val="20"/>
          <w:color w:val="auto"/>
        </w:rPr>
      </w:pPr>
      <w:r>
        <w:rPr>
          <w:rFonts w:ascii="Calibri" w:cs="Calibri" w:eastAsia="Calibri" w:hAnsi="Calibri"/>
          <w:sz w:val="17"/>
          <w:szCs w:val="17"/>
          <w:color w:val="auto"/>
        </w:rPr>
        <w:t>In May 2022, we conducted a U.S. market research study with 90 gastroenterologists, 90 primary care physicians and 45 advanced practce providers who treat GERD. Before seeing the vonoprazan clinical data, 82% of these clinicians strongly agreed that PPIs are the most potent class of acid suppressing agents. Afer review of vonoprazan clinical data and messages, only 34% strongly agreed that PPIs are the most potent class of acid suppressing agents.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Sales and Marketng</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 xml:space="preserve">We are in the process of building marketng, sales, and distributon capabilites. We plan to independently commercialize vonoprazan in the United States by building a leading specialty gastroenterology-focused commercial infrastructure to support the adopton of vonoprazan. We believe we can successfully launch vonoprazan in the United States with a focused sales force targetng high prescribers of PPIs, partcularly gastroenterologists and primary care physicians. PPI prescribing is highly concentrated with approximately 76% of prescriptons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65% of prescriptons in erosive GERD being writen by 10% of the PPI prescribers (approximately 50,700 prescribers), according to IQVIA data. We believe we have an opportunity to achieve signifcant share of voice and exposure to physicians given the scarcity of actvely marketed ant-secretory medicines.</w:t>
      </w:r>
    </w:p>
    <w:p>
      <w:pPr>
        <w:spacing w:after="0" w:line="194" w:lineRule="exact"/>
        <w:rPr>
          <w:sz w:val="20"/>
          <w:szCs w:val="20"/>
          <w:color w:val="auto"/>
        </w:rPr>
      </w:pPr>
    </w:p>
    <w:p>
      <w:pPr>
        <w:ind w:right="640" w:firstLine="509"/>
        <w:spacing w:after="0" w:line="235" w:lineRule="auto"/>
        <w:rPr>
          <w:sz w:val="20"/>
          <w:szCs w:val="20"/>
          <w:color w:val="auto"/>
        </w:rPr>
      </w:pPr>
      <w:r>
        <w:rPr>
          <w:rFonts w:ascii="Calibri" w:cs="Calibri" w:eastAsia="Calibri" w:hAnsi="Calibri"/>
          <w:sz w:val="18"/>
          <w:szCs w:val="18"/>
          <w:color w:val="auto"/>
        </w:rPr>
        <w:t>To address the commercial opportunity for vonoprazan in Europe and Canada, we plan to seek one or more partners with existng commercial infrastructure and expertse in these markets.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Additonal Vonoprazan Development Opportunites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Eosinophilic esophagits and other indicatons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While we are initally focused on the development of vonoprazan for the treatment of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we believe there are opportunites to expand the use of vonoprazan to other indicatons, such as eosinophilic esophagits (EoE), in our licensed territories. Eosinophilic esophagits is an autoimmune disease with signifcant unmet need. Although not approved for this indicaton, PPIs are prescribed for the treatment of eosinophilic esophagits. Vonoprazan demonstrated similar efcacy to PPIs in an investgator-sponsored EoE clinical trial in Japan. In this clinical trial, 112 patents with eosinophilic esophagits were treated with vonoprazan, or the PPI rabeprazole or esomeprazole. Of patents treated with vonoprazan, 82% had complete relief of symptoms compared to 70% for esomeprazole and 76-78% for rabeprazole. Similarly, 35% of patents treated with vonoprazan demonstrated complete remission of eosinophilic esophagits by histology, compared to 37% for esomeprazole and 31-38% for rabeprazole. We are planning discussions with the FDA regarding the design of a Phase 2 clinical trial studying vonoprazan as a treatment for eosinophilic esophagits in adults.</w:t>
      </w:r>
    </w:p>
    <w:p>
      <w:pPr>
        <w:spacing w:after="0" w:line="196"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additon to eosinophilic esophagits, Barret’s esophagus and Zollinger Ellison syndrome are severe diseases related to acid secreton where PPIs are the current standard of care. The improved acid control of vonoprazan relatve to PPIs may lead to use in these indicatons improved results over PPIs.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Formulatons and Packaging</w:t>
      </w:r>
    </w:p>
    <w:p>
      <w:pPr>
        <w:spacing w:after="0" w:line="177" w:lineRule="exact"/>
        <w:rPr>
          <w:sz w:val="20"/>
          <w:szCs w:val="20"/>
          <w:color w:val="auto"/>
        </w:rPr>
      </w:pPr>
    </w:p>
    <w:p>
      <w:pPr>
        <w:jc w:val="both"/>
        <w:ind w:right="460" w:firstLine="509"/>
        <w:spacing w:after="0" w:line="254" w:lineRule="auto"/>
        <w:rPr>
          <w:sz w:val="20"/>
          <w:szCs w:val="20"/>
          <w:color w:val="auto"/>
        </w:rPr>
      </w:pPr>
      <w:r>
        <w:rPr>
          <w:rFonts w:ascii="Calibri" w:cs="Calibri" w:eastAsia="Calibri" w:hAnsi="Calibri"/>
          <w:sz w:val="17"/>
          <w:szCs w:val="17"/>
          <w:b w:val="1"/>
          <w:bCs w:val="1"/>
          <w:i w:val="1"/>
          <w:iCs w:val="1"/>
          <w:color w:val="auto"/>
        </w:rPr>
        <w:t>Orally Disintegratng Tablet</w:t>
      </w:r>
      <w:r>
        <w:rPr>
          <w:rFonts w:ascii="Calibri" w:cs="Calibri" w:eastAsia="Calibri" w:hAnsi="Calibri"/>
          <w:sz w:val="17"/>
          <w:szCs w:val="17"/>
          <w:color w:val="auto"/>
        </w:rPr>
        <w:t>. An orally disintegratng tablet, or ODT, formulaton for vonoprazan is currently in development by Takeda. We may</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conduct one or more Phase 1 trials to support potental approval of the ODT formulaton. We believe that the ODT represents a meaningful commercial opportunity for patents with difculty swallowing, as estmated peak U.S. sales of the lansoprazole ODT formulaton were over $450 million.</w:t>
      </w:r>
    </w:p>
    <w:p>
      <w:pPr>
        <w:spacing w:after="0" w:line="178"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b w:val="1"/>
          <w:bCs w:val="1"/>
          <w:i w:val="1"/>
          <w:iCs w:val="1"/>
          <w:color w:val="auto"/>
        </w:rPr>
        <w:t>Intravenous Formulaton</w:t>
      </w:r>
      <w:r>
        <w:rPr>
          <w:rFonts w:ascii="Calibri" w:cs="Calibri" w:eastAsia="Calibri" w:hAnsi="Calibri"/>
          <w:sz w:val="18"/>
          <w:szCs w:val="18"/>
          <w:color w:val="auto"/>
        </w:rPr>
        <w:t>. We are exploring the potental to develop an intravenous formulaton of vonoprazan for use in acute bleeding, critcally ill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patents, or other in-hospital applicatons. Several PPIs have approved intravenous formulatons.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b w:val="1"/>
          <w:bCs w:val="1"/>
          <w:i w:val="1"/>
          <w:iCs w:val="1"/>
          <w:color w:val="auto"/>
        </w:rPr>
        <w:t>Pediatric Formulaton</w:t>
      </w:r>
      <w:r>
        <w:rPr>
          <w:rFonts w:ascii="Calibri" w:cs="Calibri" w:eastAsia="Calibri" w:hAnsi="Calibri"/>
          <w:sz w:val="18"/>
          <w:szCs w:val="18"/>
          <w:color w:val="auto"/>
        </w:rPr>
        <w:t>. We are exploring the potental to develop an oral formulaton, in additon to an ODT formulaton, for pediatric use.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b w:val="1"/>
          <w:bCs w:val="1"/>
          <w:i w:val="1"/>
          <w:iCs w:val="1"/>
          <w:color w:val="auto"/>
        </w:rPr>
        <w:t>Over the Counter Use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believe that vonoprazan has the ideal profle for an OTC product, including the potental for as needed symptom relief and a well-tolerated safety profle. Sales of OTC heartburn relief products in the United States are substantal, consttutng a mult-billion-dollar market.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biopharmaceutcal industry is characterized by rapidly advancing technologies, intense competton and strong emphasis on proprietary products. We face potental competton from many sources, including major pharmaceutcal, specialty pharmaceutcal and biotechnology companies, academic insttutons and government agencies and public and private research insttutons. VOQUEZNA TRIPLE PAK and VOQUEZNA DUAL PAK, if launched, VOQUEZNA, if approved and launched, and vonoprazan, if it receives marketng approval in Europe or Canada, will all compete with existng therapies and new therapies that may become available in the future.</w:t>
      </w:r>
    </w:p>
    <w:p>
      <w:pPr>
        <w:spacing w:after="0" w:line="18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Some of our compettors, either alone or with their strategic partners, have substantally greater fnancial, technical and human resources and signifcantly greater experience in the discovery and development of product candidates, obtaining FDA and other regulatory approvals of treatments and commercializing those treatments. These same compettors may invent technology that competes with vonoprazan. Mergers and acquisitons in the biotechnology and pharmaceutcal industries may result in even more resources being concentrated among a smaller number of our compettors. These compettors also compete with us in recruitng and retaining qualifed scientfc and management personnel and establishing clinical trial sites and subject recruitment for clinical trials, as well as in acquiring technologies complementary to, or necessary for, our programs. Smaller or early-stage companies may also prove to be signifcant compettors, partcularly through collaboratve arrangements with large and established companies.</w:t>
      </w:r>
    </w:p>
    <w:p>
      <w:pPr>
        <w:spacing w:after="0" w:line="181"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Our commercial opportunity could be reduced or eliminated if our compettors develop and commercialize products that are more efectve, have fewer or less severe side efects, are more convenient or are less expensive than any products that we may develop. Our compettors also may obtain FDA or other regulatory approval for, or initate commercial launch of, their products more rapidly than we may obtain approval for or launch products containing vonoprazan, which could result in our compettors establishing a strong market positon before we are able to enter the market. In additon, we expect that VOQUEZNA TRIPLE PAK and VOQUEZNA DUAL PAK, if launched, and VOQUEZNA, if approved, will be priced at a premium over compettve generic products and our ability to compete may be afected in many cases by insurers or other third-party payers seeking to encourage the use of generic products.</w:t>
      </w:r>
    </w:p>
    <w:p>
      <w:pPr>
        <w:spacing w:after="0" w:line="1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We expect that vonoprazan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if launched, and, if approved, for the treatment of patents with erosive GERD, will primarily compete with generic PPIs marketed by multple pharmaceutcal companies in both the prescripton and OTC markets. Additonally, in March 2020, RedHill Biopharma Ltd. launched Talicia, a co-formulated capsule comprising generic omeprazole, amoxicillin, and rifabutn for the treatment of </w:t>
      </w:r>
      <w:r>
        <w:rPr>
          <w:rFonts w:ascii="Calibri" w:cs="Calibri" w:eastAsia="Calibri" w:hAnsi="Calibri"/>
          <w:sz w:val="18"/>
          <w:szCs w:val="18"/>
          <w:i w:val="1"/>
          <w:iCs w:val="1"/>
          <w:color w:val="auto"/>
        </w:rPr>
        <w:t xml:space="preserve">H. pylori </w:t>
      </w:r>
      <w:r>
        <w:rPr>
          <w:rFonts w:ascii="Calibri" w:cs="Calibri" w:eastAsia="Calibri" w:hAnsi="Calibri"/>
          <w:sz w:val="18"/>
          <w:szCs w:val="18"/>
          <w:color w:val="auto"/>
        </w:rPr>
        <w:t>infecton.</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3" w:right="419" w:bottom="1440" w:gutter="0" w:footer="0" w:header="0"/>
        </w:sectPr>
      </w:pPr>
    </w:p>
    <w:bookmarkStart w:id="40" w:name="page41"/>
    <w:bookmarkEnd w:id="40"/>
    <w:p>
      <w:pPr>
        <w:ind w:firstLine="509"/>
        <w:spacing w:after="0" w:line="250" w:lineRule="auto"/>
        <w:rPr>
          <w:sz w:val="20"/>
          <w:szCs w:val="20"/>
          <w:color w:val="auto"/>
        </w:rPr>
      </w:pPr>
      <w:r>
        <w:rPr>
          <w:rFonts w:ascii="Calibri" w:cs="Calibri" w:eastAsia="Calibri" w:hAnsi="Calibri"/>
          <w:sz w:val="17"/>
          <w:szCs w:val="17"/>
          <w:color w:val="auto"/>
        </w:rPr>
        <w:t xml:space="preserve">We are aware of other PCABs in development in the United States, as well as a number of other PCABs in territories outside of the United States that if developed and approved in our territories may compete with vonoprazan. In the United States, Neurogastrx previously announced its intenton to commence a Phase 3 erosive GERD trial for fexuprazan, under an exclusive license from Daewoong Pharmaceutcal Co., Ltd., or Daewoong. In additon, Cinclus Pharma AG, or Cinclus, received qualifed QIDP designaton for linaprazan glurate in combinaton with antbiotcs for the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completed a Phase 2 dose selecton study for erosive GERD in November 2022, and plans to initate Phase 3 studies in 2023 for the treatment of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Finally, Sebela Pharmaceutcals, which acquired development and commercializaton rights in United States and Canada to tegoprazan from HK inno.N, a South Korean company, has initated two Phase 3 studies in the United States, one for non-erosive GERD and the other for healing and maintenance of healing of erosive GERD. The earliest estmated completon date for any these studies is May 2024 and December 2024, respectvely. Outside the United States, in 2022 Daewoong launched fexuprazan in South Korea for the treatment of erosive GERD under the brand name Fexuclue, has submited applicatons for regulatory approval in additonal countries in Asia and Latn America, and has out-licensed rights to develop fexuprazan in China to Shanghai Haini, a subsidiary of China’s Yangtze River Pharmaceutcal Group. Also outside the United States, revaprazan is marketed by Yuhan Corporaton in South Korea, and tegoprazan is marketed by HK inno.N in South Korea, is also marketed in China and Indonesia, and is currently in development by RaQualia Pharma, Inc. in Japan. Additonally, Jeil Pharm has initated a Phase 3 trial in South Korea of its PCAB candidate, JP-1366, in erosive GERD, and Cinclus’ linaprazan glurate has completed a Phase 2 clinical trial in Europe. To our knowledge, none of these compounds have demonstrated superiority to PPIs in a Phase 3 clinical trial.</w:t>
      </w:r>
    </w:p>
    <w:p>
      <w:pPr>
        <w:spacing w:after="0" w:line="17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Additonally, we are aware of several clinical-stage PPIs in territories outside of the United States that if developed and approved in our licensed territories may compete with vonoprazan. These include Dexa Medica’s DLBS-2411, currently launched in the Philippines and in Phase 3 in Indonesia, Sihuan Pharmaceutcal’s anaprazole, currently in Phase 3 in China, and Eisai’s azeloprazole, currently in a Phase 2 in China.</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Intellectual property, including patents, trade secrets, trademarks and copyrights, is important to our business. Our commercial success depends in part on our ability to obtain and maintain proprietary intellectual property protecton for vonoprazan,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protecton of our proprietary positon by, among other methods, licensing or fling U.S. and foreign patents and applicatons relatng to our technology, inventons, and improvements that are important to the development and implementaton of our business.</w:t>
      </w:r>
    </w:p>
    <w:p>
      <w:pPr>
        <w:spacing w:after="0" w:line="18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Our patent portolio, comprising patents and patent applicatons exclusively licensed to us, is built with a goal of establishing broad protecton that generally includes, for the product candidate compound, claims directed to compositon of mater, pharmaceutcal compositons or formulatons, methods of synthesis, and methods of treatment using such pharmaceutcal compositons or formulatons. As of December 31, 2022, our patent portolio covering vonoprazan consists solely of exclusively licensed patents and patent applicatons from Takeda. Subject to the terms of the license agreement we entered into with Takeda on May 7, 2019, or the Takeda License, we have licensed from Takeda exclusive rights in the United States, Europe, and Canada to patents and patent applicatons covering the compositon of mater, formulaton, use and/or manufacture of vonoprazan. Our patent portolio comprises 10 distnct patent families protectng the technology relatng to the compound vonoprazan and its synthetc intermediates, methods of synthesizing vonoprazan and related compounds, various formulatons of vonoprazan products, as well as methods of treatng diseases with vonoprazan and related compounds. As of December 31, 2022, our portolio consists of approximately 23 issued U.S. patents, 6 pending U.S. applicatons, 14 issued European patents subsequently validated in individual European countries, 3 pending European applicatons, 5 issued Canadian patents, and 3 pending Canadian applicatons. The issued patents and pending applicatons have nominal expiraton dates ranging from 2024 to 2038 without accountng for any available patent term adjustments or extensions. The issued U.S. patent covering the compositon of mater of vonoprazan is expected to expire in August 2028, not including patent term extension. The issued U.S. patent covering the formulaton of vonoprazan is expected to expire in August 2030, not including patent term extension.</w:t>
      </w:r>
    </w:p>
    <w:p>
      <w:pPr>
        <w:spacing w:after="0" w:line="18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term of individual patents in our portolio depends upon the legal term of patents in the countries in which they are obtained. In most countries in which we fle, including the United States, the patent term is 20 years from the earliest date of fling a non-provisional patent applicaton. In the United States, the term of a patent may be eligible for patent term adjustment, which permits patent term restoraton as compensaton for delays incurred at the USPTO during the patent prosecuton process. In additon, for patents that cover an FDA-approved drug, the Drug Price Competton and Patent Term Restoraton Act of 1984, or the Hatch-Waxman Act, permits a patent term extension of up to fve years beyond the expiraton of the patent. While the length of the patent term extension is related to the length of tme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jurisdicton where such extensions are available; however, there is no guarantee that the applicable authorites, including the FDA in the United States, will agree with our assessment of whether such extensions should be granted, and if granted, the length of such extensions.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42" w:name="page43"/>
    <w:bookmarkEnd w:id="42"/>
    <w:p>
      <w:pPr>
        <w:ind w:right="20" w:firstLine="509"/>
        <w:spacing w:after="0" w:line="235" w:lineRule="auto"/>
        <w:rPr>
          <w:sz w:val="20"/>
          <w:szCs w:val="20"/>
          <w:color w:val="auto"/>
        </w:rPr>
      </w:pPr>
      <w:r>
        <w:rPr>
          <w:rFonts w:ascii="Calibri" w:cs="Calibri" w:eastAsia="Calibri" w:hAnsi="Calibri"/>
          <w:sz w:val="18"/>
          <w:szCs w:val="18"/>
          <w:color w:val="auto"/>
        </w:rPr>
        <w:t>The patent positons of companies like ours are generally uncertain and involve complex legal and factual questons. The relevant patent laws and their interpretaton outside of the United States is also uncertain. Changes in either the patent laws or their interpretaton in the United States and other countries may diminish our ability to protect our technology or product candidates and could afect the value of such intellectual property. In partcular, our ability to stop third partes from making, using, selling, ofering to sell or importng products that infringe our intellectual property will depend in part on our success in obtaining and enforcing patent claims that cover our technology, inventons and improvements. We cannot guarantee that patents will be granted with respect to any of our licensed pending patent applicatons or with respect to any patent applicatons we may fle in the future, nor can we be sure that any patents that may be granted to us or Takeda in the future will be commercially useful in protectng our products, the methods of use or manufacture of those products. Moreover, issued patents do not guarantee the right to practce our technology in relaton to the commercializaton of our products. Issued patents only allow us to block potental compettors from practcing the claimed inventons of the issued patents.</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 patents and other intellectual property rights in the pharmaceutcal and biotechnology space are evolving and involve many risks and uncertaintes. For example, third partes may have blocking patents that could be used to prevent us from commercializing vonoprazan and any future product candidates and practcing our proprietary technology, and any issued patents may be challenged, invalidated or circumvented, which could limit our ability to stop compettors from marketng related products or could limit the term of patent protecton that otherwise may exist for vonoprazan and any future product candidates. In additon, the scope of the rights granted under any issued patents may not provide us with protecton or compettve advantages against compettors with similar technology. Furthermore, our compettors may independently develop similar technologies that are outside the scope of the rights granted under any issued patents. For these reasons, we may face competton with respect to vonoprazan and any future product candidates. Moreover, because of the extensive tme required for development, testng and regulatory review of a potental product, it is possible that, before any partcular product candidate can be commercialized, any patent protecton for such product may expire or remain in force for only a short period following commercializaton, thereby reducing the commercial advantage the patent provides.</w:t>
      </w:r>
    </w:p>
    <w:p>
      <w:pPr>
        <w:spacing w:after="0" w:line="1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It is our policy to require our employees, consultants, outside scientfc collaborators, sponsored researchers and other advisors to execute confdentality agreements upon the commencement of employment or consultng relatonships with us, and for employees and consultants to enter into inventon assignment agreements with us. These agreements provide that all confdental informaton developed or made known to the individual during the course of the individual’s relatonship with us is to be kept confdental and not disclosed to third partes except in specifc circumstances. Where applicable, the agreements provide that all inventons to which the individual contributed as an inventor shall be assigned to Phathom, and as such, will become our property. There can be no assurance, however, that these agreements will provide meaningful protecton or adequate remedies for our trade secrets in the event of unauthorized use or disclosure of such informaton.</w:t>
      </w:r>
    </w:p>
    <w:p>
      <w:pPr>
        <w:spacing w:after="0" w:line="195" w:lineRule="exact"/>
        <w:rPr>
          <w:sz w:val="20"/>
          <w:szCs w:val="20"/>
          <w:color w:val="auto"/>
        </w:rPr>
      </w:pPr>
    </w:p>
    <w:p>
      <w:pPr>
        <w:ind w:right="700" w:firstLine="509"/>
        <w:spacing w:after="0" w:line="235" w:lineRule="auto"/>
        <w:rPr>
          <w:sz w:val="20"/>
          <w:szCs w:val="20"/>
          <w:color w:val="auto"/>
        </w:rPr>
      </w:pPr>
      <w:r>
        <w:rPr>
          <w:rFonts w:ascii="Calibri" w:cs="Calibri" w:eastAsia="Calibri" w:hAnsi="Calibri"/>
          <w:sz w:val="18"/>
          <w:szCs w:val="18"/>
          <w:color w:val="auto"/>
        </w:rPr>
        <w:t>Further, we have fled for and have received trademark registratons for our company name “Phathom Pharmaceutcals” in the United States, European Union, and other foreign jurisdictons, and are pursuing trademark protecton in certain other foreign jurisdictons.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b w:val="1"/>
          <w:bCs w:val="1"/>
          <w:i w:val="1"/>
          <w:iCs w:val="1"/>
          <w:color w:val="auto"/>
        </w:rPr>
        <w:t>License Agreement with Takeda Pharmaceutcal Company Limited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7, 2019, we and Takeda entered into the Takeda License, pursuant to which, Takeda granted us an exclusive, sublicensable (with Takeda’s reasonable consent) license under certain patents and know how relatng to vonoprazan and owned or controlled by Takeda during the term of the Takeda License to commercialize vonoprazan products using specifed formulatons for all human therapeutc uses in the United States, Europe and Canada, and a non-exclusive license under such patents and know how to develop and manufacture such vonoprazan products anywhere in the world (subject to Takeda’s consent as to each country) for the purposes of commercializing the vonoprazan products in the United States, Europe and Canada. We granted Takeda a non-exclusive, royalty-free, sublicensable license under our rights in any patents and know-how that are necessary or useful to enable Takeda to develop and manufacture vonoprazan products anywhere in the world for the purposes of commercializaton outside United States, Europe and Canada. We also granted Takeda an exclusive, royalty-free license under our rights in certain patents and know-how owned or controlled by us and necessary for the exploitaton of vonoprazan products, in each case for Takeda to commercialize any vonoprazan product outside of the United States, Canada, and Europe and for purposes other than human therapeutc use.</w:t>
      </w:r>
    </w:p>
    <w:p>
      <w:pPr>
        <w:spacing w:after="0" w:line="184"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the vonoprazan products. We are required to use commercially reasonable eforts to develop and commercialize the vonoprazan products in our licensed territory.</w:t>
      </w:r>
    </w:p>
    <w:p>
      <w:pPr>
        <w:spacing w:after="0" w:line="192"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 We have the frst right to enforce the licensed patent rights with respect to certain infringing products in the United States, Europe and Canada.</w:t>
      </w:r>
    </w:p>
    <w:p>
      <w:pPr>
        <w:spacing w:after="0" w:line="1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paid Takeda upfront consideraton consistng of a cash payment of $25.0 million, 1,084,000 shares of common stock and a warrant to purchase 7,588,000 shares of common stock, or the Takeda Warrant. We agreed to make milestone payments to Takeda upon achieving certain tered aggregate annual net sales of licensed products in the United States, Europe and Canada up a total maximum milestone amount of $250.0 million. We also agreed to make tered royalty payments in the low double digits to the mid-teens on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Takeda License will contnue untl the expiraton of the obligaton to pay royaltes in all countries and on all products. We may terminate the Takeda License in its entrety without cause upon six months’ prior writen notce. We and Takeda may terminate the Takeda License in the case of the other party’s insolvency, or upon prior writen notce within a specifed tme period for the other party’s material uncured breach. Takeda may terminate the Takeda License in its entrety if we challenge the licensed patents, or if we assist any third party in challenging such patents.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b w:val="1"/>
          <w:bCs w:val="1"/>
          <w:color w:val="auto"/>
        </w:rPr>
        <w:t>Manufacturing</w:t>
      </w:r>
    </w:p>
    <w:p>
      <w:pPr>
        <w:spacing w:after="0" w:line="177"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We do not currently own or operate manufacturing facilites for the producton of clinical or commercial quanttes of vonoprazan. Vonoprazan is a small molecule that can be manufactured using commercially available technologies.</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With respect to any future product candidates, we expect to contnue to rely on third-party contract manufacturers to manufacture clinical supplies and commercial quanttes of any approved product. Although we rely on contract manufacturers, we have personnel with manufacturing experience to oversee our relatonships with Takeda, Sandoz, Catalent and Evonik.</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Takeda Commercial Supply Agreement</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In April 2020, we entered into a Commercial Supply Agreement with Takeda, or the Takeda Supply Agreement, pursuant to which Takeda will supply us with commercial quanttes of vonoprazan bulk drug. Pursuant to the Commercial Supply Agreement, Takeda has agreed to supply us certain quanttes of vonoprazan bulk drug product according to approved specifcatons at a fxed price per batch of bulk drug product in order to commercialize vonoprazan in accordance with the Takeda License. The Takeda Supply Agreement sets forth a minimum and maximum number of batches of vonoprazan bulk drug product that we are required to order each year, and if we do not purchase the minimum number of batches in a year, other than as a result of Takeda’s inability to supply such batches for any reason, or as a result of force majeure, we are required to pay Takeda the amount corresponding to the shortall. Takeda has no obligaton to supply bulk drug product above the maximum number of batches specifed in the Takeda Supply Agreement.</w:t>
      </w:r>
    </w:p>
    <w:p>
      <w:pPr>
        <w:spacing w:after="0" w:line="16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under the Takeda Supply Agreement, Takeda will provide certain services and materials, including vonoprazan drug substance, to support the transfer of technology and Takeda manufacturing know-how to our contract manufacturing organizatons, or CMOs, that we designate. Takeda has agreed to negotate in good faith to provide reasonable additonal support, including technical advice and supply of materials, to assist us with technology transfers to the CMOs.</w:t>
      </w:r>
    </w:p>
    <w:p>
      <w:pPr>
        <w:spacing w:after="0" w:line="192" w:lineRule="exact"/>
        <w:rPr>
          <w:sz w:val="20"/>
          <w:szCs w:val="20"/>
          <w:color w:val="auto"/>
        </w:rPr>
      </w:pPr>
    </w:p>
    <w:p>
      <w:pPr>
        <w:ind w:right="100" w:firstLine="509"/>
        <w:spacing w:after="0" w:line="252" w:lineRule="auto"/>
        <w:rPr>
          <w:sz w:val="20"/>
          <w:szCs w:val="20"/>
          <w:color w:val="auto"/>
        </w:rPr>
      </w:pPr>
      <w:r>
        <w:rPr>
          <w:rFonts w:ascii="Calibri" w:cs="Calibri" w:eastAsia="Calibri" w:hAnsi="Calibri"/>
          <w:sz w:val="17"/>
          <w:szCs w:val="17"/>
          <w:color w:val="auto"/>
        </w:rPr>
        <w:t>The Takeda Supply Agreement will contnue untl the earlier of (a) two years from the date we place an order for bulk drug product for the frst commercial launch of vonoprazan in any jurisdicton in the United States, Europe or Canada, and (b) December 31, 2023. The Takeda Supply Agreement may be terminated upon writen notce by either party if the other party has failed to remedy a material breach within a specifed cure period following writen notce of such breach. The Takeda Supply Agreement will terminate immediately upon the terminaton of the Takeda License in accordance with its terms.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b w:val="1"/>
          <w:bCs w:val="1"/>
          <w:i w:val="1"/>
          <w:iCs w:val="1"/>
          <w:color w:val="auto"/>
        </w:rPr>
        <w:t>Sandoz Supply and Packaging Agreement</w:t>
      </w:r>
    </w:p>
    <w:p>
      <w:pPr>
        <w:spacing w:after="0" w:line="177" w:lineRule="exact"/>
        <w:rPr>
          <w:sz w:val="20"/>
          <w:szCs w:val="20"/>
          <w:color w:val="auto"/>
        </w:rPr>
      </w:pPr>
    </w:p>
    <w:p>
      <w:pPr>
        <w:jc w:val="both"/>
        <w:ind w:right="280" w:firstLine="509"/>
        <w:spacing w:after="0" w:line="235" w:lineRule="auto"/>
        <w:rPr>
          <w:sz w:val="20"/>
          <w:szCs w:val="20"/>
          <w:color w:val="auto"/>
        </w:rPr>
      </w:pPr>
      <w:r>
        <w:rPr>
          <w:rFonts w:ascii="Calibri" w:cs="Calibri" w:eastAsia="Calibri" w:hAnsi="Calibri"/>
          <w:sz w:val="18"/>
          <w:szCs w:val="18"/>
          <w:color w:val="auto"/>
        </w:rPr>
        <w:t>In December 2020, we entered into a Supply and Packaging Services Agreement with Sandoz GmbH, or the Sandoz Supply Agreement, pursuant to which Sandoz has agreed to supply commercial quanttes of amoxicillin capsules and clarithromycin tablets, to package these antbiotcs with vonoprazan drug product in fnished convenience packs, and to supply us with these convenience packs.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Pursuant to the Sandoz Supply Agreement, we agreed to purchase certain quanttes of convenience packs from Sandoz at an agreed upon price per pack. The price per pack is fxed for the frst two (2) years following launch of the convenience pack in the United State and may be adjusted thereafer based on Sandoz’s cost increases, subject to an annual cap. The Sandoz Supply Agreement sets forth an annual minimum number of convenience packs that we must purchase each year following launch of the convenience pack product, and if we do not meet the minimum order in a given year, we are required to pay Sandoz the amount corresponding to the shortall. Sandoz has no obligaton to supply convenience packs above a maximum number of packs above a certain percentage of our forecasts. We have agreed to purchase convenience packs, amoxicillin capsules and clarithromycin tablets, in each case intended for sale in the United States, exclusively from Sandoz during the fve-year period following launch.</w:t>
      </w:r>
    </w:p>
    <w:p>
      <w:pPr>
        <w:spacing w:after="0" w:line="195"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The Sandoz Supply Agreement will contnue for fve years from launch of the convenience pack in the U.S. and may be terminated efectve at the end of the inital fve-year term upon writen notce by either party prior to the end of the third year following launch. In the absence of such notce, the Sandoz Supply Agreement will extend automatcally for an additonal three-year period, and thereafer as mutually agreed upon by the partes. The Sandoz Supply Agreement may also be terminated at any tme upon writen notce by either party for uncured material breach following writen notce of such breach.</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b w:val="1"/>
          <w:bCs w:val="1"/>
          <w:i w:val="1"/>
          <w:iCs w:val="1"/>
          <w:color w:val="auto"/>
        </w:rPr>
        <w:t>Catalent Commercial Supply Agreement</w:t>
      </w:r>
    </w:p>
    <w:p>
      <w:pPr>
        <w:spacing w:after="0" w:line="177"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In July 2021, we entered into a Commercial Supply Agreement, or the Tablet Supply Agreement, with Catalent Pharma Solutons, LLC, or Catalent, pursuant to which Catalent has agreed to supply us with commercial quanttes of vonoprazan fumarate tablets.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Pursuant to the Tablet Supply Agreement, Catalent has agreed to supply us with, and the Company has agreed to purchase from Catalent, fnished vonoprazan tablets at an agreed upon price per unit. The price per unit may be adjusted annually based on increases in costs incurred by Catalent. The Tablet Supply Agreement requires us to purchase a specifed percentage of its requirements of fnished vonoprazan tablets from Catalent, which percentage is subject to adjustment following the third anniversary of the frst day of the calendar quarter during which Catalent is scheduled to deliver the inital fnished vonoprazan tablets to us intended for commercial sale, excluding validaton batches, or the Commencement Date.</w:t>
      </w:r>
    </w:p>
    <w:p>
      <w:pPr>
        <w:spacing w:after="0" w:line="19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Unless terminated earlier, the term of the Tablet Supply Agreement extends for a period of fve years from the Commencement Date. The Tablet Supply Agreement will extend automatcally for additonal two year periods unless terminated by either party upon at least 24months prior writen notce. The Tablet Supply Agreement may also be terminated at any tme upon writen notce by either party if the other party has failed to remedy a material breach of the terms of the Tablet Supply Agreement within a specifed period following receipt of writen notce of such breach.</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Evonik Commercial Supply Agreement</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August 2022, we entered into a Commercial Supply Agreement, or the API Supply Agreement, with Evonik Operatons GmbH, or Evonik, pursuant to which Evonik has agreed to supply us with commercial quanttes of vonoprazan drug substance, or API.</w:t>
      </w:r>
    </w:p>
    <w:p>
      <w:pPr>
        <w:spacing w:after="0" w:line="177" w:lineRule="exact"/>
        <w:rPr>
          <w:sz w:val="20"/>
          <w:szCs w:val="20"/>
          <w:color w:val="auto"/>
        </w:rPr>
      </w:pPr>
    </w:p>
    <w:p>
      <w:pPr>
        <w:ind w:right="260" w:firstLine="509"/>
        <w:spacing w:after="0" w:line="252" w:lineRule="auto"/>
        <w:rPr>
          <w:sz w:val="20"/>
          <w:szCs w:val="20"/>
          <w:color w:val="auto"/>
        </w:rPr>
      </w:pPr>
      <w:r>
        <w:rPr>
          <w:rFonts w:ascii="Calibri" w:cs="Calibri" w:eastAsia="Calibri" w:hAnsi="Calibri"/>
          <w:sz w:val="17"/>
          <w:szCs w:val="17"/>
          <w:color w:val="auto"/>
        </w:rPr>
        <w:t>Pursuant to the API Supply Agreement, Evonik has agreed to supply us with, and we have agreed to purchase, certain quanttes of API at an agreed upon price which varies based on the volume of product ordered. The price may also be adjusted based on actual changes in costs incurred by Evonik. Subject to pre-existng purchase obligatons to Takeda, we have agreed to purchase a percentage of our annual requirements of API from Evonik, for which the percentage of our annual API requirements is subject to adjustment based upon the price of API under the API Supply Agreement.</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Unless terminated earlier, the API Supply Agreement has an inital period that expires in August 2027. This inital term will be extended by two additonal years if Evonik successfully qualifes a second manufacturing facility to produce API no later than December 31, 2024. The API Supply Agreement may be terminated efectve at the end of the inital period on at least 24-months writen notce by either party. In the absence of such notce, the API Supply Agreement will extend automatcally for additonal 2-year periods which may be terminated upon 18 months’ notce. The API Supply Agreement may also be terminated at any tme upon writen notce by either party if the other party has failed to remedy a material breach of the terms of the Supply Agreement within a specifed period following receipt of writen notce of such breach.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b w:val="1"/>
          <w:bCs w:val="1"/>
          <w:color w:val="auto"/>
        </w:rPr>
        <w:t>Government Regulaton</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Government authorites in the United States, at the federal, state and local level, and other countries extensively regulate, among other things, the research, development, testng, manufacture, quality control, approval, labeling, packaging, storage, record-keeping, promoton, advertsing, distributon, marketng and export and import of products such as those we are developing. A new drug must be approved by the FDA through the NDA process before it may be legally marketed in the United States.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Drug Development Process</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the United States, the FDA regulates drugs under the federal Food, Drug, and Cosmetc Act, or the FDCA, and its implementng regulatons. The process of obtaining regulatory approvals and the subsequent compliance with appropriate federal, state, local and foreign statutes and regulatons require the expenditure of substantal tme and fnancial resources.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process required by the FDA before a drug may be marketed in the United States generally involves the following:</w:t>
      </w:r>
    </w:p>
    <w:p>
      <w:pPr>
        <w:spacing w:after="0" w:line="190" w:lineRule="exact"/>
        <w:rPr>
          <w:sz w:val="20"/>
          <w:szCs w:val="20"/>
          <w:color w:val="auto"/>
        </w:rPr>
      </w:pPr>
    </w:p>
    <w:p>
      <w:pPr>
        <w:ind w:left="900" w:right="660" w:hanging="383"/>
        <w:spacing w:after="0" w:line="235" w:lineRule="auto"/>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completon of preclinical laboratory tests, animal studies and formulaton studies in accordance with Good Laboratory Practce, or GLP, regulatons and other applicable regulatons;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investgatonal new drug applicaton, or IND, which must become efectve before human clinical trials may begin;</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by an independent insttutonal review board, or IRB, at each clinical site before each trial may be initated;</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performance of adequate and well-controlled human clinical trials in accordance with Good Clinical Practce, or GCP, regulatons to establish the safety and efcacy of the proposed drug for its intended use;</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NDA;</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advisory commitee review, if applicable;</w:t>
      </w:r>
    </w:p>
    <w:p>
      <w:pPr>
        <w:spacing w:after="0" w:line="190" w:lineRule="exact"/>
        <w:rPr>
          <w:rFonts w:ascii="Times New Roman" w:cs="Times New Roman" w:eastAsia="Times New Roman" w:hAnsi="Times New Roman"/>
          <w:sz w:val="18"/>
          <w:szCs w:val="18"/>
          <w:color w:val="auto"/>
        </w:rPr>
      </w:pPr>
    </w:p>
    <w:p>
      <w:pPr>
        <w:jc w:val="both"/>
        <w:ind w:left="900" w:right="140" w:hanging="383"/>
        <w:spacing w:after="0" w:line="235" w:lineRule="auto"/>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inspecton of the manufacturing facility or facilites at which the drug is produced to assess compliance with current Good Manufacturing Practce, or cGMP, requirements to assure that the facilites, methods and controls are adequate to preserve the drug’s identty, strength, quality and purity, and of selected clinical investgaton sites to assess compliance with GCPs; and</w:t>
      </w:r>
    </w:p>
    <w:p>
      <w:pPr>
        <w:spacing w:after="0" w:line="20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FDA review and approval of the NDA to permit commercial marketng of the product for partcular indicatons for use in the United States.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93" w:right="459" w:bottom="1440" w:gutter="0" w:footer="0" w:header="0"/>
        </w:sectPr>
      </w:pPr>
    </w:p>
    <w:bookmarkStart w:id="48" w:name="page49"/>
    <w:bookmarkEnd w:id="48"/>
    <w:p>
      <w:pPr>
        <w:ind w:firstLine="509"/>
        <w:spacing w:after="0" w:line="235" w:lineRule="auto"/>
        <w:rPr>
          <w:sz w:val="20"/>
          <w:szCs w:val="20"/>
          <w:color w:val="auto"/>
        </w:rPr>
      </w:pPr>
      <w:r>
        <w:rPr>
          <w:rFonts w:ascii="Calibri" w:cs="Calibri" w:eastAsia="Calibri" w:hAnsi="Calibri"/>
          <w:sz w:val="18"/>
          <w:szCs w:val="18"/>
          <w:color w:val="auto"/>
        </w:rPr>
        <w:t>Once a pharmaceutcal candidate is identfed for development, it enters the preclinical testng stage. Preclinical tests include laboratory evaluatons of product chemistry, toxicity and formulaton, as well as animal studies. The conduct of preclinical studies is subject to federal regulatons and requirements, including GLP regulatons. Prior to beginning the frst clinical trial with a product candidate in the United States, a sponsor must submit an IND to the FDA. The sponsor must submit the results of the preclinical tests, together with manufacturing informaton and analytcal data, to the FDA as part of the IND. An IND is a request for authorizaton from the FDA to administer an investgatonal new drug product to humans. The sponsor will also include a protocol detailing, among other things, the objectves of the frst phase of the clinical trial, the parameters to be used in monitoring safety, and the efectveness criteria to be evaluated, if the frst phase lends itself to an efcacy evaluaton. Some preclinical testng may contnue even afer the IND is submited. The IND automatcally becomes efectve 30 days afer receipt by the FDA, unless the FDA, within the 30-day tme period, places the clinical trial on a clinical hold. In such a case, the IND sponsor and the FDA must resolve any outstanding concerns before the clinical trial can begin. Clinical holds also may be imposed by the FDA at any tme before or during clinical trials due to safety concerns about on-going or proposed clinical trials or non-compliance with specifc FDA requirements, and the trials may not begin or contnue untl the FDA notfes the sponsor that the hold has been lifed. Submission of an IND therefore may or may not result in FDA authorizaton to begin a clinical trial.</w:t>
      </w:r>
    </w:p>
    <w:p>
      <w:pPr>
        <w:spacing w:after="0" w:line="18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Clinical trials involve the administraton of the investgatonal product to human subjects under the supervision of one or more qualifed investgators in accordance with GCP regulatons, which include the requirement that all research subjects provide their informed consent in writng for their partcipaton in any clinical trial. Clinical trials are conducted under protocols detailing, among other things, the objectves of the trial, dosing procedures, subject selecton and exclusion criteria and the safety and efectveness criteria to be evaluated. Each protocol must be submited to the FDA as part of the IND as well as any subsequent protocol amendments. While the IND is actve, progress reports summarizing the results of the clinical trials and nonclinical studies performed since the last progress report, among other informaton, must be submited at least annually to the FDA, and writen IND safety reports must be submited to the FDA and investgators for serious and unexpected suspected adverse events, fndings from other studies suggestng a signifcant risk to humans exposed to the drug, fndings from animal or in vitro testng suggestng a signifcant risk to humans exposed to the drug, and any clinically important increased rate of a serious suspected adverse reacton compared to that listed in the protocol or investgator brochure.</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Furthermore, an IRB at each insttuton partcipatng in the clinical trial must review and approve each protocol before a clinical trial commences at that insttuton and must also approve the informaton regarding the trial and the consent form that must be provided to each trial subject or his or her legal representatve, monitor the study untl completed and otherwise comply with IRB regulatons. There are also requirements governing the reportng of ongoing clinical studies and clinical study results to public registries. The FDA or the sponsor may suspend a clinical trial at any tme on various grounds, including a fnding that the research subjects or patents are being exposed to an unacceptable health risk. Similarly, an IRB can suspend or terminate approval of a clinical trial at its insttuton if the clinical trial is not being conducted in accordance with the IRB’s requirements or if the drug has been associated with unexpected serious harm to patents. In additon, some clinical trials are overseen by an independent group of qualifed experts organized by the sponsor, known as a data safety monitoring board or commitee. Depending on its charter, this group may determine whether a trial may move forward at designated check points based on access to certain data from the trial.</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9" w:name="page50"/>
    <w:bookmarkEnd w:id="49"/>
    <w:p>
      <w:pPr>
        <w:ind w:left="520"/>
        <w:spacing w:after="0"/>
        <w:rPr>
          <w:sz w:val="20"/>
          <w:szCs w:val="20"/>
          <w:color w:val="auto"/>
        </w:rPr>
      </w:pPr>
      <w:r>
        <w:rPr>
          <w:rFonts w:ascii="Calibri" w:cs="Calibri" w:eastAsia="Calibri" w:hAnsi="Calibri"/>
          <w:sz w:val="18"/>
          <w:szCs w:val="18"/>
          <w:color w:val="auto"/>
        </w:rPr>
        <w:t>Human clinical trials are typically conducted in three sequental phases that may overlap or be combined:</w:t>
      </w:r>
    </w:p>
    <w:p>
      <w:pPr>
        <w:spacing w:after="0" w:line="190" w:lineRule="exact"/>
        <w:rPr>
          <w:sz w:val="20"/>
          <w:szCs w:val="20"/>
          <w:color w:val="auto"/>
        </w:rPr>
      </w:pPr>
    </w:p>
    <w:p>
      <w:pPr>
        <w:jc w:val="both"/>
        <w:ind w:left="900" w:right="42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1</w:t>
      </w:r>
      <w:r>
        <w:rPr>
          <w:rFonts w:ascii="Calibri" w:cs="Calibri" w:eastAsia="Calibri" w:hAnsi="Calibri"/>
          <w:sz w:val="18"/>
          <w:szCs w:val="18"/>
          <w:color w:val="auto"/>
        </w:rPr>
        <w:t>: The product candidate is initally introduced into healthy human volunteers or patents with the target disease or conditon. These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studies test for safety, dosage tolerance, absorpton, metabolism, distributon and excreton and, if possible, to gain an early indicaton of its efectveness.</w:t>
      </w:r>
    </w:p>
    <w:p>
      <w:pPr>
        <w:spacing w:after="0" w:line="191"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2</w:t>
      </w:r>
      <w:r>
        <w:rPr>
          <w:rFonts w:ascii="Calibri" w:cs="Calibri" w:eastAsia="Calibri" w:hAnsi="Calibri"/>
          <w:sz w:val="18"/>
          <w:szCs w:val="18"/>
          <w:color w:val="auto"/>
        </w:rPr>
        <w:t>: The product candidate is administered to a limited patent populaton with a specifed disease or conditon to evaluate the preliminary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efcacy, optmal dosages and dosing schedule and to identfy possible adverse side efects and safety risks.</w:t>
      </w:r>
    </w:p>
    <w:p>
      <w:pPr>
        <w:spacing w:after="0" w:line="204"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3</w:t>
      </w:r>
      <w:r>
        <w:rPr>
          <w:rFonts w:ascii="Calibri" w:cs="Calibri" w:eastAsia="Calibri" w:hAnsi="Calibri"/>
          <w:sz w:val="18"/>
          <w:szCs w:val="18"/>
          <w:color w:val="auto"/>
        </w:rPr>
        <w:t>: The product candidate is administered to an expanded patent populaton to further evaluate dosage, to provide statstcally signifcant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evidence of the product’s efectveness for its intended use(s) and to further test for safety, generally at multple geographically dispersed clinical trial sites. These clinical trials are intended to establish the overall risk-beneft rato of the product candidate and provide, if appropriate, an adequate basis for product labeling.</w:t>
      </w:r>
    </w:p>
    <w:p>
      <w:pPr>
        <w:spacing w:after="0" w:line="179"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Post-approval trials, sometmes referred to as Phase 4 studies, may be conducted afer inital marketng approval. These trials are used to gain additonal experience from the treatment of patents in the intended therapeutc indicaton. In certain instances, the FDA may mandate the performance of Phase 4 clinical trials as a conditon of approval of an NDA.</w:t>
      </w:r>
    </w:p>
    <w:p>
      <w:pPr>
        <w:spacing w:after="0" w:line="17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While the IND is actve, progress reports summarizing the results of the clinical trials and nonclinical studies performed since the last progress report, among other informaton, must be submited at least annually to the FDA, and writen IND safety reports must be submited to the FDA and investgators for serious and unexpected suspected adverse events, fndings from other studies suggestng a signifcant risk to humans exposed to the drug, fndings from animal or in vitro testng suggestng a signifcant risk to humans exposed to the drug, and any clinically important increased rate of a serious suspected adverse reacton compared to that listed in the protocol or investgator brochure.</w:t>
      </w:r>
    </w:p>
    <w:p>
      <w:pPr>
        <w:spacing w:after="0" w:line="193"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FDA or the sponsor may suspend a clinical trial at any tme on various grounds, including a fnding that the research subjects or patents are being exposed to an unacceptable health risk. Similarly, an IRB can suspend or terminate approval of a clinical trial at its insttuton if the clinical trial is not being conducted in accordance with the IRB’s requirements or if the drug has been associated with unexpected serious harm to patents. In additon, some clinical trials are overseen by an independent group of qualifed experts organized by the sponsor, known as a data safety monitoring board or commitee. Depending on its charter, this group may determine whether a trial may move forward at designated check points based on access to certain data from the trial.</w:t>
      </w:r>
    </w:p>
    <w:p>
      <w:pPr>
        <w:spacing w:after="0" w:line="17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During the development of a new drug, sponsors are given opportunites to meet with the FDA at certain points. These points may be prior to submission of an IND, at the end of Phase 2, and before an NDA is submited. Meetngs at other tmes may be requested. These meetngs can provide an opportunity for the sponsor to share informaton about the data gathered to date, for the FDA to provide advice, and for the sponsor and the FDA to reach agreement on the next phase of development. Sponsors typically use the meetngs at the end of the Phase 2 trial to discuss Phase 2 clinical results and present plans for the pivotal Phase 3 clinical trials that they believe will support approval of the new drug.</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Concurrent with clinical trials, companies usually complete additonal animal studies and must also develop additonal informaton about the chemistry and physical characteristcs of the drug and fnalize a process for manufacturing the product in commercial quanttes in accordance with cGMP requirements. The manufacturing process must be capable of consistently producing quality batches of the product candidate and, among other things, the manufacturer must develop methods for testng the identty, strength, quality and purity of the fnal drug. In additon, appropriate packaging must be selected and tested and stability studies must be conducted to demonstrate that the product candidate does not undergo unacceptable deterioraton over its shelf life.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0" w:name="page51"/>
    <w:bookmarkEnd w:id="50"/>
    <w:p>
      <w:pPr>
        <w:ind w:right="360" w:firstLine="509"/>
        <w:spacing w:after="0" w:line="235" w:lineRule="auto"/>
        <w:rPr>
          <w:sz w:val="20"/>
          <w:szCs w:val="20"/>
          <w:color w:val="auto"/>
        </w:rPr>
      </w:pPr>
      <w:r>
        <w:rPr>
          <w:rFonts w:ascii="Calibri" w:cs="Calibri" w:eastAsia="Calibri" w:hAnsi="Calibri"/>
          <w:sz w:val="18"/>
          <w:szCs w:val="18"/>
          <w:color w:val="auto"/>
        </w:rPr>
        <w:t>There are also requirements governing the reportng of ongoing clinical trials and completed trial results to public registries. Sponsors of certain clinical trials of FDA-regulated products are required to register and disclose specifed clinical trial informaton, which is publicly available at www.clinicaltrials.gov. Informaton related to the product, patent populaton, phase of investgaton, trial sites and investgators and other aspects of the clinical trial is then made public as part of the disclosure.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NDA Review and Approval Process</w:t>
      </w:r>
    </w:p>
    <w:p>
      <w:pPr>
        <w:spacing w:after="0" w:line="177" w:lineRule="exact"/>
        <w:rPr>
          <w:sz w:val="20"/>
          <w:szCs w:val="20"/>
          <w:color w:val="auto"/>
        </w:rPr>
      </w:pPr>
    </w:p>
    <w:p>
      <w:pPr>
        <w:ind w:right="100" w:firstLine="509"/>
        <w:spacing w:after="0" w:line="252" w:lineRule="auto"/>
        <w:rPr>
          <w:sz w:val="20"/>
          <w:szCs w:val="20"/>
          <w:color w:val="auto"/>
        </w:rPr>
      </w:pPr>
      <w:r>
        <w:rPr>
          <w:rFonts w:ascii="Calibri" w:cs="Calibri" w:eastAsia="Calibri" w:hAnsi="Calibri"/>
          <w:sz w:val="17"/>
          <w:szCs w:val="17"/>
          <w:color w:val="auto"/>
        </w:rPr>
        <w:t>Assuming successful completon of all required testng in accordance with all applicable regulatory requirements, the results of product development, preclinical and other non-clinical studies and clinical trials, along with descriptons of the manufacturing process, analytcal tests conducted on the chemistry of the drug, proposed labeling and other relevant informaton are submited to the FDA as part of an NDA requestng approval to market the product. The submission of an NDA is subject to the payment of substantal user fees; a waiver of such fees may be obtained under certain limited circumstances.</w:t>
      </w:r>
    </w:p>
    <w:p>
      <w:pPr>
        <w:spacing w:after="0" w:line="181"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FDA conducts a preliminary review of all NDAs within the frst 60 days afer submission, before acceptng them for fling, to determine whether they are sufciently complete to permit substantve review. The FDA may request additonal informaton rather than accept an NDA for fling. In this event, the NDA must be resubmited with the additonal informaton. The resubmited applicaton also is subject to review before the FDA accepts it for fling. Once fled, the FDA reviews an NDA to determine, among other things, whether a product is safe and efectve for its intended use and whether its manufacturing is cGMP-compliant to assure and preserve the product’s identty, strength, quality and purity. Under current PDUFA guidelines, the FDA has a goal of ten months from the date of “fling” of a standard NDA for a new molecular entty to review and act on the submission. This review typically takes twelve months from the date the NDA is submited to FDA because the FDA has approximately two months to make a “fling” decision afer the applicaton is submited.</w:t>
      </w:r>
    </w:p>
    <w:p>
      <w:pPr>
        <w:spacing w:after="0" w:line="168"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FDA may refer an applicaton for a novel drug to an advisory commitee. An advisory commitee is a panel of independent experts, including clinicians and other scientfc experts, that reviews, evaluates and provides a recommendaton as to whether the applicaton should be approved and under what conditons. The FDA is not bound by the recommendatons of an advisory commitee, but it considers such recommendatons carefully when making decisions.</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Before approving an NDA, the FDA will inspect the facility or facilites where the product is manufactured. The FDA will not approve an applicaton unless it determines that the manufacturing processes and facilites are in compliance with cGMP requirements and adequate to assure consistent producton of the product within required specifcatons. Additonally, before approving an NDA, the FDA may inspect one or more clinical trial sites to assure compliance with GCP requirements.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Afer the FDA evaluates an NDA, it will issue an approval leter or a Complete Response Leter. An approval leter authorizes commercial marketng of the drug with prescribing informaton for specifc indicatons. A Complete Response Leter indicates that the review cycle of the applicaton is complete and the applicaton will not be approved in its present form. A Complete Response Leter usually describes the specifc defciencies in the NDA identfed by the FDA and may require additonal clinical data, such as additonal clinical trials or other signifcant and tme-consuming requirements related to clinical trials, nonclinical studies or manufacturing. If a Complete Response Leter is issued, the sponsor must resubmit the NDA, addressing all of the defciencies identfed in the leter, or withdraw the applicaton. Even if such data and informaton are submited, the FDA may decide that the NDA does not satsfy the criteria for approval.</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1" w:name="page52"/>
    <w:bookmarkEnd w:id="51"/>
    <w:p>
      <w:pPr>
        <w:ind w:firstLine="509"/>
        <w:spacing w:after="0" w:line="235" w:lineRule="auto"/>
        <w:rPr>
          <w:sz w:val="20"/>
          <w:szCs w:val="20"/>
          <w:color w:val="auto"/>
        </w:rPr>
      </w:pPr>
      <w:r>
        <w:rPr>
          <w:rFonts w:ascii="Calibri" w:cs="Calibri" w:eastAsia="Calibri" w:hAnsi="Calibri"/>
          <w:sz w:val="18"/>
          <w:szCs w:val="18"/>
          <w:color w:val="auto"/>
        </w:rPr>
        <w:t>If a product receives regulatory approval, the approval may be signifcantly limited to specifc diseases and dosages or the indicatons for use may otherwise be limited, which could restrict the commercial value of the product. In additon, the FDA may require a sponsor to conduct Phase 4 testng, which involves clinical trials designed to further assess a drug’s safety and efectveness afer NDA approval, and may require testng and surveillance programs to monitor the safety of approved products which have been commercialized. The FDA may also place other conditons on approval including the requirement for a risk evaluaton and mitgaton strategy, or REMS, to assure the safe use of the drug. If the FDA concludes a REMS is needed, the sponsor of the NDA must submit a proposed REMS. The FDA will not approve the NDA without an approved REMS, if required. A REMS could include medicaton guides, physician communicaton plans or elements to assure safe use, such as restricted distributon methods, patent registries and other risk minimizaton tools. Any of these limitatons on approval or marketng could restrict the commercial promoton, distributon, prescripton or dispensing of products. Marketng approval may be withdrawn for non-compliance with regulatory requirements or if problems occur following inital marketng.</w:t>
      </w:r>
    </w:p>
    <w:p>
      <w:pPr>
        <w:spacing w:after="0" w:line="183" w:lineRule="exact"/>
        <w:rPr>
          <w:sz w:val="20"/>
          <w:szCs w:val="20"/>
          <w:color w:val="auto"/>
        </w:rPr>
      </w:pPr>
    </w:p>
    <w:p>
      <w:pPr>
        <w:ind w:right="160" w:firstLine="509"/>
        <w:spacing w:after="0" w:line="251" w:lineRule="auto"/>
        <w:rPr>
          <w:sz w:val="20"/>
          <w:szCs w:val="20"/>
          <w:color w:val="auto"/>
        </w:rPr>
      </w:pPr>
      <w:r>
        <w:rPr>
          <w:rFonts w:ascii="Calibri" w:cs="Calibri" w:eastAsia="Calibri" w:hAnsi="Calibri"/>
          <w:sz w:val="17"/>
          <w:szCs w:val="17"/>
          <w:color w:val="auto"/>
        </w:rPr>
        <w:t>The Pediatric Research Equity Act, or PREA, requires a sponsor to conduct pediatric clinical trials for most drugs, for a new actve ingredient, new indicaton, new dosage form, new dosing regimen or new route of administraton. Under PREA, original NDAs and supplements must contain a pediatric assessment unless the sponsor has received a deferral or waiver. The required assessment must evaluate the safety and efectveness of the product for the claimed indicatons in all relevant pediatric subpopulatons and support dosing and administraton for each pediatric subpopulaton for which the product is safe and efectve. The sponsor or FDA may request a deferral of pediatric clinical trials for some or all of the pediatric subpopulatons. A deferral may be granted for several reasons, including a fnding that the drug is ready for approval for use in adults before pediatric clinical trials are complete or that additonal safety or efectveness data needs to be collected before the pediatric clinical trials begin. The FDA must send a non-compliance leter to any sponsor that fails to submit the required assessment, fails to keep a deferral current or fails to submit a request for approval of a pediatric formulaton.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Expedited Development and Review Programs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FDA ofers a number of expedited development and review programs for qualifying product candidates. The FDA has a Fast Track designaton program that is intended to expedite or facilitate the process for reviewing new drug products that meet certain criteria. Specifcally, product candidates are eligible for Fast Track designaton if they are intended to treat a serious or life-threatening disease or conditon and demonstrate the potental to address unmet medical needs for the disease or conditon. Fast Track designaton applies to the combinaton of the product candidate and the specifc indicaton for which it is being studied. The sponsor of a Fast Track product candidate has opportunites for more frequent interactons with the applicable FDA review team during product development and, once an NDA is submited, the product candidate may be eligible for priority review. A Fast Track product candidate may also be eligible for rolling review, where the FDA may consider for review sectons of the NDA on a rolling basis before the complete applicaton is submited, if the sponsor provides a schedule for the submission of the sectons of the NDA, the FDA agrees to accept sectons of the NDA and determines that the schedule is acceptable, and the sponsor pays any required user fees upon submission of the frst secton of the NDA.</w:t>
      </w:r>
    </w:p>
    <w:p>
      <w:pPr>
        <w:spacing w:after="0" w:line="1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 product candidate intended to treat a serious or life-threatening disease or conditon may also be eligible for Breakthrough Therapy designaton to expedite its development and review. A product candidate can receive Breakthrough Therapy designaton if preliminary clinical evidence indicates that the product candidate, alone or in combinaton with one or more other drugs or biologics, may demonstrate substantal improvement over existng therapies on one or more clinically signifcant endpoints, such as substantal treatment efects observed early in clinical development. The designaton includes all of the Fast Track program features, as well as more intensive FDA interacton and guidance beginning as early as Phase 1 and an organizatonal commitment to expedite the development and review of the product candidate, including involvement of senior managers.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2" w:name="page53"/>
    <w:bookmarkEnd w:id="52"/>
    <w:p>
      <w:pPr>
        <w:ind w:firstLine="509"/>
        <w:spacing w:after="0" w:line="235" w:lineRule="auto"/>
        <w:rPr>
          <w:sz w:val="20"/>
          <w:szCs w:val="20"/>
          <w:color w:val="auto"/>
        </w:rPr>
      </w:pPr>
      <w:r>
        <w:rPr>
          <w:rFonts w:ascii="Calibri" w:cs="Calibri" w:eastAsia="Calibri" w:hAnsi="Calibri"/>
          <w:sz w:val="18"/>
          <w:szCs w:val="18"/>
          <w:color w:val="auto"/>
        </w:rPr>
        <w:t>Any marketng applicaton for a drug submited to the FDA for approval, including a product candidate with a Fast Track designaton or Breakthrough Therapy designaton, may also be eligible for other types of FDA programs intended to expedite development and review, such as priority review and accelerated approval. A product candidate is eligible for priority review if it is designed to treat a serious or life-threatening disease or conditon, and if approved, would provide a signifcant improvement in safety or efectveness compared to available alternatves for such disease or conditon. The FDA will atempt to direct additonal resources to the evaluaton of an applicaton designated for priority review in an efort to facilitate the review. The FDA endeavors to review applicatons with priority review designatons within six months of the fling date as compared to ten months for review of new molecular entty NDAs under its current PDUFA review goals.</w:t>
      </w:r>
    </w:p>
    <w:p>
      <w:pPr>
        <w:spacing w:after="0" w:line="181"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In additon, a product candidate may be eligible for accelerated approval. Drug products intended to treat serious or life-threatening diseases or conditons may be eligible for accelerated approval upon a determinaton that the product candidate has an efect on a surrogate endpoint that is reasonably likely to predict clinical beneft, or on a clinical endpoint that can be measured earlier than irreversible morbidity or mortality, that is reasonably likely to predict an efect on irreversible morbidity or mortality or other clinical beneft, taking into account the severity, rarity, or prevalence of the conditon and the availability or lack of alternatve treatments. As a conditon of approval, the FDA will generally require that a sponsor of a drug receiving accelerated approval perform adequate and well-controlled confrmatory clinical trials verify and describe the antcipated efect on irreversible morbidity or mortality or other clinical beneft. Products receiving accelerated approval may be subject to expedited withdrawal procedures if the sponsor fails to conduct the required confrmatory studies in a tmely manner, or if such studies fail to verify the predicted clinical beneft. In additon, the FDA currently requires as a conditon for accelerated approval pre-approval of promotonal materials, which could adversely impact the tming of the commercial launch of the product.</w:t>
      </w:r>
    </w:p>
    <w:p>
      <w:pPr>
        <w:spacing w:after="0" w:line="17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Fast Track designaton, Breakthrough Therapy designaton, accelerated approval, and priority do not change the standards for approval but may expedite the development or approval process. Even if a product qualifes for one or more of these programs, the FDA may later decide that the product no longer meets the conditons for qualifcaton or decide that the tme period for FDA review or approval will not be shortened.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Post-Approval Requirements</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Once an approval is granted, the FDA may withdraw the approval if compliance with regulatory standards is not maintained or if problems occur afer the product reaches the market. Later discovery of previously unknown problems with a product may result in restrictons on the product or even complete withdrawal of the product from the market. Afer approval, some types of changes to the approved product, such as adding new indicatons, certain manufacturing changes and additonal labeling claims, are subject to further FDA review and approval. Drug manufacturers and other enttes involved in the manufacture and distributon of approved drugs are required to register their establishments with the FDA and certain state agencies, and are subject to periodic unannounced inspectons by the FDA and certain state agencies for compliance with cGMP regulatons and other laws and regulatons. In additon, the FDA may impose a number of post-approval requirements as a conditon of approval of an NDA. For example, the FDA may require post-marketng testng, including Phase 4 clinical trials, and surveillance to further assess and monitor the product’s safety and efectveness afer commercializaton.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3" w:name="page54"/>
    <w:bookmarkEnd w:id="53"/>
    <w:p>
      <w:pPr>
        <w:ind w:right="100" w:firstLine="509"/>
        <w:spacing w:after="0" w:line="235" w:lineRule="auto"/>
        <w:rPr>
          <w:sz w:val="20"/>
          <w:szCs w:val="20"/>
          <w:color w:val="auto"/>
        </w:rPr>
      </w:pPr>
      <w:r>
        <w:rPr>
          <w:rFonts w:ascii="Calibri" w:cs="Calibri" w:eastAsia="Calibri" w:hAnsi="Calibri"/>
          <w:sz w:val="18"/>
          <w:szCs w:val="18"/>
          <w:color w:val="auto"/>
        </w:rPr>
        <w:t>Any drug products manufactured or distributed pursuant to FDA approvals are subject to pervasive and contnuing regulaton by the FDA, including, among other things, record-keeping requirements, reportng of adverse experiences with the drug, providing the FDA with updated safety and efcacy informaton, drug sampling and distributon requirements, complying with certain electronic records and signature requirements, and complying with FDA promoton and advertsing requirements. The FDA strictly regulates labeling, advertsing, promoton and other types of informaton on products that are placed on the market and imposes requirements and restrictons on drug manufacturers, such as those related to direct-to-consumer advertsing, the prohibiton on promotng products for uses or in patent populatons that are not described in the product’s approved labeling (known as “of-label use”), industry-sponsored scientfc and educatonal actvites, and promotonal actvites involving the Internet. Physicians may prescribe, in their independent professional medical judgment, legally available products for uses that are not described in the product’s labeling and that difer from those tested by us and approved by the FDA. Physicians may believe that such of-label uses are the best treatment for many patents in varied circumstances. The FDA does not regulate the behavior of physicians in their choice of treatments. The FDA does, however, restrict manufacturer’s communicatons on the subject of of-label use of their products. However, companies may share truthful and not misleading informaton that is otherwise consistent with a product’s FDA-approved labelling.</w:t>
      </w:r>
    </w:p>
    <w:p>
      <w:pPr>
        <w:spacing w:after="0" w:line="1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Discovery of previously unknown problems or the failure to comply with the applicable regulatory requirements may result in restrictons on the marketng of a product or withdrawal of the product from the market as well as possible civil or criminal sanctons. Failure to comply with the applicable U.S. requirements at any tme during the product development process, approval process or post-approval, may subject an applicant or manufacturer to administratve or judicial civil or criminal sanctons and adverse publicity. FDA sanctons could include refusal to approve pending applicatons, withdrawal of an approval, clinical holds on post-approval clinical trials, warning or unttled leters, product recalls, product seizures, total or partal suspension of producton or distributon, injunctons, fnes, refusals of government contracts, mandated correctve advertsing or communicatons with doctors, debarment, resttuton, disgorgement of profts, or civil or criminal penaltes.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Non-Patent and Marketng Exclusivity</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Data and market exclusivity provisions under the FDCA can delay the submission or the approval of certain marketng applicatons. The FDCA provides a fve-year period of non-patent data exclusivity within the United States to the frst applicant to obtain approval of an NDA for a new chemical entty. A drug is a new chemical entty if the FDA has not previously approved any other new drug containing the same actve moiety, which is the molecule or ion responsible for the acton of the drug substance. During the exclusivity period, the FDA may not approve or even accept for review an abbreviated new drug applicaton, or ANDA, or an NDA submited under Secton 505(b)(2), or 505(b)(2) NDA, submited by another company for another drug based on the same actve moiety, regardless of whether the drug is intended for the same indicaton as the original innovatve drug or for another indicaton, where the applicant does not own or have a legal right of reference to all the data required for approval. However, an applicaton may be submited afer four years if it contains a certfcaton of patent invalidity or non-infringement to one of the patents listed with the FDA by the innovator NDA holder.</w:t>
      </w:r>
    </w:p>
    <w:p>
      <w:pPr>
        <w:spacing w:after="0" w:line="1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FDCA alternatvely provides three years of marketng exclusivity for an NDA, or supplement to an existng NDA if new clinical investgatons, other than bioavailability studies, that were conducted or sponsored by the applicant are deemed by the FDA to be essental to the approval of the applicaton, for example new indicatons, dosages or strengths of an existng drug. This three-year exclusivity covers only the modifcaton for which the drug received approval on the basis of the new clinical investgatons and does not prohibit the FDA from approving ANDAs or 505(b)(2) NDAs for drugs containing the actve agent for the original indicaton or conditon of use. Five-year and three-year exclusivity will not delay the submission or approval of a full NDA. However, an applicant submitng a full NDA would be required to conduct or obtain a right of reference to all of the preclinical studies and adequate and well-controlled clinical trials necessary to demonstrate safety and efectveness.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4" w:name="page55"/>
    <w:bookmarkEnd w:id="54"/>
    <w:p>
      <w:pPr>
        <w:ind w:right="60" w:firstLine="509"/>
        <w:spacing w:after="0" w:line="235" w:lineRule="auto"/>
        <w:rPr>
          <w:sz w:val="20"/>
          <w:szCs w:val="20"/>
          <w:color w:val="auto"/>
        </w:rPr>
      </w:pPr>
      <w:r>
        <w:rPr>
          <w:rFonts w:ascii="Calibri" w:cs="Calibri" w:eastAsia="Calibri" w:hAnsi="Calibri"/>
          <w:sz w:val="18"/>
          <w:szCs w:val="18"/>
          <w:color w:val="auto"/>
        </w:rPr>
        <w:t>Pediatric exclusivity is another type of marketng exclusivity available in the United States. Pediatric exclusivity provides for an additonal six months of marketng exclusivity atached to another period of exclusivity if a sponsor conducts clinical trials in children in response to a writen request from the FDA. The issuance of a writen request does not require the sponsor to undertake the described clinical trials.</w:t>
      </w:r>
    </w:p>
    <w:p>
      <w:pPr>
        <w:spacing w:after="0" w:line="178"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Additonally, under the GAIN Act, the FDA may designate a product as a “qualifed infectous disease product,” or QIDP. In order to receive this designaton, a drug must qualify as an antbacterial or antfungal drug for human use intended to treat serious or life-threatening infectons, including those caused by either (1) an antbacterial or antfungal resistant pathogen, including novel or emerging infectous pathogens, or (2) a so-called “qualifying pathogen” found on a list of potentally dangerous, drug-resistant organisms established and maintained by the FDA under the law. The FDA interprets QIDP designaton to apply to a specifc drug product, including a specifc dosage form of the product. A sponsor must request such designaton before submitng a marketng applicaton, and the FDA will respond to a request for QIDP designaton within 60 days of the date the FDA receives the request. The GAIN Act permits the FDA to revoke a QIDP designaton only if the request for such designaton contained an untrue statement of material fact.</w:t>
      </w:r>
    </w:p>
    <w:p>
      <w:pPr>
        <w:spacing w:after="0" w:line="16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benefts of QIDP designaton include potental eligibility for priority review and Fast Track designaton, and an extension by an additonal fve years of any non-patent marketng exclusivity period awarded, such as a fve-year exclusivity period awarded for a new molecular entty. This extension is in additon to any pediatric exclusivity extension that may be awarded, and the extension will be awarded only to a drug frst approved on or afer the date of enactment. The GAIN Act provisions prohibit the grant of an exclusivity extension where the applicaton is a supplement to an applicaton for which an extension is in efect or has expired, is a subsequent applicaton for a specifed change to an approved product, or is an applicaton for a product that does not meet the defniton of QIDP based on the uses for which it is ultmately approved.</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Healthcare Fraud and Abuse Laws and Compliance Requirements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to FDA regulaton of pharmaceutcal products, U.S. federal and state healthcare laws and regulatons restrict business practces in the pharmaceutcal industry. These laws may impact, among other things, our current and future business operatons, including our clinical research actvites, and constrain the business or fnancial arrangements and relatonships with healthcare providers and other partes. These laws include ant-kickback and false claims laws, civil monetary penaltes laws, and transparency laws regarding drug pricing and payments or other items of value provided to physicians and other healthcare providers.</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federal Ant-Kickback Statute prohibits, among other things, individuals or enttes from knowingly and willfully ofering, paying, solicitng or receiving remuneraton,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entty does not need to have actual knowledge of this statute or specifc intent to violate it in order to have commited a violaton.</w:t>
      </w:r>
    </w:p>
    <w:p>
      <w:pPr>
        <w:spacing w:after="0" w:line="19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federal civil and criminal false claims laws, including the civil False Claims Act, and civil monetary penaltes laws prohibit, among other things, any individual or entty from knowingly presentng,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obligaton to pay money to the federal government. In additon, the government may assert that a claim including items or services resultng from a violaton of the federal Ant-Kickback Statute consttutes a false or fraudulent claim for purposes of the civil False Claims Act.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5" w:name="page56"/>
    <w:bookmarkEnd w:id="55"/>
    <w:p>
      <w:pPr>
        <w:ind w:right="160" w:firstLine="509"/>
        <w:spacing w:after="0" w:line="251" w:lineRule="auto"/>
        <w:rPr>
          <w:sz w:val="20"/>
          <w:szCs w:val="20"/>
          <w:color w:val="auto"/>
        </w:rPr>
      </w:pPr>
      <w:r>
        <w:rPr>
          <w:rFonts w:ascii="Calibri" w:cs="Calibri" w:eastAsia="Calibri" w:hAnsi="Calibri"/>
          <w:sz w:val="17"/>
          <w:szCs w:val="17"/>
          <w:color w:val="auto"/>
        </w:rPr>
        <w:t>The federal Health Insurance Portability and Accountability Act of 1996, or HIPAA, created additonal federal criminal statutes that prohibit, among other things, knowingly and willfully executng a scheme to defraud any healthcare beneft program, including private third-party payers and knowingly and willfully falsifying, concealing or covering up a material fact or making any materially false, fcttous or fraudulent statement in connecton with the delivery of or payment for healthcare benefts, items or services. Similar to the U.S. federal Ant-Kickback Statute, a person or entty does not need to have actual knowledge of the healthcare fraud statute implemented under HIPAA or specifc intent to violate it in order to have commited a violaton.</w:t>
      </w:r>
    </w:p>
    <w:p>
      <w:pPr>
        <w:spacing w:after="0" w:line="1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federal Physician Payments Sunshine Act requires certain manufacturers of drugs, devices, biologics and medical supplies for which payment is available under Medicare, Medicaid or the Children’s Health Insurance Program, with specifc exceptons, to report annually to the Centers for Medicare &amp; Medicaid Services, or CMS, informaton related to payments or other transfers of value made to physicians (defned to include doctors, dentsts, optometrists, podiatrists and chiropractors), certain other non-physician practtoners (physician assistants, nurse practtoners, clinical nurse specialists, anesthesiologist assistants, certfed registered nurse anesthetsts, anesthesiology assistants and certfed nurse midwives), and teaching hospitals, and applicable manufacturers and applicable group purchasing organizatons to report annually to CMS ownership and investment interests held by physicians and their immediate family members.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Similar state and local laws and regulatons may also restrict business practces in the pharmaceutcal industry, such as state ant-kickback and false claims laws, which may apply to business practces, including but not limited to, research, distributon, sales and marketng arrangements and claims involving healthcare items or services reimbursed by non-governmental third-party payers, including private insurers, or by patents themselves; state laws that require pharmaceutcal companies to comply with the pharmaceutcal industry’s voluntary compliance guidelines and the relevant compliance guidance promulgated by the federal government, or otherwise restrict payments that may be made to healthcare providers and other potental referral sources; state laws and regulatons that require drug manufacturers to fle reports relatng to pricing and marketng informaton or which require tracking gifs and other remuneraton and items of value provided to physicians, other healthcare providers and enttes; and state and local laws that require the registraton of pharmaceutcal sales representatves.</w:t>
      </w:r>
    </w:p>
    <w:p>
      <w:pPr>
        <w:spacing w:after="0" w:line="196" w:lineRule="exact"/>
        <w:rPr>
          <w:sz w:val="20"/>
          <w:szCs w:val="20"/>
          <w:color w:val="auto"/>
        </w:rPr>
      </w:pPr>
    </w:p>
    <w:p>
      <w:pPr>
        <w:ind w:right="220" w:firstLine="509"/>
        <w:spacing w:after="0" w:line="252" w:lineRule="auto"/>
        <w:rPr>
          <w:sz w:val="20"/>
          <w:szCs w:val="20"/>
          <w:color w:val="auto"/>
        </w:rPr>
      </w:pPr>
      <w:r>
        <w:rPr>
          <w:rFonts w:ascii="Calibri" w:cs="Calibri" w:eastAsia="Calibri" w:hAnsi="Calibri"/>
          <w:sz w:val="17"/>
          <w:szCs w:val="17"/>
          <w:color w:val="auto"/>
        </w:rPr>
        <w:t>Violaton of any of such laws or any other governmental regulatons that apply may result in signifcant criminal, civil and administratve penaltes including damages, fnes, imprisonment, disgorgement, additonal reportng requirements and oversight if we become subject to a corporate integrity agreement or similar agreement to resolve allegatons of non-compliance with these laws, contractual damages, reputatonal harm, diminished profts and future earnings, disgorgement, exclusion from partcipaton in government healthcare programs and the curtailment or restructuring of our operatons.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Coverage and Reimbursement</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Signifcant uncertainty exists as to the coverage and reimbursement status of any product candidate for which we may seek regulatory approval. Sales in the United States will depend, in part, on the availability of sufcient coverage and adequate reimbursement from third-party payers, which include government health programs such as Medicare, Medicaid, TRICARE and the Veterans Administraton, as well as managed care organizatons and private health insurers. Prices at which we or our customers seek reimbursement for vonoprazan and any future product candidates can be subject to challenge, reducton or denial by third-party payers.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56" w:name="page57"/>
    <w:bookmarkEnd w:id="56"/>
    <w:p>
      <w:pPr>
        <w:ind w:firstLine="509"/>
        <w:spacing w:after="0" w:line="294" w:lineRule="auto"/>
        <w:rPr>
          <w:sz w:val="20"/>
          <w:szCs w:val="20"/>
          <w:color w:val="auto"/>
        </w:rPr>
      </w:pPr>
      <w:r>
        <w:rPr>
          <w:rFonts w:ascii="MS PGothic" w:cs="MS PGothic" w:eastAsia="MS PGothic" w:hAnsi="MS PGothic"/>
          <w:sz w:val="18"/>
          <w:szCs w:val="18"/>
          <w:color w:val="auto"/>
        </w:rPr>
        <w:t>The process for determining whether a third-party payer will provide coverage for a product is typically separate from the process for setng the reimbursement rate that the payer will pay for the product. In the United States, there is no uniform policy among payers for coverage or reimbursement. Decisions regarding whether to cover a product, the extent of coverage and amount of reimbursement to be provided are made on a plan-by-plan basis. Third-party payers ofen rely upon Medicare coverage policy and payment limitatons in setng their own coverage and reimbursement policies, but also have their own methods and approval processes. Therefore, coverage and reimbursement for products can difer signifcantly from payer to payer. As a result, the coverage determinaton process is ofen a tme-consuming and costly process that can require manufacturers to provide scientfc and clinical support for the use of a product to each payer separately, with no assurance that coverage and adequate reimbursement will be applied consistently or obtained in the frst instance.</w:t>
      </w:r>
    </w:p>
    <w:p>
      <w:pPr>
        <w:spacing w:after="0" w:line="139" w:lineRule="exact"/>
        <w:rPr>
          <w:sz w:val="20"/>
          <w:szCs w:val="20"/>
          <w:color w:val="auto"/>
        </w:rPr>
      </w:pPr>
    </w:p>
    <w:p>
      <w:pPr>
        <w:ind w:firstLine="509"/>
        <w:spacing w:after="0" w:line="295" w:lineRule="auto"/>
        <w:rPr>
          <w:sz w:val="20"/>
          <w:szCs w:val="20"/>
          <w:color w:val="auto"/>
        </w:rPr>
      </w:pPr>
      <w:r>
        <w:rPr>
          <w:rFonts w:ascii="MS PGothic" w:cs="MS PGothic" w:eastAsia="MS PGothic" w:hAnsi="MS PGothic"/>
          <w:sz w:val="18"/>
          <w:szCs w:val="18"/>
          <w:color w:val="auto"/>
        </w:rPr>
        <w:t>Third-party payers are increasingly challenging the price and examining the medical necessity and cost-efectveness of medical products and services, in additon to their safety and efcacy. Adopton of price controls and cost-containment measures, and adopton of more restrictve policies in jurisdictons with existng controls and measures, could further limit sales of any product that receives approval. Third-party payers may not consider vonoprazan or any future product candidates to be medically necessary or cost-efectve compared to other available therapies, or the rebate percentages required to secure favorable coverage may not yield an adequate margin over cost or may not enable us to maintain price levels sufcient to realize an appropriate return on our investment in drug development. Additonally, decreases in third-party reimbursement for any product or a decision by a third-party payer not to cover a product could reduce physician usage and patent demand for the product.</w:t>
      </w:r>
    </w:p>
    <w:p>
      <w:pPr>
        <w:spacing w:after="0" w:line="139" w:lineRule="exact"/>
        <w:rPr>
          <w:sz w:val="20"/>
          <w:szCs w:val="20"/>
          <w:color w:val="auto"/>
        </w:rPr>
      </w:pPr>
    </w:p>
    <w:p>
      <w:pPr>
        <w:ind w:firstLine="509"/>
        <w:spacing w:after="0" w:line="310" w:lineRule="auto"/>
        <w:rPr>
          <w:sz w:val="20"/>
          <w:szCs w:val="20"/>
          <w:color w:val="auto"/>
        </w:rPr>
      </w:pPr>
      <w:r>
        <w:rPr>
          <w:rFonts w:ascii="MS PGothic" w:cs="MS PGothic" w:eastAsia="MS PGothic" w:hAnsi="MS PGothic"/>
          <w:sz w:val="17"/>
          <w:szCs w:val="17"/>
          <w:color w:val="auto"/>
        </w:rPr>
        <w:t>Medicaid is a joint federal and state program administered by the states for low‑income and disabled benefciaries. Medicare is a federal program that is administered by the federal government covering individuals age 65 and over as well as those with certain disabilites. Under the Medicaid Drug Rebate Program, or MDRP, as a conditon of having federal funds being made available to the states for covered outpatent drugs under Medicaid, pharmaceutcal manufacturers must enter into an agreement with the Secretary of Health and Human Services to pay a rebate to state Medicaid programs for each unit of covered outpatent drug dispensed to a Medicaid benefciary and paid for by the state Medicaid program. Medicaid drug rebates are based on pricing data that pharmaceutcal manufacturers report on a monthly and quarterly basis to the U.S. Centers for Medicare &amp; Medicaid Services, or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entty in the United States in any pricing structure, calculated to include all applicable sales and associated rebates, discounts and other price concessions. If a manufacturer becomes aware that its MDRP government price reportng submission for a prior quarter was incorrect or has changed as a result of recalculaton of the pricing data, the manufacturer must resubmit the corrected data for up to three years afer those data originally were due. If a manufacturer fails to provide informaton tmely or is found to have knowingly submited false informaton to the government, the manufacturer may be subject to civil monetary penaltes and other sanctons, including terminaton from the MDRP.</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57" w:name="page58"/>
    <w:bookmarkEnd w:id="57"/>
    <w:p>
      <w:pPr>
        <w:ind w:firstLine="509"/>
        <w:spacing w:after="0" w:line="309" w:lineRule="auto"/>
        <w:rPr>
          <w:sz w:val="20"/>
          <w:szCs w:val="20"/>
          <w:color w:val="auto"/>
        </w:rPr>
      </w:pPr>
      <w:r>
        <w:rPr>
          <w:rFonts w:ascii="MS PGothic" w:cs="MS PGothic" w:eastAsia="MS PGothic" w:hAnsi="MS PGothic"/>
          <w:sz w:val="17"/>
          <w:szCs w:val="17"/>
          <w:color w:val="auto"/>
        </w:rPr>
        <w:t>Federal law requires that a manufacturer that partcipates in the MDRP also partcipate in the Public Health Service’s 340B drug pricing program, or the 340B program, in order for federal funds to be available for the manufacturer’s drugs under Medicaid. The 340B program is administered by the Health Resources and Services Administraton, or HRSA, and requires partcipatng manufacturers to agree to charge statutorily defned covered enttes no more than the 340B “ceiling price” for the manufacturer’s covered outpatent drugs used in an outpatent setng. These 340B covered enttes include a variety of community health clinics and other enttes that receive health services grants from the Public Health Service, as well as hospitals that serve a disproportonate share of low‑income patents. The 340B ceiling price is calculated using a statutory formula, which is based on the AMP and rebate amount for the covered outpatent drug as calculated under the MDRP. In general, products subject to Medicaid price reportng and rebate liability are also subject to the 340B ceiling price calculaton and discount requirement. Manufacturers must report 340B ceiling prices to HRSA on a quarterly basis, and HRSA publishes them to 340B covered enttes. HRSA has fnalized regulatons regarding the calculaton of the 340B ceiling price and the impositon of civil monetary penaltes on manufacturers that knowingly and intentonally overcharge covered enttes for 340B‑eligible drugs. HRSA has also fnalized an administratve dispute resoluton process through which 340B covered enttes may pursue claims against partcipatng manufacturers for overcharges, and through which manufacturers may pursue claims against 340B covered enttes for engaging in unlawful diversion or duplicate discountng of 340B drugs. In additon, legislaton may be introduced that, if passed, would further expand the 340B program, such as adding further covered enttes or requiring partcipatng manufacturers to agree to provide 340B discounted pricing on drugs used in an inpatent setng.</w:t>
      </w:r>
    </w:p>
    <w:p>
      <w:pPr>
        <w:spacing w:after="0" w:line="135" w:lineRule="exact"/>
        <w:rPr>
          <w:sz w:val="20"/>
          <w:szCs w:val="20"/>
          <w:color w:val="auto"/>
        </w:rPr>
      </w:pPr>
    </w:p>
    <w:p>
      <w:pPr>
        <w:ind w:right="60" w:firstLine="509"/>
        <w:spacing w:after="0" w:line="294" w:lineRule="auto"/>
        <w:rPr>
          <w:sz w:val="20"/>
          <w:szCs w:val="20"/>
          <w:color w:val="auto"/>
        </w:rPr>
      </w:pPr>
      <w:r>
        <w:rPr>
          <w:rFonts w:ascii="MS PGothic" w:cs="MS PGothic" w:eastAsia="MS PGothic" w:hAnsi="MS PGothic"/>
          <w:sz w:val="18"/>
          <w:szCs w:val="18"/>
          <w:color w:val="auto"/>
        </w:rPr>
        <w:t>In order to be eligible to have drug products paid for with federal funds under Medicaid and purchased by certain federal agencies and grantees, a manufacturer must also partcipate in the U.S. Department of Veterans Afairs,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partcipatng in the FSS program fails to provide tmely informaton or is found to have knowingly submited false informaton, the manufacturer may be subject to civil monetary penaltes.</w:t>
      </w:r>
    </w:p>
    <w:p>
      <w:pPr>
        <w:spacing w:after="0" w:line="139" w:lineRule="exact"/>
        <w:rPr>
          <w:sz w:val="20"/>
          <w:szCs w:val="20"/>
          <w:color w:val="auto"/>
        </w:rPr>
      </w:pPr>
    </w:p>
    <w:p>
      <w:pPr>
        <w:ind w:firstLine="509"/>
        <w:spacing w:after="0" w:line="295" w:lineRule="auto"/>
        <w:rPr>
          <w:sz w:val="20"/>
          <w:szCs w:val="20"/>
          <w:color w:val="auto"/>
        </w:rPr>
      </w:pPr>
      <w:r>
        <w:rPr>
          <w:rFonts w:ascii="MS PGothic" w:cs="MS PGothic" w:eastAsia="MS PGothic" w:hAnsi="MS PGothic"/>
          <w:sz w:val="18"/>
          <w:szCs w:val="18"/>
          <w:color w:val="auto"/>
        </w:rPr>
        <w:t>Individual states contnue to consider and have enacted legislaton to limit the growth of healthcare costs, including the cost of prescripton drugs and combinaton products. A number of states have either implemented or are considering implementaton of drug price transparency legislaton. Requirements under such laws include advance notce of planned price increases, reportng price increase amounts and factors considered by manufacturers in taking such increases, wholesale acquisiton cost disclosure to prescribers, purchasers, and state agencies, and new product notce and reportng. Such legislaton could limit the price or payment for certain drugs, and a number of states are authorized to impose civil monetary penaltes or pursue other enforcement mechanisms against manufacturers who fail to comply with drug price transparency requirements, including the untmely, inaccurate, or incomplete reportng of drug pricing informaton.</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Healthcare Reform</w:t>
      </w:r>
    </w:p>
    <w:p>
      <w:pPr>
        <w:spacing w:after="0" w:line="177" w:lineRule="exact"/>
        <w:rPr>
          <w:sz w:val="20"/>
          <w:szCs w:val="20"/>
          <w:color w:val="auto"/>
        </w:rPr>
      </w:pPr>
    </w:p>
    <w:p>
      <w:pPr>
        <w:ind w:right="200" w:firstLine="509"/>
        <w:spacing w:after="0" w:line="311" w:lineRule="auto"/>
        <w:rPr>
          <w:sz w:val="20"/>
          <w:szCs w:val="20"/>
          <w:color w:val="auto"/>
        </w:rPr>
      </w:pPr>
      <w:r>
        <w:rPr>
          <w:rFonts w:ascii="MS PGothic" w:cs="MS PGothic" w:eastAsia="MS PGothic" w:hAnsi="MS PGothic"/>
          <w:sz w:val="18"/>
          <w:szCs w:val="18"/>
          <w:color w:val="auto"/>
        </w:rPr>
        <w:t>In the United States, there has been, and contnues to be, several legislatve and regulatory changes and proposed changes regarding the healthcare system that could prevent or delay marketng approval of product candidates, restrict or regulate post-approval actvites, and afect the proftable sale of product candidates.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8" w:name="page59"/>
    <w:bookmarkEnd w:id="58"/>
    <w:p>
      <w:pPr>
        <w:ind w:firstLine="509"/>
        <w:spacing w:after="0" w:line="249" w:lineRule="auto"/>
        <w:rPr>
          <w:sz w:val="20"/>
          <w:szCs w:val="20"/>
          <w:color w:val="auto"/>
        </w:rPr>
      </w:pPr>
      <w:r>
        <w:rPr>
          <w:rFonts w:ascii="Calibri" w:cs="Calibri" w:eastAsia="Calibri" w:hAnsi="Calibri"/>
          <w:sz w:val="17"/>
          <w:szCs w:val="17"/>
          <w:color w:val="auto"/>
        </w:rPr>
        <w:t>Among policy makers and payers in the United States, there is signifcant interest in promotng changes in healthcare systems with the stated goals of containing healthcare costs, improving quality and/or expanding access. In the United States, the pharmaceutcal industry has been a partcular focus of these eforts and has been signifcantly afected by major legislatve initatves. In March 2010, the Patent Protecton and Afordable Care Act, or the Afordable Care Act, was passed, which substantally changed the way healthcare is fnanced by both governmental and private insurers, and signifcantly afected the pharmaceutcal industry. The Afordable Care Act, increased the minimum level of Medicaid rebates payable by manufacturers of brand name drugs from</w:t>
      </w:r>
    </w:p>
    <w:p>
      <w:pPr>
        <w:spacing w:after="0" w:line="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15.1% to 23.1%; required collecton of rebates for drugs paid by Medicaid managed care organizatons; required manufacturers to partcipate in a coverage gap discount program, in which manufacturers must agree to ofer point-of-sale discounts of negotated prices of applicable brand drugs to eligible benefciaries during their coverage gap period, as a conditon for the manufacturer’s outpatent drugs to be covered under Medicare Part D; imposed a non-deductble annual fee on pharmaceutcal manufacturers or importers who sell certain “branded prescripton drugs” to specifed federal government programs, implemented a new methodology by which rebates owed by manufacturers under the Medicaid Drug Rebate Program are calculated for drugs that are inhaled, infused, instlled, implanted, or injected; expanded eligibility criteria for Medicaid programs; created a new Patent-Centered Outcomes Research Insttute to oversee, identfy priorites in, and conduct comparatve clinical efectveness research, along with funding for such research; and established a Center for Medicare Innovaton at the CMS to test innovatve payment and service delivery models to lower Medicare and Medicaid spending, potentally including prescripton drug spending.</w:t>
      </w:r>
    </w:p>
    <w:p>
      <w:pPr>
        <w:spacing w:after="0" w:line="1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Since its enactment, there have been judicial and politcal challenges to certain aspects of the Afordable Care Act, or ACA. On June 17, 2021, the U.S. Supreme Court dismissed the most recent judicial challenge to the ACA without specifcally ruling on the consttutonality of the ACA. Prior to the Supreme Court’s decision, President Biden issued an executve order to initate a special enrollment period from February 15, 2021, through August 15, 2021, for purposes of obtaining health insurance coverage through the ACA marketplace. The executve order also instructed certain governmental agencies to review and reconsider their existng policies and rules that limit access to healthcare, including among others, reexamining Medicaid demonstraton projects and waiver programs that include work requirements, and policies that create unnecessary barriers to obtaining access to health insurance coverage through Medicaid or the ACA.</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additon, other legislatve changes have been proposed and adopted since the Afordable Care Act was enacted. These changes included aggregate reductons to Medicare payments to providers of 2% per fscal year, which went into efect on April 1, 2013, and, due to subsequent legislatve amendments to the statute will remain in efect through 2030, with the excepton of a temporary suspension from May 1, 2020 through March 31, 2022, unless additonal Congressional acton is taken. On January 2, 2013, the American Taxpayer Relief Act of 2012 was signed into law, which, among other things, reduced Medicare payments to several providers, including hospitals, and increased the statute of limitatons period for the government to recover overpayments to providers from three to fve years.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59" w:name="page60"/>
    <w:bookmarkEnd w:id="59"/>
    <w:p>
      <w:pPr>
        <w:ind w:right="60" w:firstLine="509"/>
        <w:spacing w:after="0" w:line="235" w:lineRule="auto"/>
        <w:rPr>
          <w:sz w:val="20"/>
          <w:szCs w:val="20"/>
          <w:color w:val="auto"/>
        </w:rPr>
      </w:pPr>
      <w:r>
        <w:rPr>
          <w:rFonts w:ascii="Calibri" w:cs="Calibri" w:eastAsia="Calibri" w:hAnsi="Calibri"/>
          <w:sz w:val="18"/>
          <w:szCs w:val="18"/>
          <w:color w:val="auto"/>
        </w:rPr>
        <w:t>Moreover, there has been heightened governmental scrutny over the manner in which manufacturers set prices for their marketed products, which has resulted in several Congressional inquiries and proposed and enacted federal and state legislaton designed to, among other things, bring more transparency to product pricing, review the relatonship between pricing and manufacturer patent programs, and reform government program reimbursement methodologies for pharmaceutcal products. Most recently, on August 16, 2022, the Infaton Reducton Act of 2022, or IRA, was signed into law. Among other things, the IRA requires manufacturers of certain drugs to engage in price negotatons with Medicare (beginning in 2026), with prices that can be negotated subject to a cap; imposes rebates under Medicare Part B and Medicare Part D to penalize price increases that outpace infaton (frst due in 2023); and replaces the Part D coverage gap discount program with a new discountng program (beginning in 2025). Individual states in the U.S. have also become increasingly actve in implementng regulatons designed to control pharmaceutcal product pricing, including price or patent reimbursement constraints, discounts, restrictons on certain product access and marketng cost disclosure and transparency measures, and, in some cases, designed to encourage importaton from other countries and bulk purchasing. In additon, regional healthcare authorites and individual hospitals are increasingly using bidding procedures to determine which drugs and suppliers will be included in their healthcare programs. Furthermore, there has been increased interest by third-party payers and governmental authorites in reference pricing systems and publicaton of discounts and list prices.</w:t>
      </w:r>
    </w:p>
    <w:p>
      <w:pPr>
        <w:spacing w:after="0" w:line="186"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The likelihood of implementaton of additonal reform initatves is uncertain. Moreover, in the coming years, additonal legislatve and regulatory changes could be made to governmental health programs that could signifcantly impact pharmaceutcal companies and the success of our product candidates.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Foreign Regulaton</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order to market any product outside of the United States, we would need to comply with numerous and varying regulatory requirements of other countries and jurisdictons regarding quality, safety and efcacy and governing, among other things, clinical trials, marketng authorizaton, commercial sales and distributon of our products. Whether or not we obtain FDA approval for a product, we would need to obtain the necessary approvals by the comparable foreign regulatory authorites before we can commence clinical trials or marketng of the product in foreign countries and jurisdictons. Although many of the issues discussed above with respect to the United States apply similarly in the context of the European Union, or EU, the approval process varies between countries and jurisdictons and can involve additonal product testng and additonal administratve review periods. The tme required to obtain approval in other countries and jurisdictons might difer from and be longer than that required to obtain FDA approval. Regulatory approval in one country or jurisdicton does not ensure regulatory approval in another, but a failure or delay in obtaining regulatory approval in one country or jurisdicton may negatvely impact the regulatory process in others.</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Regulaton and Procedures Governing Marketng Authorizaton of Medicinal Products in the EU</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Non-clinical studies and clinical trials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Similarly to the United States, the various phases of non-clinical and clinical research in the EU are subject to signifcant regulatory controls.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Non-clinical studies are performed to demonstrate the health or environmental safety of new biological substances. Non-clinical studies must be conducted in compliance with the principles of good laboratory practce, or GLP, as set forth in EU Directve 2004/10/EC. In partcular, non-clinical studies, both in vitro and in vivo, must be planned, performed, monitored, recorded, reported and archived in accordance with the GLP principles, which defne a set of rules and criteria for a quality system for the organizatonal process and the conditons for non-clinical studies. These GLP standards refect the Organizaton for Economic Co-operaton and Development requirements.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0" w:name="page61"/>
    <w:bookmarkEnd w:id="60"/>
    <w:p>
      <w:pPr>
        <w:ind w:right="120" w:firstLine="509"/>
        <w:spacing w:after="0" w:line="235" w:lineRule="auto"/>
        <w:rPr>
          <w:sz w:val="20"/>
          <w:szCs w:val="20"/>
          <w:color w:val="auto"/>
        </w:rPr>
      </w:pPr>
      <w:r>
        <w:rPr>
          <w:rFonts w:ascii="Calibri" w:cs="Calibri" w:eastAsia="Calibri" w:hAnsi="Calibri"/>
          <w:sz w:val="18"/>
          <w:szCs w:val="18"/>
          <w:color w:val="auto"/>
        </w:rPr>
        <w:t>Clinical trials of medicinal products in the EU must be conducted in accordance with EU and natonal regulatons and the Internatonal Conference on Harmonizaton, or ICH, guidelines on good clinical practces, or GCP, as well as the applicable regulatory requirements and the ethical principles that have their origin in the Declaraton of Helsinki. If the sponsor of the clinical trial is not established within the EU, it must appoint an EU entty to act as its legal representatve. The sponsor must take out a clinical trial insurance policy, and in most EU member states, the sponsor is liable to provide ‘no fault’ compensaton to any study subject injured in the clinical trial.</w:t>
      </w:r>
    </w:p>
    <w:p>
      <w:pPr>
        <w:spacing w:after="0" w:line="18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 clinical trial applicaton, or CTA, must be submited to competent natonal health authorites and independent ethics commitees, much like the FDA and IRB, respectvely. Once the CTA is approved by the natonal health authority and the ethics commitee has granted a positve opinion in relaton to the conduct of the trial in the relevant member state(s), in accordance with a country’s requirements, clinical study development may proceed. The CTA must include, among other things, a copy of the trial protocol and an investgatonal medicinal product dossier containing informaton about the manufacture and quality of the medicinal product under investgaton.</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Currently, CTAs must be submited to the competent authority in each EU member state in which the trial will be conducted. Under the new Clinical Trials Regulaton, which became applicable on January 31, 2022, there will be a centralized applicaton procedure where one natonal authority takes the lead in reviewing the applicaton and the other natonal authorites have only limited involvement. The extent to which ongoing clinical trials will be governed by the Clinical Trials Regulaton will depend on the duraton of the individual clinical trial from January 31, 2022 onward. If an ongoing clinical trial contnues for more than three years from January 31, 2022 the Clinical Trials Regulaton will begin to apply to the clinical trial as of January 31, 2025.</w:t>
      </w:r>
    </w:p>
    <w:p>
      <w:pPr>
        <w:spacing w:after="0" w:line="193" w:lineRule="exact"/>
        <w:rPr>
          <w:sz w:val="20"/>
          <w:szCs w:val="20"/>
          <w:color w:val="auto"/>
        </w:rPr>
      </w:pPr>
    </w:p>
    <w:p>
      <w:pPr>
        <w:ind w:right="700" w:firstLine="509"/>
        <w:spacing w:after="0" w:line="235" w:lineRule="auto"/>
        <w:rPr>
          <w:sz w:val="20"/>
          <w:szCs w:val="20"/>
          <w:color w:val="auto"/>
        </w:rPr>
      </w:pPr>
      <w:r>
        <w:rPr>
          <w:rFonts w:ascii="Calibri" w:cs="Calibri" w:eastAsia="Calibri" w:hAnsi="Calibri"/>
          <w:sz w:val="18"/>
          <w:szCs w:val="18"/>
          <w:color w:val="auto"/>
        </w:rPr>
        <w:t>Medicines used in clinical trials must be manufactured in accordance with good manufacturing practce, or GMP. Other natonal and EU-wide regulatory requirements may also apply.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Marketng Authorizatons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EU, medicinal product candidates can only be commercialized afer obtaining a marketng authorizaton, or MA. To obtain regulatory approval of a product candidate in the EU, we must submit a Marketng Authorizaton Applicaton, or MAA. The process for doing this depends, among other things, on the nature of the medicinal product.</w:t>
      </w:r>
    </w:p>
    <w:p>
      <w:pPr>
        <w:spacing w:after="0" w:line="18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There are two types of MAs:</w:t>
      </w:r>
    </w:p>
    <w:p>
      <w:pPr>
        <w:spacing w:after="0" w:line="190" w:lineRule="exact"/>
        <w:rPr>
          <w:sz w:val="20"/>
          <w:szCs w:val="20"/>
          <w:color w:val="auto"/>
        </w:rPr>
      </w:pPr>
    </w:p>
    <w:p>
      <w:pPr>
        <w:ind w:left="900" w:right="22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"Centralized MAs" are issued by the European Commission through the centralized procedure, based on the opinion of the Commitee for Medicinal Products for Human Use, or CHMP, of the EMA and are valid throughout the EU. The centralized procedure is mandatory for certain types of products, such as (i) medicinal products derived from biotechnological processes, (ii) designated orphan medicinal products, (iii) advanced medicinal therapy products, or ATMPs, such as gene therapy, somatc cell-therapy or tssue-engineered medicines and (iv) medicinal products containing a new actve substance indicated for the treatment of certain diseases, such as HIV/AIDS, cancer, neurodegeneratve diseases, diabetes, auto-immune and other immune dysfunctons and viral diseases. The centralized procedure is optonal for any products containing a new actve substance not yet authorized in the EU, or for products that consttute a signifcant therapeutc, scientfc or technical innovaton or for which the grantng of a MA would be in the interest of public health in the EU.</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61" w:name="page62"/>
    <w:bookmarkEnd w:id="61"/>
    <w:p>
      <w:pPr>
        <w:ind w:left="900" w:right="40" w:hanging="383"/>
        <w:spacing w:after="0" w:line="235" w:lineRule="auto"/>
        <w:tabs>
          <w:tab w:leader="none" w:pos="90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"Natonal MAs" are issued by the competent authorites of the EU member states, only cover their respectve territory, and are available for product candidates not falling within the mandatory scope of the centralized procedure. Where a product has already been authorized for marketng in an EU member state, this Natonal MA can be recognized in another member state through the mutual recogniton procedure. If the product has not received a Natonal MA in any member state at the tme of applicaton, it can be approved simultaneously in various member states through the decentralized procedure. Under the decentralized procedure an identcal dossier is submited to the competent authorites of each of the member states in which the MA is sought, one of which is selected by the applicant as the reference member state.</w:t>
      </w:r>
    </w:p>
    <w:p>
      <w:pPr>
        <w:spacing w:after="0" w:line="181"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Under the above described procedures, before grantng the MA, the EMA or the competent authorites of the EU member states make an assessment of the risk-beneft balance of the product on the basis of scientfc criteria concerning its quality, safety and efcacy.</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MAs have an inital duraton of fve years. Afer these fve years, the authorizaton may be renewed for an unlimited period on the basis of a reevaluaton of the risk-beneft balance. Under the centralized procedure and in exceptonal cases, the CHMP might perform an accelerated review of a MA in no more than 150 days (not including clock stops).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Data and marketng exclusivity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EU also provides opportunites for market exclusivity. Upon receiving marketng authorizaton, innovatve medicinal products generally receive eight years of data exclusivity and an additonal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frst authorized in the EU. The market exclusivity period prevents a successful generic or biosimilar applicant from commercializing its product in the EU untl 10 years have elapsed from the inital MA of the reference product in the EU. The overall 10-year market exclusivity period can be extended to a maximum of eleven years if, during the frst eight years of those 10 years, the MA holder obtains an authorizaton for one or more new therapeutc indicatons which, during the scientfc evaluaton prior to their authorizaton, are held to bring a signifcant clinical beneft in comparison with existng therapies. However, there is no guarantee that a product will be considered by the EU’s regulatory authorites to be a new chemical entty, and products may not qualify for data exclusivity.</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investgaton plan</w:t>
      </w:r>
    </w:p>
    <w:p>
      <w:pPr>
        <w:spacing w:after="0" w:line="19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the EU, MAAs for new medicinal products have to include the results of trials conducted in the pediatric populaton, in compliance with a pediatric investgaton plan, or PIP, agreed with the EMA’s Pediatric Commitee, or PDCO. The PIP sets out the tming and measures proposed to generate data to support a pediatric indicaton of the drug for which MA is being sought. The PDCO can grant a deferral of the obligaton to implement some or all of the measures of the PIP untl there are sufcient data to demonstrate the efcacy and safety of the product in adults. Further, the obligaton to provide pediatric clinical trial data can be waived by the PDCO when these data are not needed or appropriate because the product is likely to be inefectve or unsafe in children, the disease or conditon for which the product is intended occurs only in adult populatons, or when the product does not represent a signifcant therapeutc beneft over existng treatments for pediatric patents. Once the MA is obtained in all EU member states and study results are included in the product informaton, even when negatve, the product is eligible for six months’ supplementary protecton certfcate extension (if any is in efect at the tme of approval) or, in the case of orphan pharmaceutcal products, a two year extension of the orphan market exclusivity is granted.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62" w:name="page63"/>
    <w:bookmarkEnd w:id="62"/>
    <w:p>
      <w:pPr>
        <w:ind w:right="60" w:firstLine="509"/>
        <w:spacing w:after="0" w:line="235" w:lineRule="auto"/>
        <w:rPr>
          <w:sz w:val="20"/>
          <w:szCs w:val="20"/>
          <w:color w:val="auto"/>
        </w:rPr>
      </w:pPr>
      <w:r>
        <w:rPr>
          <w:rFonts w:ascii="Calibri" w:cs="Calibri" w:eastAsia="Calibri" w:hAnsi="Calibri"/>
          <w:sz w:val="18"/>
          <w:szCs w:val="18"/>
          <w:color w:val="auto"/>
        </w:rPr>
        <w:t>The advertsing and promoton of medicinal products is also subject to laws concerning promoton of medicinal products, interactons with physicians, misleading and comparatve advertsing and unfair commercial practces. All advertsing and promotonal actvites for the product must be consistent with the approved summary of product characteristcs, and therefore all of-label promoton is prohibited. Direct-to-consumer advertsing of prescripton medicines is also prohibited in the EU. Although general requirements for advertsing and promoton of medicinal products are established under EU directves, the details are governed by regulatons in each member state and can difer from one country to another.</w:t>
      </w:r>
    </w:p>
    <w:p>
      <w:pPr>
        <w:spacing w:after="0" w:line="180"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Outside of the United States, the pricing of pharmaceutcal products and medical devices is subject to governmental control in many countries. In the EU, pricing and reimbursement schemes vary widely from country to country. Some countries provide that products may be marketed only afer a reimbursement price has been agreed. Some countries may require the completon of additonal studies that compare the cost efectveness of a partcular therapy to currently available therapies or so-called health technology assessments, in order to obtain reimbursement or pricing approval. Other countries may allow companies to fx their own prices for products, but monitor and control product volumes and issue guidance to physicians to limit prescriptons. Eforts to control prices and utlizaton of pharmaceutcal products and medical devices will likely contnue as countries atempt to manage healthcare expenditures. Historically, products launched in the EU do not follow price structures of the United States and generally prices tend to be signifcantly lower.</w:t>
      </w:r>
    </w:p>
    <w:p>
      <w:pPr>
        <w:spacing w:after="0" w:line="16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Failure to comply with the aforementoned EU and member state laws may result in administratve, civil or criminal penaltes. These penaltes could include delays or refusal to authorize the conduct of clinical trials, or to grant MA, product withdrawals and recalls, product seizures, suspension, withdrawal or variaton of the MA, total or partal suspension of producton, distributon, manufacturing or clinical trials, operatng restrictons, injunctons, suspension of licenses, fnes and criminal penaltes.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aforementoned EU rules are generally applicable in the European Economic Area, or EEA, which consists of the 27 EU member states plus Norway, Liechtenstein and Iceland.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Brexit and the Regulatory Framework in the United Kingdom</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United Kingdom, or UK, lef the EU on January 31, 2020, following which existng EU medicinal product legislaton contnued to apply in the United Kingdom during the transiton period under the terms of the EU-UK Withdrawal Agreement. The transiton period, which ended on December 31, 2020, maintained access to the EU single market and to the global trade deals negotated by the EU on behalf of its members. The transiton period provided tme for the UK and EU to negotate a framework for partnership for the future, which was then crystallized in the Trade and Cooperaton Agreement, or TCA, and became efectve on the January 1, 2021. The TCA includes specifc provisions concerning pharmaceutcals, which include the mutual recogniton of GMP inspectons of manufacturing facilites for medicinal products and GMP documents issued but does not foresee wholesale mutual recogniton of UK and EU pharmaceutcal regulatons.</w:t>
      </w:r>
    </w:p>
    <w:p>
      <w:pPr>
        <w:spacing w:after="0" w:line="19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EU laws which have been transposed into UK law through secondary legislaton contnue to be applicable as “retained EU law”. However, new legislaton such as the EU Clinical Trials Regulaton or in relaton to orphan medicines will not be applicable. The UK government has passed a new Medicines and Medical Devices Act 2021, which introduces delegated powers in favor of the Secretary of State or an ‘appropriate authority’ to amend or supplement existng regulatons in the area of medicinal products and medical devices. This allows new rules to be introduced in the future by way of secondary legislaton, which aims to allow fexibility in addressing regulatory gaps and future changes in the felds of human medicines, clinical trials and medical devices.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3" w:name="page64"/>
    <w:bookmarkEnd w:id="63"/>
    <w:p>
      <w:pPr>
        <w:ind w:firstLine="509"/>
        <w:spacing w:after="0" w:line="235" w:lineRule="auto"/>
        <w:rPr>
          <w:sz w:val="20"/>
          <w:szCs w:val="20"/>
          <w:color w:val="auto"/>
        </w:rPr>
      </w:pPr>
      <w:r>
        <w:rPr>
          <w:rFonts w:ascii="Calibri" w:cs="Calibri" w:eastAsia="Calibri" w:hAnsi="Calibri"/>
          <w:sz w:val="18"/>
          <w:szCs w:val="18"/>
          <w:color w:val="auto"/>
        </w:rPr>
        <w:t>As of January 1, 2021, the Medicines and Healthcare products Regulatory Agency, or MHRA, is the UK’s standalone medicines and medical devices regulator. As a result of the Northern Ireland protocol, diferent rules will apply in Northern Ireland than in England, Wales, and Scotland, together, Great Britain, or GB; broadly, Northern Ireland will contnue to follow the EU regulatory regime, but its natonal competent authority will remain the MHRA. The MHRA has published a guidance on how various aspects of the UK regulatory regime for medicines will operate in GB and in Northern Ireland following the expiry of the Brexit transiton period on December 31, 2020. The guidance includes clinical trials, importng, exportng, and pharmacovigilance and is relevant to any business involved in the research, development, or commercializaton of medicines in the UK. The new guidance was given efect via the Human Medicines Regulatons (Amendment etc.) (EU Exit) Regulatons 2019, or the Exit Regulatons.</w:t>
      </w:r>
    </w:p>
    <w:p>
      <w:pPr>
        <w:spacing w:after="0" w:line="181"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The MHRA has introduced changes to natonal licensing procedures, including procedures to prioritze access to new medicines that will beneft patents, including a 150-day assessment and a rolling review procedure. All existng EU MAs for centrally authorized products were automatcally converted or grandfathered into UK MAs, efectve in GB (only), free of charge on January 1, 2021, unless the MA holder chooses to opt-out. Afer Brexit, companies established in the UK cannot use the centralized procedure and instead must follow one of the UK natonal authorizaton procedures or one of the remaining post-Brexit internatonal cooperaton procedures to obtain an MA to commercialize products in the UK. The MHRA may rely on a decision taken by the European Commission on the approval of a new (centralized procedure) MA when determining an applicaton for a GB authorizaton; or use the MHRA’s decentralized or mutual recogniton procedures which enable MAs approved in EU member states (or Iceland, Liechtenstein, Norway) to be granted in GB.</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8" w:right="39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b w:val="1"/>
          <w:bCs w:val="1"/>
          <w:i w:val="1"/>
          <w:iCs w:val="1"/>
          <w:color w:val="auto"/>
        </w:rPr>
        <w:t>Data privacy and security laws</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Pharmaceutcal companies may be subject to federal, state and foreign data privacy, security and data breach notfcaton laws governing the collecton, use, disclosure and protecton of health-related and other personal informaton. For example, in the U.S., HIPAA imposes privacy, security and breach reportng obligatons with respect to individually identfable health informaton upon “covered enttes” (health plans, health care clearinghouses and certain health care providers), and their respectve business associates, individuals or enttes that create, receive, maintain or transmit protected health informaton in connecton with providing a service for or on behalf of a covered entty. HIPAA mandates the reportng of certain breaches of health informaton to the Department of Health and Human Services, or HHS, to afected individuals and if the breach is large enough, to the media. Enttes that are found to be in violaton of HIPAA as the result of a breach of unsecured personal health informaton, or PHI, a complaint about privacy practces or an audit by the HHS may be subject to signifcant civil, criminal and administratve fnes and penaltes and/or additonal reportng and oversight obligatons if required to enter into a resoluton agreement and correctve acton plan with HHS to setle allegatons of HIPAA non-compliance. Even when HIPAA does not apply, according to the Federal Trade Commission or the FTC, failing to take appropriate steps to keep consumers’ personal informaton secure may consttute unfair acts or practces in or afectng commerce in violaton of Secton 5(a) of the Federal Trade Commission Act. The FTC expects a company’s data security measures to be reasonable and appropriate in light of the sensitvity and volume of consumer informaton it holds, the size and complexity of its business, and the cost of available tools to improve security and reduce vulnerabilites. Individually identfable health informaton is considered sensitve data that merits stronger safeguards. In additon, certain state and non-U.S. laws, such as the California Consumer Privacy Act, or CCPA, the California Privacy Rights Act, or CPRA, similar laws in Colorado, Connectcut, Virginia and Utah, and the EU General Data Protecton Regulaton, or GDPR, govern the privacy and security of personal informaton, including health-related informaton in certain circumstances, some of which are more stringent than HIPAA and many of which difer from each other in signifcant ways and may not have the same efect, thus complicatng compliance eforts. Failure to comply with these laws, where applicable, can result in the impositon of signifcant civil and/or criminal penaltes and private litgaton. Privacy and security laws, regulatons, and other obligatons are constantly evolving, may confict with each other to complicate compliance eforts, and can result in investgatons, proceedings, or actons that lead to signifcant civil and/or criminal penaltes and restrictons on data processing.</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of February 24, 2023, we had 112 full-tme employees, 10 of whom have a Ph.D. or M.D. None of our employees are represented by labor unions or covered by collectve bargaining agreements. We consider our relatonship with our employees to be good.</w:t>
      </w:r>
    </w:p>
    <w:p>
      <w:pPr>
        <w:spacing w:after="0" w:line="191"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Our human capital resources objectves include, as applicable, identfying, recruitng, retaining, incentvizing and developing our existng and new employees, advisors and consultants. The principal purposes of our equity and cash incentve plans are to atract, retain and reward personnel through the grantng of stock-based and cash-based compensaton awards in order to increase stockholder value and the success of our company by motvatng such individuals to perform to the best of their abilites and achieve our objectves.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Corporate Informaton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were originally incorporated under the laws of the state of Delaware on January 9, 2018 under the name North Bridge IV, Inc. On March 13, 2019, we changed our name to Phathom Pharmaceutcals, Inc. and merged YamadaCo IIA, Inc., a Delaware corporaton, or YamadaCo, with and into our company, with Phathom Pharmaceutcals, Inc. as the surviving entty, or the Merger. References throughout this annual report to Phathom Pharmaceutcals, Inc. include North Bridge IV, Inc. prior to the Merger. Our principal executve ofces are located at 100 Campus Drive, Suite 102, Florham Park, New Jersey 07932, and our telephone number is (877) 742-8466.</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b w:val="1"/>
          <w:bCs w:val="1"/>
          <w:color w:val="auto"/>
        </w:rPr>
        <w:t>Available Informaton</w:t>
      </w:r>
    </w:p>
    <w:p>
      <w:pPr>
        <w:spacing w:after="0" w:line="177"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Our internet address is www.phathompharma.com. Our investor relatons website is located at htps://investors.phathompharma.com. We make available free of charge on our investor relatons website under “Financials and Filings” our annual reports on Form 10-K, quarterly reports on Form 10-Q, current reports on Form 8-K, our directors’ and ofcers’ Secton 16 reports and any amendments to those reports as soon as reasonably practcable afer fling or furnishing such materials to the SEC. They are also available for free on the SEC’s website at www.sec.gov.</w:t>
      </w:r>
    </w:p>
    <w:p>
      <w:pPr>
        <w:spacing w:after="0" w:line="17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use our investor relatons website as a means of disclosing material non-public informaton and for complying with our disclosure obligatons under Regulaton FD. Investors should monitor such website, in additon to following our press releases, SEC flings and public conference calls and webcasts. Informaton relatng to our corporate governance is also included on our investor relatons website. The informaton in or accessible through the SEC and our website are not incorporated into, and are not considered part of, this fling.</w:t>
      </w:r>
    </w:p>
    <w:p>
      <w:pPr>
        <w:spacing w:after="0" w:line="188"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1A.</w:t>
      </w:r>
      <w:r>
        <w:rPr>
          <w:sz w:val="20"/>
          <w:szCs w:val="20"/>
          <w:color w:val="auto"/>
        </w:rPr>
        <w:tab/>
      </w:r>
      <w:r>
        <w:rPr>
          <w:rFonts w:ascii="Calibri" w:cs="Calibri" w:eastAsia="Calibri" w:hAnsi="Calibri"/>
          <w:sz w:val="17"/>
          <w:szCs w:val="17"/>
          <w:b w:val="1"/>
          <w:bCs w:val="1"/>
          <w:color w:val="auto"/>
        </w:rPr>
        <w:t>Risk Factors</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i w:val="1"/>
          <w:iCs w:val="1"/>
          <w:color w:val="auto"/>
        </w:rPr>
        <w:t>You should carefully consider the following risk factors, together with the other informaton contained in this annual report on Form 10-K, including our fnancial statements and the related notes and “Management’s Discussion and Analysis of Financial Conditon and Results of Operatons,” before making a decision to purchase or sell shares of our common stock. We cannot assure you that any of the events discussed in the risk factors below will not occur. These risks could have a material and adverse impact on our business, results of operatons, fnancial conditon and growth prospects. If that were to happen, the trading price of our common stock could decline. Additonal risks and uncertaintes not presently known to us or that we currently deem immaterial also may impair our business operatons or fnancial conditon. In this secton, we frst provide a summary of the more signifcant risks and uncertaintes we face and then provide a full set of risk factors and discuss them in greater detail.</w:t>
      </w:r>
    </w:p>
    <w:p>
      <w:pPr>
        <w:spacing w:after="0" w:line="17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SUMMARY RISKS FACTORS</w:t>
      </w:r>
    </w:p>
    <w:p>
      <w:pPr>
        <w:spacing w:after="0" w:line="204" w:lineRule="exact"/>
        <w:rPr>
          <w:sz w:val="20"/>
          <w:szCs w:val="20"/>
          <w:color w:val="auto"/>
        </w:rPr>
      </w:pPr>
    </w:p>
    <w:p>
      <w:pPr>
        <w:ind w:left="900" w:right="26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a limited operatng history, have incurred signifcant operatng losses since our incepton and expect to incur signifcant losses for the foreseeable future;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never generate any revenue or become proftable or, if we achieve proftability, we may not be able to sustain it;</w:t>
      </w:r>
    </w:p>
    <w:p>
      <w:pPr>
        <w:spacing w:after="0" w:line="190"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will require substantal additonal fnancing to achieve our goals, and a failure to obtain this necessary capital when needed on acceptable terms, or at all, could force us to delay, limit, reduce or terminate our product development programs, commercializaton eforts or other operatons;</w:t>
      </w:r>
    </w:p>
    <w:p>
      <w:pPr>
        <w:spacing w:after="0" w:line="205"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We may not be successful in demonstratng to the FDA that we are able to maintain the level of the nitrosamine impurity </w:t>
      </w:r>
      <w:r>
        <w:rPr>
          <w:rFonts w:ascii="Calibri" w:cs="Calibri" w:eastAsia="Calibri" w:hAnsi="Calibri"/>
          <w:sz w:val="18"/>
          <w:szCs w:val="18"/>
          <w:i w:val="1"/>
          <w:iCs w:val="1"/>
          <w:color w:val="auto"/>
        </w:rPr>
        <w:t>N</w:t>
      </w:r>
      <w:r>
        <w:rPr>
          <w:rFonts w:ascii="Calibri" w:cs="Calibri" w:eastAsia="Calibri" w:hAnsi="Calibri"/>
          <w:sz w:val="18"/>
          <w:szCs w:val="18"/>
          <w:color w:val="auto"/>
        </w:rPr>
        <w:t>-nitroso-vonoprazan below the acceptable daily intake established by the FDA;</w:t>
      </w:r>
    </w:p>
    <w:p>
      <w:pPr>
        <w:spacing w:after="0" w:line="190"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Revenue Interest Financing Agreement could limit cash fow available for our operatons and expose us to risks that could adversely afect our business, fnancial conditon and results of operatons;</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currently depend entrely on the success of products containing vonoprazan including VOQUEZNA TRIPLE PAK and VOQEUZNA DUAL PAK, which have not been launched but are our only approved products, and, if approved, VOQUEZNA for the treatment of erosive GERD. If we are unable to obtain approval of vonoprazan for treatment of erosive GERD, and launch and successfully commercialize these products, or experience signifcant delays in doing so, or are unable to advance the clinical development of, and obtain regulatory approval for, vonoprazan to treat non-erosive GERD, our business will be materially harmed;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66" w:name="page67"/>
    <w:bookmarkEnd w:id="66"/>
    <w:p>
      <w:pPr>
        <w:jc w:val="both"/>
        <w:ind w:left="383" w:right="10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drug development involves a lengthy and expensive process with an uncertain outcome, and the results of prior clinical trials and other investgator-initated clinical trials of vonoprazan are not necessarily predictve of our future results. Vonoprazan may not have favorable results in our clinical trials, or receive additonal regulatory approvals on a tmely basis, if at all;</w:t>
      </w:r>
    </w:p>
    <w:p>
      <w:pPr>
        <w:spacing w:after="0" w:line="191" w:lineRule="exact"/>
        <w:rPr>
          <w:rFonts w:ascii="Times New Roman" w:cs="Times New Roman" w:eastAsia="Times New Roman" w:hAnsi="Times New Roman"/>
          <w:sz w:val="18"/>
          <w:szCs w:val="18"/>
          <w:color w:val="auto"/>
        </w:rPr>
      </w:pPr>
    </w:p>
    <w:p>
      <w:pPr>
        <w:ind w:left="383" w:right="16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Vonoprazan and any future product candidates are subject to extensive regulaton and compliance obligatons, which is costly and tme consuming, and such regulaton may cause unantcipated delays or prevent the receipt of the required approvals to commercialize vonoprazan and any future product candidates;</w:t>
      </w:r>
    </w:p>
    <w:p>
      <w:pPr>
        <w:spacing w:after="0" w:line="191" w:lineRule="exact"/>
        <w:rPr>
          <w:rFonts w:ascii="Times New Roman" w:cs="Times New Roman" w:eastAsia="Times New Roman" w:hAnsi="Times New Roman"/>
          <w:sz w:val="18"/>
          <w:szCs w:val="18"/>
          <w:color w:val="auto"/>
        </w:rPr>
      </w:pPr>
    </w:p>
    <w:p>
      <w:pPr>
        <w:ind w:left="383" w:right="260" w:hanging="383"/>
        <w:spacing w:after="0" w:line="254" w:lineRule="auto"/>
        <w:tabs>
          <w:tab w:leader="none" w:pos="383" w:val="left"/>
        </w:tabs>
        <w:numPr>
          <w:ilvl w:val="0"/>
          <w:numId w:val="16"/>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not be successful in our eforts to expand our pipeline by identfying additonal indicatons and formulatons for which to investgate vonoprazan in the future. We may expend our limited resources to pursue a partcular indicaton or formulaton for vonoprazan and fail to capitalize on product candidates, indicatons or formulatons that may be more proftable or for which there is a greater likelihood of success;</w:t>
      </w:r>
    </w:p>
    <w:p>
      <w:pPr>
        <w:spacing w:after="0" w:line="191" w:lineRule="exact"/>
        <w:rPr>
          <w:rFonts w:ascii="Times New Roman" w:cs="Times New Roman" w:eastAsia="Times New Roman" w:hAnsi="Times New Roman"/>
          <w:sz w:val="17"/>
          <w:szCs w:val="17"/>
          <w:color w:val="auto"/>
        </w:rPr>
      </w:pPr>
    </w:p>
    <w:p>
      <w:pPr>
        <w:jc w:val="both"/>
        <w:ind w:left="383" w:right="24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currently have a limited commercial organizaton, no feld sales representatves, and have no experience as a company in commercializing products, and we may have to invest signifcant additonal resources to develop these capabilites. If we are unable to establish the necessary commercial capabilites or enter into agreements with third partes to market and sell our products, we may not be able to generate product revenue;</w:t>
      </w:r>
    </w:p>
    <w:p>
      <w:pPr>
        <w:spacing w:after="0" w:line="192" w:lineRule="exact"/>
        <w:rPr>
          <w:rFonts w:ascii="Times New Roman" w:cs="Times New Roman" w:eastAsia="Times New Roman" w:hAnsi="Times New Roman"/>
          <w:sz w:val="18"/>
          <w:szCs w:val="18"/>
          <w:color w:val="auto"/>
        </w:rPr>
      </w:pPr>
    </w:p>
    <w:p>
      <w:pPr>
        <w:ind w:left="383" w:right="2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third partes to conduct our preclinical and clinical trials and perform other tasks for us. If these third partes do not successfully carry out their contractual dutes, meet expected deadlines or comply with regulatory requirements, we may not be able to obtain additonal regulatory approvals for or commercialize vonoprazan and our business could be harmed;</w:t>
      </w:r>
    </w:p>
    <w:p>
      <w:pPr>
        <w:spacing w:after="0" w:line="191" w:lineRule="exact"/>
        <w:rPr>
          <w:rFonts w:ascii="Times New Roman" w:cs="Times New Roman" w:eastAsia="Times New Roman" w:hAnsi="Times New Roman"/>
          <w:sz w:val="18"/>
          <w:szCs w:val="18"/>
          <w:color w:val="auto"/>
        </w:rPr>
      </w:pPr>
    </w:p>
    <w:p>
      <w:pPr>
        <w:ind w:left="383" w:right="24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currently engage third-party manufacturers for all of our clinical and commercial supplies. The loss of any of these suppliers, or any future single source suppliers, could harm our business;</w:t>
      </w:r>
    </w:p>
    <w:p>
      <w:pPr>
        <w:spacing w:after="0" w:line="204" w:lineRule="exact"/>
        <w:rPr>
          <w:rFonts w:ascii="Times New Roman" w:cs="Times New Roman" w:eastAsia="Times New Roman" w:hAnsi="Times New Roman"/>
          <w:sz w:val="18"/>
          <w:szCs w:val="18"/>
          <w:color w:val="auto"/>
        </w:rPr>
      </w:pPr>
    </w:p>
    <w:p>
      <w:pPr>
        <w:ind w:left="383" w:right="28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90" w:lineRule="exact"/>
        <w:rPr>
          <w:rFonts w:ascii="Times New Roman" w:cs="Times New Roman" w:eastAsia="Times New Roman" w:hAnsi="Times New Roman"/>
          <w:sz w:val="18"/>
          <w:szCs w:val="18"/>
          <w:color w:val="auto"/>
        </w:rPr>
      </w:pPr>
    </w:p>
    <w:p>
      <w:pPr>
        <w:ind w:left="383" w:right="36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the scope of any patent protecton we obtain is not sufciently broad, or if we lose any of our patent protecton, our ability to prevent our compettors from commercializing similar or identcal product candidates would be adversely afected;</w:t>
      </w:r>
    </w:p>
    <w:p>
      <w:pPr>
        <w:spacing w:after="0" w:line="190" w:lineRule="exact"/>
        <w:rPr>
          <w:rFonts w:ascii="Times New Roman" w:cs="Times New Roman" w:eastAsia="Times New Roman" w:hAnsi="Times New Roman"/>
          <w:sz w:val="18"/>
          <w:szCs w:val="18"/>
          <w:color w:val="auto"/>
        </w:rPr>
      </w:pPr>
    </w:p>
    <w:p>
      <w:pPr>
        <w:ind w:left="383"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successful commercializaton of VOQUEZNA TRIPLE PAK and VOQUEZNA DUAL PAK (or, if approved, VOQUEZNA for the treatment of erosive GERD or any future product candidates) will depend in part on the extent to which governmental authorites and health insurers establish coverage, adequate reimbursement levels and favorable pricing policies. Failure to obtain or maintain coverage and adequate reimbursement for our products could limit our ability to market those products successfully and decrease our ability to generate revenue;</w:t>
      </w:r>
    </w:p>
    <w:p>
      <w:pPr>
        <w:spacing w:after="0" w:line="205" w:lineRule="exact"/>
        <w:rPr>
          <w:rFonts w:ascii="Times New Roman" w:cs="Times New Roman" w:eastAsia="Times New Roman" w:hAnsi="Times New Roman"/>
          <w:sz w:val="18"/>
          <w:szCs w:val="18"/>
          <w:color w:val="auto"/>
        </w:rPr>
      </w:pPr>
    </w:p>
    <w:p>
      <w:pPr>
        <w:ind w:left="383" w:right="140" w:hanging="383"/>
        <w:spacing w:after="0" w:line="235" w:lineRule="auto"/>
        <w:tabs>
          <w:tab w:leader="none" w:pos="383"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following commercializaton of VOQUEZNA TRIPLE PAK and VOQUEZNA DUAL PAK (and if approved, VOQUEZNA for the treatment of erosive GERD or any future product candidates) we fail to comply with reportng and payment obligatons under the Medicaid Drug Rebate Program or other governmental pricing programs, we could be subject to additonal reimbursement requirements, penaltes, sanctons and fnes, which could have a material adverse efect on our business, fnancial conditon, results of operatons and growth prospects;</w:t>
      </w:r>
    </w:p>
    <w:p>
      <w:pPr>
        <w:spacing w:after="0" w:line="224"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711" w:right="399" w:bottom="1440" w:gutter="0" w:footer="0" w:header="0"/>
        </w:sectPr>
      </w:pPr>
    </w:p>
    <w:bookmarkStart w:id="67" w:name="page68"/>
    <w:bookmarkEnd w:id="67"/>
    <w:p>
      <w:pPr>
        <w:ind w:left="383" w:hanging="383"/>
        <w:spacing w:after="0" w:line="235" w:lineRule="auto"/>
        <w:tabs>
          <w:tab w:leader="none" w:pos="383"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subject to various foreign, federal, and state healthcare and privacy laws and regulatons, and our failure to comply with these laws and regulatons could harm our results of operatons and fnancial conditon;</w:t>
      </w:r>
    </w:p>
    <w:p>
      <w:pPr>
        <w:spacing w:after="0" w:line="18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business is subject to risks arising from epidemic diseases, such as the COVID-19 pandemic;</w:t>
      </w:r>
    </w:p>
    <w:p>
      <w:pPr>
        <w:spacing w:after="0" w:line="190" w:lineRule="exact"/>
        <w:rPr>
          <w:rFonts w:ascii="Times New Roman" w:cs="Times New Roman" w:eastAsia="Times New Roman" w:hAnsi="Times New Roman"/>
          <w:sz w:val="18"/>
          <w:szCs w:val="18"/>
          <w:color w:val="auto"/>
        </w:rPr>
      </w:pPr>
    </w:p>
    <w:p>
      <w:pPr>
        <w:ind w:left="383" w:right="760" w:hanging="383"/>
        <w:spacing w:after="0" w:line="235" w:lineRule="auto"/>
        <w:tabs>
          <w:tab w:leader="none" w:pos="383"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highly dependent on the services of our key executves and personnel, and if we are not able to retain these members of our management or recruit additonal management, clinical and commercial personnel, our business will sufer; and</w:t>
      </w:r>
    </w:p>
    <w:p>
      <w:pPr>
        <w:spacing w:after="0" w:line="199"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trading price of our securites is likely to be volatle, and purchasers of our securites could incur substantal losses.</w:t>
      </w:r>
    </w:p>
    <w:p>
      <w:pPr>
        <w:spacing w:after="0" w:line="221"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3"/>
          </w:cols>
          <w:pgMar w:left="837" w:top="711" w:right="53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b w:val="1"/>
          <w:bCs w:val="1"/>
          <w:color w:val="auto"/>
        </w:rPr>
        <w:t>Risks Related to Our Limited Operatng History, Financial Positon and Capital Requirements</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We have a limited operatng history, have incurred signifcant operatng losses since our incepton and expect to incur signifcant losses for the foreseeable future. We may never generate any revenue or become proftable or, if we achieve proftability, we may not be able to sustain it.</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Biopharmaceutcal product development is a highly speculatve undertaking and involves a substantal degree of risk. We are a late clinical-stage biopharmaceutcal company with a limited operatng history upon which you can evaluate our business and prospects. We commenced operatons in 2018, and to date, we have focused primarily on organizing and stafng our company, business planning, raising capital, in-licensing our inital product candidate, vonoprazan, meetng with regulatory authorites, conductng our Phase 3 clinical trials of vonoprazan, preparing applicatons for regulatory approval for vonoprazan and preparing for a potental commercial launch. As a company, we have not yet demonstrated an ability to inital commercial launch a product launch, manufacture a commercial scale product or arrange for a third party to do so on our behalf, or conduct sales and marketng actvites necessary for successful product commercializaton. Consequently, any predictons made about our future success or viability may not be as accurate as they could be if we had a history of successfully obtaining regulatory approvals for and commercializing biopharmaceutcal products.</w:t>
      </w:r>
    </w:p>
    <w:p>
      <w:pPr>
        <w:spacing w:after="0" w:line="19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have incurred signifcant operatng losses since our incepton. If vonoprazan is not successfully developed, approved and commercially launched in the United States, Europe and/or Canada, we may never generate any revenue. We have incurred cumulatve net losses since our incepton and, as of December 31, 2022, we had an accumulated defcit of $727.1 million. Substantally all of our losses have resulted from expenses incurred in connecton with in-licensing and developing vonoprazan, commercial actvites in preparaton for a potental product launch, and from general and administratve costs associated with our operatons. Vonoprazan will require substantal additonal tme and resources before we will be able to begin generatng revenue from product sales, and any future product candidates will require substantal additonal development tme and resources before we will be able to apply for or receive regulatory approvals and begin generatng revenue from product sales. We expect to contnue to incur losses for the foreseeable future, and we antcipate these losses will increase substantally as we contnue our development of, seek additonal regulatory approvals for, and potentally commercialize vonoprazan and seek to identfy, assess, acquire, in-license, or develop additonal product candidates.</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To become and remain proftable, we must succeed in developing and eventually commercializing products that generate signifcant revenue. This will require us to be successful in a range of challenging actvites, including completng clinical trials and preclinical studies of vonoprazan and any future product candidates, obtaining regulatory approval for these product candidates and manufacturing, marketng and selling any products. We are stll in the early stages of a number of these actvites. We may never succeed in these actvites and, even if we do, may never generate revenues that are signifcant enough to achieve proftability. In additon, we have not yet demonstrated an ability to successfully overcome many of the risks and uncertaintes frequently encountered by companies in new and rapidly evolving felds, partcularly in the biopharmaceutcal industry. For example, we have not been able to demonstrate to FDA that we can produce commercial product in which the level of an identfed nitrosamine impurity remains below its acceptable daily intake limit throughout the shelf-life of the product. Because of this and the other numerous risks and uncertaintes associated with biopharmaceutcal product development, we are unable to accurately predict the tming or amount of increased expenses or when, or if, we will be able to initate product commercializaton and achieve proftability. Even if we do achieve proftability, we may not be able to sustain or increase proftability on a quarterly or annual basis. Our failure to become and remain proftable would depress the value of our company and could impair our ability to raise capital, expand our business, contnue our product development eforts, diversify our product candidate pipeline or even contnue our operatons. A decline in the value of our company could also cause you to lose all or part of your investment.</w:t>
      </w: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69" w:name="page70"/>
    <w:bookmarkEnd w:id="69"/>
    <w:p>
      <w:pPr>
        <w:ind w:right="20"/>
        <w:spacing w:after="0" w:line="235" w:lineRule="auto"/>
        <w:rPr>
          <w:sz w:val="20"/>
          <w:szCs w:val="20"/>
          <w:color w:val="auto"/>
        </w:rPr>
      </w:pPr>
      <w:r>
        <w:rPr>
          <w:rFonts w:ascii="Calibri" w:cs="Calibri" w:eastAsia="Calibri" w:hAnsi="Calibri"/>
          <w:sz w:val="18"/>
          <w:szCs w:val="18"/>
          <w:b w:val="1"/>
          <w:bCs w:val="1"/>
          <w:i w:val="1"/>
          <w:iCs w:val="1"/>
          <w:color w:val="auto"/>
        </w:rPr>
        <w:t>We will require substantal additonal fnancing to achieve our goals, and a failure to obtain this necessary capital when needed on acceptable terms, or at all, could force us to delay, limit, reduce or terminate our product development programs, commercializaton eforts or other operatons.</w:t>
      </w:r>
    </w:p>
    <w:p>
      <w:pPr>
        <w:spacing w:after="0" w:line="177"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 xml:space="preserve">The development and commercializaton of biopharmaceutcal product candidates is capital-intensive. We expect our expenses to increase in connecton with our ongoing actvites, partcularly as we prepare to commercialize vonoprazan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and, if approved, erosive GERD and progress our non-erosive GERD development program. In additon, if one or more products containing vonoprazan are commercialized, we will be required to make milestone and royalty payments to Takeda, from whom we have in-licensed the rights to develop and commercialize vonoprazan in the United States, Europe, and Canada pursuant to the Takeda License. Furthermore, if and to the extent we seek to acquire or in-license additonal product candidates in the future, we may be required to make signifcant upfront payments, milestone payments, and/or royalty payments. If we obtain additonal regulatory approvals for vonoprazan or regulatory approval for any future product candidate, we also expect to incur signifcant commercializaton expenses related to product manufacturing, marketng, sales and distributon. Because the outcome of any clinical trial is highly uncertain, we cannot reasonably estmate the actual amounts necessary to successfully complete the development and commercializaton of vonoprazan or any future product candidate. Accordingly, we will need to obtain substantal additonal funding in connecton with our contnuing operatons. If we are unable to raise capital when needed or on atractve terms, we could be forced to delay, reduce or eliminate our research and development programs or any future commercializaton eforts.</w:t>
      </w:r>
    </w:p>
    <w:p>
      <w:pPr>
        <w:spacing w:after="0" w:line="174"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 xml:space="preserve">We believe that our existng cash and cash equivalents together with the drawdown of the remaining $100 million under our loan and security agreement, or the Loan Agreement, with Hercules Capital, or Hercules, are sufcient to fund operatons for at least the next twelve months and receipt of the $175 million milestone under our revenue interest fnancing agreement following approval of vonoprazan for the treatment of erosive GERD, will enable us to fund our operatons through 2024. In partcular, we expect that these funds will allow us to launch vonoprazan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and erosive GERD subject to approval of our resubmissions. We have based these estmates on assumptons that may prove to be wrong, and we could use our capital resources sooner than we currently expect. Our operatng plans and other demands on our cash resources may change as a result of many factors currently unknown to us, and we may need to seek additonal funds sooner than planned, through public or private equity or debt fnancings or other capital sources, including potentally collaboratons, licenses and other similar arrangements. In additon, we may seek additonal capital due to favorable market conditons or strategic consideratons even if we believe we have sufcient funds for our current or future operatng plans. Atemptng to secure additonal fnancing may divert our management from our day-to-day actvites, which may adversely afect our ability to develop vonoprazan or any future product candidates.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0" w:name="page71"/>
    <w:bookmarkEnd w:id="70"/>
    <w:p>
      <w:pPr>
        <w:ind w:left="520"/>
        <w:spacing w:after="0"/>
        <w:rPr>
          <w:sz w:val="20"/>
          <w:szCs w:val="20"/>
          <w:color w:val="auto"/>
        </w:rPr>
      </w:pPr>
      <w:r>
        <w:rPr>
          <w:rFonts w:ascii="Calibri" w:cs="Calibri" w:eastAsia="Calibri" w:hAnsi="Calibri"/>
          <w:sz w:val="18"/>
          <w:szCs w:val="18"/>
          <w:color w:val="auto"/>
        </w:rPr>
        <w:t>Our future capital requirements will depend on many factors, including:</w:t>
      </w:r>
    </w:p>
    <w:p>
      <w:pPr>
        <w:spacing w:after="0" w:line="190" w:lineRule="exact"/>
        <w:rPr>
          <w:sz w:val="20"/>
          <w:szCs w:val="20"/>
          <w:color w:val="auto"/>
        </w:rPr>
      </w:pPr>
    </w:p>
    <w:p>
      <w:pPr>
        <w:ind w:left="900" w:right="40" w:hanging="383"/>
        <w:spacing w:after="0" w:line="258" w:lineRule="auto"/>
        <w:tabs>
          <w:tab w:leader="none" w:pos="900" w:val="left"/>
        </w:tabs>
        <w:numPr>
          <w:ilvl w:val="0"/>
          <w:numId w:val="18"/>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costs and tming of establishing or securing additonal sales and marketng capabilites in advance of initatng commercial launch of VOQUEZNA TRIPLE PAK, VOQUEZNA DUAL PAK, and, if approved, VOQUEZNA for the treatment of erosive GERD or any future product candidate;</w:t>
      </w:r>
    </w:p>
    <w:p>
      <w:pPr>
        <w:spacing w:after="0" w:line="174" w:lineRule="exact"/>
        <w:rPr>
          <w:rFonts w:ascii="Times New Roman" w:cs="Times New Roman" w:eastAsia="Times New Roman" w:hAnsi="Times New Roman"/>
          <w:sz w:val="17"/>
          <w:szCs w:val="17"/>
          <w:color w:val="auto"/>
        </w:rPr>
      </w:pPr>
    </w:p>
    <w:p>
      <w:pPr>
        <w:ind w:left="900" w:right="2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204"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manufacturing for vonoprazan or any future product candidates, including commercial scale manufacturing if any product candidate is approved;</w:t>
      </w:r>
    </w:p>
    <w:p>
      <w:pPr>
        <w:spacing w:after="0" w:line="190"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tming and outcome of regulatory review of our resubmissions following receipt of complete response leters for our post approval supplement for VOQUEZNA TRIPLE PAK and VOQUEZNA DUAL PAK and our NDA for VOQUEZNA for the treatment of erosive GERD, and the costs, tming and outcome of regulatory review of any future product candidates;</w:t>
      </w:r>
    </w:p>
    <w:p>
      <w:pPr>
        <w:spacing w:after="0" w:line="18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obtaining, maintaining and enforcing our patents and other intellectual property rights;</w:t>
      </w:r>
    </w:p>
    <w:p>
      <w:pPr>
        <w:spacing w:after="0" w:line="203"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eforts to enhance operatonal systems and hire additonal personnel to satsfy our obligatons as a public company, including enhanced internal controls over fnancial reportng;</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hiring additonal personnel and consultants as our business grows partcularly commercial personnel;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must make to Takeda and any future licensors;</w:t>
      </w:r>
    </w:p>
    <w:p>
      <w:pPr>
        <w:spacing w:after="0" w:line="203"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achieve sufcient market acceptance, coverage and adequate reimbursement from third-party payers and adequate market share and revenue for any approved products;</w:t>
      </w:r>
    </w:p>
    <w:p>
      <w:pPr>
        <w:spacing w:after="0" w:line="190"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willingness to pay out-of-pocket for any approved products in the absence of coverage and/or adequate reimbursement from third-party payers;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establishing and maintaining collaboratons, licenses and other similar arrangements;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any products or technologies that we may in-license or acquire.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Conductng clinical trials and preclinical studies is a tme consuming, expensive, and uncertain process that takes years to complete, and we may never generate the necessary data or results required to obtain regulatory approval and achieve product sales. In additon, VOQUEZNA TRIPLE PAK, VOQUEZNA DUAL PAK, and, if approved, VOQUEZNA for the treatment of erosive GERD or any future product candidate, may not achieve commercial success. Our commercial revenues, if any, would initally be derived from sales of products containing vonoprazan in the United States.</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Accordingly, we will need to contnue to rely on additonal fnancing to achieve our business objectves. Adequate additonal fnancing may not be available to us on acceptable terms, or at all. In additon, we may seek additonal capital due to favorable market conditons or strategic consideratons, even if we believe we have sufcient funds for our current or future operatng plans.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71" w:name="page72"/>
    <w:bookmarkEnd w:id="71"/>
    <w:p>
      <w:pPr>
        <w:ind w:right="240"/>
        <w:spacing w:after="0" w:line="235" w:lineRule="auto"/>
        <w:rPr>
          <w:sz w:val="20"/>
          <w:szCs w:val="20"/>
          <w:color w:val="auto"/>
        </w:rPr>
      </w:pPr>
      <w:r>
        <w:rPr>
          <w:rFonts w:ascii="Calibri" w:cs="Calibri" w:eastAsia="Calibri" w:hAnsi="Calibri"/>
          <w:sz w:val="18"/>
          <w:szCs w:val="18"/>
          <w:b w:val="1"/>
          <w:bCs w:val="1"/>
          <w:i w:val="1"/>
          <w:iCs w:val="1"/>
          <w:color w:val="auto"/>
        </w:rPr>
        <w:t>Raising additonal capital may cause diluton to our stockholders, restrict our operatons or require us to relinquish rights to our technologies or product candidates.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Untl such tme, if ever, as we can generate substantal product revenues, we expect to fnance our cash needs through equity oferings, our Loan Agreement with Hercules, our revenue interest fnancing agreement, other debt fnancings, or other capital sources, including potental collaboratons, licenses and other similar arrangements. To the extent that we raise additonal capital through the sale of equity or convertble debt securites, your ownership interest will be diluted, and the terms of these securites may include liquidaton or other preferences that adversely afect your rights as a common stockholder. Our Loan Agreement and our Revenue Interest Financing Agreement include, and any future debt fnancing and preferred equity fnancing, if available, may involve agreements that include covenants limitng or restrictng our ability to take specifc actons such as incurring additonal debt, making capital expenditures or declaring dividends. For example, our Loan Agreement with Hercules contains minimum cash fnancial covenants. If on or prior to March 31, 2024, we have not received FDA approval of our NDA for vonoprazan for the treatment of erosive GERD, raised additonal funding, or signifcantly reduced our operatng expenses, we may be in violaton of these covenants. If we default on such indebtedness, with Hercules or a future lender, we could lose such assets and intellectual property.</w:t>
      </w:r>
    </w:p>
    <w:p>
      <w:pPr>
        <w:spacing w:after="0" w:line="18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If we raise funds through future collaboratons,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Development and Regulatory Approval of Product Candidates</w:t>
      </w:r>
    </w:p>
    <w:p>
      <w:pPr>
        <w:spacing w:after="0" w:line="217"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b w:val="1"/>
          <w:bCs w:val="1"/>
          <w:i w:val="1"/>
          <w:iCs w:val="1"/>
          <w:color w:val="auto"/>
        </w:rPr>
        <w:t>We currently depend entrely on the success of vonoprazan, which is contained in our only approved products and product candidate. If we are unable to successfully launch and commercialize vonoprazan, obtain additonal, required regulatory approvals and advance the clinical development of vonoprazan in additonal indicatons, or experience signifcant delays in doing any of the foregoing, our business will be materially harmed.</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 xml:space="preserve">We currently have two approved products and one product candidate, all of which contain vonoprazan, which we in-licensed from Takeda. Our current business depends entrely on our ability to successfully develop, obtain regulatory approval for, and commercialize products containing vonoprazan in a tmely manner. This may make an investment in our company riskier than similar companies that have multple approved products or product candidates in actve development that may be able to beter sustain failure of a single product. In May 2022, the FDA approved the NDAs for vonoprazan triple therapy, under the brand name VOQUEZNA TRIPLE PAK and vonoprazan dual therapy, under the brand name VOQUEZNA DUAL PAK. In August 2022, prior to the launch of VOQUEZNA TRIPLE PAK and VOQUEZNA DUAL PAK, we announced that, consistent with current FDA Guidance for Industry: Control of Nitrosamine Impurites in Human Drug Products, we initated testng to determine whether nitrosamine impurites were present in our inital commercial drug product for VOQUEZNA TRIPLE PAK and VOQUEZNA DUAL PAK. These tests revealed trace levels of a nitrosamine impurity, </w:t>
      </w:r>
      <w:r>
        <w:rPr>
          <w:rFonts w:ascii="Calibri" w:cs="Calibri" w:eastAsia="Calibri" w:hAnsi="Calibri"/>
          <w:sz w:val="17"/>
          <w:szCs w:val="17"/>
          <w:i w:val="1"/>
          <w:iCs w:val="1"/>
          <w:color w:val="auto"/>
        </w:rPr>
        <w:t>N</w:t>
      </w:r>
      <w:r>
        <w:rPr>
          <w:rFonts w:ascii="Calibri" w:cs="Calibri" w:eastAsia="Calibri" w:hAnsi="Calibri"/>
          <w:sz w:val="17"/>
          <w:szCs w:val="17"/>
          <w:color w:val="auto"/>
        </w:rPr>
        <w:t xml:space="preserve">-nitroso-vonoprazan, or NVP, that is not described within the FDA Guidance document. In January 2023, we announced that, although the FDA established an acceptable daily intake (AI) for NVP at 96 ng/day, the FDA (Division of Gastroenterology) advised us that it would not be actng on our erosive GERD NDA on or prior to the Prescripton Drug User Fee Act (PDUFA) target acton date of January 11, 2023. Rather, the FDA requested additonal stability data demonstratng that the levels of NVP will remain at or below the AI throughout the proposed shelf life of the product. In February 2023, we received complete response leters from the FDA relatng to our erosive GERD NDA and post approval supplement relatng to our approved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NDAs, both of which address specifcatons and controls for NVP. These leters formalize FDA’s prior request that we provide additonal stability data to demonstrate that levels of NVP will remain at or below the AI throughout the proposed shelf life of the product. No additonal defciencies were cited by the FDA in either leter. We have scheduled a meetng with the FDA in March 2023 to discuss our resubmission plan and tmeline. If we are unable to demonstrate to the FDA that we will be able to maintain NVP levels at or below the AI, launches of VOQUEZNA TRIPLE PAK and VOQUEZNA DUAL PAK will be further delayed and approval of our erosive GERD NDA will contnue to be delayed, which could substantally increase our costs and delay or put at risk our ability to generate revenue and adversely afect our commercial prospects.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2" w:name="page73"/>
    <w:bookmarkEnd w:id="72"/>
    <w:p>
      <w:pPr>
        <w:ind w:right="100" w:firstLine="509"/>
        <w:spacing w:after="0" w:line="235" w:lineRule="auto"/>
        <w:rPr>
          <w:sz w:val="20"/>
          <w:szCs w:val="20"/>
          <w:color w:val="auto"/>
        </w:rPr>
      </w:pPr>
      <w:r>
        <w:rPr>
          <w:rFonts w:ascii="Calibri" w:cs="Calibri" w:eastAsia="Calibri" w:hAnsi="Calibri"/>
          <w:sz w:val="18"/>
          <w:szCs w:val="18"/>
          <w:color w:val="auto"/>
        </w:rPr>
        <w:t>Also in January 2023, we reported positve topline results from PHALCON-NERD-301, a Phase 3 study evaluatng the safety and efcacy of vonoprazan for the daily treatment of adults with non-erosive GERD. We are also in discussions with the FDA regarding the design of a Phase 3 trial to evaluate the novel dosing regimen of vonoprazan as an as needed treatment for episodic heartburn relief in patents with non-erosive GERD, a dosing regimen not approved in the U.S. for PPIs. This trial would consttute our fourth Phase 3 trial for vonoprazan. In February 2022, we reported positve topline results from PHALCON-NERD-201, a Phase 2 proof-of-concept study evaluatng this novel dosing regimen.</w:t>
      </w:r>
    </w:p>
    <w:p>
      <w:pPr>
        <w:spacing w:after="0" w:line="180" w:lineRule="exact"/>
        <w:rPr>
          <w:sz w:val="20"/>
          <w:szCs w:val="20"/>
          <w:color w:val="auto"/>
        </w:rPr>
      </w:pPr>
    </w:p>
    <w:p>
      <w:pPr>
        <w:ind w:right="260" w:firstLine="549"/>
        <w:spacing w:after="0" w:line="258" w:lineRule="auto"/>
        <w:rPr>
          <w:sz w:val="20"/>
          <w:szCs w:val="20"/>
          <w:color w:val="auto"/>
        </w:rPr>
      </w:pPr>
      <w:r>
        <w:rPr>
          <w:rFonts w:ascii="Calibri" w:cs="Calibri" w:eastAsia="Calibri" w:hAnsi="Calibri"/>
          <w:sz w:val="17"/>
          <w:szCs w:val="17"/>
          <w:color w:val="auto"/>
        </w:rPr>
        <w:t>Our assumptons about the commercial potental of vonoprazan are based in part on the commercial experience of vonoprazan in Japan. However, our assumptons may prove to be wrong, and we may encounter a materially and adversely diferent development and commercial experience.</w:t>
      </w:r>
    </w:p>
    <w:p>
      <w:pPr>
        <w:spacing w:after="0" w:line="15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success of vonoprazan will depend on several factors, including the following:</w:t>
      </w:r>
    </w:p>
    <w:p>
      <w:pPr>
        <w:spacing w:after="0" w:line="204" w:lineRule="exact"/>
        <w:rPr>
          <w:sz w:val="20"/>
          <w:szCs w:val="20"/>
          <w:color w:val="auto"/>
        </w:rPr>
      </w:pPr>
    </w:p>
    <w:p>
      <w:pPr>
        <w:ind w:left="900" w:right="12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demonstratng safety and efcacy to the satsfacton of applicable regulatory authorites, including without limitaton, demonstratng to the FDA that levels of NVP will remain below the AI throughout the shelf-life of our products;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acceptance by the FDA or comparable foreign regulatory authorites of the proposed design of our clinical trials;</w:t>
      </w:r>
    </w:p>
    <w:p>
      <w:pPr>
        <w:spacing w:after="0" w:line="190" w:lineRule="exact"/>
        <w:rPr>
          <w:rFonts w:ascii="Times New Roman" w:cs="Times New Roman" w:eastAsia="Times New Roman" w:hAnsi="Times New Roman"/>
          <w:sz w:val="18"/>
          <w:szCs w:val="18"/>
          <w:color w:val="auto"/>
        </w:rPr>
      </w:pPr>
    </w:p>
    <w:p>
      <w:pPr>
        <w:jc w:val="both"/>
        <w:ind w:left="90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willingness of the FDA, the European Medicines Agency, or EMA, and other comparable foreign regulatory authorites to accept the data from the clinical trials and preclinical studies and clinical trials conducted outside of our licensed territories by Takeda and independent investgators as part of the basis for review and approval of vonoprazan;</w:t>
      </w:r>
    </w:p>
    <w:p>
      <w:pPr>
        <w:spacing w:after="0" w:line="205" w:lineRule="exact"/>
        <w:rPr>
          <w:rFonts w:ascii="Times New Roman" w:cs="Times New Roman" w:eastAsia="Times New Roman" w:hAnsi="Times New Roman"/>
          <w:sz w:val="18"/>
          <w:szCs w:val="18"/>
          <w:color w:val="auto"/>
        </w:rPr>
      </w:pPr>
    </w:p>
    <w:p>
      <w:pPr>
        <w:ind w:left="900" w:right="60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outcome, tming and cost of meetng regulatory requirements established by the FDA, EMA, and other comparable foreign regulatory authorites;</w:t>
      </w:r>
    </w:p>
    <w:p>
      <w:pPr>
        <w:spacing w:after="0" w:line="190"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receipt of additonal regulatory approvals, including approvals required to initate distributon and sale of products containing vonoprazan, from applicable regulatory authorites including the FDA;</w:t>
      </w:r>
    </w:p>
    <w:p>
      <w:pPr>
        <w:spacing w:after="0" w:line="190"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making and/or maintaining arrangements with Takeda, Catalent, Sandoz, Evonik or any future third-party manufacturers for, or establishing, commercial manufacturing capabilites and receiving/importng commercial supplies approved by FDA and other regulators from Takeda, Catalent, Sandoz, Evonik or any future third-party manufacturer;</w:t>
      </w:r>
    </w:p>
    <w:p>
      <w:pPr>
        <w:spacing w:after="0" w:line="205"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establishing sales, marketng and distributon capabilites and, following required approval, commercializing vonoprazan, whether alone or in collaboraton with others;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and maintenance of patent and trade secret protecton or regulatory exclusivity for vonoprazan;</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an acceptable safety profle of vonoprazan following approval; and</w:t>
      </w:r>
    </w:p>
    <w:p>
      <w:pPr>
        <w:spacing w:after="0" w:line="203"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and growing an organizaton of people who can develop and, if approved, commercialize, market, and sell vonoprazan to physicians, patents, healthcare payers, and others in the medical community.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we are unable to demonstrate to FDA’s satsfacton our ability to maintain the level of NVP below the AI throughout the shelf-life of our products, the launches of our approved products may be further delayed and approval and launch of our erosive GERD NDA may also be further delayed, which could substantally increase our costs and put at risk our ability to generate revenue and adversely afect our commercial prospects.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3" w:name="page74"/>
    <w:bookmarkEnd w:id="73"/>
    <w:p>
      <w:pPr>
        <w:ind w:right="20" w:firstLine="509"/>
        <w:spacing w:after="0" w:line="235" w:lineRule="auto"/>
        <w:rPr>
          <w:sz w:val="20"/>
          <w:szCs w:val="20"/>
          <w:color w:val="auto"/>
        </w:rPr>
      </w:pPr>
      <w:r>
        <w:rPr>
          <w:rFonts w:ascii="Calibri" w:cs="Calibri" w:eastAsia="Calibri" w:hAnsi="Calibri"/>
          <w:sz w:val="18"/>
          <w:szCs w:val="18"/>
          <w:color w:val="auto"/>
        </w:rPr>
        <w:t>The success of our business, including our ability to fnance our company and generate any revenue in the future, will primarily depend on the successful completon of clinical development, regulatory approval and commercializaton of vonoprazan, including successfully addressing, to the FDA’s and the medical community’s satsfacton, the formaton of nitrosamine impurites in commercial batches of vonoprazan drug product, which may be signifcantly delayed beyond our current expectatons and may never occur. Although we have obtained marketng approval of two vonoprazan-based treatment regimens for one indicaton, we have not yet succeeded in launching and successfully commercializing vonoprazan. Any inability to obtain required, additonal regulatory approvals for, or, if approved, successfully commercialize vonoprazan, would materially and adversely afect our business, fnancial conditon, prospects and operatng results.</w:t>
      </w:r>
    </w:p>
    <w:p>
      <w:pPr>
        <w:spacing w:after="0" w:line="181"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Clinical drug development involves a lengthy and expensive process with an uncertain outcome, and the results of preclinical studies and early clinical trials are not necessarily predictve of future results.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Clinical drug development is expensive and can take many years to complete, and its outcome is inherently uncertain. Even if we believe the results of our clinical trials are positve, obtaining regulatory approval may not occur on a tmely basis, if at all. The results from clinical trials or preclinical studies of a product candidate may not predict the results of later clinical trials of the product candidate, and interim results of a clinical trial are not necessarily indicatve of fnal results. Product candidates in later stages of clinical trials may fail to show the desired safety and efcacy characteristcs despite having progressed through preclinical studies and inital clinical trials. A number of companies in the pharmaceutcal and biotechnology industries have sufered signifcant setbacks in clinical development even afer the product candidate achieved promising results in earlier clinical trials. The results of our trials may not be comparable to those achieved previously, whether as a result of diferences in trial design, patent populaton or otherwise.</w:t>
      </w:r>
    </w:p>
    <w:p>
      <w:pPr>
        <w:spacing w:after="0" w:line="195"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 xml:space="preserve">For example, in our Phase 3 clinical trial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the vonoprazan dual therapy arm was not double-blinded because patents in this arm were administered amoxicillin three tmes daily, versus twice daily for the triple therapy regimens. Both triple therapy regimens were double-blinded. The inability to double-blind the dual therapy arm may impact how regulatory agencies or healthcare payers interpret such results. For example, the EMA has noted that it expects additonal analyses of treatment compliance and drop-out rates in the dual therapy arm because it will not be double-blinded.</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Further, in July 2019, we received scientfc advice from the EMA on our Phase 3 clinical trial of vonoprazan in the healing and maintenance of healing of erosive GERD. For the healing phase of the study, the EMA recommended that we include an endoscopy to assess healing at Week 4 in additon to the planned endoscopies at Week 2 and Week 8 because the summary of product characteristcs for lansoprazole suggests four weeks of treatment to assess healing in erosive GERD. We decided not to incorporate this change into the study design given the additonal burden on study subjects to return for a third endoscopy in an eight-week period. This decision may impact the future summary of product characteristcs for vonoprazan or may cause the EMA to require us to conduct additonal clinical trials for vonoprazan to support marketng approval.</w:t>
      </w:r>
    </w:p>
    <w:p>
      <w:pPr>
        <w:spacing w:after="0" w:line="18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In additon, Takeda, a third party over which we have no control, has the right to develop and commercialize vonoprazan outside of the United States, Europe, and Canada. Takeda has marketng approval for vonoprazan in certain countries in Asia and Latn America, and Takeda has ongoing clinical trials of vonoprazan in certain indicatons that we are also pursuing. If such ongoing trials fail to meet their primary endpoints, have serious adverse events or encounter other problems, the development potental of vonoprazan could be materially and adversely afected. In additon, if serious adverse events or other problems occur with patents using vonoprazan marketed outside of our licensed territories, or if the results of ongoing or future clinical trials of vonoprazan conducted by Takeda or others generate negatve results or results that confict with the results of our clinical trials, the FDA or other regulatory authorites may delay, limit, or deny approval of vonoprazan, require us to conduct additonal clinical trials as a conditon to marketng approval, or withdraw their approval of vonoprazan or otherwise restrict our ability to market and sell vonoprazan, if approved. In additon, treatng physicians may be less willing to prescribe vonoprazan due to concerns over such trial results or adverse events, which would limit our ability to commercialize vonoprazan.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74" w:name="page75"/>
    <w:bookmarkEnd w:id="74"/>
    <w:p>
      <w:pPr>
        <w:ind w:firstLine="509"/>
        <w:spacing w:after="0" w:line="235" w:lineRule="auto"/>
        <w:rPr>
          <w:sz w:val="20"/>
          <w:szCs w:val="20"/>
          <w:color w:val="auto"/>
        </w:rPr>
      </w:pPr>
      <w:r>
        <w:rPr>
          <w:rFonts w:ascii="Calibri" w:cs="Calibri" w:eastAsia="Calibri" w:hAnsi="Calibri"/>
          <w:sz w:val="18"/>
          <w:szCs w:val="18"/>
          <w:color w:val="auto"/>
        </w:rPr>
        <w:t>For the foregoing reasons, our ongoing and future clinical trials and our eforts to obtain additonal regulatory approvals for vonoprazan may not be successful. Further, any safety concerns observed in any one of our ongoing or future clinical trials for the targeted indicatons could limit the prospects for additonal regulatory approvals of vonoprazan or any future product candidates in those and other indicatons, which could have a material adverse efect on our business, fnancial conditon and results of operatons.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8" w:right="419" w:bottom="1440" w:gutter="0" w:footer="0" w:header="0"/>
        </w:sectPr>
      </w:pPr>
    </w:p>
    <w:bookmarkStart w:id="75" w:name="page76"/>
    <w:bookmarkEnd w:id="75"/>
    <w:p>
      <w:pPr>
        <w:spacing w:after="0" w:line="235" w:lineRule="auto"/>
        <w:rPr>
          <w:sz w:val="20"/>
          <w:szCs w:val="20"/>
          <w:color w:val="auto"/>
        </w:rPr>
      </w:pPr>
      <w:r>
        <w:rPr>
          <w:rFonts w:ascii="Calibri" w:cs="Calibri" w:eastAsia="Calibri" w:hAnsi="Calibri"/>
          <w:sz w:val="18"/>
          <w:szCs w:val="18"/>
          <w:b w:val="1"/>
          <w:bCs w:val="1"/>
          <w:i w:val="1"/>
          <w:iCs w:val="1"/>
          <w:color w:val="auto"/>
        </w:rPr>
        <w:t>Any difcultes or delays in the commencement or completon, or terminaton or suspension, of our ongoing or future clinical trials could result in increased costs to us, delay or limit our ability to generate revenue and adversely afect our commercial prospects.</w:t>
      </w:r>
    </w:p>
    <w:p>
      <w:pPr>
        <w:spacing w:after="0" w:line="191"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Before obtaining marketng approvals from regulatory authorites for the sale of vonoprazan for additonal indicatons or approval of any future product candidates, we must conduct extensive clinical trials to demonstrate the safety and efcacy of vonoprazan in such new indicaton or of any future product candidates in humans. We do not know whether any ongoing studies will be completed on schedule, if at all, or if any future clinical trials will begin on tme. The commencement and completon of clinical trials can be delayed for a number of reasons, including delays related to:</w:t>
      </w:r>
    </w:p>
    <w:p>
      <w:pPr>
        <w:spacing w:after="0" w:line="192" w:lineRule="exact"/>
        <w:rPr>
          <w:sz w:val="20"/>
          <w:szCs w:val="20"/>
          <w:color w:val="auto"/>
        </w:rPr>
      </w:pPr>
    </w:p>
    <w:p>
      <w:pPr>
        <w:ind w:left="900" w:right="420" w:hanging="383"/>
        <w:spacing w:after="0" w:line="235" w:lineRule="auto"/>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FDA, EMA or comparable foreign regulatory authorites disagreeing as to the design or implementaton of our clinical trials and reaching consensus among the FDA and EMA over the design of the same clinical trial;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failure or delay in obtaining regulatory authorizatons to commence a trial;</w:t>
      </w:r>
    </w:p>
    <w:p>
      <w:pPr>
        <w:spacing w:after="0" w:line="203" w:lineRule="exact"/>
        <w:rPr>
          <w:rFonts w:ascii="Times New Roman" w:cs="Times New Roman" w:eastAsia="Times New Roman" w:hAnsi="Times New Roman"/>
          <w:sz w:val="18"/>
          <w:szCs w:val="18"/>
          <w:color w:val="auto"/>
        </w:rPr>
      </w:pPr>
    </w:p>
    <w:p>
      <w:pPr>
        <w:ind w:left="900" w:right="360" w:hanging="383"/>
        <w:spacing w:after="0" w:line="235" w:lineRule="auto"/>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failure or delay in reaching an agreement with contract research organizatons, or CROs, and clinical trial sites, the terms of which can be subject to extensive negotaton and may vary signifcantly among diferent CROs and trial sites;</w:t>
      </w:r>
    </w:p>
    <w:p>
      <w:pPr>
        <w:spacing w:after="0" w:line="190"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insttutonal review boards, or IRBs, or other reviewing bodies refusing to approve, suspending or terminatng the trial at an investgatonal site, precluding enrollment of additonal subjects, or withdrawing their approval of the trial;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to clinical trial protocols;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sites deviatng from trial protocols or dropping out of a trial;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manufacturing or obtaining sufcient quanttes of vonoprazan and any future product candidates;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inability to obtain and deliver sufcient quanttes of vonoprazan and any future product candidates to clinical sites;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failing to enroll or remain in our trials at the rate we expect, or failing to return for post- treatment follow-up;</w:t>
      </w:r>
    </w:p>
    <w:p>
      <w:pPr>
        <w:spacing w:after="0" w:line="190" w:lineRule="exact"/>
        <w:rPr>
          <w:rFonts w:ascii="Times New Roman" w:cs="Times New Roman" w:eastAsia="Times New Roman" w:hAnsi="Times New Roman"/>
          <w:sz w:val="18"/>
          <w:szCs w:val="18"/>
          <w:color w:val="auto"/>
        </w:rPr>
      </w:pPr>
    </w:p>
    <w:p>
      <w:pPr>
        <w:ind w:left="900" w:right="380" w:hanging="383"/>
        <w:spacing w:after="0" w:line="235" w:lineRule="auto"/>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choosing an alternatve treatment for the indicaton for which we are developing vonoprazan and any future product candidates, or partcipatng in competng clinical trials;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lack of adequate funding to contnue the clinical trial;</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experiencing severe or unexpected drug-related adverse efects;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occurrence of serious adverse events in trials of the same class of agents conducted by other companies;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selecton of clinical endpoints that require prolonged periods of clinical observaton or analysis of the resultng data;</w:t>
      </w:r>
    </w:p>
    <w:p>
      <w:pPr>
        <w:spacing w:after="0" w:line="203"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facility manufacturing vonoprazan or any future product candidates or any of their components being ordered by the FDA or comparable foreign regulatory authorites to temporarily or permanently shut down due to violatons of current good manufacturing, or cGMP, regulatons or other applicable requirements, or infectons or cross-contaminatons of product candidates in the manufacturing process;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6" w:name="page77"/>
    <w:bookmarkEnd w:id="76"/>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changes to our manufacturing process that may be necessary or desired;</w:t>
      </w:r>
    </w:p>
    <w:p>
      <w:pPr>
        <w:spacing w:after="0" w:line="190"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clinical investgators losing the licenses or permits necessary to perform our clinical trials, not performing our clinical trials on our antcipated schedule or consistent with the clinical trial protocol, good clinical practces, or GCP, or other regulatory requirements;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contractors not performing data collecton or analysis in a tmely or accurate manner; or</w:t>
      </w:r>
    </w:p>
    <w:p>
      <w:pPr>
        <w:spacing w:after="0" w:line="203" w:lineRule="exact"/>
        <w:rPr>
          <w:rFonts w:ascii="Times New Roman" w:cs="Times New Roman" w:eastAsia="Times New Roman" w:hAnsi="Times New Roman"/>
          <w:sz w:val="18"/>
          <w:szCs w:val="18"/>
          <w:color w:val="auto"/>
        </w:rPr>
      </w:pPr>
    </w:p>
    <w:p>
      <w:pPr>
        <w:jc w:val="both"/>
        <w:ind w:left="900" w:right="22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contractors becoming debarred or suspended or otherwise penalized by the FDA or other government or regulatory authorites for violatons of regulatory requirements, in which case we may need to fnd a substtute contractor, and we may not be able to use some or all of the data produced by such contractors in support of our marketng applicatons.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could also encounter delays if a clinical trial is suspended or terminated by us, by the IRBs of the insttutons in which such trials are being conducted or by the FDA or comparable foreign regulatory authorites. The FDA or comparable foreign regulatory authorites may impose a suspension or terminaton due to a number of factors, including failure to conduct the clinical trial in accordance with regulatory requirements or our clinical protocols, inspecton of the clinical trial operatons or trial site by the FDA or comparable foreign regulatory authorites, unforeseen safety issues or adverse side efects, failure to demonstrate a beneft from using a drug, changes in governmental regulatons or administratve actons or lack of adequate funding to contnue the clinical trial. In additon, changes in regulatory requirements and policies may occur, and we may need to amend clinical trial protocols to comply with these changes. Amendments may require us to resubmit our clinical trial protocols to IRBs for reexaminaton, which may impact the costs, tming, or successful completon of a clinical trial.</w:t>
      </w:r>
    </w:p>
    <w:p>
      <w:pPr>
        <w:spacing w:after="0" w:line="1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Further, conductng clinical trials in foreign countries, as we have done for vonoprazan and may do for any future product candidates, presents additonal risks that may delay completon of our clinical trials. These risks include the failure of enrolled patents in foreign countries to adhere to clinical protocol as a result of diferences in healthcare services or cultural customs, managing additonal administratve burdens associated with foreign regulatory schemes, as well as politcal and economic risks relevant to such foreign countries.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Moreover, principal investgators for our clinical trials currently serve and may contnue to serve as scientfc advisors or consultants to us from tme to tme and receive compensaton in connecton with such services. Under certain circumstances, we may be required to report some of these relatonships to the FDA or comparable foreign regulatory authorites. The FDA or comparable foreign regulatory authority may conclude that a fnancial relatonship between us and a principal investgator has created a confict of interest or otherwise afected interpretaton of the clinical trial. The FDA or comparable foreign regulatory authority may therefore queston the integrity of the data generated at the applicable clinical trial site and the utlity of the clinical trial itself may be jeopardized. This could result in a delay in approval, or rejecton, of our marketng applicatons by the FDA or comparable foreign regulatory authority, as the case may be, and may ultmately lead to the denial of marketng approval of vonoprazan or any future product candidates.</w:t>
      </w:r>
    </w:p>
    <w:p>
      <w:pPr>
        <w:spacing w:after="0" w:line="181"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If we experience delays in the completon of, or terminaton of, any clinical trial of vonoprazan or any future product candidates, the commercial prospects of vonoprazan and any future product candidates will be harmed, and our ability to generate product revenues from any of these product candidates will be delayed. Moreover, any delays in completng our clinical trials will increase our costs, slow down our product candidate development and approval process and jeopardize our ability to commence product sales and generate revenues.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7" w:name="page78"/>
    <w:bookmarkEnd w:id="77"/>
    <w:p>
      <w:pPr>
        <w:ind w:right="140" w:firstLine="509"/>
        <w:spacing w:after="0" w:line="235" w:lineRule="auto"/>
        <w:rPr>
          <w:sz w:val="20"/>
          <w:szCs w:val="20"/>
          <w:color w:val="auto"/>
        </w:rPr>
      </w:pPr>
      <w:r>
        <w:rPr>
          <w:rFonts w:ascii="Calibri" w:cs="Calibri" w:eastAsia="Calibri" w:hAnsi="Calibri"/>
          <w:sz w:val="18"/>
          <w:szCs w:val="18"/>
          <w:color w:val="auto"/>
        </w:rPr>
        <w:t>In additon, many of the factors that cause, or lead to, terminaton or suspension of, or a delay in the commencement or completon of, clinical trials may also ultmately lead to the denial of regulatory approval of a product candidate. We may make formulaton or manufacturing changes to vonoprazan or any future product candidates, in which case we may need to conduct additonal preclinical studies to bridge our modifed product candidates to earlier versions. Any delays to our clinical trials that occur as a result could shorten any period during which we may have the exclusive right to commercialize vonoprazan or any future product candidates and our compettors may be able to bring products to market before we do, and the commercial viability of vonoprazan and any future product candidates could be signifcantly reduced. Any of these occurrences may harm our business, fnancial conditon, and prospects signifcantly.</w:t>
      </w:r>
    </w:p>
    <w:p>
      <w:pPr>
        <w:spacing w:after="0" w:line="18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We may fnd it difcult to enroll patents in our clinical trials. If we encounter difcultes enrolling patents in our clinical trials, our clinical development actvites could be delayed or otherwise adversely afected.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may not be able to initate or contnue clinical trials for vonoprazan or any future product candidates if we are unable to identfy and enroll a sufcient number of eligible patents to partcipate in these trials as required by the FDA or similar regulatory authorites outside the United States. Subject enrollment, a signifcant factor in the tming of clinical trials, is afected by many factors including the size and nature of the patent populaton, the proximity of patents to clinical sites, the eligibility and exclusion criteria for the trial, the design of the clinical trial, the risk that enrolled patents will not complete a clinical trial, our ability to recruit clinical trial investgators with the appropriate competencies and experience, competng clinical trials and clinicians’ and patents’ perceptons as to the potental advantages and risks of the product candidate being studied in relaton to other available therapies, including any new drugs that may be approved for the indicatons we are investgatng as well as any drugs under development. We will be required to identfy and enroll a sufcient number of patents for each of our clinical trials. Potental patents for any planned clinical trials may not be adequately diagnosed or identfed with the diseases which we are targetng or may not meet the entry criteria for such trials. We also may encounter difcultes in identfying and enrolling patents with a stage of disease appropriate for our clinical trials and monitoring such patents adequately during and afer treatment. We may not be able to initate or contnue clinical trials if we are unable to locate a sufcient number of eligible patents to partcipate in the clinical trials required by the FDA or comparable foreign regulatory authorites.</w:t>
      </w:r>
    </w:p>
    <w:p>
      <w:pPr>
        <w:spacing w:after="0" w:line="19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tming of our clinical trials depends, in part, on the speed at which we can recruit patents to partcipate in our trials, as well as completon of required follow-up periods. The eligibility criteria of our clinical trials further limits the pool of available trial partcipants. If patents are unwilling to partcipate in our trials for any reason, including the existence of concurrent clinical trials for similar patent or the availability of approved therapies, or we otherwise have difculty enrolling a sufcient number of patents, the tmeline for recruitng patents, conductng trials and obtaining regulatory approval of vonoprazan and any future product candidates may be delayed. Further, public health emergencies, such as the COVID-19 pandemic have and may contnue to negatvely afect site actvaton, as well as patent enrollment and retenton. Our inability to enroll a sufcient number of patents for any of our future clinical trials would result in signifcant delays or may require us to abandon one or more clinical trials altogether.</w:t>
      </w:r>
    </w:p>
    <w:p>
      <w:pPr>
        <w:spacing w:after="0" w:line="181"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assumptons used in determining expected clinical trial tmelines may not be correct, and we may experience delays in enrollment, which would result in the delay of completon of such trials beyond our expected tmelines.</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78" w:name="page79"/>
    <w:bookmarkEnd w:id="78"/>
    <w:p>
      <w:pPr>
        <w:jc w:val="both"/>
        <w:ind w:right="200"/>
        <w:spacing w:after="0" w:line="254" w:lineRule="auto"/>
        <w:rPr>
          <w:sz w:val="20"/>
          <w:szCs w:val="20"/>
          <w:color w:val="auto"/>
        </w:rPr>
      </w:pPr>
      <w:r>
        <w:rPr>
          <w:rFonts w:ascii="Calibri" w:cs="Calibri" w:eastAsia="Calibri" w:hAnsi="Calibri"/>
          <w:sz w:val="17"/>
          <w:szCs w:val="17"/>
          <w:b w:val="1"/>
          <w:bCs w:val="1"/>
          <w:i w:val="1"/>
          <w:iCs w:val="1"/>
          <w:color w:val="auto"/>
        </w:rPr>
        <w:t>Use of vonoprazan or any future product candidates could be associated with side efects, adverse events or other propertes or safety risks, which could delay or preclude approval, cause us to suspend or discontnue clinical trials, abandon a product candidate, limit the commercial profle of an approved label or result in other signifcant negatve consequences that could severely harm our business, prospects, operatng results and fnancial conditon.</w:t>
      </w:r>
    </w:p>
    <w:p>
      <w:pPr>
        <w:spacing w:after="0" w:line="16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is the case with pharmaceutcals generally, it is likely that there may be side efects and adverse events associated with vonoprazan’s or any future product candidates’ use. Results of our ongoing or future clinical trials could reveal a high and unacceptable severity and prevalence of side efects or unexpected characteristcs. Undesirable side efects caused by vonoprazan and any future product candidates could cause us or regulatory authorites to interrupt, delay or halt clinical trials and could result in a more restrictve label or the delay or denial of regulatory approval by the FDA or comparable foreign regulatory authorites. The drug-related side efects could afect patent recruitment or the ability of enrolled patents to complete the trial or result in potental product liability claims. Any of these occurrences may harm our business, fnancial conditon, and prospects signifcantly.</w:t>
      </w:r>
    </w:p>
    <w:p>
      <w:pPr>
        <w:spacing w:after="0" w:line="181" w:lineRule="exact"/>
        <w:rPr>
          <w:sz w:val="20"/>
          <w:szCs w:val="20"/>
          <w:color w:val="auto"/>
        </w:rPr>
      </w:pPr>
    </w:p>
    <w:p>
      <w:pPr>
        <w:ind w:right="280" w:firstLine="509"/>
        <w:spacing w:after="0" w:line="252" w:lineRule="auto"/>
        <w:rPr>
          <w:sz w:val="20"/>
          <w:szCs w:val="20"/>
          <w:color w:val="auto"/>
        </w:rPr>
      </w:pPr>
      <w:r>
        <w:rPr>
          <w:rFonts w:ascii="Calibri" w:cs="Calibri" w:eastAsia="Calibri" w:hAnsi="Calibri"/>
          <w:sz w:val="17"/>
          <w:szCs w:val="17"/>
          <w:color w:val="auto"/>
        </w:rPr>
        <w:t>Moreover, if vonoprazan or any other future product candidates are associated with undesirable side efects in clinical trials or have characteristcs that are unexpected, we may elect to abandon their development or limit their development to more narrow uses or subpopulatons in which the undesirable side efects or other characteristcs are less prevalent, less severe or more acceptable from a risk-beneft perspectve, which may limit the commercial expectatons for the product candidate, if approved. We may also be required to modify our study plans based on fndings in our clinical trials.</w:t>
      </w:r>
    </w:p>
    <w:p>
      <w:pPr>
        <w:spacing w:after="0" w:line="18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of December 2022, more than 9,000 subjects have been exposed to vonoprazan in completed and ongoing Phase 1 to 3 clinical trials. The doses studied have ranged from 1 to 120 mg with duratons up to one year. In our Phase 3 clinical trial for EE, the most common adverse reactons (≥2%) in vonoprazan-treated patents in the healing phase were abdominal pain and diarrhea and in the maintenance phase were gastrits, diarrhea, abdominal pain, dyspepsia, gastroesophageal refux disease, hypertension, abnormal liver functon test, and nausea. Of these, only two adverse events, both in the maintenance phase, exceeded 5%: gastrits (6.4%, vonoprazan 10 mg) and abdominal pain (5.4%, vonoprazan 20 mg). In our Phase 3 clinical trial evaluatng vonoprazan in combinaton with amoxicillin and clarithromycin or amoxicillin, most common adverse reactons (≥2%) in vonoprazan triple therapy-treated patents were dysgeusia, diarrhea, headache, abdominal pain, vulvovaginal candidiasis and hypertension and with vonoprazan dual therapy-treated patents were diarrhea, abdominal pain and nasopharyngits.</w:t>
      </w:r>
    </w:p>
    <w:p>
      <w:pPr>
        <w:spacing w:after="0" w:line="1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Certain earlier generaton PCABs previously under development by other companies may have been discontnued in part due to their hepatc safety profle. These hepatc safety concerns may be compound-specifc and not generalizable to the PCAB class. Vonoprazan has shown similar hepatc safety results to lansoprazole across all comparatve clinical studies conducted by Takeda, in which 1.0% of subjects treated with vonoprazan 10 mg or 20 mg and 0.8% of subjects treated with lansoprazole 15 mg or 30 mg had ALT or AST elevatons greater than three tmes the upper limit of normal or bilirubin elevatons greater than two tmes the upper limit of normal. Similarly, in the healing phase of PHALCON-EE, transient elevatons in ALT or AST greater than 3 tmes the upper limit of normal were observed in 0.4% of subjects treated with vonoprazan 20 mgs and 0.2% of subjects treated with lansoprazole. In the maintenance phase, ALT or AST greater than three tmes the upper limit of normal were observed in 1% of subjects treated with vonoprazan 10 mg, 0.3% of subjects treated with vonoprazan 20 mg, and 2% of subjects treated with lansoprazole. The most recent post-marketng safety report from December 2022 includes an estmate of over 50 million patents who have received vonoprazan in Japan and other countries in Asia since launch. Based on the post-marketng experience, the clinically signifcant adverse reactons secton of the Japanese prescribing informaton for vonoprazan was updated to include shock, anaphylaxis, hepatc impairment, skin reactons such as toxic epidermal necrolysis, Steven- Johnson syndrome, and erythema multforme, and events of pancytopenia, agranulocytosis, leukocytopenia, and thrombocytopenia. The incidence of these reactons was considered extremely rare (less than 1 in 100,000 patents) and a causal relatonship to vonoprazan could not be ruled out. Although serious hepatc adverse events have been observed among patents exposed to vonoprazan in Japan in the post-marketng setng, these cases were typically confounded by comorbidites or other concomitant medicatons and are believed to be idiosyncratc reactons.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9" w:name="page80"/>
    <w:bookmarkEnd w:id="79"/>
    <w:p>
      <w:pPr>
        <w:ind w:right="580" w:firstLine="549"/>
        <w:spacing w:after="0" w:line="235" w:lineRule="auto"/>
        <w:rPr>
          <w:sz w:val="20"/>
          <w:szCs w:val="20"/>
          <w:color w:val="auto"/>
        </w:rPr>
      </w:pPr>
      <w:r>
        <w:rPr>
          <w:rFonts w:ascii="Calibri" w:cs="Calibri" w:eastAsia="Calibri" w:hAnsi="Calibri"/>
          <w:sz w:val="18"/>
          <w:szCs w:val="18"/>
          <w:color w:val="auto"/>
        </w:rPr>
        <w:t>The post-marketng safety data, including the December 2022 post-marketng safety report and the reported hepatc safety events, have been submited to the PMDA. We may also observe hepatc-related events in our clinical trials.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It is possible that as we contnue to test vonoprazan and any future product candidates in our clinical trials, or as the use of vonoprazan and any future product candidates becomes more widespread if they receive regulatory approval, illnesses, injuries, discomforts and other adverse events that were observed in earlier trials, as well as conditons that did not occur or went undetected in previous trials, will be reported by patents. If any such side efects become known later in development or upon approval, such fndings may harm our business, fnancial conditon and prospects signifcantly. Further, if a serious safety issue is identfed in connecton with use of vonoprazan commercially or in third-party clinical trials in Asia or elsewhere, such issues may adversely afect the development potental of vonoprazan or result in regulatory authorites restrictng our ability to develop vonoprazan.</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if vonoprazan or any future product candidate receives marketng approval, and we or others later identfy undesirable side efects caused by such products, a number of potentally signifcant negatve consequences could result, including:</w:t>
      </w:r>
    </w:p>
    <w:p>
      <w:pPr>
        <w:spacing w:after="0" w:line="199"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withdraw, suspend or limit approvals of such product, or seek an injuncton against its manufacturer;</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required to recall a product or change the way such product is administered to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require additonal warnings on the label, such as a “black box” warning or a contraindicaton;</w:t>
      </w:r>
    </w:p>
    <w:p>
      <w:pPr>
        <w:spacing w:after="0" w:line="203" w:lineRule="exact"/>
        <w:rPr>
          <w:rFonts w:ascii="Times New Roman" w:cs="Times New Roman" w:eastAsia="Times New Roman" w:hAnsi="Times New Roman"/>
          <w:sz w:val="18"/>
          <w:szCs w:val="18"/>
          <w:color w:val="auto"/>
        </w:rPr>
      </w:pPr>
    </w:p>
    <w:p>
      <w:pPr>
        <w:ind w:left="900" w:right="72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required to implement a Risk Evaluaton and Mitgaton Strategy, or REMS, or similar risk management measures or create a medicaton guide outlining the risks of such side efects for distributon to patents;</w:t>
      </w:r>
    </w:p>
    <w:p>
      <w:pPr>
        <w:spacing w:after="0" w:line="190"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required to change the way a product is distributed or administered, conduct additonal clinical trials or change the labeling of a product or be required to conduct additonal post-marketng studies or surveillance;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could be sued and held liable for harm caused to patents;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sales of the product may decrease signifcantly or the product could become less compettve;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reputaton may sufer.</w:t>
      </w:r>
    </w:p>
    <w:p>
      <w:pPr>
        <w:spacing w:after="0" w:line="177"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Any of these events could prevent us from achieving or maintaining market acceptance of the partcular product candidate, if approved, and could signifcantly harm our business, results of operatons and prospects.</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80" w:name="page81"/>
    <w:bookmarkEnd w:id="80"/>
    <w:p>
      <w:pPr>
        <w:ind w:right="160"/>
        <w:spacing w:after="0" w:line="235" w:lineRule="auto"/>
        <w:rPr>
          <w:sz w:val="20"/>
          <w:szCs w:val="20"/>
          <w:color w:val="auto"/>
        </w:rPr>
      </w:pPr>
      <w:r>
        <w:rPr>
          <w:rFonts w:ascii="Calibri" w:cs="Calibri" w:eastAsia="Calibri" w:hAnsi="Calibri"/>
          <w:sz w:val="18"/>
          <w:szCs w:val="18"/>
          <w:b w:val="1"/>
          <w:bCs w:val="1"/>
          <w:i w:val="1"/>
          <w:iCs w:val="1"/>
          <w:color w:val="auto"/>
        </w:rPr>
        <w:t>As a company, we have only received regulatory approval for two products, VONOPRAZAN TRIPLE PAK and VONOPRAZAN DUAL PAK, for which we have not initated commercial launch, and may be unable to obtain additonal regulatory approvals for vonoprazan or approval of any future product candidates.</w:t>
      </w:r>
    </w:p>
    <w:p>
      <w:pPr>
        <w:spacing w:after="0" w:line="178"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 xml:space="preserve">Although we have completed our pivotal Phase 3 clinical trials for vonoprazan for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erosive GERD, and non-erosive GERD, and have obtained regulatory approvals for VONOPRAZAN TRIPLE PAK and VONOPRAZAN DUAL PAK for the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we stll need to obtain regulatory approval from the FDA for VOQUEZNA for the treatment of erosive GERD and have not yet submited our submission for regulatory approval for non-erosive GERD. Moreover, due to the formaton of the nitrosamine NVP in vonoprazan drug product, we have not been able to launch either of our approved products. As a company, we may be unable to successfully control the formaton of NVP and as a result would not be able to launch our approved products or obtain approval of vonoprazan for erosive GERD. In additon, we may not be able to obtain regulatory approval of any future product candidates. We may require more tme and incur greater costs than our compettors and may not succeed in obtaining regulatory approvals of product candidates that we develop. Failure to tmely obtain regulatory approvals could delay us in commercializing vonoprazan or any future product candidates.</w:t>
      </w:r>
    </w:p>
    <w:p>
      <w:pPr>
        <w:spacing w:after="0" w:line="16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Vonoprazan and any future product candidates are subject to extensive regulaton and compliance obligatons, which is costly and tme consuming, and such regulaton may cause unantcipated delays or prevent the receipt of the required approvals to commercialize vonoprazan and any future product candidates.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The clinical development, manufacturing, labeling, storage, record-keeping, advertsing, promoton, import, export, marketng and distributon of vonoprazan and any future product candidates are subject to extensive regulaton by the FDA in the United States and by comparable foreign regulatory authorites in other foreign markets. In the United States, we are not permited to market vonoprazan and any future product candidates untl we receive the necessary regulatory approval from the FDA and in the EU, we are not permited to market vonoprazan and any future product candidates untl we receive a marketng authorizaton from the European Commission or competent authorites of the EU member states. The process of obtaining regulatory approval is expensive, ofen takes many years following the commencement of clinical trials and can vary substantally based upon the type, complexity and novelty of the product candidates involved, as well as the target indicatons and patent populaton. The ability of the FDA and foreign regulatory authorites to review and approve new products can be afected by a variety of factors, including government budget and funding levels and the ability to hire and retain key personnel. In additon, approval policies or regulatons may change, and the FDA and EMA and comparable regulatory authorites have substantal discreton in the drug approval process, including the ability to delay, limit or deny approval of a product candidate for many reasons. Despite the tme and expense invested in clinical development of product candidates, regulatory approval is never guaranteed. For example, in February 2023, we received complete response leters from the FDA relatng to our erosive GERD NDA and post approval supplement to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both of which address nitrosamine specifcatons and controls. As a result, the approval of vonoprazan for treatment of erosive GERD and our ability to launch our approved products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have been delayed.</w:t>
      </w:r>
    </w:p>
    <w:p>
      <w:pPr>
        <w:spacing w:after="0" w:line="18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Prior to obtaining approval to commercialize a product candidate in the United States or internatonally, we must demonstrate with substantal evidence from adequate and well-controlled clinical trials, and to the satsfacton of the FDA or comparable foreign regulatory authorites, that such product candidates are safe and efectve for their intended uses. Results from nonclinical studies and clinical trials can be interpreted in diferent ways. Even if we believe the nonclinical or clinical data for vonoprazan and any future product candidates are promising, such data may not be sufcient to support approval by the FDA and comparable foreign regulatory authorites. The FDA or comparable foreign regulatory authorites, as the case may be, may also require us to conduct additonal preclinical studies or clinical trials for vonoprazan and any future product candidates either prior to or post- approval, or may object to elements of our clinical development program.</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8" w:right="399" w:bottom="1440" w:gutter="0" w:footer="0" w:header="0"/>
        </w:sectPr>
      </w:pPr>
    </w:p>
    <w:bookmarkStart w:id="81" w:name="page82"/>
    <w:bookmarkEnd w:id="81"/>
    <w:p>
      <w:pPr>
        <w:ind w:left="520"/>
        <w:spacing w:after="0"/>
        <w:rPr>
          <w:sz w:val="20"/>
          <w:szCs w:val="20"/>
          <w:color w:val="auto"/>
        </w:rPr>
      </w:pPr>
      <w:r>
        <w:rPr>
          <w:rFonts w:ascii="Calibri" w:cs="Calibri" w:eastAsia="Calibri" w:hAnsi="Calibri"/>
          <w:sz w:val="17"/>
          <w:szCs w:val="17"/>
          <w:color w:val="auto"/>
        </w:rPr>
        <w:t>The FDA, EMA or other comparable foreign regulatory authorites can delay, limit or deny approval of a product candidate for many reasons, including:</w:t>
      </w:r>
    </w:p>
    <w:p>
      <w:pPr>
        <w:spacing w:after="0" w:line="193"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with the design or implementaton of our clinical trials;</w:t>
      </w:r>
    </w:p>
    <w:p>
      <w:pPr>
        <w:spacing w:after="0" w:line="190"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negatve or ambiguous results from our clinical trials or results may not meet the level of statstcal signifcance required by the FDA, EMA, or other comparable foreign regulatory agencies for approval;</w:t>
      </w:r>
    </w:p>
    <w:p>
      <w:pPr>
        <w:spacing w:after="0" w:line="204"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serious and unexpected drug-related side efects may be experienced by partcipants in our clinical trials or in clinical trials conducted by Takeda or others outside of our licensed territories, or by patents using vonoprazan or drugs similar to vonoprazan;</w:t>
      </w:r>
    </w:p>
    <w:p>
      <w:pPr>
        <w:spacing w:after="0" w:line="190"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populaton studied in the clinical trial may not be sufciently broad or representatve to assure safety in the full populaton for which we seek approval;</w:t>
      </w:r>
    </w:p>
    <w:p>
      <w:pPr>
        <w:spacing w:after="0" w:line="190" w:lineRule="exact"/>
        <w:rPr>
          <w:rFonts w:ascii="Times New Roman" w:cs="Times New Roman" w:eastAsia="Times New Roman" w:hAnsi="Times New Roman"/>
          <w:sz w:val="18"/>
          <w:szCs w:val="18"/>
          <w:color w:val="auto"/>
        </w:rPr>
      </w:pPr>
    </w:p>
    <w:p>
      <w:pPr>
        <w:ind w:left="900" w:right="38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accept clinical data from trials which are conducted at clinical facilites or in countries where the standard of care is potentally diferent from that of the United States;</w:t>
      </w:r>
    </w:p>
    <w:p>
      <w:pPr>
        <w:spacing w:after="0" w:line="204"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unable to demonstrate to the satsfacton of such authorites that a product candidate is safe and efectve for its proposed indicaton and that a product candidate’s clinical and other benefts outweigh its safety risks;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with our interpretaton of data from preclinical studies or clinical trials;</w:t>
      </w:r>
    </w:p>
    <w:p>
      <w:pPr>
        <w:spacing w:after="0" w:line="190"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agree that the data collected from clinical trials of vonoprazan, including data collected from clinical trials conducted by Takeda and independent investgators outside of our licensed territories, and any future product candidates are acceptable or sufcient to support the submission of an NDA or other submission or to obtain regulatory approval, and such authorites may impose requirements for additonal preclinical studies or clinical trials;</w:t>
      </w:r>
    </w:p>
    <w:p>
      <w:pPr>
        <w:spacing w:after="0" w:line="20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regarding the formulaton, labeling and/or the specifcatons of vonoprazan and any future product candidates;</w:t>
      </w:r>
    </w:p>
    <w:p>
      <w:pPr>
        <w:spacing w:after="0" w:line="190"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may be granted only for indicatons that are signifcantly more limited than what we apply for and/or with other signifcant restrictons on distributon and use;</w:t>
      </w:r>
    </w:p>
    <w:p>
      <w:pPr>
        <w:spacing w:after="0" w:line="190"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fnd defciencies in the manufacturing processes or facilites of Takeda, Sandoz, Evonik, Catalent or any future third-party manufacturers with which we contract for clinical and commercial supplies;</w:t>
      </w:r>
    </w:p>
    <w:p>
      <w:pPr>
        <w:spacing w:after="0" w:line="204" w:lineRule="exact"/>
        <w:rPr>
          <w:rFonts w:ascii="Times New Roman" w:cs="Times New Roman" w:eastAsia="Times New Roman" w:hAnsi="Times New Roman"/>
          <w:sz w:val="18"/>
          <w:szCs w:val="18"/>
          <w:color w:val="auto"/>
        </w:rPr>
      </w:pPr>
    </w:p>
    <w:p>
      <w:pPr>
        <w:ind w:left="900" w:right="48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regulatons of such authorites may signifcantly change in a manner rendering our or any of our potental future collaborators’ clinical data insufcient for approval; or</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accept a submission due to, among other reasons, the content or formatng of the submission.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With respect to foreign markets, approval procedures vary among countries and, in additon to the foregoing risks, may involve additonal product testng, administratve review periods and agreements with pricing authorites. In additon, events raising questons about the safety of certain marketed pharmaceutcals may result in increased cautousness by the FDA, EMA, and other comparable foreign regulatory authorites in reviewing new drugs based on safety, efcacy, or other regulatory consideratons and may result in signifcant delays in obtaining regulatory approvals. Any delay in obtaining, or inability to obtain, applicable regulatory approvals would prevent us or any of our potental future collaborators from commercializing vonoprazan and any future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2" w:name="page83"/>
    <w:bookmarkEnd w:id="82"/>
    <w:p>
      <w:pPr>
        <w:ind w:firstLine="509"/>
        <w:spacing w:after="0" w:line="235" w:lineRule="auto"/>
        <w:rPr>
          <w:sz w:val="20"/>
          <w:szCs w:val="20"/>
          <w:color w:val="auto"/>
        </w:rPr>
      </w:pPr>
      <w:r>
        <w:rPr>
          <w:rFonts w:ascii="Calibri" w:cs="Calibri" w:eastAsia="Calibri" w:hAnsi="Calibri"/>
          <w:sz w:val="18"/>
          <w:szCs w:val="18"/>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vonoprazan and any future product candidates, which would signifcantly harm our business, fnancial conditon, results of operatons and prospects.</w:t>
      </w:r>
    </w:p>
    <w:p>
      <w:pPr>
        <w:spacing w:after="0" w:line="179"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Even if we eventually receive approval of an NDA or foreign marketng applicaton for vonoprazan and any future product candidates, the FDA or other comparable foreign regulatory authority may grant approval contngent on the performance of costly additonal clinical trials, including confrmatory Phase 3 clinical trials, Phase 4 clinical trials, and/or the implementaton of a REMS or risk management measures, which may be required to ensure safe use of the drug afer approval. The FDA or other comparable foreign regulatory authority also may approve a product candidate for a more limited indicaton or patent populaton than we originally requested, and the FDA or other comparable foreign regulatory authority may not approve the labeling that we believe is necessary or desirable for the successful commercializaton of a product. Any delay in obtaining, or inability to obtain, applicable regulatory approval would delay or prevent commercializaton of that product candidate and would materially adversely impact our business and prospects.</w:t>
      </w:r>
    </w:p>
    <w:p>
      <w:pPr>
        <w:spacing w:after="0" w:line="168" w:lineRule="exact"/>
        <w:rPr>
          <w:sz w:val="20"/>
          <w:szCs w:val="20"/>
          <w:color w:val="auto"/>
        </w:rPr>
      </w:pPr>
    </w:p>
    <w:p>
      <w:pPr>
        <w:jc w:val="both"/>
        <w:ind w:right="500"/>
        <w:spacing w:after="0" w:line="235" w:lineRule="auto"/>
        <w:rPr>
          <w:sz w:val="20"/>
          <w:szCs w:val="20"/>
          <w:color w:val="auto"/>
        </w:rPr>
      </w:pPr>
      <w:r>
        <w:rPr>
          <w:rFonts w:ascii="Calibri" w:cs="Calibri" w:eastAsia="Calibri" w:hAnsi="Calibri"/>
          <w:sz w:val="18"/>
          <w:szCs w:val="18"/>
          <w:b w:val="1"/>
          <w:bCs w:val="1"/>
          <w:i w:val="1"/>
          <w:iCs w:val="1"/>
          <w:color w:val="auto"/>
        </w:rPr>
        <w:t>We may not be successful in our eforts to expand our pipeline by identfying and successfully developing vonoprazan for additonal indicatons and formulatons. We may expend our limited resources to pursue a partcular indicaton or formulaton for vonoprazan and fail to capitalize on product candidates, indicatons or formulatons that may be more proftable or for which there is a greater likelihood of success.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Because we have limited fnancial and managerial resources, we focus on specifc indicatons and formulatons for vonoprazan. As a result, we may fail to generate additonal clinical development opportunites for vonoprazan for a number of reasons, including, vonoprazan may in certain indicatons, on further study, be shown to have harmful side efects, limited to no efcacy, or other characteristcs that suggest it is unlikely to receive marketng approval and achieve market acceptance in such additonal indicatons.</w:t>
      </w:r>
    </w:p>
    <w:p>
      <w:pPr>
        <w:spacing w:after="0" w:line="179"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For example, we believe the rapid onset of acton of vonoprazan may enable as needed use for the management of non-erosive GERD. However, no proton pump inhibitor has received approval from the FDA for this indicaton. We may be incorrect in our belief regarding the potental of vonoprazan as an as needed treatment for non-erosive GERD and any future clinical trial we conduct studying as needed dosing of vonoprazan in non-erosive GERD patents may not succeed including as a result of our design and enrollment criteria.</w:t>
      </w:r>
    </w:p>
    <w:p>
      <w:pPr>
        <w:spacing w:after="0" w:line="179"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Furthermore, research programs to identfy additonal indicatons for vonoprazan require substantal technical, fnancial and human resources. We may also pursue additonal formulatons and packaging for vonoprazan, such as orally disintegratng tablets and other oral dosage forms for patents with difculty swallowing, and an intravenous formulaton for in-hospital applicatons. However, we may not successfully develop these additonal formulatons for chemistry-related, stability-related or other reasons. If we do not accurately evaluate the commercial potental or target market for vonoprazan or any future product candidates, we may relinquish valuable rights to that product candidate through future collaboratons, licenses and other similar arrangements in cases in which it would have been more advantageous for us to retain sole development and commercializaton rights to such product candidate.</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we may pursue additonal in-licenses or acquisitons of development-stage assets or programs, which entails additonal risk to us. Identfying, selectng and acquiring promising product candidates requires substantal technical, fnancial and human resources expertse. Eforts to do so may not result in the actual acquisiton or license of a partcular product candidate, potentally resultng in a diversion of our management’s tme and the expenditure of our resources with no resultng beneft.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83" w:name="page84"/>
    <w:bookmarkEnd w:id="83"/>
    <w:p>
      <w:pPr>
        <w:ind w:right="80"/>
        <w:spacing w:after="0" w:line="235" w:lineRule="auto"/>
        <w:rPr>
          <w:sz w:val="20"/>
          <w:szCs w:val="20"/>
          <w:color w:val="auto"/>
        </w:rPr>
      </w:pPr>
      <w:r>
        <w:rPr>
          <w:rFonts w:ascii="Calibri" w:cs="Calibri" w:eastAsia="Calibri" w:hAnsi="Calibri"/>
          <w:sz w:val="18"/>
          <w:szCs w:val="18"/>
          <w:b w:val="1"/>
          <w:bCs w:val="1"/>
          <w:i w:val="1"/>
          <w:iCs w:val="1"/>
          <w:color w:val="auto"/>
        </w:rPr>
        <w:t>We enrolled patents in Europe in our erosive GERD and H. pylori trials. Additonally, we may conduct future clinical trials outside of the United States. However, the FDA and other comparable foreign regulatory authorites may not accept data from such trials, in which case our development plans will be delayed, which could materially harm our business.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enrolled patents in Europe in our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trials, and we may conduct one or more of our future clinical trials outside the United States. Although the FDA may accept data from clinical trials conducted outside the United States and not subject to an IND, acceptance of this data is subject to certain conditons imposed by the FDA. For example, where data from foreign clinical trials are intended to serve as the sole basis for marketng approval in the United States, the FDA will not approve the applicaton on the basis of foreign data alone unless those data are applicable to the United States populaton and United States medical practce; the trials were performed by clinical investgators of recognized competence; and the data are considered valid without the need for an on-site inspecton by the FDA or, if the FDA considers such an inspecton to be necessary, the FDA is able to validate the data through an on-site inspecton or other appropriate means. Similar requirements may apply in foreign jurisdictons.</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For trials that are conducted only at sites outside of the United States and not subject to an IND, the FDA requires the clinical trial to have been conducted in accordance with GCP and the FDA must be able to validate the data from the clinical trial through an on-site inspecton if it deems such inspecton necessary. For such trials not subject to an IND, the FDA generally does not provide advance comment on the clinical protocols for the trials, and therefore there is an additonal potental risk that the FDA could determine that the trial design or protocol for a non-United States clinical trial was inadequate, which could require us to conduct additonal clinical trials. In additon, such foreign trials would be subject to the applicable local laws of the foreign regulatory agency and legal requirements where the trials are conducted. There can be no assurance the FDA will accept data from clinical trials conducted outside of the United States. If the FDA or comparable regulatory authority does not accept data from our clinical trials of vonoprazan and any future product candidates, it would likely result in the need for additonal clinical trials, which would be costly and tme consuming and delay or permanently halt our development of vonoprazan and any future product candidates.</w:t>
      </w:r>
    </w:p>
    <w:p>
      <w:pPr>
        <w:spacing w:after="0" w:line="19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Conductng clinical trials outside the United States also exposes us to additonal risks, including risks associated with:</w:t>
      </w:r>
    </w:p>
    <w:p>
      <w:pPr>
        <w:spacing w:after="0" w:line="185"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foreign regulatory requirements;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exchange fuctuatons;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foreign manufacturing, customs, shipment and storage requirements;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cultural diferences in medical practce and clinical research;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diminished protecton of intellectual property in some countries.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84" w:name="page85"/>
    <w:bookmarkEnd w:id="84"/>
    <w:p>
      <w:pPr>
        <w:ind w:right="520"/>
        <w:spacing w:after="0" w:line="235" w:lineRule="auto"/>
        <w:rPr>
          <w:sz w:val="20"/>
          <w:szCs w:val="20"/>
          <w:color w:val="auto"/>
        </w:rPr>
      </w:pPr>
      <w:r>
        <w:rPr>
          <w:rFonts w:ascii="Calibri" w:cs="Calibri" w:eastAsia="Calibri" w:hAnsi="Calibri"/>
          <w:sz w:val="18"/>
          <w:szCs w:val="18"/>
          <w:b w:val="1"/>
          <w:bCs w:val="1"/>
          <w:i w:val="1"/>
          <w:iCs w:val="1"/>
          <w:color w:val="auto"/>
        </w:rPr>
        <w:t>Interim, top-line and preliminary data from clinical trials that we or others announce or publish from tme to tme may change as more patent data become available and are subject to audit and verifcaton procedures that could result in material changes in the fnal data.</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From tme to tme, we or others, such as Takeda, may publicly disclose preliminary or top-line data from clinical trials, which are based on a preliminary analysis of then-available data, and the results and related fndings and conclusions are subject to change following a more comprehensive review of the data related to the partcular study or trial. We also make assumptons, estmatons, calculatons and conclusions as part of our analyses of data, and we may not have received or had the opportunity to fully and carefully evaluate all data. As a result, the top-line or preliminary results that we or others report may difer from future results of the same clinical trials, or diferent conclusions or consideratons may qualify such results, once additonal data have been received and fully evaluated. Top-line and preliminary data also remain subject to audit and verifcaton procedures that may result in the fnal data being materially diferent from the preliminary data previously published. As a result, top-line and preliminary data should be viewed with cauton untl the fnal data are available.</w:t>
      </w:r>
    </w:p>
    <w:p>
      <w:pPr>
        <w:spacing w:after="0" w:line="1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From tme to tme, we or others may also disclose interim data from clinical trials. Interim data from clinical trials are subject to the risk that one or more of the clinical outcomes may materially change as patent enrollment contnues and more patent data become available. Adverse diferences between preliminary, top-line or interim data and fnal data could signifcantly harm our business prospects.</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Further, others, including regulatory agencies, may not accept or agree with our assumptons, estmates, calculatons, conclusions or analyses or may interpret or weigh the importance of data diferently, which could impact the value of the partcular program, the approvability or commercializaton of the partcular product candidate or product and our company in general. In additon, the informaton we choose to publicly disclose regarding a partcular study or clinical trial is based on what is typically extensive informaton, and you or others may not agree with what we determine is the material or otherwise appropriate informaton to include in our disclosure, and any informaton we determine not to disclose may ultmately be deemed signifcant with respect to future decisions, conclusions, views, actvites or otherwise regarding a partcular drug, drug candidate or our business. If the top-line data that we report difer from actual results, or if others, including regulatory authorites, disagree with the conclusions reached, our ability to obtain approval for, and commercialize, vonoprazan and any future product candidates may be harmed, which could harm our business, operatng results, prospects, or fnancial conditon.</w:t>
      </w:r>
    </w:p>
    <w:p>
      <w:pPr>
        <w:spacing w:after="0" w:line="183" w:lineRule="exact"/>
        <w:rPr>
          <w:sz w:val="20"/>
          <w:szCs w:val="20"/>
          <w:color w:val="auto"/>
        </w:rPr>
      </w:pPr>
    </w:p>
    <w:p>
      <w:pPr>
        <w:jc w:val="both"/>
        <w:ind w:right="140"/>
        <w:spacing w:after="0" w:line="235" w:lineRule="auto"/>
        <w:rPr>
          <w:sz w:val="20"/>
          <w:szCs w:val="20"/>
          <w:color w:val="auto"/>
        </w:rPr>
      </w:pPr>
      <w:r>
        <w:rPr>
          <w:rFonts w:ascii="Calibri" w:cs="Calibri" w:eastAsia="Calibri" w:hAnsi="Calibri"/>
          <w:sz w:val="18"/>
          <w:szCs w:val="18"/>
          <w:b w:val="1"/>
          <w:bCs w:val="1"/>
          <w:i w:val="1"/>
          <w:iCs w:val="1"/>
          <w:color w:val="auto"/>
        </w:rPr>
        <w:t>Disruptons at the FDA and other government agencies caused by funding shortages or global health concerns could hinder their ability to hire and retain key leadership and other personnel, or otherwise prevent new products and services from being developed or commercialized in a tmely manner, which could negatvely impact our business.</w:t>
      </w:r>
    </w:p>
    <w:p>
      <w:pPr>
        <w:spacing w:after="0" w:line="178"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The ability of the FDA and other government agencies to review and approve new products can be afected by a variety of factors, including government budget and funding levels, statutory, regulatory and policy changes, a government agency’s ability to hire and retain key personnel and accept the payment of user fees, and other events that may otherwise afect the government agency’s ability to perform routne functons. Average review tmes at the FDA and other government agencies have fuctuated in recent years as a result. In additon, government funding of other government agencies that fund research and development actvites is subject to the politcal process, which is inherently fuid and unpredictable. Disruptons at the FDA and other agencies, such as the EMA, may also slow the tme necessary for new drugs and or modifcatons to approved drugs or to be reviewed and/or approved by necessary government agencies, which would adversely afect our business. For example, over the last several years, the United States government has shut down several tmes and certain regulatory agencies, such as the FDA, have had to furlough critcal FDA employees and stop critcal actvites.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5" w:name="page86"/>
    <w:bookmarkEnd w:id="85"/>
    <w:p>
      <w:pPr>
        <w:ind w:firstLine="509"/>
        <w:spacing w:after="0" w:line="235" w:lineRule="auto"/>
        <w:rPr>
          <w:sz w:val="20"/>
          <w:szCs w:val="20"/>
          <w:color w:val="auto"/>
        </w:rPr>
      </w:pPr>
      <w:r>
        <w:rPr>
          <w:rFonts w:ascii="Calibri" w:cs="Calibri" w:eastAsia="Calibri" w:hAnsi="Calibri"/>
          <w:sz w:val="18"/>
          <w:szCs w:val="18"/>
          <w:color w:val="auto"/>
        </w:rPr>
        <w:t>Separately, in response to the COVID-19 pandemic, the FDA postponed most inspectons of domestc and foreign manufacturing facilites at various points. Even though the FDA has since resumed stand inspecton operatons of domestc facilites where feasible, the FDA has contnued to monitor and implement changes to its inspectonal actvites to ensure the safety of its employees and those of the frms it regulates as it adapts to the evolving COVID-19 pandemic, and any resurgence of the virus or emergence of new variants may lead to further inspectonal delays. Regulatory authorites outside the United States may adopt similar restrictons or other policy measures in response to the COVID-19 pandemic. If a prolonged government shutdown occurs, or if global health concerns contnue to hinder or prevent the FDA or other regulatory authorites from conductng their regular inspectons, reviews, or other regulatory actvites, it could signifcantly impact the ability of the FDA or other regulatory authorites to tmely review and process our regulatory submissions, which could have a material adverse efect on our business.</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8" w:right="419" w:bottom="1440" w:gutter="0" w:footer="0" w:header="0"/>
        </w:sectPr>
      </w:pPr>
    </w:p>
    <w:bookmarkStart w:id="86" w:name="page87"/>
    <w:bookmarkEnd w:id="86"/>
    <w:p>
      <w:pPr>
        <w:spacing w:after="0"/>
        <w:rPr>
          <w:sz w:val="20"/>
          <w:szCs w:val="20"/>
          <w:color w:val="auto"/>
        </w:rPr>
      </w:pPr>
      <w:r>
        <w:rPr>
          <w:rFonts w:ascii="Calibri" w:cs="Calibri" w:eastAsia="Calibri" w:hAnsi="Calibri"/>
          <w:sz w:val="18"/>
          <w:szCs w:val="18"/>
          <w:b w:val="1"/>
          <w:bCs w:val="1"/>
          <w:color w:val="auto"/>
        </w:rPr>
        <w:t>Risks Related to Our Reliance on Third Partes</w:t>
      </w:r>
    </w:p>
    <w:p>
      <w:pPr>
        <w:spacing w:after="0" w:line="177"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Pursuant to the Takeda License, we have secured an exclusive license from Takeda to commercialize vonoprazan products using specifed formulatons for all human therapeutc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Takeda License will contnue untl the expiraton of the obligaton to pay royaltes in all countries and on all products, unless terminated earlier. We may terminate the Takeda License in its entrety without cause upon prior writen notce. We and Takeda may terminate the Takeda License in the case of the other party’s insolvency or for the other party’s material uncured breach. Takeda may terminate the Takeda License in its entrety if we challenge the licensed patents, or if we assist any third party in challenging such patents. In additon, if any of the commercial milestones or other cash payments become due under the terms of the Takeda License, we may not have sufcient funds available to meet our obligatons, which would allow Takeda to terminate the Takeda License. If the license agreement is terminated, we would lose our rights to develop and commercialize vonoprazan, which in turn would have a material adverse efect on our business, operatng results and prospects.</w:t>
      </w:r>
    </w:p>
    <w:p>
      <w:pPr>
        <w:spacing w:after="0" w:line="181" w:lineRule="exact"/>
        <w:rPr>
          <w:sz w:val="20"/>
          <w:szCs w:val="20"/>
          <w:color w:val="auto"/>
        </w:rPr>
      </w:pPr>
    </w:p>
    <w:p>
      <w:pPr>
        <w:jc w:val="both"/>
        <w:ind w:right="280"/>
        <w:spacing w:after="0" w:line="235" w:lineRule="auto"/>
        <w:rPr>
          <w:sz w:val="20"/>
          <w:szCs w:val="20"/>
          <w:color w:val="auto"/>
        </w:rPr>
      </w:pPr>
      <w:r>
        <w:rPr>
          <w:rFonts w:ascii="Calibri" w:cs="Calibri" w:eastAsia="Calibri" w:hAnsi="Calibri"/>
          <w:sz w:val="18"/>
          <w:szCs w:val="18"/>
          <w:b w:val="1"/>
          <w:bCs w:val="1"/>
          <w:i w:val="1"/>
          <w:iCs w:val="1"/>
          <w:color w:val="auto"/>
        </w:rPr>
        <w:t>We rely on third partes to conduct our clinical trials. Any failure by a third party to conduct the clinical trials according to GCPs and other requirements and in a tmely manner may delay or prevent our ability to seek or obtain regulatory approval for or commercialize vonoprazan and any future product candidates.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dependent on third partes to conduct our preclinical and clinical trials, including our completed and ongoing Phase 3 clinical trial of vonoprazan. Specifcally, we have used and relied on, and intend to contnue to use and rely on, medical insttutons, clinical investgators, CROs and consultants to conduct our clinical trials in accordance with our clinical protocols and regulatory requirements. These CROs, investgators and other third partes will play a signifcant role in the conduct and tming of these trials and subsequent collecton and analysis of data. While we have agreements governing the actvites of our third-party contractors, we have limited infuence over their actual performance. Nevertheless, we are responsible for ensuring that each of our clinical trials is conducted in accordance with the applicable protocol and legal, regulatory and scientfc standards, and our reliance on the CROs and other third partes does not relieve us of our regulatory responsibilites. We and our CROs are required to comply with GCP requirements, which are regulatons and guidelines enforced by the FDA and comparable foreign regulatory authorites for vonoprazan and any future product candidates that reach clinical development. Regulatory authorites enforce these GCPs through periodic inspectons of trial sponsors, principal investgators and trial sites. If we or any of our CROs or trial sites fail to comply with applicable GCPs, the clinical data generated in our clinical trials may be deemed unreliable, and the FDA or comparable foreign regulatory authorites may require us to perform additonal clinical trials before approving our marketng applicatons. In additon, our clinical trials must be conducted with product produced under cGMP or similar regulatons. Our failure to comply with these regulatons may require us to repeat clinical trials, which would delay the regulatory approval process.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87" w:name="page88"/>
    <w:bookmarkEnd w:id="87"/>
    <w:p>
      <w:pPr>
        <w:ind w:firstLine="509"/>
        <w:spacing w:after="0" w:line="235" w:lineRule="auto"/>
        <w:rPr>
          <w:sz w:val="20"/>
          <w:szCs w:val="20"/>
          <w:color w:val="auto"/>
        </w:rPr>
      </w:pPr>
      <w:r>
        <w:rPr>
          <w:rFonts w:ascii="Calibri" w:cs="Calibri" w:eastAsia="Calibri" w:hAnsi="Calibri"/>
          <w:sz w:val="18"/>
          <w:szCs w:val="18"/>
          <w:color w:val="auto"/>
        </w:rPr>
        <w:t>CROs, investgators or other third partes may not devote adequate tme and resources to such trials or perform as contractually required. If any of these third partes fail to meet expected deadlines, adhere to our clinical protocols or meet regulatory requirements, or otherwise performs in a substandard manner, our clinical trials may be extended, delayed, or terminated. In additon, many of the third partes with whom we contract may also have relatonships with other commercial enttes, including our compettors, for whom they may also be conductng clinical trials or other drug development actvites that could harm our compettve positon. In additon, principal investgators for our clinical trials may serve as scientfc advisors or consultants to us from tme to tme and may receive cash or equity compensaton in connecton with such services. If these relatonships and any related compensaton result in perceived or actual conficts of interest, or the FDA or comparable regulatory authority concludes that the fnancial relatonship may have afected the interpretaton of the study, the integrity of the data generated at the applicable clinical trial site may be questoned and the utlity of the clinical trial itself may be jeopardized, which could result in the delay or rejecton of any NDA or similar marketng applicaton we submit by the FDA or by comparable regulatory authority. Any such delay or rejecton could prevent us from commercializing vonoprazan and any future product candidates.</w:t>
      </w:r>
    </w:p>
    <w:p>
      <w:pPr>
        <w:spacing w:after="0" w:line="1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any of our relatonships with these third partes terminate, we may not be able to enter into arrangements with alternatve third partes or do so on commercially reasonable terms. Switching or adding additonal CROs, investgators and other third partes involves additonal cost and requires management tme and focus. In additon, there is a natural transiton period when a new CRO commences work. As a result, delays occur, which can materially impact our ability to meet our desired clinical development tmelines. Though we carefully manage our relatonships with our CROs, investgators and other third partes, we may encounter challenges or delays in the future and these delays or challenges may have a material adverse impact on our business, fnancial conditon and prospects.</w:t>
      </w:r>
    </w:p>
    <w:p>
      <w:pPr>
        <w:spacing w:after="0" w:line="181"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We currently rely on Catalent and Takeda for the manufacture of vonoprazan for clinical development and expect to rely on Catalent, Evonik and other third partes for clinical supplies for the foreseeable future, and we expect to rely on Takeda, Catalent, Evonik and other third partes to produce commercial supplies of vonoprazan drug substance and drug product, and on Sandoz for commercial supplies of amoxicillin and clarithromycin for our convenience packs. This reliance on third partes increases the risk that we will not have sufcient quanttes of vonoprazan, amoxicillin, and/or clarithromycin, which could delay, prevent or impair our development or commercializaton eforts.</w:t>
      </w:r>
    </w:p>
    <w:p>
      <w:pPr>
        <w:spacing w:after="0" w:line="19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do not own or operate manufacturing facilites and have no plans to build our own clinical or commercial scale manufacturing capabilites. Pursuant to the Takeda License, we entered into a clinical manufacturing and supply agreement with Takeda for the supply of vonoprazan for our clinical trials. In additon, we entered into a commercial supply agreement with Takeda for the commercial supply of bulk drug product and/or drug substance, a commercial supply agreement with Catalent for the commercial supply of drug product, a commercial supply agreement with Evonik for the supply of drug substance, and a commercial supply and packaging agreement with Sandoz for commercial supply of amoxicillin, clarithromycin and fnished convenience packs containing vonoprazan and one or both of those antbiotcs. As a result, we currently rely, and expect to contnue to rely, on third partes for the manufacture of vonoprazan and related raw materials for clinical development and commercial supply. If Takeda, Catalent, Evonik or Sandoz fails to fulfll its obligatons under its respectve supply agreement(s), or if any of the vonoprazan drug product or drug substance supplied by Takeda, Catalent or Evonik cannot be utlized due to quality or cGMP or similar concerns, adverse fndings during regulatory inspectons or other reasons, our development plans and commercializaton of vonoprazan, if approved, could be signifcantly delayed or otherwise adversely afected. The facilites used by Takeda, Catalent and Evonik to manufacture vonoprazan and by Sandoz to manufacture amoxicillin and clarithromycin and to package the antbiotcs and vonoprazan must be approved by the FDA and foreign regulatory authority pursuant to inspectons that may be conducted afer we submit marketng authorizatons to the FDA and comparable foreign regulatory authorites. We do not control the manufacturing process of, and are completely dependent on, Takeda, Catalent, Evonik and Sandoz for compliance with applicable cGMP or similar requirements. If Takeda, Catalent, Evonik, Sandoz, or any other third-party manufacturer we contract with in the future, cannot successfully manufacture material that conforms to our specifcatons and the strict regulatory requirements of the FDA or others, including requirements related to the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8" w:name="page89"/>
    <w:bookmarkEnd w:id="88"/>
    <w:p>
      <w:pPr>
        <w:spacing w:after="0" w:line="250" w:lineRule="auto"/>
        <w:rPr>
          <w:sz w:val="20"/>
          <w:szCs w:val="20"/>
          <w:color w:val="auto"/>
        </w:rPr>
      </w:pPr>
      <w:r>
        <w:rPr>
          <w:rFonts w:ascii="Calibri" w:cs="Calibri" w:eastAsia="Calibri" w:hAnsi="Calibri"/>
          <w:sz w:val="17"/>
          <w:szCs w:val="17"/>
          <w:color w:val="auto"/>
        </w:rPr>
        <w:t xml:space="preserve">manufacturing of high potency compounds, they will not be able to secure and/or maintain regulatory approval for their manufacturing facilites. In additon, we have no control over Takeda’s, Catalent’s, Evonik’s, Sandoz’s, or any other third-party manufacturer’s ability to maintain adequate quality control, quality assurance and qualifed personnel. If the FDA or a comparable foreign regulatory authority does not approve of facilites of the third-party manufacturer for the manufacture of vonoprazan or if it withdraws any such approval in the future, we may need to fnd alternatve manufacturing facilites, which would signifcantly impact our ability to develop, obtain regulatory approval for or market vonoprazan, if approved. For example, in June 2020, the FDA issued a warning leter to Takeda following a routne inspecton of aseptc (sterile) drug product manufacturing at Takeda’s manufacturing facility located in Hikari, Yamaguchi, or the Hikari Facility. Although it is not an aseptc product, Takeda also manufactures vonoprazan drug substance and drug product at the Hikari Facility. The warning leter indicated that the FDA was not satsfed with Takeda’s response to an FDA Form 483 issued to Takeda following the inspecton and cited signifcant violatons of cGMP for fnished aseptc pharmaceutcals. Due to the issues relatng to the Hikari Facility, we did not include the Hikari Facility, as a contract manufacturing site in 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NDAs we submited to FDA in September 2021. In October 2021, the FDA revised the inspecton classifcaton of the Hikari Facility to Voluntary Acton Indicated, or VAI. Takeda has reported that this revision means the FDA determined that the conditons in the warning leter dated June 2020 have been sufciently addressed. We have not experienced any clinical supply constraints to date as a result of the issues at the Hikari Facility, and we currently do not expect these issues will have an efect on our ongoing or future clinical trials or commercial supplies. Our failure, or Takeda’s, Catalent’s, Evonik’s, Sandoz’s or any other third-party manufacturer’s failure, to comply with applicable regulatons could result in sanctons being imposed on us, including clinical holds, fnes, injunctons, civil penaltes, delays, suspension or withdrawal of approvals, seizures or recalls of product candidates or products, operatng restrictons and criminal prosecutons, any of which could signifcantly and adversely afect supplies of our products. Furthermore, Takeda may choose to prioritze the manufacture of vonoprazan for its markets over the manufacture of vonoprazan for our licensed markets.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9" w:name="page90"/>
    <w:bookmarkEnd w:id="89"/>
    <w:p>
      <w:pPr>
        <w:jc w:val="both"/>
        <w:ind w:right="620" w:firstLine="509"/>
        <w:spacing w:after="0" w:line="258" w:lineRule="auto"/>
        <w:rPr>
          <w:sz w:val="20"/>
          <w:szCs w:val="20"/>
          <w:color w:val="auto"/>
        </w:rPr>
      </w:pPr>
      <w:r>
        <w:rPr>
          <w:rFonts w:ascii="Calibri" w:cs="Calibri" w:eastAsia="Calibri" w:hAnsi="Calibri"/>
          <w:sz w:val="17"/>
          <w:szCs w:val="17"/>
          <w:color w:val="auto"/>
        </w:rPr>
        <w:t>Our or Takeda’s, Catalent’s, Evonik's or Sandoz’s failure, or the failure of any future third-party manufacturer, to execute on our manufacturing requirements, to do so on commercially reasonable terms and comply with cGMP could adversely afect our business in a number of ways, including:</w:t>
      </w:r>
    </w:p>
    <w:p>
      <w:pPr>
        <w:spacing w:after="0" w:line="170"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initate and contnue clinical trials of vonoprazan or any future product candidates;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 in submitng regulatory applicatons, or receiving marketng approvals, for vonoprazan and any future product candidates;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subjectng third-party manufacturing facilites or our manufacturing facilites to additonal inspectons by regulatory authorites;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requirements to cease development or to recall batches of vonoprazan and any future product candidates; and</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 the event of approval to market and commercialize vonoprazan or any future product candidates, an inability to meet commercial demands for vonoprazan or any future product candidates.</w:t>
      </w:r>
    </w:p>
    <w:p>
      <w:pPr>
        <w:spacing w:after="0" w:line="18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Reliance on third-party manufacturers entails additonal risks, including:</w:t>
      </w:r>
    </w:p>
    <w:p>
      <w:pPr>
        <w:spacing w:after="0" w:line="185"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of third-party manufacturers to comply with regulatory requirements and maintain quality assurance;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breach of the manufacturing agreement by the third party;</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manufacture our product according to our specifcatons;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manufacture our product according to our schedule or at all;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misappropriaton of our proprietary informaton, including our trade secrets and know-how;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terminaton or nonrenewal of the agreement by the third party at a tme that is costly or inconvenient for us.</w:t>
      </w:r>
    </w:p>
    <w:p>
      <w:pPr>
        <w:spacing w:after="0" w:line="177"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Vonoprazan and any products that we may develop may compete with other product candidates and products for access to manufacturing facilites. Moreover, there may be a limited number of manufacturers that operate under cGMP or similar regulatons and that might be capable of manufacturing for us.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Any performance failure on the part of Takeda, Catalent, Evonik, Sandoz or any future manufacturers could delay clinical development or marketng approval, and any related remedial measures may be costly or tme consuming to implement. We do not currently have arrangements in place for redundant supply or a second source for all required raw materials used in the manufacture of vonoprazan and any future product candidates. If Takeda, Catalent, Evonik, or Sandoz cannot perform as agreed, we may be required to replace them and we may be unable to replace them on a tmely basis or at all. Further, Takeda, Catalent, Evonik, Sandoz and any other third-party manufacturers we may use may experience manufacturing or shipping difcultes due to resource constraints or as a result of natural disasters, labor disputes, unstable politcal environments, or public health emergencies such as the COVID-19 pandemic or ongoing hostlites in the Ukraine. If Takeda, Catalent, Evonik, Sandoz or other third-party manufacturers were to encounter any manufacturing or shipping difcultes or delays due to these factors, our ability to provide vonoprazan to patents in clinical trials, or to provide product for treatment of patents if approved, would be jeopardized.</w:t>
      </w:r>
    </w:p>
    <w:p>
      <w:pPr>
        <w:spacing w:after="0" w:line="197" w:lineRule="exact"/>
        <w:rPr>
          <w:sz w:val="20"/>
          <w:szCs w:val="20"/>
          <w:color w:val="auto"/>
        </w:rPr>
      </w:pPr>
    </w:p>
    <w:p>
      <w:pPr>
        <w:ind w:right="240" w:firstLine="509"/>
        <w:spacing w:after="0" w:line="258" w:lineRule="auto"/>
        <w:rPr>
          <w:sz w:val="20"/>
          <w:szCs w:val="20"/>
          <w:color w:val="auto"/>
        </w:rPr>
      </w:pPr>
      <w:r>
        <w:rPr>
          <w:rFonts w:ascii="Calibri" w:cs="Calibri" w:eastAsia="Calibri" w:hAnsi="Calibri"/>
          <w:sz w:val="17"/>
          <w:szCs w:val="17"/>
          <w:color w:val="auto"/>
        </w:rPr>
        <w:t>Our current and antcipated future dependence upon others for the manufacture of vonoprazan or any future product candidates or products may adversely afect our future proft margins and our ability to commercialize any products that receive marketng approval on a tmely and compettve basis.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90" w:name="page91"/>
    <w:bookmarkEnd w:id="90"/>
    <w:p>
      <w:pPr>
        <w:ind w:right="800"/>
        <w:spacing w:after="0" w:line="235" w:lineRule="auto"/>
        <w:rPr>
          <w:sz w:val="20"/>
          <w:szCs w:val="20"/>
          <w:color w:val="auto"/>
        </w:rPr>
      </w:pPr>
      <w:r>
        <w:rPr>
          <w:rFonts w:ascii="Calibri" w:cs="Calibri" w:eastAsia="Calibri" w:hAnsi="Calibri"/>
          <w:sz w:val="18"/>
          <w:szCs w:val="18"/>
          <w:b w:val="1"/>
          <w:bCs w:val="1"/>
          <w:i w:val="1"/>
          <w:iCs w:val="1"/>
          <w:color w:val="auto"/>
        </w:rPr>
        <w:t>Our reliance on third partes, including Takeda, Catalent and Evonik, requires us to share our trade secrets, which increases the possibility that a compettor will discover them or that our trade secrets will be misappropriated or disclosed.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we rely, and expect to contnue to rely on Takeda, Catalent and Evonik to manufacture vonoprazan and to perform quality testng, we must, at tmes, share our proprietary technology and confdental informaton, including trade secrets, with them. We seek to protect our proprietary technology, in part, by entering into confdentality agreements, consultng agreements or other similar agreements with our advisors, employees and consultants prior to beginning research or disclosing proprietary informaton. These agreements typically limit the rights of the third partes to use or disclose our confdental informaton. Despite the contractual provisions employed when working with third partes, the need to share trade secrets and other confdental informaton increases the risk that such trade secrets become known by our compettors, are intentonally or inadvertently incorporated into the technology of others or are disclosed or used in violaton of these agreements. Given that our proprietary positon is based, in part, on our know-how and trade secrets and despite our eforts to protect our trade secrets, a compettor’s discovery of our proprietary technology and confdental informaton or other unauthorized use or disclosure would impair our compettve positon and may have a material adverse efect on our business, fnancial conditon, results of operatons and prospects.</w:t>
      </w:r>
    </w:p>
    <w:p>
      <w:pPr>
        <w:spacing w:after="0" w:line="18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We may seek to enter into collaboratons, licenses and other similar arrangements and may not be successful in doing so, and even if we are, we may not realize the benefts of such relatonships.</w:t>
      </w:r>
    </w:p>
    <w:p>
      <w:pPr>
        <w:spacing w:after="0" w:line="191" w:lineRule="exact"/>
        <w:rPr>
          <w:sz w:val="20"/>
          <w:szCs w:val="20"/>
          <w:color w:val="auto"/>
        </w:rPr>
      </w:pPr>
    </w:p>
    <w:p>
      <w:pPr>
        <w:ind w:right="200" w:firstLine="509"/>
        <w:spacing w:after="0" w:line="251" w:lineRule="auto"/>
        <w:rPr>
          <w:sz w:val="20"/>
          <w:szCs w:val="20"/>
          <w:color w:val="auto"/>
        </w:rPr>
      </w:pPr>
      <w:r>
        <w:rPr>
          <w:rFonts w:ascii="Calibri" w:cs="Calibri" w:eastAsia="Calibri" w:hAnsi="Calibri"/>
          <w:sz w:val="17"/>
          <w:szCs w:val="17"/>
          <w:color w:val="auto"/>
        </w:rPr>
        <w:t>We may seek to enter into collaboratons, joint ventures, licenses and other similar arrangements for the development or commercializaton of vonoprazan and any future product candidates, due to capital costs required to develop or commercialize vonoprazan and any future product candidates or manufacturing constraints. We may not be successful in our eforts to establish such collaboratons for vonoprazan and any future product candidates because vonoprazan and any future product candidates may be deemed to be at too early of a stage of development for collaboratve efort or third partes may not view vonoprazan and any future product candidates as having the requisite potental to demonstrate safety and efcacy or signifcant commercial opportunity. In additon, we face signifcant competton in seeking appropriate strategic partners, and the negotaton process can be tme consuming and complex. Further, any future collaboraton agreements may restrict us from entering into additonal agreements with potental collaborators. Following a strategic transacton or license, we may not achieve an economic beneft that justfes such transacton.</w:t>
      </w:r>
    </w:p>
    <w:p>
      <w:pPr>
        <w:spacing w:after="0" w:line="16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Even if we are successful in our eforts to establish such collaboratons, the terms that we agree upon may not be favorable to us, and we may not be able to maintain such collaboratons if, for example, development or approval of a product candidate is delayed, the safety of a product candidate is questoned or sales of an approved product candidate are unsatsfactory.</w:t>
      </w:r>
    </w:p>
    <w:p>
      <w:pPr>
        <w:spacing w:after="0" w:line="178"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additon, any potental future collaboratons may be terminable by our strategic partners, and we may not be able to adequately protect our rights under these agreements. Furthermore, strategic partners may negotate for certain rights to control decisions regarding the development and commercializaton of vonoprazan and any future product candidates, if approved, and may not conduct those actvites in the same manner as we do. Any terminaton of collaboratons we enter into in the future, or any delay in entering into collaboratons related to vonoprazan or any future product candidates, could delay the development and commercializaton of vonoprazan or any future product candidates and reduce their compettveness if they reach the market, which could have a material adverse efect on our business, fnancial conditon and results of operatons.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1" w:name="page92"/>
    <w:bookmarkEnd w:id="91"/>
    <w:p>
      <w:pPr>
        <w:spacing w:after="0"/>
        <w:rPr>
          <w:sz w:val="20"/>
          <w:szCs w:val="20"/>
          <w:color w:val="auto"/>
        </w:rPr>
      </w:pPr>
      <w:r>
        <w:rPr>
          <w:rFonts w:ascii="Calibri" w:cs="Calibri" w:eastAsia="Calibri" w:hAnsi="Calibri"/>
          <w:sz w:val="18"/>
          <w:szCs w:val="18"/>
          <w:b w:val="1"/>
          <w:bCs w:val="1"/>
          <w:color w:val="auto"/>
        </w:rPr>
        <w:t>Risks Related to Commercializaton of Vonoprazan and Any Future Product Candidates</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Even if we receive regulatory approval for any product candidate, we will be subject to ongoing regulatory obligatons and contnued regulatory review, which may result in signifcant additonal expense.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With respect to our approved products, VOQUEZNA TRIPLE PAK and VOQUEZNA DUAL PAK, and, if approved, VOQUEZNA and any future product candidates, the FDA, EMA or other comparable regulatory authority may impose signifcant restrictons on a product’s indicated uses or marketng or impose ongoing requirements for potentally costly and tme-consuming post-approval studies, post-market surveillance or clinical trials to monitor the safety and efcacy of the product. The FDA and comparable regulatory authorites may also require a REMS or similar risk management measures as a conditon of approval of any additonal products containing vonoprazan or future product candidates, which could include requirements for a medicaton guide, physician communicaton plans or additonal elements to ensure safe use, such as restricted distributon methods, patent registries and other risk minimizaton tools. In additon, for our approved products or future products that obtain approval, partcularly following commercial launch of any such products, the manufacturing processes, labeling, packaging, distributon, adverse event reportng, storage, advertsing, promoton, import, export and recordkeeping for our products will be subject to extensive and ongoing regulatory requirements. These requirements include submissions of safety and other post-marketng informaton and reports, registraton, as well as contnued compliance with cGMPs and similar requirements and GCP requirements for any clinical trials that we conduct post-approval. Later discovery of previously unknown problems with our products, including adverse events of unantcipated severity or frequency, or with our third-party manufacturers or manufacturing processes, or failure to comply with regulatory requirements, may result in, among other things:</w:t>
      </w:r>
    </w:p>
    <w:p>
      <w:pPr>
        <w:spacing w:after="0" w:line="200" w:lineRule="exact"/>
        <w:rPr>
          <w:sz w:val="20"/>
          <w:szCs w:val="20"/>
          <w:color w:val="auto"/>
        </w:rPr>
      </w:pPr>
    </w:p>
    <w:p>
      <w:pPr>
        <w:ind w:left="900" w:right="100" w:hanging="383"/>
        <w:spacing w:after="0" w:line="235" w:lineRule="auto"/>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the marketng or manufacturing of our products, withdrawal of the product from the market or voluntary or mandatory product recalls;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product distributon or use, or requirements to conduct post-marketng studies or clinical trials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fnes, resttutons, disgorgement of profts or revenues, warning leters, unttled leters or holds on clinical trials;</w:t>
      </w:r>
    </w:p>
    <w:p>
      <w:pPr>
        <w:spacing w:after="0" w:line="190"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refusal by the FDA or comparable foreign regulatory authority to approve pending applicatons or supplements to approved applicatons fled by us or suspension or revocaton of approvals;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seizure or detenton, or refusal to permit the import or export of our products;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injunctons or the impositon of civil or criminal penaltes.</w:t>
      </w:r>
    </w:p>
    <w:p>
      <w:pPr>
        <w:spacing w:after="0" w:line="177" w:lineRule="exact"/>
        <w:rPr>
          <w:sz w:val="20"/>
          <w:szCs w:val="20"/>
          <w:color w:val="auto"/>
        </w:rPr>
      </w:pPr>
    </w:p>
    <w:p>
      <w:pPr>
        <w:ind w:right="160" w:firstLine="509"/>
        <w:spacing w:after="0" w:line="258" w:lineRule="auto"/>
        <w:rPr>
          <w:sz w:val="20"/>
          <w:szCs w:val="20"/>
          <w:color w:val="auto"/>
        </w:rPr>
      </w:pPr>
      <w:r>
        <w:rPr>
          <w:rFonts w:ascii="Calibri" w:cs="Calibri" w:eastAsia="Calibri" w:hAnsi="Calibri"/>
          <w:sz w:val="17"/>
          <w:szCs w:val="17"/>
          <w:color w:val="auto"/>
        </w:rPr>
        <w:t>The occurrence of any event or penalty described above may inhibit our ability to commercialize products containing vonoprazan and any future product candidates and generate revenue and could require us to expend signifcant tme and resources in response and could generate negatve publicity.</w:t>
      </w:r>
    </w:p>
    <w:p>
      <w:pPr>
        <w:spacing w:after="0" w:line="175"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The FDA’s and other regulatory authorites’ policies may change, and additonal government regulatons may be enacted that could prevent, limit or delay regulatory approval of additonal products containing vonoprazan and any future product candidates. If we are slow or unable to adapt to changes in existng requirements or the adopton of new requirements or policies, or if we are not able to maintain regulatory compliance, we may lose any marketng approval that we may have obtained, may be subject to enforcement acton, and we may not achieve or sustain proftability.</w:t>
      </w:r>
    </w:p>
    <w:p>
      <w:pPr>
        <w:spacing w:after="0" w:line="1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instance, the EU has adopted the Clinical Trials Regulaton, or CTR, in April 2014, which became applicable on 31 January 2022. The CTR is directly applicable in all EU member states, repealing the current Clinical</w:t>
      </w: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93" w:right="439" w:bottom="1440" w:gutter="0" w:footer="0" w:header="0"/>
        </w:sectPr>
      </w:pPr>
    </w:p>
    <w:bookmarkStart w:id="92" w:name="page93"/>
    <w:bookmarkEnd w:id="92"/>
    <w:p>
      <w:pPr>
        <w:ind w:right="280"/>
        <w:spacing w:after="0" w:line="235" w:lineRule="auto"/>
        <w:rPr>
          <w:sz w:val="20"/>
          <w:szCs w:val="20"/>
          <w:color w:val="auto"/>
        </w:rPr>
      </w:pPr>
      <w:r>
        <w:rPr>
          <w:rFonts w:ascii="Calibri" w:cs="Calibri" w:eastAsia="Calibri" w:hAnsi="Calibri"/>
          <w:sz w:val="18"/>
          <w:szCs w:val="18"/>
          <w:color w:val="auto"/>
        </w:rPr>
        <w:t>Trials Directve. The CTR harmonizes the assessment and supervision processes for clinical trials throughout the EU via a Clinical Trials Informaton System, which will notably contain a centralized EU portal and database.</w:t>
      </w:r>
    </w:p>
    <w:p>
      <w:pPr>
        <w:spacing w:after="0" w:line="177" w:lineRule="exact"/>
        <w:rPr>
          <w:sz w:val="20"/>
          <w:szCs w:val="20"/>
          <w:color w:val="auto"/>
        </w:rPr>
      </w:pPr>
    </w:p>
    <w:p>
      <w:pPr>
        <w:ind w:firstLine="509"/>
        <w:spacing w:after="0" w:line="252" w:lineRule="auto"/>
        <w:rPr>
          <w:sz w:val="20"/>
          <w:szCs w:val="20"/>
          <w:color w:val="auto"/>
        </w:rPr>
      </w:pPr>
      <w:r>
        <w:rPr>
          <w:rFonts w:ascii="Calibri" w:cs="Calibri" w:eastAsia="Calibri" w:hAnsi="Calibri"/>
          <w:sz w:val="17"/>
          <w:szCs w:val="17"/>
          <w:color w:val="auto"/>
        </w:rPr>
        <w:t>It is currently unclear to what extent the United Kingdom, or UK, will seek to align its regulatons with the EU. The UK regulatory framework in relaton to clinical trials is derived from existng EU legislaton (as implemented into UK law, through secondary legislaton). A decision by the UK not to closely align its regulatons with the new approach that will be adopted in the EU may have an efect on the cost of conductng clinical trials in the UK as opposed to other countries and/or make it harder to seek a marketng authorizaton in the EU for our product candidates on the basis of clinical trials conducted in the UK.</w:t>
      </w:r>
    </w:p>
    <w:p>
      <w:pPr>
        <w:spacing w:after="0" w:line="16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Additonally, the EU pharmaceutcal legislaton is currently undergoing a complete review process, in the context of the Pharmaceutcal Strategy for Europe initatve, launched by the European Commission in November 2020. A proposal for revision of several legislatve instruments related to medicinal products (potentally revising the duraton of regulatory exclusivity, eligibility for expedited pathways, etc.) is expected to be adopted by the European Commission by the end of 2022. The proposed revisions, once they are agreed and adopted by the European Parliament and European Council (not expected before the end of 2024) may have a signifcant impact on the biopharmaceutcal industry in the long term.</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93" w:name="page94"/>
    <w:bookmarkEnd w:id="93"/>
    <w:p>
      <w:pPr>
        <w:ind w:right="20"/>
        <w:spacing w:after="0" w:line="235" w:lineRule="auto"/>
        <w:rPr>
          <w:sz w:val="20"/>
          <w:szCs w:val="20"/>
          <w:color w:val="auto"/>
        </w:rPr>
      </w:pPr>
      <w:r>
        <w:rPr>
          <w:rFonts w:ascii="Calibri" w:cs="Calibri" w:eastAsia="Calibri" w:hAnsi="Calibri"/>
          <w:sz w:val="18"/>
          <w:szCs w:val="18"/>
          <w:b w:val="1"/>
          <w:bCs w:val="1"/>
          <w:i w:val="1"/>
          <w:iCs w:val="1"/>
          <w:color w:val="auto"/>
        </w:rPr>
        <w:t>The commercial success of vonoprazan or any future product candidates will depend upon the degree of market acceptance of such product candidates by physicians, patents, healthcare payers and others in the medical community.</w:t>
      </w:r>
    </w:p>
    <w:p>
      <w:pPr>
        <w:spacing w:after="0" w:line="177" w:lineRule="exact"/>
        <w:rPr>
          <w:sz w:val="20"/>
          <w:szCs w:val="20"/>
          <w:color w:val="auto"/>
        </w:rPr>
      </w:pPr>
    </w:p>
    <w:p>
      <w:pPr>
        <w:jc w:val="both"/>
        <w:ind w:right="300" w:firstLine="509"/>
        <w:spacing w:after="0" w:line="235" w:lineRule="auto"/>
        <w:rPr>
          <w:sz w:val="20"/>
          <w:szCs w:val="20"/>
          <w:color w:val="auto"/>
        </w:rPr>
      </w:pPr>
      <w:r>
        <w:rPr>
          <w:rFonts w:ascii="Calibri" w:cs="Calibri" w:eastAsia="Calibri" w:hAnsi="Calibri"/>
          <w:sz w:val="18"/>
          <w:szCs w:val="18"/>
          <w:color w:val="auto"/>
        </w:rPr>
        <w:t>Vonoprazan and any future product candidates may not be commercially successful. The commercial success of vonoprazan or any future product candidates, if approved, will depend signifcantly on the broad adopton and use of such product by physicians and patents for approved indicatons. The degree of market acceptance of vonoprazan or any future products, if approved, will depend on a number of factors, including:</w:t>
      </w:r>
    </w:p>
    <w:p>
      <w:pPr>
        <w:spacing w:after="0" w:line="187"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demonstraton of clinical efcacy and safety compared to other more-established products;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indicatons for which vonoprazan or any future product candidates are approved;</w:t>
      </w:r>
    </w:p>
    <w:p>
      <w:pPr>
        <w:spacing w:after="0" w:line="190" w:lineRule="exact"/>
        <w:rPr>
          <w:rFonts w:ascii="Times New Roman" w:cs="Times New Roman" w:eastAsia="Times New Roman" w:hAnsi="Times New Roman"/>
          <w:sz w:val="18"/>
          <w:szCs w:val="18"/>
          <w:color w:val="auto"/>
        </w:rPr>
      </w:pPr>
    </w:p>
    <w:p>
      <w:pPr>
        <w:ind w:left="900" w:right="50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limitaton of our targeted patent populaton and other limitatons or warnings contained in any FDA-approved labeling or comparable approved labeling;</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acceptance of a new drug for the relevant indicaton by healthcare providers and their patents;</w:t>
      </w:r>
    </w:p>
    <w:p>
      <w:pPr>
        <w:spacing w:after="0" w:line="203"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pricing and cost-efectveness of our products, as well as the cost of treatment with our products in relaton to alternatve treatments and therapies;</w:t>
      </w:r>
    </w:p>
    <w:p>
      <w:pPr>
        <w:spacing w:after="0" w:line="190"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obtain and maintain sufcient third-party coverage and adequate reimbursement from government healthcare programs, including Medicare and Medicaid, private health insurers and other third-party payers;</w:t>
      </w:r>
    </w:p>
    <w:p>
      <w:pPr>
        <w:spacing w:after="0" w:line="190"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willingness of patents to pay all, or a porton of, out-of-pocket costs associated with our products in the absence of sufcient third-party coverage or adequate reimbursement;</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restrictons on the use of our products, and the prevalence and severity of any adverse efects;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product liability claims;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of market introducton of our products as well as compettve drugs;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efectveness of our or any of our potental future collaborators’ sales and marketng strategies;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unfavorable publicity relatng to the product.</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If either of our current approved products, and if approved, any additonal product containing vonoprazan or any future product candidate, does not achieve an adequate level of acceptance by physicians, hospitals, healthcare payers or patents, we may not generate sufcient revenue from that product and may not become or remain proftable. Our eforts to educate the medical community and third-party payers regarding the benefts of our products may require signifcant resources and may never be successful.</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Takeda has the right to develop and commercialize vonoprazan outside of the United States, Europe, and Canada and has received marketng approval for vonoprazan in certain countries in Asia and Latn America as well as in Russia. We have litle or no control over Takeda’s commercializaton actvites with respect to vonoprazan outside of our licensed territories even though those actvites could impact our ability to successfully commercialize vonoprazan. For example, Takeda can make statements or use promotonal materials with respect to vonoprazan outside of our licensed territories that are inconsistent with our positoning of the product in the United States, Europe, and Canada, and could sell vonoprazan in foreign countries at prices that are dramatcally lower than the prices we would charge in our licensed territories. These actvites and decisions, while occurring outside of our licensed territories, could harm our commercializaton strategy. In additon, product recalls or safety issues with vonoprazan outside our licensed territories could result in serious damage to the brand and impair our ability to successfully market vonoprazan in our licensed territories.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8" w:right="399" w:bottom="1440" w:gutter="0" w:footer="0" w:header="0"/>
        </w:sectPr>
      </w:pPr>
    </w:p>
    <w:bookmarkStart w:id="94" w:name="page95"/>
    <w:bookmarkEnd w:id="94"/>
    <w:p>
      <w:pPr>
        <w:ind w:right="100"/>
        <w:spacing w:after="0" w:line="235" w:lineRule="auto"/>
        <w:rPr>
          <w:sz w:val="20"/>
          <w:szCs w:val="20"/>
          <w:color w:val="auto"/>
        </w:rPr>
      </w:pPr>
      <w:r>
        <w:rPr>
          <w:rFonts w:ascii="Calibri" w:cs="Calibri" w:eastAsia="Calibri" w:hAnsi="Calibri"/>
          <w:sz w:val="18"/>
          <w:szCs w:val="18"/>
          <w:b w:val="1"/>
          <w:bCs w:val="1"/>
          <w:i w:val="1"/>
          <w:iCs w:val="1"/>
          <w:color w:val="auto"/>
        </w:rPr>
        <w:t>The FDA and other regulatory agencies actvely enforce the laws and regulatons prohibitng the promoton of of-label uses. If we are found or alleged to have improperly promoted of-label uses, we may become subject to signifcant liability.</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The FDA and other regulatory agencies strictly regulate the promotonal claims that may be made about prescripton products such as our currently approved products, and any additonal products containing vonoprazan and any future product candidates, if approved. In partcular, a product may not be promoted for uses that are not approved by the FDA or such other regulatory agencies as refected in the product’s approved labeling. For example, the FDA has approved both VOQUEZNA TRIPLE PAK and VOQUEZNA DUAL PAK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and we are not currently permited to promote these products for any other uses, unless and untl such uses are approved by the FDA. For any product for which we have obtained a marketng approval, however, physicians may nevertheless prescribe it to their patents in a manner that is inconsistent with the approved label. If we are found to have promoted such of-label uses, we may become subject to signifcant liability. The federal government has levied large civil and criminal fnes against companies for alleged improper promoton and has enjoined several companies from engaging in of-label promoton. The FDA has also requested that companies enter into consent decrees or permanent injunctons under which specifed promotonal conduct is changed or curtailed. If we cannot successfully manage the promoton of products containing vonoprazan or any future product candidates, if approved, we could become subject to signifcant liability, which would materially adversely afect our business and fnancial conditon.</w:t>
      </w:r>
    </w:p>
    <w:p>
      <w:pPr>
        <w:spacing w:after="0" w:line="225"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The successful commercializaton of VOQUEZNA TRIPLE PAK, VOQUEZNA DUAL PAK, or if approved, VOQUEZNA or any future product candidates, will depend in part on the extent to which governmental authorites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availability of coverage and the adequacy of reimbursement by governmental healthcare programs, such as Medicare and Medicaid, private health insurers and other third-party payers are essental for most patents to be able to aford prescripton medicatons such as VOQUEZNA TRIPLE PAK, VOQUEZNA DUAL PAK, or, if approved, VOQUEZNA or any future product candidates. Our ability to achieve coverage and acceptable levels of reimbursement for our products by third-party payers will have an efect on our ability to successfully commercialize those products. Even if we obtain coverage for a given product by a third-party payer, the resultng reimbursement payment rates may not be adequate or may require co-payments that patents fnd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9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Third-party payers increasingly are challenging prices charged for pharmaceutcal products and services, and many third-party payers may refuse to provide coverage and reimbursement for partcular drugs when an equivalent generic drug or a less expensive therapy is available. It is possible that a third-party payer may consider our products as substtutable and only ofer to reimburse patents for the less expensive product. Even if we are successful in demonstratng improved efcacy or improved convenience of administraton with our products, pricing of existng drugs may limit the amount we will be able to charge for our products. These payers may deny or revoke the reimbursement status of a given product or establish prices for new or existng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satsfactory fnancial return on products that we may develop.</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5" w:name="page96"/>
    <w:bookmarkEnd w:id="95"/>
    <w:p>
      <w:pPr>
        <w:ind w:firstLine="509"/>
        <w:spacing w:after="0" w:line="235" w:lineRule="auto"/>
        <w:rPr>
          <w:sz w:val="20"/>
          <w:szCs w:val="20"/>
          <w:color w:val="auto"/>
        </w:rPr>
      </w:pPr>
      <w:r>
        <w:rPr>
          <w:rFonts w:ascii="Calibri" w:cs="Calibri" w:eastAsia="Calibri" w:hAnsi="Calibri"/>
          <w:sz w:val="18"/>
          <w:szCs w:val="18"/>
          <w:color w:val="auto"/>
        </w:rPr>
        <w:t>There is signifcant uncertainty related to third-party payer coverage and reimbursement of newly approved products. In the United States, third-party payers, including private and governmental payers, such as the Medicare and Medicaid programs, play an important role in determining the extent to which new drugs will be covered. Some third-party payers may require pre-approval of coverage for new or innovatve devices or drug therapies before they will reimburse healthcare providers who use such therapies. It is difcult to predict at this tme what third-party payers will decide with respect to the coverage and reimbursement for our products.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Obtaining and maintaining reimbursement status is tme consuming, costly and uncertain. The Medicare and Medicaid programs increasingly are used as models for how private payers and other governmental payers develop their coverage and reimbursement policies for drugs. However, no uniform policy for coverage and reimbursement for products exists among third-party payers in the United States. Therefore, coverage and reimbursement for products can difer signifcantly from payer to payer. As a result, the coverage determinaton process will require us to provide scientfc and clinical support for the use of our products to each payer separately, with no assurance that coverage and adequate reimbursement will be applied consistently or obtained in the frst instance. Furthermore, rules and regulatons regarding reimbursement change frequently, in some cases at short notce, and we believe that changes in these rules and regulatons are likely.</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96" w:name="page97"/>
    <w:bookmarkEnd w:id="96"/>
    <w:p>
      <w:pPr>
        <w:ind w:right="80" w:firstLine="509"/>
        <w:spacing w:after="0" w:line="235" w:lineRule="auto"/>
        <w:rPr>
          <w:sz w:val="20"/>
          <w:szCs w:val="20"/>
          <w:color w:val="auto"/>
        </w:rPr>
      </w:pPr>
      <w:r>
        <w:rPr>
          <w:rFonts w:ascii="Calibri" w:cs="Calibri" w:eastAsia="Calibri" w:hAnsi="Calibri"/>
          <w:sz w:val="18"/>
          <w:szCs w:val="18"/>
          <w:color w:val="auto"/>
        </w:rPr>
        <w:t>Outside the United States, internatonal operatons are generally subject to extensive governmental price controls and other market regulatons, and we believe the increasing emphasis on cost-containment initatves in Europe and other countries has and will contnue to put pressure on the pricing and usage of our products. In many countries, the prices of medical products are subject to varying price control mechanisms as part of natonal health systems. Other countries allow companies to fx their own prices for medical products but monitor and control company profts. Additonal foreign price controls or other changes in pricing regulaton could restrict the amount that we are able to charge for our products. Accordingly, in markets outside the United States, the reimbursement for our products may be reduced compared with the United States and may be insufcient to generate commercially reasonable revenue and profts.</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Moreover, increasing eforts by governmental and third-party payers in the United States and abroad to cap or reduce healthcare costs may cause such organizatons to limit both coverage and the level of reimbursement for newly approved products and, as a result, they may not cover or provide adequate payment for our products. We expect to experience pricing pressures in connecton with the sale of any of our products due to the trend toward managed healthcare, the increasing infuence of health maintenance organizatons and additonal legislatve changes. The downward pressure on healthcare costs in general, partcularly prescripton drugs and surgical procedures and other treatments, has become very intense. As a result, increasingly high barriers are being erected to the entry of new products.</w:t>
      </w:r>
    </w:p>
    <w:p>
      <w:pPr>
        <w:spacing w:after="0" w:line="18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If following commercializaton of products containing vonoprazan (or any future product candidates, if approved) we fail to comply with reportng and payment obligatons under the Medicaid Drug Rebate Program or other governmental pricing programs, we could be subject to additonal reimbursement requirements, penaltes, sanctons and fnes, which could have a material adverse efect on our business, fnancial conditon, results of operatons and growth prospects.</w:t>
      </w:r>
    </w:p>
    <w:p>
      <w:pPr>
        <w:spacing w:after="0" w:line="192" w:lineRule="exact"/>
        <w:rPr>
          <w:sz w:val="20"/>
          <w:szCs w:val="20"/>
          <w:color w:val="auto"/>
        </w:rPr>
      </w:pPr>
    </w:p>
    <w:p>
      <w:pPr>
        <w:ind w:right="720" w:firstLine="509"/>
        <w:spacing w:after="0" w:line="258" w:lineRule="auto"/>
        <w:rPr>
          <w:sz w:val="20"/>
          <w:szCs w:val="20"/>
          <w:color w:val="auto"/>
        </w:rPr>
      </w:pPr>
      <w:r>
        <w:rPr>
          <w:rFonts w:ascii="Calibri" w:cs="Calibri" w:eastAsia="Calibri" w:hAnsi="Calibri"/>
          <w:sz w:val="17"/>
          <w:szCs w:val="17"/>
          <w:color w:val="auto"/>
        </w:rPr>
        <w:t>If we successfully commercialize products containing vonoprazan and, if approved, any future product candidates, we will likely partcipate in governmental programs, such as Medicaid, that impose extensive drug price reportng and payment obligatons on pharmaceutcal manufacturers.</w:t>
      </w:r>
    </w:p>
    <w:p>
      <w:pPr>
        <w:spacing w:after="0" w:line="16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Medicaid is a joint federal and state program that is administered by the states for low-income and disabled benefciaries. Medicare is a federal program that is administered by the federal government covering individuals age 65 and over as well as those with certain disabilites. Under the Medicaid Drug Rebate Program, or MDRP, as a conditon of having federal funds being made available to the states for covered outpatent drugs under Medicaid, pharmaceutcal manufacturers must enter into an agreement with the Secretary of Health and Human Services to pay a rebate to state Medicaid programs for each unit of covered outpatent drug dispensed to a Medicaid benefciary and paid for by the state Medicaid program. Medicaid drug rebates are based on pricing data that pharmaceutcal manufacturers report on a monthly and quarterly basis to the U.S. Centers for Medicare &amp; Medicaid Services, or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entty in the United States in any pricing structure, calculated to include all applicable sales and associated rebates, discounts and other price concessions. If a manufacturer becomes aware that its MDRP government price reportng submission for a prior quarter was incorrect or has changed as a result of recalculaton of the pricing data, the manufacturer must resubmit the corrected data for up to three years afer those data originally were due. If a manufacturer fails to provide informaton tmely or is found to have knowingly submited false informaton to the government, the manufacturer may be subject to civil monetary penaltes and other sanctons, including terminaton from the MDRP.</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7" w:name="page98"/>
    <w:bookmarkEnd w:id="97"/>
    <w:p>
      <w:pPr>
        <w:ind w:firstLine="509"/>
        <w:spacing w:after="0" w:line="309" w:lineRule="auto"/>
        <w:rPr>
          <w:sz w:val="20"/>
          <w:szCs w:val="20"/>
          <w:color w:val="auto"/>
        </w:rPr>
      </w:pPr>
      <w:r>
        <w:rPr>
          <w:rFonts w:ascii="MS PGothic" w:cs="MS PGothic" w:eastAsia="MS PGothic" w:hAnsi="MS PGothic"/>
          <w:sz w:val="17"/>
          <w:szCs w:val="17"/>
          <w:color w:val="auto"/>
        </w:rPr>
        <w:t>Federal law requires that any company that partcipates in the MDRP also partcipate in the Public Health Service’s 340B drug pricing program, or the 340B program, in order for federal funds to be available for the manufacturer’s drugs under Medicaid. The 340B program is administered by the Health Resources and Services Administraton, or HRSA, and requires partcipatng manufacturers to agree to charge statutorily defned covered enttes no more than the 340B “ceiling price” for the manufacturer’s covered drugs used in an outpatent setng. These 340B covered enttes include a variety of community health clinics and other enttes that receive health services grants from the Public Health Service, as well as hospitals that serve a disproportonate share of low‑income patents. The 340B ceiling price is calculated using a statutory formula, which is based on the average manufacturer price and rebate amount for the covered outpatent drug as calculated under the MDRP. In general, products subject to Medicaid price reportng and rebate liability are also subject to the 340B ceiling price calculaton and discount requirement. Manufacturers must report 340B ceiling prices to HRSA on a quarterly basis, and HRSA publishes them to 340B covered enttes. HRSA has fnalized regulatons regarding the calculaton of the 340B ceiling price and the impositon of civil monetary penaltes on manufacturers that knowingly and intentonally overcharge covered enttes for 340B‑eligible drugs. HRSA has also fnalized an administratve dispute resoluton process through which 340B covered enttes may pursue claims against partcipatng manufacturers for overcharges, and through which manufacturers may pursue claims against 340B covered enttes for engaging in unlawful diversion or duplicate discountng of 340B drugs. In additon, legislaton may be introduced that, if passed, would further expand the 340B program, such as adding further covered enttes or requiring partcipatng manufacturers to agree to provide 340B discounted pricing on drugs used in an inpatent setng.</w:t>
      </w:r>
    </w:p>
    <w:p>
      <w:pPr>
        <w:spacing w:after="0" w:line="135" w:lineRule="exact"/>
        <w:rPr>
          <w:sz w:val="20"/>
          <w:szCs w:val="20"/>
          <w:color w:val="auto"/>
        </w:rPr>
      </w:pPr>
    </w:p>
    <w:p>
      <w:pPr>
        <w:ind w:right="60" w:firstLine="509"/>
        <w:spacing w:after="0" w:line="294" w:lineRule="auto"/>
        <w:rPr>
          <w:sz w:val="20"/>
          <w:szCs w:val="20"/>
          <w:color w:val="auto"/>
        </w:rPr>
      </w:pPr>
      <w:r>
        <w:rPr>
          <w:rFonts w:ascii="MS PGothic" w:cs="MS PGothic" w:eastAsia="MS PGothic" w:hAnsi="MS PGothic"/>
          <w:sz w:val="18"/>
          <w:szCs w:val="18"/>
          <w:color w:val="auto"/>
        </w:rPr>
        <w:t>In order to be eligible to have drug products paid for with federal funds under Medicaid and purchased by certain federal agencies and grantees, a manufacturer must also partcipate in the U.S. Department of Veterans Afairs,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partcipatng in the FSS program fails to provide tmely informaton or is found to have knowingly submited false informaton, the manufacturer may be subject to civil monetary penaltes.</w:t>
      </w:r>
    </w:p>
    <w:p>
      <w:pPr>
        <w:spacing w:after="0" w:line="139" w:lineRule="exact"/>
        <w:rPr>
          <w:sz w:val="20"/>
          <w:szCs w:val="20"/>
          <w:color w:val="auto"/>
        </w:rPr>
      </w:pPr>
    </w:p>
    <w:p>
      <w:pPr>
        <w:ind w:right="80" w:firstLine="509"/>
        <w:spacing w:after="0" w:line="293" w:lineRule="auto"/>
        <w:rPr>
          <w:sz w:val="20"/>
          <w:szCs w:val="20"/>
          <w:color w:val="auto"/>
        </w:rPr>
      </w:pPr>
      <w:r>
        <w:rPr>
          <w:rFonts w:ascii="MS PGothic" w:cs="MS PGothic" w:eastAsia="MS PGothic" w:hAnsi="MS PGothic"/>
          <w:sz w:val="18"/>
          <w:szCs w:val="18"/>
          <w:color w:val="auto"/>
        </w:rPr>
        <w:t>Individual states contnue to consider and have enacted legislaton to limit the growth of healthcare costs, including the cost of prescripton drugs and combinaton products. A number of states have either implemented or are considering implementaton of drug price transparency legislaton that may prevent or limit our ability to take price increases at certain rates or frequencies. Requirements under such laws include advance notce of planned price increases, reportng price increase amounts and factors considered by manufacturers in taking such increases, wholesale acquisiton cost disclosure to prescribers, purchasers, and state agencies, and new product notce and reportng. Such legislaton could limit the price or payment for certain drugs, and a number of states are authorized to impose civil monetary penaltes or pursue other enforcement mechanisms against manufacturers who fail to comply with drug price transparency requirements, including the untmely, inaccurate, or incomplete reportng of drug pricing informaton. If we are found to have violated state law requirements, we may become subject to penaltes or other enforcement mechanisms, which could have a material adverse efect on our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8" w:name="page99"/>
    <w:bookmarkEnd w:id="98"/>
    <w:p>
      <w:pPr>
        <w:ind w:right="40" w:firstLine="509"/>
        <w:spacing w:after="0" w:line="235" w:lineRule="auto"/>
        <w:rPr>
          <w:sz w:val="20"/>
          <w:szCs w:val="20"/>
          <w:color w:val="auto"/>
        </w:rPr>
      </w:pPr>
      <w:r>
        <w:rPr>
          <w:rFonts w:ascii="Calibri" w:cs="Calibri" w:eastAsia="Calibri" w:hAnsi="Calibri"/>
          <w:sz w:val="18"/>
          <w:szCs w:val="18"/>
          <w:color w:val="auto"/>
        </w:rPr>
        <w:t>Pricing and rebate calculatons vary across products and programs, are complex, and are ofen subject to interpretaton by pharmaceutcal manufacturers, governmental or regulatory agencies, and the courts, which can change and evolve over tme. Such pricing calculatons and reportng, along with any necessary restatements and recalculatons, could increase costs for complying with the laws and regulatons governing the MDRP and other governmental programs, and under the MDRP could result in an overage or underage in Medicaid rebate liability for past quarters. Price recalculatons under the MDRP also may afect the ceiling price at which manufacturers are required to ofer products under the 340B program. Civil monetary penaltes can be applied if we are found to have knowingly submited any false price or product informaton to the government, if we are found to have made a misrepresentaton in the reportng of ASP, if we fail to submit the required price data on a tmely basis, or if we are found to have charged 340B covered enttes more than the statutorily mandated ceiling price. CMS could also terminate our Medicaid drug rebate agreement, in which case federal payments may not be available under Medicaid for our covered outpatent drugs. We cannot assure you that our submissions will not be found to be incomplete or incorrect.</w:t>
      </w:r>
    </w:p>
    <w:p>
      <w:pPr>
        <w:spacing w:after="0" w:line="184"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b w:val="1"/>
          <w:bCs w:val="1"/>
          <w:i w:val="1"/>
          <w:iCs w:val="1"/>
          <w:color w:val="auto"/>
        </w:rPr>
        <w:t>We face signifcant competton, and if our compettors develop technologies or product candidates more rapidly than we do or their technologies are more efectve, our ability to develop and successfully commercialize products may be adversely afected.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biotechnology and pharmaceutcal industries are characterized by rapidly advancing technologies, intense competton and a strong emphasis on proprietary and novel products and product candidates. Our compettors have developed, are developing or may develop products, product candidates and processes compettve with vonoprazan. Any product candidates that we successfully develop and commercialize will compete with existng therapies and new therapies that may become available in the future. We believe that a signifcant number of products are currently under development, and may become commercially available in the future, for the treatment of GI diseases for which we may atempt to develop vonoprazan or any future product candidates. Our compettors include larger and beter funded pharmaceutcal, biopharmaceutcal, biotechnological and therapeutcs companies. Moreover, we may also compete with universites and other research insttutons who may be actve in the indicatons we are targetng and could be in direct competton with us. We also compete with these organizatons to recruit management, scientsts and clinical development personnel, which could negatvely afect our level of expertse and our ability to execute our business plan. We will also face competton in establishing clinical trial sites, enrolling patents for clinical trials and in identfying and in-licensing new product candidates. Smaller or early-stage companies may also prove to be signifcant compettors, partcularly through collaboratve arrangements with large and established companies.</w:t>
      </w:r>
    </w:p>
    <w:p>
      <w:pPr>
        <w:spacing w:after="0" w:line="198" w:lineRule="exact"/>
        <w:rPr>
          <w:sz w:val="20"/>
          <w:szCs w:val="20"/>
          <w:color w:val="auto"/>
        </w:rPr>
      </w:pPr>
    </w:p>
    <w:p>
      <w:pPr>
        <w:jc w:val="both"/>
        <w:ind w:right="440" w:firstLine="509"/>
        <w:spacing w:after="0" w:line="235" w:lineRule="auto"/>
        <w:rPr>
          <w:sz w:val="20"/>
          <w:szCs w:val="20"/>
          <w:color w:val="auto"/>
        </w:rPr>
      </w:pPr>
      <w:r>
        <w:rPr>
          <w:rFonts w:ascii="Calibri" w:cs="Calibri" w:eastAsia="Calibri" w:hAnsi="Calibri"/>
          <w:sz w:val="18"/>
          <w:szCs w:val="18"/>
          <w:color w:val="auto"/>
        </w:rPr>
        <w:t xml:space="preserve">We expect that VOQUEZNA TRIPLE PAK and VOQUEZNA DUAL PAK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and, if approved, VOQUEZNA, for the treatment of erosive GERD, will primarily compete with generic PPIs marketed by multple pharmaceutcal companies in both the prescripton and OTC markets. Additonally, in March 2020, RedHill Biopharma Ltd. launched Talicia, a co-formulated capsule comprising generic omeprazole, amoxicillin, and rifabutn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99" w:name="page100"/>
    <w:bookmarkEnd w:id="99"/>
    <w:p>
      <w:pPr>
        <w:ind w:firstLine="509"/>
        <w:spacing w:after="0" w:line="250" w:lineRule="auto"/>
        <w:rPr>
          <w:sz w:val="20"/>
          <w:szCs w:val="20"/>
          <w:color w:val="auto"/>
        </w:rPr>
      </w:pPr>
      <w:r>
        <w:rPr>
          <w:rFonts w:ascii="Calibri" w:cs="Calibri" w:eastAsia="Calibri" w:hAnsi="Calibri"/>
          <w:sz w:val="17"/>
          <w:szCs w:val="17"/>
          <w:color w:val="auto"/>
        </w:rPr>
        <w:t xml:space="preserve">We are aware of other PCABs in development in the United States, as well as a number of other PCABs in territories outside of the United States that if developed and approved in our territories may compete with vonoprazan. In the United States, Neurogastrx previously announced its intenton to commence a Phase 3 erosive GERD trial for fexuprazan, under an exclusive license from Daewoong Pharmaceutcal Co., Ltd., or Daewoong. In additon, Cinclus Pharma AG, or Cinclus, received QIDP designaton for linaprazan glurate in combinaton with antbiotcs for the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completed a Phase 2 dose selecton study for erosive GERD in November 2022, and plans to initate Phase 3 studies in 2023 for the treatment of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Finally, Sebela Pharmaceutcals, which acquired development and commercializaton rights in United States and Canada to tegoprazan from HK inno.N, a South Korean company, has initated two Phase 3 studies in the United States, one for non-erosive GERD and the other for healing and maintenance of healing of erosive GERD. The estmated completon date for these studies is May 2024 and December 2024, respectvely. Outside the United States, in 2022 Daewoong launched fexuprazan in South Korea for the treatment of erosive GERD under the brand name Fexuclue, has submited applicatons for regulatory approval in additonal countries in Asia and Latn America, and has out-licensed rights to develop fexuprazan in China to Shanghai Haini, a subsidiary of China’s Yangtze River Pharmaceutcal Group. Also outside the United States, revaprazan is marketed by Yuhan Corporaton in South Korea, and tegoprazan is marketed by HK inno.N in South Korea, is also marketed in China and Indonesia, and is currently in development by RaQualia Pharma, Inc. in Japan. Additonally, Jeil Pharm has initated a Phase 3 trial in South Korea of its PCAB candidate, JP-1366, in erosive GERD, and Cinclus’ linaprazan glurate has completed a Phase 2 clinical trial in Europe. To our knowledge, none of these compounds have demonstrated superiority to PPIs in a Phase 3 clinical trial.</w:t>
      </w:r>
    </w:p>
    <w:p>
      <w:pPr>
        <w:spacing w:after="0" w:line="17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Additonally, we are aware of several clinical-stage PPIs in territories outside of the United States that if developed and approved in our licensed territories may compete with vonoprazan. These include Dexa Medica’s DLBS-2411, currently launched in the Philippines and in Phase 3 in Indonesia, Sihuan Pharmaceutcal’s anaprazole, currently in Phase 3 in China, and Eisai’s azeloprazole, currently in a Phase 2 in China.</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00" w:name="page101"/>
    <w:bookmarkEnd w:id="100"/>
    <w:p>
      <w:pPr>
        <w:ind w:firstLine="509"/>
        <w:spacing w:after="0" w:line="235" w:lineRule="auto"/>
        <w:rPr>
          <w:sz w:val="20"/>
          <w:szCs w:val="20"/>
          <w:color w:val="auto"/>
        </w:rPr>
      </w:pPr>
      <w:r>
        <w:rPr>
          <w:rFonts w:ascii="Calibri" w:cs="Calibri" w:eastAsia="Calibri" w:hAnsi="Calibri"/>
          <w:sz w:val="18"/>
          <w:szCs w:val="18"/>
          <w:color w:val="auto"/>
        </w:rPr>
        <w:t>In July 2012, the Food and Drug Administraton Safety and Innovaton Act was passed, which included the GAIN Act. The GAIN Act is intended to provide incentves for the development of new, qualifed infectous disease products. In December 2016, the 21st Century Cures Act was passed, providing additonal support for the development of new infectous disease products. These incentves may result in more competton in the market for new antbiotcs and may cause pharmaceutcal and biotechnology companies with more resources than we have to shif their eforts towards the development of product candidates that could be compettve with vonoprazan or any future product candidates.</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Many of our compettors have signifcantly greater fnancial, technical, manufacturing, marketng, sales and supply resources or experience than we do. If we inital commercial launch of VOQUEZNA TRIPLE PAK, VOQUEZNA DUAL PAK, or if approved, VOQUEZNA or any future product candidate, we will face competton based on many diferent factors, including the safety and efectveness of our products, the ease with which our products can be administered and the extent to which patents accept relatvely new routes of administraton, the tming and scope of regulatory approvals for these products, the availability and cost of manufacturing, marketng and sales capabilites, price, reimbursement coverage and patent positon. Competng products could present superior treatment alternatves, including by being more efectve, safer, more convenient, less expensive or marketed and sold more efectvely than any products we may develop. Compettve products may make any products we develop obsolete or noncompettve before we recover the expense of developing and commercializing vonoprazan or any future product candidates. If we are unable to compete efectvely, our opportunity to generate revenue from the sale of our products we may develop, if approved, could be adversely afected.</w:t>
      </w:r>
    </w:p>
    <w:p>
      <w:pPr>
        <w:spacing w:after="0" w:line="18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If the market opportunites for vonoprazan or any future products are smaller than we believe they are, our revenue may be adversely afected, and our business may sufer.</w:t>
      </w:r>
    </w:p>
    <w:p>
      <w:pPr>
        <w:spacing w:after="0" w:line="19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precise incidence and prevalence for all the conditons we aim to address with vonoprazan or any future product candidates are unknown. Our projectons of both the number of people who have these diseases, as well as the subset of people with these diseases who have the potental to beneft from treatment of vonoprazan or any future product candidates, are based on our beliefs and estmates. These estmates have been derived from a variety of sources, including the scientfc literature, surveys of clinics or market research, and may prove to be incorrect. Further, new trials may change the estmated incidence or prevalence of these diseases. The total addressable market across vonoprazan and any future product candidates will ultmately depend upon, among other things, the diagnosis criteria included in the fnal label for each of vonoprazan and any future product candidates approved for sale for these indicatons, the availability of alternatve treatments and the safety, convenience, cost and efcacy of vonoprazan and any future product candidates relatve to such alternatve treatments, acceptance by the medical community and patent access, drug pricing and reimbursement. The number of patents in the United States and other major markets and elsewhere may turn out to be lower than expected, patents may not be otherwise amenable to treatment with our products or new patents may become increasingly difcult to identfy or gain access to, all of which would adversely afect our results of operatons and our business.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01" w:name="page102"/>
    <w:bookmarkEnd w:id="101"/>
    <w:p>
      <w:pPr>
        <w:ind w:right="20"/>
        <w:spacing w:after="0" w:line="235" w:lineRule="auto"/>
        <w:rPr>
          <w:sz w:val="20"/>
          <w:szCs w:val="20"/>
          <w:color w:val="auto"/>
        </w:rPr>
      </w:pPr>
      <w:r>
        <w:rPr>
          <w:rFonts w:ascii="Calibri" w:cs="Calibri" w:eastAsia="Calibri" w:hAnsi="Calibri"/>
          <w:sz w:val="18"/>
          <w:szCs w:val="18"/>
          <w:b w:val="1"/>
          <w:bCs w:val="1"/>
          <w:i w:val="1"/>
          <w:iCs w:val="1"/>
          <w:color w:val="auto"/>
        </w:rPr>
        <w:t>We currently have a limited marketng and sales organizaton and have no experience as a company in commercializing products, and we may have to invest signifcant resources to develop these capabilites. If we are unable to establish marketng and sales capabilites or enter into agreements with third partes to market and sell our products, we may not be able to generate product revenue.</w:t>
      </w:r>
    </w:p>
    <w:p>
      <w:pPr>
        <w:spacing w:after="0" w:line="17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have limited internal marketng, sales or distributon capabilites, and we have never commercialized a product. In order to initate commercial launch for VOQUEZNA TRIPLE PAK, VOQUEZNA DUAL PAK, or, if approved, VOQUEZNA or any future product candidates, we must build a marketng and sales organizaton with technical expertse and supportng distributon capabilites to commercialize each such product in major markets, which will be expensive and tme consuming, or collaborate with third partes that have direct sales forces and established distributon systems, either to augment our own sales force and distributon systems or in lieu of our own sales force and distributon systems. We plan to independently commercialize vonoprazan in the United States by building a leading specialty gastroenterology commercial infrastructure to support the adopton of vonoprazan and we plan to seek one or more partners with existng commercial infrastructure and expertse in Europe and Canada. We have no prior experience as a company in the marketng, sale and distributon of biopharmaceutcal products and there are signifcant risks involved in building and managing a marketng and sales organizaton, including our ability to hire, retain and incentvize qualifed individuals, generate sufcient sales leads, provide adequate training to sales and marketng personnel and efectvely manage a geographically dispersed sales and marketng team.</w:t>
      </w:r>
    </w:p>
    <w:p>
      <w:pPr>
        <w:spacing w:after="0" w:line="1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Any failure or delay in the development of our internal sales, marketng and distributon capabilites would adversely impact the commercializaton of these products. We may not be able to enter into collaboratons or hire consultants or external service providers to assist us in sales, marketng and distributon functons on acceptable fnancial terms, or at all. In additon, our product revenues and our proftability, if any, may be lower if we rely on third partes for these functons than if we were to market, sell and distribute any products that we develop ourselves. We likely will have litle control over such third partes, and any of them may fail to devote the necessary resources and atenton to sell and market our products efectvely. If we are not successful in commercializing vonoprazan or any future product candidates, either on our own or through arrangements with one or more third partes, we may not be able to generate any future product revenue and we would incur signifcant additonal losses.</w:t>
      </w:r>
    </w:p>
    <w:p>
      <w:pPr>
        <w:spacing w:after="0" w:line="195"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b w:val="1"/>
          <w:bCs w:val="1"/>
          <w:i w:val="1"/>
          <w:iCs w:val="1"/>
          <w:color w:val="auto"/>
        </w:rPr>
        <w:t>Our future growth may depend, in part, on our ability to operate in foreign markets, partcularly Europe and Canada, where we would be subject to additonal regulatory burdens and other risks and uncertaintes.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future growth may depend, in part, on our ability to develop and commercialize vonoprazan and any future product candidates in foreign markets, partcularly Europe and Canada. We are not permited to market or promote vonoprazan and any future product candidates before we receive regulatory approval from applicable regulatory authorites in foreign markets, and we may never receive such regulatory approvals for vonoprazan or any future product candidates. To obtain separate regulatory approval in any other countries we must comply with numerous and varying regulatory requirements regarding safety and efcacy and governing, among other things, clinical trials, commercial sales, pricing and distributon of vonoprazan and any future product candidates. If we obtain regulatory approval of vonoprazan and any future product candidates and ultmately commercialize our products in foreign markets, we would be subject to additonal risks and uncertaintes, including:</w:t>
      </w:r>
    </w:p>
    <w:p>
      <w:pPr>
        <w:spacing w:after="0" w:line="190"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diferent regulatory requirements for approval of drugs in foreign countries;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reduced protecton for intellectual property rights;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existence of additonal third-party patent rights of potental relevance to our business;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unexpected changes in tarifs, trade barriers and regulatory requirements;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economic weakness, including infaton, public health emergencies or politcal instability in partcular foreign economies and markets;</w:t>
      </w:r>
    </w:p>
    <w:p>
      <w:pPr>
        <w:spacing w:after="0" w:line="221"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02" w:name="page103"/>
    <w:bookmarkEnd w:id="102"/>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tax, employment, immigraton and labor laws for employees living or traveling internatonally;</w:t>
      </w:r>
    </w:p>
    <w:p>
      <w:pPr>
        <w:spacing w:after="0" w:line="190" w:lineRule="exact"/>
        <w:rPr>
          <w:rFonts w:ascii="Times New Roman" w:cs="Times New Roman" w:eastAsia="Times New Roman" w:hAnsi="Times New Roman"/>
          <w:sz w:val="18"/>
          <w:szCs w:val="18"/>
          <w:color w:val="auto"/>
        </w:rPr>
      </w:pPr>
    </w:p>
    <w:p>
      <w:pPr>
        <w:ind w:left="383" w:hanging="383"/>
        <w:spacing w:after="0" w:line="235" w:lineRule="auto"/>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currency fuctuatons, which could result in increased operatng expenses and reduced revenues, and other obligatons incident to doing business in another country;</w:t>
      </w:r>
    </w:p>
    <w:p>
      <w:pPr>
        <w:spacing w:after="0" w:line="18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reimbursement, pricing and insurance regimes;</w:t>
      </w:r>
    </w:p>
    <w:p>
      <w:pPr>
        <w:spacing w:after="0" w:line="198"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workforce uncertainty in countries where labor unrest is common;</w:t>
      </w:r>
    </w:p>
    <w:p>
      <w:pPr>
        <w:spacing w:after="0" w:line="18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producton shortages resultng from any events afectng raw material supply or manufacturing capabilites internatonally; and</w:t>
      </w:r>
    </w:p>
    <w:p>
      <w:pPr>
        <w:spacing w:after="0" w:line="190" w:lineRule="exact"/>
        <w:rPr>
          <w:rFonts w:ascii="Times New Roman" w:cs="Times New Roman" w:eastAsia="Times New Roman" w:hAnsi="Times New Roman"/>
          <w:sz w:val="18"/>
          <w:szCs w:val="18"/>
          <w:color w:val="auto"/>
        </w:rPr>
      </w:pPr>
    </w:p>
    <w:p>
      <w:pPr>
        <w:ind w:left="383" w:right="260" w:hanging="383"/>
        <w:spacing w:after="0" w:line="235" w:lineRule="auto"/>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business interruptons resultng from geopolitcal actons, including war and terrorism, or natural disasters including earthquakes, typhoons, foods and fres.</w:t>
      </w:r>
    </w:p>
    <w:p>
      <w:pPr>
        <w:spacing w:after="0" w:line="222"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837" w:top="706" w:right="479" w:bottom="1440" w:gutter="0" w:footer="0" w:header="0"/>
        </w:sectPr>
      </w:pPr>
    </w:p>
    <w:bookmarkStart w:id="103" w:name="page104"/>
    <w:bookmarkEnd w:id="103"/>
    <w:p>
      <w:pPr>
        <w:spacing w:after="0"/>
        <w:rPr>
          <w:sz w:val="20"/>
          <w:szCs w:val="20"/>
          <w:color w:val="auto"/>
        </w:rPr>
      </w:pPr>
      <w:r>
        <w:rPr>
          <w:rFonts w:ascii="Calibri" w:cs="Calibri" w:eastAsia="Calibri" w:hAnsi="Calibri"/>
          <w:sz w:val="18"/>
          <w:szCs w:val="18"/>
          <w:b w:val="1"/>
          <w:bCs w:val="1"/>
          <w:color w:val="auto"/>
        </w:rPr>
        <w:t>Risks Related to Our Business Operatons and Industry</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Our operatng results may fuctuate signifcantly, which makes our future operatng results difcult to predict and could cause our operatng results to fall below expectatons or any guidance we may provide.</w:t>
      </w:r>
    </w:p>
    <w:p>
      <w:pPr>
        <w:spacing w:after="0" w:line="177"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Our quarterly and annual operatng results may fuctuate signifcantly, which makes it difcult for us to predict our future operatng results. These fuctuatons may occur due to a variety of factors, many of which are outside of our control, including, but not limited to:</w:t>
      </w:r>
    </w:p>
    <w:p>
      <w:pPr>
        <w:spacing w:after="0" w:line="204" w:lineRule="exact"/>
        <w:rPr>
          <w:sz w:val="20"/>
          <w:szCs w:val="20"/>
          <w:color w:val="auto"/>
        </w:rPr>
      </w:pPr>
    </w:p>
    <w:p>
      <w:pPr>
        <w:ind w:left="900" w:right="580" w:hanging="383"/>
        <w:spacing w:after="0" w:line="258" w:lineRule="auto"/>
        <w:tabs>
          <w:tab w:leader="none" w:pos="900" w:val="left"/>
        </w:tabs>
        <w:numPr>
          <w:ilvl w:val="0"/>
          <w:numId w:val="31"/>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tming and cost of, and level of investment in, research, development, regulatory approval and commercializaton actvites relatng to VOQUEZNA TRIPLE PAK, VOQUEZNA DUAL PAK, VOQUEZNA or any future product candidates, which may change from tme to tme;</w:t>
      </w:r>
    </w:p>
    <w:p>
      <w:pPr>
        <w:spacing w:after="0" w:line="174" w:lineRule="exact"/>
        <w:rPr>
          <w:rFonts w:ascii="Times New Roman" w:cs="Times New Roman" w:eastAsia="Times New Roman" w:hAnsi="Times New Roman"/>
          <w:sz w:val="17"/>
          <w:szCs w:val="17"/>
          <w:color w:val="auto"/>
        </w:rPr>
      </w:pPr>
    </w:p>
    <w:p>
      <w:pPr>
        <w:ind w:left="900" w:right="80" w:hanging="383"/>
        <w:spacing w:after="0" w:line="235" w:lineRule="auto"/>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coverage and reimbursement policies with respect to VOQUEZNA TRIPLE PAK, VOQUEZNA DUAL PAK, and, if approved, VOQUEZNA or any future product candidates, and potental future drugs that compete with such products, if approved;</w:t>
      </w:r>
    </w:p>
    <w:p>
      <w:pPr>
        <w:spacing w:after="0" w:line="190"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manufacturing vonoprazan or any future product candidates, which may vary depending on the quantty of producton and the terms of our agreements with Takeda, Catalent, Evonik, Sandoz and any future third-party manufacturers;</w:t>
      </w:r>
    </w:p>
    <w:p>
      <w:pPr>
        <w:spacing w:after="0" w:line="204" w:lineRule="exact"/>
        <w:rPr>
          <w:rFonts w:ascii="Times New Roman" w:cs="Times New Roman" w:eastAsia="Times New Roman" w:hAnsi="Times New Roman"/>
          <w:sz w:val="18"/>
          <w:szCs w:val="18"/>
          <w:color w:val="auto"/>
        </w:rPr>
      </w:pPr>
    </w:p>
    <w:p>
      <w:pPr>
        <w:jc w:val="both"/>
        <w:ind w:left="900" w:right="160" w:hanging="383"/>
        <w:spacing w:after="0" w:line="258" w:lineRule="auto"/>
        <w:tabs>
          <w:tab w:leader="none" w:pos="900" w:val="left"/>
        </w:tabs>
        <w:numPr>
          <w:ilvl w:val="0"/>
          <w:numId w:val="31"/>
        </w:numPr>
        <w:rPr>
          <w:rFonts w:ascii="Times New Roman" w:cs="Times New Roman" w:eastAsia="Times New Roman" w:hAnsi="Times New Roman"/>
          <w:sz w:val="17"/>
          <w:szCs w:val="17"/>
          <w:color w:val="auto"/>
        </w:rPr>
      </w:pPr>
      <w:r>
        <w:rPr>
          <w:rFonts w:ascii="Calibri" w:cs="Calibri" w:eastAsia="Calibri" w:hAnsi="Calibri"/>
          <w:sz w:val="17"/>
          <w:szCs w:val="17"/>
          <w:color w:val="auto"/>
        </w:rPr>
        <w:t>business interruptons resultng from geopolitcal actons, including war, such as the ongoing hostlites in the Ukraine, and terrorism, or natural disasters such as earthquakes, typhoons, foods and fres or public health emergencies or pandemics such as the ongoing COVID-19 pandemic;</w:t>
      </w:r>
    </w:p>
    <w:p>
      <w:pPr>
        <w:spacing w:after="0" w:line="170"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will be required to pay to Takeda pursuant to the Takeda License;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expenditures that we may incur to acquire, develop or commercialize additonal product candidates and technologies;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of demand for any approved products, which may vary signifcantly;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future accountng pronouncements or changes in our accountng policies; and</w:t>
      </w:r>
    </w:p>
    <w:p>
      <w:pPr>
        <w:spacing w:after="0" w:line="190" w:lineRule="exact"/>
        <w:rPr>
          <w:rFonts w:ascii="Times New Roman" w:cs="Times New Roman" w:eastAsia="Times New Roman" w:hAnsi="Times New Roman"/>
          <w:sz w:val="18"/>
          <w:szCs w:val="18"/>
          <w:color w:val="auto"/>
        </w:rPr>
      </w:pPr>
    </w:p>
    <w:p>
      <w:pPr>
        <w:ind w:left="900" w:right="340" w:hanging="383"/>
        <w:spacing w:after="0" w:line="258" w:lineRule="auto"/>
        <w:tabs>
          <w:tab w:leader="none" w:pos="900" w:val="left"/>
        </w:tabs>
        <w:numPr>
          <w:ilvl w:val="0"/>
          <w:numId w:val="31"/>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tming and success or failure of preclinical studies or clinical trials for vonoprazan or any future product candidates or competng product candidates, or any other change in the compettve landscape of our industry, including consolidaton among our compettors or partners.</w:t>
      </w:r>
    </w:p>
    <w:p>
      <w:pPr>
        <w:spacing w:after="0" w:line="17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cumulatve efects of these factors could result in large fuctuatons and unpredictability in our quarterly and annual operatng results. As a result, comparing our operatng results on a period-to-period basis may not be meaningful. Investors should not rely on our past results as an indicaton of our future performance.</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variability and unpredictability could also result in our failing to meet the expectatons of industry or fnancial analysts or investors for any period. If our revenue or operatng results fall below the expectatons of analysts or investors or below any forecasts we may provide to the market, or if the forecasts we provide to the market are below the expectatons of analysts or investors, the price of our common stock could decline substantally. Such a stock price decline could occur even when we have met any previously publicly stated revenue or earnings guidance we may provide.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04" w:name="page105"/>
    <w:bookmarkEnd w:id="104"/>
    <w:p>
      <w:pPr>
        <w:spacing w:after="0"/>
        <w:rPr>
          <w:sz w:val="20"/>
          <w:szCs w:val="20"/>
          <w:color w:val="auto"/>
        </w:rPr>
      </w:pPr>
      <w:r>
        <w:rPr>
          <w:rFonts w:ascii="Calibri" w:cs="Calibri" w:eastAsia="Calibri" w:hAnsi="Calibri"/>
          <w:sz w:val="18"/>
          <w:szCs w:val="18"/>
          <w:b w:val="1"/>
          <w:bCs w:val="1"/>
          <w:i w:val="1"/>
          <w:iCs w:val="1"/>
          <w:color w:val="auto"/>
        </w:rPr>
        <w:t>Our business is subject to risks arising from epidemic diseases, such as the ongoing COVID-19 pandemic.</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 public health pandemic, such as COVID-19, has the potental to impact worldwide economic actvity and poses the risk that we or our employees, contractors, including our CROs, suppliers, and other partners may be prevented from conductng business actvites for an indefnite period of tme, including due to spread of the disease within these groups or due to shutdowns that may be requested or mandated by governmental authorites. In March 2020, due to eforts to combat the COVID-19 pandemic, we announced a temporary pause in randomizaton of new patents in our Phase 3 trials and did not recommence randomizatons in either trial untl June 2020. While it is not possible at this tme to estmate the full impact that COVID-19 or a future public health pandemic could have on our business, the measures taken by the governments of countries afected could, in additon to disruptng our clinical trials, disrupt the supply chain and the manufacture or shipment of drug substance and fnished drug product of vonoprazan for use in our clinical trials or in commercial distributon, which could delay our ongoing clinical trials and increase development costs, or impair our ability to successfully commercialize vonoprazan following regulatory approval, and in either case have a material adverse efect on our business, fnancial conditon and results of operatons. The COVID-19 pandemic and mitgaton measures had had an adverse impact on global economic conditons and mitgaton measures regarding a future public health pandemic could have an adverse efect on our business and fnancial conditon, including impairing our ability to raise capital when needed. The extent to which COVID-19 or a future public health pandemic impacts our results will depend on future developments that are highly uncertain and cannot be predicted.</w:t>
      </w:r>
    </w:p>
    <w:p>
      <w:pPr>
        <w:spacing w:after="0" w:line="18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Our indebtedness may limit our fexibility in operatng our business and adversely afect our fnancial health and compettve positon, and all of our obligatons under our indebtedness are secured by substantally all of our assets, excluding our intellectual property and certain other assets. If we default on these obligatons, our lenders could foreclose on our assets.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September 2021, we entered into the Loan Agreement with Hercules. We borrowed $100.0 million at the incepton of the Loan Agreement and may be eligible to borrow up to an additonal $100.0 million. All obligatons under the Loan Agreement are secured by a frst priority lien on substantally all of our assets, including intellectual property and certain other assets. As a result, if we default on any of our obligatons under the Loan Agreement, Hercules could foreclose on its security interest and liquidate some or all of the collateral, which would harm our business, fnancial conditon and results of operatons and could require us to reduce or cease operatons.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order to service our current indebtedness and any additonal indebtedness we may incur in the future, we need to generate cash from our operatng actvites or other fnancings. Our ability to generate cash is subject, in part, to our ability to successfully execute our business strategy, as well as general economic, fnancial, compettve, regulatory and other factors beyond our control. Our business may not be able to generate sufcient cash fow from operatons, and future borrowings or other fnancings may not be available to us in an amount sufcient to enable us to service our indebtedness and fund our other liquidity needs. To the extent we are required to use cash from operatons or the proceeds of any future fnancing to service our indebtedness instead of funding working capital or other general corporate purposes, we will be less able to plan for, or react to, changes in our business, industry and in the economy generally. This could place us at a compettve disadvantage compared to our compettors that have less indebtedness.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Loan Agreement contains customary afrmatve and negatve covenants that limit our ability to engage in certain transactons that may be in our long-term best interest. The afrmatve covenants include, among others, covenants requiring us to maintain certain levels of cash subject to a control agreement in favor of Hercules, and commencing on November 15, 2023, certain levels of trailing three-month net product revenue from the sale of vonoprazan and products containing vonoprazan, deliver certain fnancial reports, maintain insurance coverage and satsfy certain requirements regarding our operatng accounts. The negatve covenants include, among others, limitatons on our ability to incur additonal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specifed transactons.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05" w:name="page106"/>
    <w:bookmarkEnd w:id="105"/>
    <w:p>
      <w:pPr>
        <w:ind w:right="100" w:firstLine="509"/>
        <w:spacing w:after="0" w:line="235" w:lineRule="auto"/>
        <w:rPr>
          <w:sz w:val="20"/>
          <w:szCs w:val="20"/>
          <w:color w:val="auto"/>
        </w:rPr>
      </w:pPr>
      <w:r>
        <w:rPr>
          <w:rFonts w:ascii="Calibri" w:cs="Calibri" w:eastAsia="Calibri" w:hAnsi="Calibri"/>
          <w:sz w:val="18"/>
          <w:szCs w:val="18"/>
          <w:color w:val="auto"/>
        </w:rPr>
        <w:t>While we believe we are currently in compliance with the covenants contained in the Loan Agreement, we may breach these covenants in the future. Our ability to comply with these covenants may be afected by events and factors beyond our control. In the event that we breach one or more covenants, the lenders may choose to declare an event of default and require that we immediately repay all amounts outstanding under the applicable agreement, terminate any commitment to extend further credit and foreclose on the collateral. The occurrence of any of these events could have a material adverse efect on our business, fnancial conditon and results of operatons.</w:t>
      </w:r>
    </w:p>
    <w:p>
      <w:pPr>
        <w:spacing w:after="0" w:line="180"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Our Revenue Interest Financing Agreement could limit cash fow available for our operatons and expose us to risks that could adversely afect our business, fnancial conditon and results of operatons.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May 2022, we entered into a Revenue Interest Financing Agreement with the Inital Investors pursuant to which we can receive up to $260 million in funding from the Inital Investors, and in October 2022, we entered into the Joinder Agreement under which we can receive up to $40 million from the Additonal Investor, bringing the total funding available under the Revenue Interest Financing Agreement to up to $300 million. Under the terms of the Revenue Interest Financing Agreement and Joinder Agreement, we received $100 million at the inital closing and can receive an additonal $175 million upon FDA approval of vonoprazan for treatment of erosive GERD on or before March 31, 2024. In additon, we are eligible for $25,000,000 in additonal funding for achievement of a sales milestone.</w:t>
      </w:r>
    </w:p>
    <w:p>
      <w:pPr>
        <w:spacing w:after="0" w:line="19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investors are enttled to receive a 10% royalty on net sales of products containing vonoprazan. The royalty rate is subject to a step-down on net sales exceeding certain annual thresholds and if we receive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we have the right to make a cap payment equal to 200% of the Investment Amount less any royaltes already paid, at which tme the agreement will terminate.</w:t>
      </w:r>
    </w:p>
    <w:p>
      <w:pPr>
        <w:spacing w:after="0" w:line="181"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78"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Pursuant to the Revenue Interest Financing Agreement, we also agreed to specifed afrmatve and negatve covenants, including covenants to use commercially reasonable eforts to promote products containing vonoprazan in the United States and covenants requiring us to maintain certain levels of cash. The Revenue Interest Financing Agreement also contains representatons and warrantes, other covenants, indemnifcaton obligatons, and other provisions customary for transactons of this nature. In the event of an event of default under the Revenue Interest Financing Agreement, the investors may be enttled to foreclose on the pledged collateral which includes the applicable royalty under the Royalty Interest Financing Agreement from net sales of product containing vonoprazan.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06" w:name="page107"/>
    <w:bookmarkEnd w:id="106"/>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are dependent on the services of our current management and other clinical and scientfc personnel, and if we are not able to retain these individuals or recruit additonal management or clinical and scientfc personnel, our business will sufer.</w:t>
      </w:r>
    </w:p>
    <w:p>
      <w:pPr>
        <w:spacing w:after="0" w:line="177"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Our success depends in part on our contnued ability to atract, retain and motvate highly qualifed management, clinical and scientfc personnel. We are highly dependent upon our current senior management team and our development personnel. The loss of services of any of these individuals or personnel could delay or prevent the successful development of our product pipeline, completon of our ongoing clinical trials, initaton or completon of future clinical trials, or the commercializaton of vonoprazan or any other future product candidates. Although we have executed employment agreements or ofer leters with each member of our senior management team, these agreements are terminable at will with or without notce and, therefore, we may not be able to retain their services as expected. We do not currently maintain “key person” life insurance on the lives of our executves or any of our employees. This lack of insurance means that we may not have adequate compensaton for the loss of the services of these individuals.</w:t>
      </w:r>
    </w:p>
    <w:p>
      <w:pPr>
        <w:spacing w:after="0" w:line="168"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We will contnue to expand and need to efectvely manage our managerial, operatonal, fnancial and other resources in order to successfully pursue our clinical development and commercializaton eforts. We may not be successful in maintaining our unique company culture and contnuing to atract or retain qualifed management and scientfc and clinical personnel in the future due to the intense competton for qualifed personnel among pharmaceutcal, biotechnology and other businesses. Our industry has experienced a high rate of turnover of management personnel in recent years. If we are not able to atract, integrate, retain and motvate necessary personnel to accomplish our business objectves, we may experience constraints that will signifcantly impede the achievement of our development objectves, our ability to raise additonal capital and our ability to implement our business strategy.</w:t>
      </w:r>
    </w:p>
    <w:p>
      <w:pPr>
        <w:spacing w:after="0" w:line="183"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b w:val="1"/>
          <w:bCs w:val="1"/>
          <w:i w:val="1"/>
          <w:iCs w:val="1"/>
          <w:color w:val="auto"/>
        </w:rPr>
        <w:t>We have recently substantally increased the size of our organizaton, and we may encounter difcultes in managing our growth and expanding our operatons successfully.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substantally increased our organizaton from seventy-three full-tme employees in December 2021 to one hundred and twelve full-tme employees as of December 31, 2022. As we contnue development and pursue the potental commercializaton of vonoprazan and any future product candidates, as well as functon as a public company, we will contnue to expand our marketng, sales, fnancial, regulatory, and manufacturing capabilites or contract with third partes to provide these capabilites for us. As our operatons expand, we expect that we will need to manage additonal relatonships with various strategic partners, suppliers and other third partes. Our future fnancial performance and our ability to develop and commercialize vonoprazan and any future product candidates and to compete efectvely will depend, in part, on our ability to manage our recent substantal growth and any future growth efectvely.</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107" w:name="page108"/>
    <w:bookmarkEnd w:id="107"/>
    <w:p>
      <w:pPr>
        <w:ind w:right="380"/>
        <w:spacing w:after="0" w:line="235" w:lineRule="auto"/>
        <w:rPr>
          <w:sz w:val="20"/>
          <w:szCs w:val="20"/>
          <w:color w:val="auto"/>
        </w:rPr>
      </w:pPr>
      <w:r>
        <w:rPr>
          <w:rFonts w:ascii="Calibri" w:cs="Calibri" w:eastAsia="Calibri" w:hAnsi="Calibri"/>
          <w:sz w:val="18"/>
          <w:szCs w:val="18"/>
          <w:b w:val="1"/>
          <w:bCs w:val="1"/>
          <w:i w:val="1"/>
          <w:iCs w:val="1"/>
          <w:color w:val="auto"/>
        </w:rPr>
        <w:t>We are subject to various foreign, federal, and state healthcare laws and regulatons, and our failure to comply with these laws and regulatons could harm our results of operatons and fnancial conditon.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business operatons and current and future arrangements with investgators, healthcare professionals, consultants, third-party payers, patent organizatons and customers expose us to broadly applicable foreign, federal and state fraud and abuse and other healthcare laws and regulatons. These laws may constrain the business or fnancial arrangements and relatonships through which we conduct our operatons, including how we research, market, sell and distribute any products for which we obtain marketng approval. Such laws include, but are not limited to:</w:t>
      </w:r>
    </w:p>
    <w:p>
      <w:pPr>
        <w:spacing w:after="0" w:line="192" w:lineRule="exact"/>
        <w:rPr>
          <w:sz w:val="20"/>
          <w:szCs w:val="20"/>
          <w:color w:val="auto"/>
        </w:rPr>
      </w:pPr>
    </w:p>
    <w:p>
      <w:pPr>
        <w:ind w:left="90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Ant-Kickback Statute, which prohibits, among other things, persons or enttes from knowingly and willfully solicitng, ofering, receiving or providing any remuneraton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entty does not need to have actual knowledge of the federal Ant-Kickback Statute or specifc intent to violate it in order to have commited a violaton;</w:t>
      </w:r>
    </w:p>
    <w:p>
      <w:pPr>
        <w:spacing w:after="0" w:line="207"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civil and criminal federal false claims laws, including the civil False Claims Act, which can be enforced through civil whistleblower or qui tam actons, and civil monetary penaltes laws, which prohibit, among other things, individuals or enttes from knowingly presentng,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obligaton to pay money to the U.S. federal government. In additon, the government may assert that a claim including items or services resultng from a violaton of the federal Ant-Kickback Statute consttutes a false or fraudulent claim for purposes of the False Claims Act;</w:t>
      </w:r>
    </w:p>
    <w:p>
      <w:pPr>
        <w:spacing w:after="0" w:line="194" w:lineRule="exact"/>
        <w:rPr>
          <w:rFonts w:ascii="Times New Roman" w:cs="Times New Roman" w:eastAsia="Times New Roman" w:hAnsi="Times New Roman"/>
          <w:sz w:val="18"/>
          <w:szCs w:val="18"/>
          <w:color w:val="auto"/>
        </w:rPr>
      </w:pPr>
    </w:p>
    <w:p>
      <w:pPr>
        <w:ind w:left="900" w:right="60" w:hanging="383"/>
        <w:spacing w:after="0" w:line="251" w:lineRule="auto"/>
        <w:tabs>
          <w:tab w:leader="none" w:pos="900" w:val="left"/>
        </w:tabs>
        <w:numPr>
          <w:ilvl w:val="0"/>
          <w:numId w:val="32"/>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U.S. federal Health Insurance Portability and Accountability Act of 1996, or HIPAA, which imposes criminal and civil liability for, among other things, knowingly and willfully executng, or atemptng to execute, a scheme to defraud any healthcare beneft program, or knowingly and willfully falsifying, concealing or covering up a material fact or making any materially false statement, in connecton with the delivery of, or payment for, healthcare benefts, items or services. Similar to the U.S. federal Ant-Kickback Statute, a person or entty does not need to have actual knowledge of the healthcare fraud statute implemented under HIPAA or specifc intent to violate it in order to have commited a violaton;</w:t>
      </w:r>
    </w:p>
    <w:p>
      <w:pPr>
        <w:spacing w:after="0" w:line="183" w:lineRule="exact"/>
        <w:rPr>
          <w:rFonts w:ascii="Times New Roman" w:cs="Times New Roman" w:eastAsia="Times New Roman" w:hAnsi="Times New Roman"/>
          <w:sz w:val="17"/>
          <w:szCs w:val="17"/>
          <w:color w:val="auto"/>
        </w:rPr>
      </w:pPr>
    </w:p>
    <w:p>
      <w:pPr>
        <w:ind w:left="90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Physician Payments Sunshine Act, which requires certain manufacturers of drugs, devices, biologics and medical supplies for which payment is available under Medicare, Medicaid or the Children’s Health Insurance Program (with certain exceptons) to report annually to the Centers for Medicare &amp; Medicaid Services, or CMS, informaton related to certain payments and other “transfers of value” made to physicians (defned to include doctors, dentsts, optometrists, podiatrists and chiropractors) , certain non-physician practtoners (physician assistants, nurse practtoners, clinical nurse specialists, anesthesiologist assistants, certfed registered nurse anesthetsts, anesthesiology assistants and certfed nurse midwives)and teaching hospitals, as well as ownership and investment interests held by the physicians described above and their immediate family members; and</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8" w:name="page109"/>
    <w:bookmarkEnd w:id="108"/>
    <w:p>
      <w:pPr>
        <w:ind w:left="900" w:right="100" w:hanging="383"/>
        <w:spacing w:after="0" w:line="251" w:lineRule="auto"/>
        <w:tabs>
          <w:tab w:leader="none" w:pos="900" w:val="left"/>
        </w:tabs>
        <w:numPr>
          <w:ilvl w:val="0"/>
          <w:numId w:val="33"/>
        </w:numPr>
        <w:rPr>
          <w:rFonts w:ascii="Times New Roman" w:cs="Times New Roman" w:eastAsia="Times New Roman" w:hAnsi="Times New Roman"/>
          <w:sz w:val="17"/>
          <w:szCs w:val="17"/>
          <w:color w:val="auto"/>
        </w:rPr>
      </w:pPr>
      <w:r>
        <w:rPr>
          <w:rFonts w:ascii="Calibri" w:cs="Calibri" w:eastAsia="Calibri" w:hAnsi="Calibri"/>
          <w:sz w:val="17"/>
          <w:szCs w:val="17"/>
          <w:color w:val="auto"/>
        </w:rPr>
        <w:t>analogous state and foreign laws and regulatons, such as state ant-kickback and false claims laws, which may apply to our business practces, including but not limited to, research, distributon, sales and marketng arrangements and claims involving healthcare items or services reimbursed by non-governmental third-party payers, including private insurers, or by the patents themselves; state laws that require pharmaceutcal companies to comply with the pharmaceutcal industry’s voluntary compliance guidelines and the relevant compliance guidance promulgated by the federal government, or otherwise restrict payments that may be made to healthcare providers and other potental referral sources; and state laws and regulatons that require drug manufacturers to fle reports relatng to pricing and marketng informaton or which require tracking gifs and other remuneraton and items of value provided to physicians, other healthcare providers and enttes.</w:t>
      </w:r>
    </w:p>
    <w:p>
      <w:pPr>
        <w:spacing w:after="0" w:line="168" w:lineRule="exact"/>
        <w:rPr>
          <w:sz w:val="20"/>
          <w:szCs w:val="20"/>
          <w:color w:val="auto"/>
        </w:rPr>
      </w:pPr>
    </w:p>
    <w:p>
      <w:pPr>
        <w:ind w:right="160" w:firstLine="509"/>
        <w:spacing w:after="0" w:line="252" w:lineRule="auto"/>
        <w:rPr>
          <w:sz w:val="20"/>
          <w:szCs w:val="20"/>
          <w:color w:val="auto"/>
        </w:rPr>
      </w:pPr>
      <w:r>
        <w:rPr>
          <w:rFonts w:ascii="Calibri" w:cs="Calibri" w:eastAsia="Calibri" w:hAnsi="Calibri"/>
          <w:sz w:val="17"/>
          <w:szCs w:val="17"/>
          <w:color w:val="auto"/>
        </w:rPr>
        <w:t>We may also be subject to additonal regulaton in the conduct of our business. For example, we may be subject to the U.S. Foreign Corrupt Practces Act of 1977, as amended, which prohibits, among other things, U.S. companies and their employees and agents from authorizing, promising, ofering, or providing, directly or indirectly, corrupt or improper payments or anything else of value to foreign government ofcials, employees of public internatonal organizatons and foreign government owned or afliated enttes, candidates for foreign politcal ofce, and foreign politcal partes or ofcials thereof.</w:t>
      </w:r>
    </w:p>
    <w:p>
      <w:pPr>
        <w:spacing w:after="0" w:line="16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Ensuring that our internal operatons and business arrangements with third partes comply with applicable healthcare laws and regulatons could involve substantal costs. It is possible that governmental authorites will conclude that our business practces do not comply with current or future statutes, regulatons, agency guidance or case law involving applicable fraud and abuse or other healthcare laws and regulatons. If our operatons are found to be in violaton of any of the laws described above or any other governmental laws and regulatons that may apply to us, we may be subject to signifcant penaltes, including civil, criminal and administratve penaltes, damages, fnes, exclusion from U.S. government funded healthcare programs, such as Medicare and Medicaid, or similar programs in other countries or jurisdictons, disgorgement, imprisonment, contractual damages, reputatonal harm, additonal reportng requirements and oversight if we become subject to a corporate integrity agreement or similar agreement to resolve allegatons of non-compliance with these laws, diminished profts and the curtailment or restructuring of our operatons. Further, defending against any such actons can be costly, tme consuming and may require signifcant fnancial and personnel resources. Therefore, even if we are successful in defending against any such actons that may be brought against us, our business may be impaired. If any of the physicians or other providers or enttes with whom we expect to do business are found not to be in compliance with applicable laws, they may be subject to signifcant criminal, civil or administratve sanctons, including exclusion from government funded healthcare programs and imprisonment. If any of the above occur, it could adversely afect our ability to operate our business and our results of operatons.</w:t>
      </w:r>
    </w:p>
    <w:p>
      <w:pPr>
        <w:spacing w:after="0" w:line="200"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b w:val="1"/>
          <w:bCs w:val="1"/>
          <w:i w:val="1"/>
          <w:iCs w:val="1"/>
          <w:color w:val="auto"/>
        </w:rPr>
        <w:t>Enacted and future legislaton and healthcare reform measures may increase the difculty and cost for us to obtain marketng approval for and commercialize vonoprazan and any future product candidates and may afect the prices we may set.</w:t>
      </w:r>
    </w:p>
    <w:p>
      <w:pPr>
        <w:spacing w:after="0" w:line="177" w:lineRule="exact"/>
        <w:rPr>
          <w:sz w:val="20"/>
          <w:szCs w:val="20"/>
          <w:color w:val="auto"/>
        </w:rPr>
      </w:pPr>
    </w:p>
    <w:p>
      <w:pPr>
        <w:ind w:right="200" w:firstLine="509"/>
        <w:spacing w:after="0" w:line="252" w:lineRule="auto"/>
        <w:rPr>
          <w:sz w:val="20"/>
          <w:szCs w:val="20"/>
          <w:color w:val="auto"/>
        </w:rPr>
      </w:pPr>
      <w:r>
        <w:rPr>
          <w:rFonts w:ascii="Calibri" w:cs="Calibri" w:eastAsia="Calibri" w:hAnsi="Calibri"/>
          <w:sz w:val="17"/>
          <w:szCs w:val="17"/>
          <w:color w:val="auto"/>
        </w:rPr>
        <w:t>In the United States and some foreign jurisdictons, there have been, and we expect there will contnue to be, a number of legislatve and regulatory changes and proposed changes to the healthcare system, including cost-containment measures that may reduce or limit coverage and reimbursement for newly approved drugs and afect our ability to proftably sell any product candidates for which we obtain marketng approval. In partcular, there have been and contnue to be a number of initatves at the U.S. federal and state levels that seek to reduce healthcare costs and improve the quality of healthcare.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09" w:name="page110"/>
    <w:bookmarkEnd w:id="109"/>
    <w:p>
      <w:pPr>
        <w:jc w:val="both"/>
        <w:ind w:right="600" w:firstLine="509"/>
        <w:spacing w:after="0" w:line="235" w:lineRule="auto"/>
        <w:rPr>
          <w:sz w:val="20"/>
          <w:szCs w:val="20"/>
          <w:color w:val="auto"/>
        </w:rPr>
      </w:pPr>
      <w:r>
        <w:rPr>
          <w:rFonts w:ascii="Calibri" w:cs="Calibri" w:eastAsia="Calibri" w:hAnsi="Calibri"/>
          <w:sz w:val="18"/>
          <w:szCs w:val="18"/>
          <w:color w:val="auto"/>
        </w:rPr>
        <w:t>For example, in March 2010, the Patent Protecton and Afordable Care Act, as amended by the Health Care and Educaton Reconciliaton Act, collectvely the Afordable Care Act, was enacted in the United States. Among the provisions of the Afordable Care Act of importance to our potental product candidates, the Afordable Care Act includes:</w:t>
      </w:r>
    </w:p>
    <w:p>
      <w:pPr>
        <w:spacing w:after="0" w:line="192" w:lineRule="exact"/>
        <w:rPr>
          <w:sz w:val="20"/>
          <w:szCs w:val="20"/>
          <w:color w:val="auto"/>
        </w:rPr>
      </w:pPr>
    </w:p>
    <w:p>
      <w:pPr>
        <w:ind w:left="900" w:right="44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annual, nondeductble fee on any entty that manufactures or imports specifed branded prescripton drugs and biologic agents, which is apportoned among these enttes according to their market share in certain government healthcare programs;</w:t>
      </w:r>
    </w:p>
    <w:p>
      <w:pPr>
        <w:spacing w:after="0" w:line="190" w:lineRule="exact"/>
        <w:rPr>
          <w:rFonts w:ascii="Times New Roman" w:cs="Times New Roman" w:eastAsia="Times New Roman" w:hAnsi="Times New Roman"/>
          <w:sz w:val="18"/>
          <w:szCs w:val="18"/>
          <w:color w:val="auto"/>
        </w:rPr>
      </w:pPr>
    </w:p>
    <w:p>
      <w:pPr>
        <w:jc w:val="both"/>
        <w:ind w:left="900" w:right="30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Medicare Part D coverage gap discount program, in which manufacturers must agree to ofer point-of-sale discounts of negotated prices of applicable brand drugs to eligible benefciaries during their coverage gap period, as a conditon for the manufacturer’s outpatent drugs to be covered under Medicare Part D;</w:t>
      </w:r>
    </w:p>
    <w:p>
      <w:pPr>
        <w:spacing w:after="0" w:line="205" w:lineRule="exact"/>
        <w:rPr>
          <w:rFonts w:ascii="Times New Roman" w:cs="Times New Roman" w:eastAsia="Times New Roman" w:hAnsi="Times New Roman"/>
          <w:sz w:val="18"/>
          <w:szCs w:val="18"/>
          <w:color w:val="auto"/>
        </w:rPr>
      </w:pPr>
    </w:p>
    <w:p>
      <w:pPr>
        <w:ind w:left="900" w:right="36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increase in the statutory minimum rebates a manufacturer must pay under the Medicaid Drug Rebate Program to 23.1% and 13.0% of the average manufacturer price for branded and generic drugs, respectvely;</w:t>
      </w:r>
    </w:p>
    <w:p>
      <w:pPr>
        <w:spacing w:after="0" w:line="190" w:lineRule="exact"/>
        <w:rPr>
          <w:rFonts w:ascii="Times New Roman" w:cs="Times New Roman" w:eastAsia="Times New Roman" w:hAnsi="Times New Roman"/>
          <w:sz w:val="18"/>
          <w:szCs w:val="18"/>
          <w:color w:val="auto"/>
        </w:rPr>
      </w:pPr>
    </w:p>
    <w:p>
      <w:pPr>
        <w:ind w:left="900" w:right="36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methodology by which rebates owed by manufacturers under the Medicaid Drug Rebate Program are calculated for drugs that are inhaled, infused, instlled, implanted or injected;</w:t>
      </w:r>
    </w:p>
    <w:p>
      <w:pPr>
        <w:spacing w:after="0" w:line="190"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extension of a manufacturers’ Medicaid rebate liability to covered drugs dispensed to individuals who are enrolled in Medicaid managed care organizatons;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expansion of the enttes eligible for discounts under the Public Health Service pharmaceutcal pricing program;</w:t>
      </w:r>
    </w:p>
    <w:p>
      <w:pPr>
        <w:spacing w:after="0" w:line="190"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new Patent-Centered Outcomes Research Insttute to oversee, identfy priorites in and conduct comparatve clinical efectveness research, along with funding for such research; and</w:t>
      </w:r>
    </w:p>
    <w:p>
      <w:pPr>
        <w:spacing w:after="0" w:line="190" w:lineRule="exact"/>
        <w:rPr>
          <w:rFonts w:ascii="Times New Roman" w:cs="Times New Roman" w:eastAsia="Times New Roman" w:hAnsi="Times New Roman"/>
          <w:sz w:val="18"/>
          <w:szCs w:val="18"/>
          <w:color w:val="auto"/>
        </w:rPr>
      </w:pPr>
    </w:p>
    <w:p>
      <w:pPr>
        <w:ind w:left="900" w:right="60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of a Center for Medicare Innovaton at CMS to test innovatve payment and service delivery models to lower Medicare and Medicaid spending, potentally including prescripton drug spending.</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Since its enactment, there have been judicial and politcal challenges to certain aspects of the Afordable Care Act. On June 17, 2021, the U.S. Supreme Court dismissed the most recent judicial challenge to the ACA without specifcally ruling on the consttutonality of the ACA. Prior to the Supreme Court’s decision, President Biden issued an executve order to initate a special enrollment period from February 15, 2021 through August 15, 2021 for purposes of obtaining health insurance coverage through the ACA marketplace. The executve order also instructed certain governmental agencies to review and reconsider their existng policies and rules that limit access to healthcare, including among others, reexamining Medicaid demonstraton projects and waiver programs that include work requirements, and policies that create unnecessary barriers to obtaining access to health insurance coverage through Medicaid or the ACA.</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0" w:name="page111"/>
    <w:bookmarkEnd w:id="110"/>
    <w:p>
      <w:pPr>
        <w:ind w:firstLine="509"/>
        <w:spacing w:after="0" w:line="250" w:lineRule="auto"/>
        <w:rPr>
          <w:sz w:val="20"/>
          <w:szCs w:val="20"/>
          <w:color w:val="auto"/>
        </w:rPr>
      </w:pPr>
      <w:r>
        <w:rPr>
          <w:rFonts w:ascii="Calibri" w:cs="Calibri" w:eastAsia="Calibri" w:hAnsi="Calibri"/>
          <w:sz w:val="17"/>
          <w:szCs w:val="17"/>
          <w:color w:val="auto"/>
        </w:rPr>
        <w:t>In additon, other legislatve changes have been proposed and adopted since the Afordable Care Act was enacted. These changes included aggregate reductons to Medicare payments to providers of 2% per fscal year, which went into efect on April 1, 2013 and, due to subsequent legislatve amendments to the statute will remain in efect through 2030, with the excepton of a temporary suspension from May 1, 2020 through March 31, 2022, unless additonal Congressional acton is taken. On January 2, 2013, the American Taxpayer Relief Act of 2012 was signed into law, which, among other things, reduced Medicare payments to several providers, including hospitals, and increased the statute of limitatons period for the government to recover overpayments to providers from three to fve years. Further, there has been heightened governmental scrutny in the United States of pharmaceutcal pricing practces in light of the rising cost of prescripton drugs. At the federal level, such scrutny has resulted in several recent congressional inquiries and proposed and enacted federal and state legislaton designed to, among other things, bring more transparency to product pricing, review the relatonship between pricing and manufacturer patent programs, and reform government program reimbursement methodologies for products. Most recently, on August 16, 2022, the Infaton Reducton Act of 2022, or IRA, was signed into law. Among other things, the IRA requires manufacturers of certain drugs to engage in price negotatons with Medicare (beginning in 2026), with prices that can be negotated subject to a cap; imposes rebates under Medicare Part B and Medicare Part D to penalize price increases that outpace infaton (frst due in 2023); and replaces the Part D coverage gap discount program with a new discountng program (beginning in 2025). The IRA permits the Secretary of the Department of Health and Human Services to implement many of these provisions through guidance, as opposed to regulaton, for the inital years. For that and other reasons, it is currently unclear how the IRA will be efectuated.</w:t>
      </w:r>
    </w:p>
    <w:p>
      <w:pPr>
        <w:spacing w:after="0" w:line="173" w:lineRule="exact"/>
        <w:rPr>
          <w:sz w:val="20"/>
          <w:szCs w:val="20"/>
          <w:color w:val="auto"/>
        </w:rPr>
      </w:pPr>
    </w:p>
    <w:p>
      <w:pPr>
        <w:ind w:right="160" w:firstLine="509"/>
        <w:spacing w:after="0" w:line="258" w:lineRule="auto"/>
        <w:rPr>
          <w:sz w:val="20"/>
          <w:szCs w:val="20"/>
          <w:color w:val="auto"/>
        </w:rPr>
      </w:pPr>
      <w:r>
        <w:rPr>
          <w:rFonts w:ascii="Calibri" w:cs="Calibri" w:eastAsia="Calibri" w:hAnsi="Calibri"/>
          <w:sz w:val="17"/>
          <w:szCs w:val="17"/>
          <w:color w:val="auto"/>
        </w:rPr>
        <w:t>The likelihood of implementaton of these and other reform initatves is uncertain. In the coming years, additonal legislatve and regulatory changes could be made to governmental health programs that could signifcantly impact pharmaceutcal companies and the success of our product candidates.</w:t>
      </w:r>
    </w:p>
    <w:p>
      <w:pPr>
        <w:spacing w:after="0" w:line="16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At the state level, legislatures have increasingly passed legislaton and implemented regulatons designed to control pharmaceutcal and biological product pricing, including price or patent reimbursement constraints, discounts, restrictons on certain product access and marketng cost disclosure and transparency measures, and, in some cases, designed to encourage importaton from other countries and bulk purchasing. In additon, regional healthcare authorites and individual hospitals are increasingly using bidding procedures to determine what pharmaceutcal products and which suppliers will be included in their prescripton drug and other healthcare programs. Furthermore, there has been increased interest by third party payers and governmental authorites in reference pricing systems and publicaton of discounts and list prices. These reforms could reduce the ultmate demand for vonoprazan and any future product candidates, if approved, or put pressure on our product pricing, which could negatvely afect our business, results of operatons, fnancial conditon and prospects.</w:t>
      </w:r>
    </w:p>
    <w:p>
      <w:pPr>
        <w:spacing w:after="0" w:line="196"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expect that these healthcare reform measures that may be adopted in the future may result in more rigorous coverage criteria, new payment methodologies and additonal downward pressure on the price that we receive for any approved product. Any reducton in reimbursement from Medicare or other government programs may result in a similar reducton in payments from private payers. The implementaton of cost containment measures or other healthcare reforms may prevent us from being able to generate revenue, atain proftability or commercialize vonoprazan and any future product candidates, if approved.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1" w:name="page112"/>
    <w:bookmarkEnd w:id="111"/>
    <w:p>
      <w:pPr>
        <w:ind w:right="120"/>
        <w:spacing w:after="0" w:line="235" w:lineRule="auto"/>
        <w:rPr>
          <w:sz w:val="20"/>
          <w:szCs w:val="20"/>
          <w:color w:val="auto"/>
        </w:rPr>
      </w:pPr>
      <w:r>
        <w:rPr>
          <w:rFonts w:ascii="Calibri" w:cs="Calibri" w:eastAsia="Calibri" w:hAnsi="Calibri"/>
          <w:sz w:val="18"/>
          <w:szCs w:val="18"/>
          <w:b w:val="1"/>
          <w:bCs w:val="1"/>
          <w:i w:val="1"/>
          <w:iCs w:val="1"/>
          <w:color w:val="auto"/>
        </w:rPr>
        <w:t>We and any of our third-party manufacturers or suppliers may use potent chemical agents and hazardous materials, and any claims relatng to improper handling, storage or disposal of these materials could be tme consuming or costly.</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operatons and the operatons of our third-party manufacturers and suppliers also produce hazardous waste products. Federal, state and local laws and regulatons govern the use, generaton, manufacture, storage, handling and disposal of these materials and wastes. Compliance with applicable environmental laws and regulatons may be expensive, and current or future environmental laws and regulatons may impair our product development eforts. In additon, we cannot eliminate the risk of accidental injury or contaminaton from these materials or wastes. We do not carry specifc biological or hazardous waste insurance coverage, and our property, casualty and general liability insurance policies specifcally exclude coverage for damages and fnes arising from biological or hazardous waste exposure or contaminaton. In the event of contaminaton or injury, we could be held liable for damages or be penalized with fnes in an amount exceeding our resources, and our clinical trials or regulatory approvals could be suspended.</w:t>
      </w:r>
    </w:p>
    <w:p>
      <w:pPr>
        <w:spacing w:after="0" w:line="1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Although we maintain workers’ compensaton insurance for certain costs and expenses we may incur due to injuries to our employees resultng from the use of hazardous materials or other work- related injuries, this insurance may not provide adequate coverage against potental liabilites. We do not maintain insurance for toxic tort claims that may be asserted against us in connecton with our storage or disposal of biologic, hazardous or radioactve materials.</w:t>
      </w:r>
    </w:p>
    <w:p>
      <w:pPr>
        <w:spacing w:after="0" w:line="19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additon, we may incur substantal costs in order to comply with current or future environmental, health and safety laws and regulatons, which have tended to become more stringent over tme. These current or future laws and regulatons may impair our research, development or producton eforts. Failure to comply with these laws and regulatons also may result in substantal fnes, penaltes or other sanctons or liabilites, which could materially adversely afect our business, fnancial conditon, results of operatons and prospects.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product liability lawsuits are brought against us, we may incur substantal liabilites and may be required to limit commercializaton of our products.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face an inherent risk of product liability as a result of the clinical trials of vonoprazan and any future product candidates and will face an even greater risk if we commercialize vonoprazan or, following approval, any future product candidates. For example, we may be sued if vonoprazan or any future product candidates allegedly cause injury or are found to be otherwise unsuitable during product testng, manufacturing, marketng or sale. Any such product liability claims may include allegatons of defects in manufacturing, defects in design, a failure to warn of dangers inherent in the product candidate, negligence, strict liability and a breach of warrantes. Claims may be brought against us by clinical trial partcipants, patents or others using, administering or selling products that may be approved in the future. Claims could also be asserted under state consumer protecton acts.</w:t>
      </w:r>
    </w:p>
    <w:p>
      <w:pPr>
        <w:spacing w:after="0" w:line="194" w:lineRule="exact"/>
        <w:rPr>
          <w:sz w:val="20"/>
          <w:szCs w:val="20"/>
          <w:color w:val="auto"/>
        </w:rPr>
      </w:pPr>
    </w:p>
    <w:p>
      <w:pPr>
        <w:jc w:val="both"/>
        <w:ind w:right="380" w:firstLine="509"/>
        <w:spacing w:after="0" w:line="235" w:lineRule="auto"/>
        <w:rPr>
          <w:sz w:val="20"/>
          <w:szCs w:val="20"/>
          <w:color w:val="auto"/>
        </w:rPr>
      </w:pPr>
      <w:r>
        <w:rPr>
          <w:rFonts w:ascii="Calibri" w:cs="Calibri" w:eastAsia="Calibri" w:hAnsi="Calibri"/>
          <w:sz w:val="18"/>
          <w:szCs w:val="18"/>
          <w:color w:val="auto"/>
        </w:rPr>
        <w:t>If we cannot successfully defend ourselves against product liability claims, we may incur substantal liabilites or be required to limit or cease the commercializaton of our products. Even a successful defense would require signifcant fnancial and management resources. Regardless of the merits or eventual outcome, liability claims may result in:</w:t>
      </w:r>
    </w:p>
    <w:p>
      <w:pPr>
        <w:spacing w:after="0" w:line="187"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decreased demand for our products;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injury to our reputaton and signifcant negatve media atenton;</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withdrawal of clinical trial partcipants;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to defend the related litgaton;</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112" w:name="page113"/>
    <w:bookmarkEnd w:id="112"/>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diversion of management’s tme and our resources;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substantal monetary awards to trial partcipants or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recalls, withdrawals or labeling, marketng or promotonal restrictons;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negatve fnancial impact;</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inability to commercialize vonoprazan and any future product candidates;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decline in our stock price.</w:t>
      </w:r>
    </w:p>
    <w:p>
      <w:pPr>
        <w:spacing w:after="0" w:line="19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Our inability to maintain sufcient product liability insurance at an acceptable cost and scope of coverage to protect against potental product liability claims could prevent or inhibit the commercializaton of VOQUEZNA TRIPLE PAK and VOQUEZNA DUAL PAK, and, if approved, VOQUEZNA and additonal products we may develop. Although we maintain such insurance, any claim that may be brought against us could result in a court judgment or setlement in an amount that is not covered, in whole or in part, by our insurance or that is in excess of the limits of our insurance coverage. Our insurance policies also have various exclusions and deductbles, and we may be subject to a product liability claim for which we have no coverage. We will have to pay any amounts awarded by a court or negotated in a setlement that exceed our coverage limitatons or that are not covered by our insurance, and we may not have, or be able to obtain, sufcient capital to pay such amounts. Moreover, in the future, we may not be able to maintain insurance coverage at a reasonable cost or in sufcient amounts to protect us against losses. As a result of receiving marketng approval for, VOQUEZNA TRIPLE PAK and VOQUEZNA DUAL PAK, we have expanded our insurance coverage to include the commercializaton of these products as well as, if approved, vonoprazan; however, we may be unable to contnue to obtain this liability insurance on commercially reasonable terms and such insurance may be insufcient to cover our exposure.</w:t>
      </w:r>
    </w:p>
    <w:p>
      <w:pPr>
        <w:spacing w:after="0" w:line="174" w:lineRule="exact"/>
        <w:rPr>
          <w:sz w:val="20"/>
          <w:szCs w:val="20"/>
          <w:color w:val="auto"/>
        </w:rPr>
      </w:pPr>
    </w:p>
    <w:p>
      <w:pPr>
        <w:ind w:right="260"/>
        <w:spacing w:after="0" w:line="258" w:lineRule="auto"/>
        <w:rPr>
          <w:sz w:val="20"/>
          <w:szCs w:val="20"/>
          <w:color w:val="auto"/>
        </w:rPr>
      </w:pPr>
      <w:r>
        <w:rPr>
          <w:rFonts w:ascii="Calibri" w:cs="Calibri" w:eastAsia="Calibri" w:hAnsi="Calibri"/>
          <w:sz w:val="17"/>
          <w:szCs w:val="17"/>
          <w:b w:val="1"/>
          <w:bCs w:val="1"/>
          <w:i w:val="1"/>
          <w:iCs w:val="1"/>
          <w:color w:val="auto"/>
        </w:rPr>
        <w:t>We and others, including any of our potental future collaborators, will be required to report to regulatory authorites if any of our approved products cause or contribute to adverse medical events, and any failure to do so would result in sanctons that would materially harm our business.</w:t>
      </w:r>
    </w:p>
    <w:p>
      <w:pPr>
        <w:spacing w:after="0" w:line="16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we or any of our potental future collaborators are successful in commercializing VOQUEZNA TRIPLE PAK and VOQUEZNA DUAL PAK, or, if approved, VOQUEZNA or any future product candidates, the FDA and foreign regulatory authorites would require that we and Takeda (with respect to products containing vonoprazan) and any of our current or potental future collaborators, report certain informaton about adverse medical events if those products may have caused or contributed to those adverse events. The tming of our obligaton to report would be triggered by the date we become aware of the adverse event as well as the nature of the event. We, Takeda and any of our potental future collaborators or CROs may fail to report adverse events within the prescribed tmeframe. If we, Takeda or any of our potental future collaborators or CROs fail to comply with such reportng obligatons, the FDA or a foreign regulatory authority could take acton, including criminal prosecuton, the impositon of civil monetary penaltes, seizure of our products or delay in approval of future products.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06" w:right="459" w:bottom="1440" w:gutter="0" w:footer="0" w:header="0"/>
        </w:sectPr>
      </w:pPr>
    </w:p>
    <w:bookmarkStart w:id="113" w:name="page114"/>
    <w:bookmarkEnd w:id="113"/>
    <w:p>
      <w:pPr>
        <w:ind w:right="320"/>
        <w:spacing w:after="0" w:line="235" w:lineRule="auto"/>
        <w:rPr>
          <w:sz w:val="20"/>
          <w:szCs w:val="20"/>
          <w:color w:val="auto"/>
        </w:rPr>
      </w:pPr>
      <w:r>
        <w:rPr>
          <w:rFonts w:ascii="Calibri" w:cs="Calibri" w:eastAsia="Calibri" w:hAnsi="Calibri"/>
          <w:sz w:val="18"/>
          <w:szCs w:val="18"/>
          <w:b w:val="1"/>
          <w:bCs w:val="1"/>
          <w:i w:val="1"/>
          <w:iCs w:val="1"/>
          <w:color w:val="auto"/>
        </w:rPr>
        <w:t>Actual or perceived failures to comply with applicable data protecton, privacy and security laws, regulatons, standards and other requirements could adversely afect our business, results of operatons, and fnancial conditon.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global data protecton landscape is rapidly evolving, and we are or may become subject to numerous state, federal and foreign laws, requirements and regulatons governing the collecton, use, disclosure, retenton, and security of personal data, such as informaton that we may collect in connecton with clinical trials in the U.S. and abroad. Implementaton standards and enforcement practces are likely to remain uncertain for the foreseeable future, and we cannot yet determine the impact future laws, regulatons, standards, or percepton of their requirements may have on our business. This evoluton may create uncertainty in our business, afect our ability to operate in certain jurisdictons or to collect, store, transfer use and share personal informaton, necessitate the acceptance of more onerous obligatons in our contracts, result in liability or impose additonal costs on us. The cost of compliance with these laws, regulatons and standards is high and is likely to increase in the future. Any failure or perceived failure by us to comply with federal, state or foreign laws or regulatons, our internal policies and procedures or our contracts governing our processing of personal informaton could result in negatve publicity, government investgatons and enforcement actons, claims by third partes and damage to our reputaton, any of which could have a material adverse efect on our operatons, fnancial performance and business.</w:t>
      </w:r>
    </w:p>
    <w:p>
      <w:pPr>
        <w:spacing w:after="0" w:line="1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our operatons and business grow, we may become subject to or afected by new or additonal data protecton laws and regulatons and face increased scrutny or atenton from regulatory authorites. In the U.S., HIPAA imposes, among other things, certain standards relatng to the privacy, security, transmission and breach reportng of individually identfable health informaton. Certain states have also adopted comparable privacy and security laws and regulatons, some of which may be more stringent than HIPAA. Such laws and regulatons will be subject to interpretaton by various courts and other governmental authorites, thus creatng potentally complex compliance issues for us and our future customers and strategic partners. In additon, California enacted the CCPA on June 28, 2018, which went into efect on January 1, 2020. The CCPA creates individual privacy rights for California consumers and increases the privacy and security obligatons of enttes handling certain personal informaton. It provides for civil penaltes for violatons, as well as a private right of acton for data breaches that is expected to increase data breach litgaton. Further, the CPRA recently passed in California. The CPRA will impose additonal data protecton obligatons on covered businesses, including additonal consumer rights processes, limitatons on data uses, new audit requirements for higher risk data, and opt outs for certain uses of sensitve data. It will also create a new California data protecton agency authorized to issue substantve regulatons and could result in increased privacy and informaton security enforcement. The majority of the provisions will go into efect on January 1, 2023, and additonal compliance investment and potental business process changes may be required. Similar laws have passed in Virginia, Connectcut, Colorado and Utah and have been proposed in other states and at the federal level, refectng a trend toward more stringent privacy legislaton in the United States. The enactment of such laws could have potentally confictng requirements that would make compliance challenging. In the event that we are subject to or afected by HIPAA, the CCPA, the CPRA or other domestc privacy and data protecton laws, any liability from failure to comply with the requirements of these laws could adversely afect our fnancial conditon.</w:t>
      </w:r>
    </w:p>
    <w:p>
      <w:pPr>
        <w:spacing w:after="0" w:line="203"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Furthermore, the FTC and many state Atorneys General contnue to enforce federal and state consumer protecton laws against companies for online collecton, use, disseminaton and security practces that appear to be unfair or deceptve. For example, according to the FTC, failing to take appropriate steps to keep consumers’ personal informaton secure can consttute unfair acts or practces in or afectng commerce in violaton of Secton 5(a) of the Federal Trade Commission Act. The FTC expects a company’s data security measures to be reasonable and appropriate in light of the sensitvity and volume of consumer informaton it holds, the size and complexity of its business, and the cost of available tools to improve security and reduce vulnerabilites.</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14" w:name="page115"/>
    <w:bookmarkEnd w:id="114"/>
    <w:p>
      <w:pPr>
        <w:ind w:firstLine="509"/>
        <w:spacing w:after="0" w:line="235" w:lineRule="auto"/>
        <w:rPr>
          <w:sz w:val="20"/>
          <w:szCs w:val="20"/>
          <w:color w:val="auto"/>
        </w:rPr>
      </w:pPr>
      <w:r>
        <w:rPr>
          <w:rFonts w:ascii="Calibri" w:cs="Calibri" w:eastAsia="Calibri" w:hAnsi="Calibri"/>
          <w:sz w:val="18"/>
          <w:szCs w:val="18"/>
          <w:color w:val="auto"/>
        </w:rPr>
        <w:t>In Europe, GDPR, went into efect in May 2018 and imposes strict requirements for processing the personal data of individuals within the EEA. Companies that must comply with the GDPR face increased compliance obligatons and risk, including more robust regulatory enforcement of data protecton requirements and potental fnes for noncompliance of up to €20 million or 4% of the annual global revenues of the noncompliant company, whichever is greater. In additon, the GDPR increases the scrutny of transfers of personal data from the EEA to the United States and other jurisdictons that the European Commission does not recognize as having “adequate” data protecton laws. In 2016, the EU and United States agreed to a transfer framework for data transferred from the EU to the United States called the Privacy Shield, but in July 2020 the Court of Justce of the EU, or the CJEU, limited how organizatons could lawfully transfer personal data from the EEA to the United States by invalidatng the Privacy Shield for purposes of internatonal transfers and imposing further restrictons on use of the standard contractual clauses, or SCCs. While the CJEU upheld the adequacy of the SCCs, it made clear that reliance on them alone may not necessarily be sufcient in all circumstances. Use of the SCCs must now be assessed on a case-by-case basis taking into account the legal regime applicable in the destnaton country, in partcular applicable surveillance laws and rights of individuals and additonal measures and/or contractual provisions may need to be put in place, however, the nature of these additonal measures is currently uncertain. The CJEU went on to state that if a competent supervisory authority believes that the SCCs cannot be complied with in the destnaton country and the required level of protecton cannot be secured by other means, such supervisory authority is under an obligaton to suspend or prohibit that transfer. The European Commission issued revised SCCs on June 4, 2021 to account for the decision of the CJEU and recommendatons made by the European Data Protecton Board. The revised SCCs must be used for relevant new data transfers from September 27, 2021; existng standard contractual clauses arrangements must be migrated to the revised clauses by December 27, 2022. There is some uncertainty around whether the revised clauses can be used for all types of data transfers, partcularly whether they can be relied on for data transfers to non-EEA enttes subject to the GDPR. The revised SCCs apply only to the transfer of personal data outside of the EEA and not the UK; the UK’s Informaton Commissioner’s Ofce launched a public consultaton on its draf revised data transfers mechanisms in August 2021. As supervisory authorites issue further guidance on personal data export mechanisms, including circumstances where the SCCs cannot be used, and/or start taking enforcement acton, we could sufer additonal costs, complaints and/or regulatory investgatons or fnes, and/or if we are otherwise unable to transfer personal data between and among countries and regions in which we operate, it could afect the manner in which we provide our services, the geographical locaton or segregaton of our relevant systems and operatons, and could adversely afect our fnancial results. The European Commission issued revised SCCs on June 4, 2021 to account for the decision of the CJEU and recommendatons made by the European Data Protecton Board. The revised SCCs must be used for relevant new data transfers from September 27, 2021; existng standard contractual clauses arrangements must be migrated to the revised clauses by December 27, 2022. The new SCCs apply only to the transfer of personal data outside of the EEA and not the United Kingdom; the United Kingdom’s Informaton Commissioner’s Ofce launched a public consultaton on its draf revised data transfers mechanisms in August 2021. There is some uncertainty around whether the revised clauses can be used for all types of data transfers, partcularly whether they can be relied on for data transfers to non-EEA enttes subject to the GDPR. As supervisory authorites issue further guidance on personal data export mechanisms, including circumstances where the SCCs cannot be used, and/or start taking enforcement acton, we could sufer additonal costs, complaints and/or regulatory investgatons or fnes, and/or if we are otherwise unable to transfer personal data between and among countries and regions in which we operate, it could afect the manner in which we provide our services, the geographical locaton or segregaton of our relevant systems and operatons, and could adversely afect our fnancial results.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5" w:name="page116"/>
    <w:bookmarkEnd w:id="115"/>
    <w:p>
      <w:pPr>
        <w:ind w:right="660"/>
        <w:spacing w:after="0" w:line="235" w:lineRule="auto"/>
        <w:rPr>
          <w:sz w:val="20"/>
          <w:szCs w:val="20"/>
          <w:color w:val="auto"/>
        </w:rPr>
      </w:pPr>
      <w:r>
        <w:rPr>
          <w:rFonts w:ascii="Calibri" w:cs="Calibri" w:eastAsia="Calibri" w:hAnsi="Calibri"/>
          <w:sz w:val="18"/>
          <w:szCs w:val="18"/>
          <w:b w:val="1"/>
          <w:bCs w:val="1"/>
          <w:i w:val="1"/>
          <w:iCs w:val="1"/>
          <w:color w:val="auto"/>
        </w:rPr>
        <w:t>Our internal computer systems, or those of any of our CROs, manufacturers, service providers, other contractors or consultants or potental future collaborators, may fail or sufer security breaches, which could result in a material disrupton of our product development programs.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United States federal and various state and foreign governments have adopted or proposed requirements regarding the collecton, distributon, use, security, and storage of personally identfable informaton and other data relatng to individuals, and federal and state consumer protecton laws are being applied to enforce regulatons related to the online collecton, use, and disseminaton of data. Despite the implementaton of security measures, our internal computer systems and those of our current and any future CROs and other service providers, contractors, consultants and collaborators are vulnerable to damage from computer viruses, cybersecurity threats, unauthorized access, natural disasters, terrorism, war and telecommunicaton and electrical failures. Atacks upon informaton technology systems are increasing in their frequency, levels of persistence, sophistcaton and intensity, and are being conducted by sophistcated and organized groups and individuals with a wide range of motves and expertse. As a result of the COVID-19 pandemic, we may also face increased cybersecurity risks due to our reliance on internet technology and the increased number of our employees who are working remotely, which may create additonal opportunites for cybercriminals to exploit vulnerabilites. Furthermore, because the techniques used to obtain unauthorized access to, or to sabotage, systems change frequently and ofen are not recognized untl launched against a target, we may be unable to antcipate these techniques or implement adequate preventatve measures. We may also experience security breaches that may remain undetected for an extended period. If such an event were to occur and cause interruptons in our operatons or result in the unauthorized disclosure of or access to personally identfable informaton or individually identfable health informaton (violatng certain privacy laws such as GDPR), it could result in a material disrupton of our development programs and our business operatons, whether due to a loss of our trade secrets or other similar disruptons. Some of the federal, state and foreign government requirements include obligatons of companies to notfy individuals of security breaches involving partcular personally identfable informaton, which could result from breaches experienced by us or by our vendors, contractors, or organizatons with which we have formed strategic relatonships. Even though we may have contractual protectons with such vendors, contractors, or other organizatons, notfcatons and follow-up actons related to a security breach could impact our reputaton, cause us to incur signifcant costs, including legal expenses, harm customer confdence, hurt our expansion into new markets, cause us to incur remediaton costs, or cause us to lose existng customers. For example, the loss of clinical trial data from completed or future clinical trials could result in delays in our regulatory approval eforts and signifcantly increase our costs to recover or reproduce the data. We also rely on third partes to manufacture vonoprazan and any future product candidates, and similar events relatng to their computer systems could also have a material adverse efect on our business. To the extent that any disrupton or security breach were to result in a loss of, or damage to, our data or applicatons, or inappropriate disclosure of confdental or proprietary informaton, we could incur liability, the further development and commercializaton of vonoprazan and any future product candidates could be delayed, and we could be subject to signifcant fnes, penaltes or liabilites for any noncompliance to certain privacy and security laws.</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16" w:name="page117"/>
    <w:bookmarkEnd w:id="116"/>
    <w:p>
      <w:pPr>
        <w:ind w:right="620"/>
        <w:spacing w:after="0" w:line="235" w:lineRule="auto"/>
        <w:rPr>
          <w:sz w:val="20"/>
          <w:szCs w:val="20"/>
          <w:color w:val="auto"/>
        </w:rPr>
      </w:pPr>
      <w:r>
        <w:rPr>
          <w:rFonts w:ascii="Calibri" w:cs="Calibri" w:eastAsia="Calibri" w:hAnsi="Calibri"/>
          <w:sz w:val="18"/>
          <w:szCs w:val="18"/>
          <w:b w:val="1"/>
          <w:bCs w:val="1"/>
          <w:i w:val="1"/>
          <w:iCs w:val="1"/>
          <w:color w:val="auto"/>
        </w:rPr>
        <w:t>Our employees and independent contractors, including principal investgators, CROs, consultants and vendors, may engage in misconduct or other improper actvites, including noncompliance with regulatory standards and requirements.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exposed to the risk that our employees and independent contractors, including principal investgators, CROs, consultants and vendors may engage in misconduct or other illegal actvity. Misconduct by these partes could include intentonal, reckless and/or negligent conduct or other unauthorized actvites that violate: (i) the laws and regulatons of the FDA and other similar regulatory bodies, including those laws that require the reportng of true, complete and accurate informaton to such regulatory bodies, (ii) manufacturing standards, including cGMP and similar requirements, or (iii) federal and state healthcare, security, fraud and abuse laws, data privacy and security laws, and other similar non-U.S. laws that require the true, complete and accurate reportng of fnancial informaton or data. Actvites subject to these laws also involve the improper use or misrepresentaton of informaton obtained in the course of clinical trials, the creaton of fraudulent data in our preclinical studies or clinical trials, or illegal misappropriaton of product, which could result in regulatory sanctons and cause serious harm to our reputaton. It is not always possible to identfy and deter misconduct by employees and other third partes, and the precautons we take to detect and prevent this actvity may not be efectve in controlling unknown or unmanaged risks or losses or in protectng us from governmental investgatons or other actons or lawsuits stemming from a failure to be in compliance with such laws or regulatons. In additon, we are subject to the risk that a person or government could allege such fraud or other misconduct, even if none occurred. If any such actons are insttuted against us, and we are not successful in defending ourselves or assertng our rights, those actons could have a signifcant impact on our business and fnancial results, including, without limitaton, the impositon of signifcant civil, criminal and administratve penaltes, damages, monetary fnes, disgorgement, possible exclusion from partcipaton in Medicare, Medicaid and other U.S. federal healthcare programs or healthcare programs in other jurisdictons, integrity oversight and reportng obligatons to resolve allegatons of non-compliance, imprisonment, contractual damages, reputatonal harm, diminished profts and future earnings, and curtailment of our operatons, any of which could adversely afect our ability to operate our business and our results of operatons.</w:t>
      </w:r>
    </w:p>
    <w:p>
      <w:pPr>
        <w:spacing w:after="0" w:line="19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We are subject to U.S. and certain foreign export and import controls, sanctons, embargoes, ant-corrupton laws and ant-money laundering laws and regulatons. Compliance with these legal standards could impair our ability to compete in domestc and internatonal markets. We could face criminal liability and other serious consequences for violatons, which could harm our business.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subject to export control and import laws and regulatons, including the U.S. Export Administraton Regulatons, U.S. Customs regulatons, and various economic and trade sanctons regulatons administered by the U.S. Treasury Department’s Ofce of Foreign Assets Controls, and ant-corrupton and ant-money laundering laws and regulatons, including the U.S. Foreign Corrupt Practces Act of 1977, as amended, the U.S. domestc bribery statute contained in 18 U.S.C. § 201, the U.S. Travel Act, the USA PATRIOT Act, and other state and natonal ant-bribery and ant-money laundering laws in the countries in which we conduct actvites. Ant-corrupton laws are interpreted broadly and prohibit companies and their employees, agents, clinical research organizatons, contractors and other collaborators and partners from authorizing, promising, ofering, providing, solicitng or receiving, directly or indirectly, improper payments or anything else of value to recipients in the public or private sector. We have engaged, and may engage in the future, third partes for clinical trials outside of the United States, and may engage third partes to sell our products abroad once we enter a commercializaton phase, and/or to obtain necessary permits, licenses, patent registratons and other regulatory approvals. We have direct or indirect interactons with ofcials and employees of government agencies or government-afliated hospitals, universites and other organizatons. We can be held liable for the corrupt or other illegal actvites of our employees, agents, clinical research organizatons, contractors and other collaborators and partners, even if we do not explicitly authorize or have actual knowledge of such actvites. Any violatons of the laws and regulatons described above may result in substantal civil and criminal fnes and penaltes, imprisonment, the loss of export or import privileges, debarment, tax reassessments, breach of contract and fraud litgaton, reputatonal harm and other consequences.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17" w:name="page118"/>
    <w:bookmarkEnd w:id="117"/>
    <w:p>
      <w:pPr>
        <w:spacing w:after="0"/>
        <w:rPr>
          <w:sz w:val="20"/>
          <w:szCs w:val="20"/>
          <w:color w:val="auto"/>
        </w:rPr>
      </w:pPr>
      <w:r>
        <w:rPr>
          <w:rFonts w:ascii="Calibri" w:cs="Calibri" w:eastAsia="Calibri" w:hAnsi="Calibri"/>
          <w:sz w:val="18"/>
          <w:szCs w:val="18"/>
          <w:b w:val="1"/>
          <w:bCs w:val="1"/>
          <w:i w:val="1"/>
          <w:iCs w:val="1"/>
          <w:color w:val="auto"/>
        </w:rPr>
        <w:t>We may engage in strategic transactons that could impact our liquidity, increase our expenses and present signifcant distractons to our management.</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From tme to tme, we may consider strategic transactons, such as acquisitons of companies, asset purchases and out-licensing or in-licensing of intellectual property, products or technologies, similar to our approach in in-licensing and acquiring our current product candidates. Any future transactons could increase our near and long-term expenditures, result in potentally dilutve issuances of our equity securites, including our common stock, or the incurrence of debt, contngent liabilites, amortzaton expenses or acquired in-process research and development expenses, any of which could afect our fnancial conditon, liquidity and results of operatons. Additonal potental transactons that we may consider in the future include a variety of business arrangements, including spin-ofs, strategic partnerships, joint ventures, restructurings, divesttures, business combinatons and investments. Future acquisitons may also require us to obtain additonal fnancing, which may not be available on favorable terms or at all. These transactons may never be successful and may require signifcant tme and atenton of management. In additon, the integraton of any business that we may acquire in the future may disrupt our existng business and may be a complex, risky and costly endeavor for which we may never realize the full benefts of the acquisiton. Accordingly, although we may not undertake or successfully complete any additonal transactons of the nature described above, any additonal transactons that we do complete could have a material adverse efect on our business, results of operatons, fnancial conditon and prospects.</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Intellectual Property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success depends on our ability to protect our intellectual property and our proprietary technologies.</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Our commercial success depends in part on our ability to obtain and maintain patent protecton and trade secret protecton for vonoprazan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vonoprazan or any future product candidates, our compettve positon could be harmed. We generally seek to protect our proprietary positon by fling patent applicatons in the United States and abroad related to vonoprazan or any future product candidates, proprietary technologies and their uses that are important to our business. We do not currently own any issued patents or pending patent applicatons. We also seek to protect our proprietary positon by acquiring or in-licensing relevant issued patents or pending patent applicatons from third partes. We have in-licensed from Takeda a number of United States, European, and Canadian patents and patent applicatons relatng to the compound vonoprazan as well as the use and manufacture of vonoprazan products.</w:t>
      </w:r>
    </w:p>
    <w:p>
      <w:pPr>
        <w:spacing w:after="0" w:line="16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Pending patent applicatons cannot be enforced against third partes practcing the technology claimed in such applicatons unless, and untl, patents issue from such applicatons, and then only to the extent the issued claims cover the technology. There can be no assurance that our future patent applicatons or the patent applicatons of our current and future licensors will result in patents being issued or that issued patents will aford sufcient protecton against compettors with similar technology, nor can there be any assurance that the patents if issued will not be infringed, designed around or invalidated by third partes.</w:t>
      </w:r>
    </w:p>
    <w:p>
      <w:pPr>
        <w:spacing w:after="0" w:line="19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Even issued patents may later be found invalid or unenforceable or may be modifed or revoked in proceedings insttuted by third partes before various patent ofces or in courts. The degree of future protecton for our proprietary rights is uncertain. Only limited protecton may be available and may not adequately protect our rights or permit us to gain or keep any compettve advantage. These uncertaintes and/or limitatons in our ability to properly protect the intellectual property rights relatng to vonoprazan and any future product candidates could have a material adverse efect on our fnancial conditon and results of operatons.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118" w:name="page119"/>
    <w:bookmarkEnd w:id="118"/>
    <w:p>
      <w:pPr>
        <w:ind w:firstLine="509"/>
        <w:spacing w:after="0" w:line="235" w:lineRule="auto"/>
        <w:rPr>
          <w:sz w:val="20"/>
          <w:szCs w:val="20"/>
          <w:color w:val="auto"/>
        </w:rPr>
      </w:pPr>
      <w:r>
        <w:rPr>
          <w:rFonts w:ascii="Calibri" w:cs="Calibri" w:eastAsia="Calibri" w:hAnsi="Calibri"/>
          <w:sz w:val="18"/>
          <w:szCs w:val="18"/>
          <w:color w:val="auto"/>
        </w:rPr>
        <w:t>We cannot be certain that the claims in our licensor’s U.S. pending patent applicatons, corresponding internatonal patent applicatons and patent applicatons in certain foreign countries will be considered patentable by the United States Patent and Trademark Ofce, or USPTO, courts in the United States or by the patent ofces and courts in foreign countries, nor can we be certain that the claims in our licensor’s issued patents will not be found invalid or unenforceable if challenged.</w:t>
      </w:r>
    </w:p>
    <w:p>
      <w:pPr>
        <w:spacing w:after="0" w:line="1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patent applicaton process is subject to numerous risks and uncertaintes, and there can be no assurance that we or any of our potental future collaborators will be successful in protectng vonoprazan and any future product candidates by obtaining and defending patents. These risks and uncertaintes include the following:</w:t>
      </w:r>
    </w:p>
    <w:p>
      <w:pPr>
        <w:spacing w:after="0" w:line="192" w:lineRule="exact"/>
        <w:rPr>
          <w:sz w:val="20"/>
          <w:szCs w:val="20"/>
          <w:color w:val="auto"/>
        </w:rPr>
      </w:pPr>
    </w:p>
    <w:p>
      <w:pPr>
        <w:ind w:left="900" w:right="100" w:hanging="383"/>
        <w:spacing w:after="0" w:line="235" w:lineRule="auto"/>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applicaton, and partal or complete loss of patent rights in the relevant jurisdicton;</w:t>
      </w:r>
    </w:p>
    <w:p>
      <w:pPr>
        <w:spacing w:after="0" w:line="20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 applicatons may not result in any patents being issued;</w:t>
      </w:r>
    </w:p>
    <w:p>
      <w:pPr>
        <w:spacing w:after="0" w:line="190" w:lineRule="exact"/>
        <w:rPr>
          <w:rFonts w:ascii="Times New Roman" w:cs="Times New Roman" w:eastAsia="Times New Roman" w:hAnsi="Times New Roman"/>
          <w:sz w:val="18"/>
          <w:szCs w:val="18"/>
          <w:color w:val="auto"/>
        </w:rPr>
      </w:pPr>
    </w:p>
    <w:p>
      <w:pPr>
        <w:ind w:left="900" w:right="720" w:hanging="383"/>
        <w:spacing w:after="0" w:line="235" w:lineRule="auto"/>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may be challenged, invalidated, modifed, revoked, circumvented, found to be unenforceable or otherwise may not provide any compettve advantage;</w:t>
      </w:r>
    </w:p>
    <w:p>
      <w:pPr>
        <w:spacing w:after="0" w:line="190"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many of whom have substantally greater resources than we do and many of whom have made signifcant investments in competng technologies, may seek or may have already obtained patents that will limit, interfere with or block our ability to make, use and sell vonoprazan and any future product candidates;</w:t>
      </w:r>
    </w:p>
    <w:p>
      <w:pPr>
        <w:spacing w:after="0" w:line="205"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there may be signifcant pressure on the U.S. government and internatonal governmental bodies to limit the scope of patent protecton both inside and outside the United States for disease treatments that prove successful, as a mater of public policy regarding worldwide health concerns; and</w:t>
      </w:r>
    </w:p>
    <w:p>
      <w:pPr>
        <w:spacing w:after="0" w:line="191" w:lineRule="exact"/>
        <w:rPr>
          <w:rFonts w:ascii="Times New Roman" w:cs="Times New Roman" w:eastAsia="Times New Roman" w:hAnsi="Times New Roman"/>
          <w:sz w:val="18"/>
          <w:szCs w:val="18"/>
          <w:color w:val="auto"/>
        </w:rPr>
      </w:pPr>
    </w:p>
    <w:p>
      <w:pPr>
        <w:ind w:left="900" w:right="500" w:hanging="383"/>
        <w:spacing w:after="0" w:line="235" w:lineRule="auto"/>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countries other than the United States may have patent laws less favorable to patentees than those upheld by U.S. courts, allowing foreign compettors a beter opportunity to create, develop and market competng products.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patent prosecuton process is also expensive and tme consuming, and we and our licensor may not be able to fle and prosecute all necessary or desirable patent applicatons at a reasonable cost or in a tmely manner or in all jurisdictons where protecton may be commercially advantageous. It is also possible that we and our licensor will fail to identfy patentable aspects of our research and development output before it is too late to obtain patent protecton. Moreover, in some circumstances such as under the Takeda License, we do not have the right to control the preparaton, fling and prosecuton of patent applicatons, or to maintain the patents, directed to technology that we license from third partes. We may also require the cooperaton of our licensors in order to enforce the licensed patent rights, and such cooperaton may not be provided. Therefore, these patents and applicatons may not be prosecuted and enforced in a manner consistent with the best interests of our business.</w:t>
      </w:r>
    </w:p>
    <w:p>
      <w:pPr>
        <w:spacing w:after="0" w:line="195"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cannot be certain that patent prosecuton and maintenance actvites by our licensors have been or will be conducted in compliance with applicable laws and regulatons, which may afect the validity and enforceability of such patents or any patents that may issue from such applicatons. If they fail to do so, this could cause us to lose rights in any applicable intellectual property that we in-license, and as a result our ability to develop and commercialize products or product candidates may be adversely afected and we may be unable to prevent compettors from making, using and selling competng products.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9" w:name="page120"/>
    <w:bookmarkEnd w:id="119"/>
    <w:p>
      <w:pPr>
        <w:ind w:right="80" w:firstLine="509"/>
        <w:spacing w:after="0" w:line="235" w:lineRule="auto"/>
        <w:rPr>
          <w:sz w:val="20"/>
          <w:szCs w:val="20"/>
          <w:color w:val="auto"/>
        </w:rPr>
      </w:pPr>
      <w:r>
        <w:rPr>
          <w:rFonts w:ascii="Calibri" w:cs="Calibri" w:eastAsia="Calibri" w:hAnsi="Calibri"/>
          <w:sz w:val="18"/>
          <w:szCs w:val="18"/>
          <w:color w:val="auto"/>
        </w:rPr>
        <w:t>In additon, although we enter into non-disclosure and confdentality agreements with partes who have access to patentable aspects of our research and development output, such as our employees, outside scientfc collaborators, CROs, third-party manufacturers, consultants, advisors and other third partes, any of these partes may breach such agreements and disclose such output before a patent applicaton is fled, thereby jeopardizing our ability to seek patent protecton.</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our obligatons in the agreements under which we license intellectual property rights from third partes, including our rights in vonoprazan licensed from Takeda, or otherwise experience disruptons to our business relatonships with our licensors, we could lose license rights that are important to our business.</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are a party to the Takeda License under which we are granted rights to intellectual property that are important to our business and we may enter into additonal license agreements in the future with other third partes. The Takeda License imposes, and we expect that any future license agreements where we in-license intellectual property, will impose on us, various development, regulatory and/or commercial diligence obligatons, payment of milestones and/or royaltes and other obligatons. If we fail to comply with our obligatons under these agreements, or we are subject to bankruptcy-related proceedings, the licensor may have the right to terminate the license, in which event we would not be able to market products covered by the license. Additonally, if a future license agreement includes a sublicense from a third party who is not the original licensor of the intellectual property at issue, then we must rely on our direct licensor to comply with its obligatons under the primary license agreements under which such licensor obtained rights in the applicable intellectual property, where we may have no relatonship with the original licensor of such rights. If such a licensor fails to comply with its obligatons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contnue to develop and commercialize vonoprazan and any future product candidates incorporatng the relevant intellectual property.</w:t>
      </w:r>
    </w:p>
    <w:p>
      <w:pPr>
        <w:spacing w:after="0" w:line="187"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We may need to obtain further licenses from third partes to advance our research or allow commercializaton of vonoprazan and any future product candidates, and we cannot provide any assurances that third-party patents do not exist which might be enforced against vonoprazan and any future product candidates in the absence of such a license. We may fail to obtain any of these licenses on commercially reasonable terms, if at all. Even if we are able to obtain a license, it may be non-exclusive, thereby giving our compettors access to the same technologies licensed to us. In that event, we may be required to expend signifcant tme and resources to develop or license replacement technology. If we are unable to do so, we may be unable to develop or commercialize the afected product candidates, which could materially harm our business and the third partes owning such intellectual property rights could seek either an injuncton prohibitng our sales, or, with respect to our sales, an obligaton on our part to pay royaltes and/or other forms of compensaton.</w:t>
      </w:r>
    </w:p>
    <w:p>
      <w:pPr>
        <w:spacing w:after="0" w:line="16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Licensing of intellectual property is of critcal importance to our business and involves complex legal, business and scientfc issues. Disputes may arise between us and our licensors regarding intellectual property subject to a license agreement, including:</w:t>
      </w:r>
    </w:p>
    <w:p>
      <w:pPr>
        <w:spacing w:after="0" w:line="186"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of rights granted under the license agreement and other interpretaton-related issues;</w:t>
      </w:r>
    </w:p>
    <w:p>
      <w:pPr>
        <w:spacing w:after="0" w:line="203"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right to sublicense patents and other rights to third partes;</w:t>
      </w:r>
    </w:p>
    <w:p>
      <w:pPr>
        <w:spacing w:after="0" w:line="190"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diligence obligatons with respect to the use of the licensed technology in relaton to our development and commercializaton of vonoprazan and any future product candidates, and what actvites satsfy those diligence obligatons;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20" w:name="page121"/>
    <w:bookmarkEnd w:id="120"/>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right to transfer or assign the license; and</w:t>
      </w:r>
    </w:p>
    <w:p>
      <w:pPr>
        <w:spacing w:after="0" w:line="190" w:lineRule="exact"/>
        <w:rPr>
          <w:rFonts w:ascii="Times New Roman" w:cs="Times New Roman" w:eastAsia="Times New Roman" w:hAnsi="Times New Roman"/>
          <w:sz w:val="18"/>
          <w:szCs w:val="18"/>
          <w:color w:val="auto"/>
        </w:rPr>
      </w:pPr>
    </w:p>
    <w:p>
      <w:pPr>
        <w:ind w:left="900" w:right="500" w:hanging="383"/>
        <w:spacing w:after="0" w:line="235" w:lineRule="auto"/>
        <w:tabs>
          <w:tab w:leader="none" w:pos="90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ownership of inventons and know-how resultng from the joint creaton or use of intellectual property by our licensors and us and our partners.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disputes over intellectual property that we have licensed prevent or impair our ability to maintain our current licensing arrangements on acceptable terms, we may not be able to successfully develop and commercialize the afected product candidates, which would have a material adverse efect on our business.</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additon, certain of our agreements may limit or delay our ability to consummate certain transactons, may impact the value of those transactons, or may limit our ability to pursue certain actvites. For example, if we choose to sublicense or assign to any third partes our rights under our existng license agreement with Takeda with respect to any licensed product, we may be required to wait for a certain period or untl the occurrence of certain funding or development milestones.</w:t>
      </w:r>
    </w:p>
    <w:p>
      <w:pPr>
        <w:spacing w:after="0" w:line="17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If the scope of any patent protecton we obtain is not sufciently broad, or if we lose any of our patent protecton, our ability to prevent our compettors from commercializing similar or identcal product candidates would be adversely afected.</w:t>
      </w:r>
    </w:p>
    <w:p>
      <w:pPr>
        <w:spacing w:after="0" w:line="177"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The patent positon of biopharmaceutcal companies generally is highly uncertain, involves complex legal and factual questons, and has been the subject of much litgaton in recent years. As a result, the issuance, scope, validity, enforceability and commercial value of our patent rights are highly uncertain. Our in-licensed pending and future patent applicatons may not result in patents being issued which protect vonoprazan or any future product candidates or which efectvely prevent others from commercializing compettve product candidates.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Moreover, the coverage claimed in a patent applicaton can be signifcantly reduced before the patent is issued, and its scope can be reinterpreted afer issuance. Even if patent applicatons we own in the future or license currently issue as patents, they may not issue in a form that will provide us with any meaningful protecton, prevent compettors or other third partes from competng with us, or otherwise provide us with any compettve advantage. Any future patents that we own or license, now or in the future, may be challenged or circumvented by third partes or may be narrowed or invalidated as a result of challenges by third partes. Consequently, we do not know whether vonoprazan or any future product candidates will be protectable or remain protected by valid and enforceable patents. Our compettors or other third partes may be able to circumvent our future patents or the patents of our current and future licensors by developing similar or alternatve technologies or products in a non-infringing manner which could materially adversely afect our business, fnancial conditon, results of operatons and prospects.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121" w:name="page122"/>
    <w:bookmarkEnd w:id="121"/>
    <w:p>
      <w:pPr>
        <w:ind w:firstLine="509"/>
        <w:spacing w:after="0" w:line="250" w:lineRule="auto"/>
        <w:rPr>
          <w:sz w:val="20"/>
          <w:szCs w:val="20"/>
          <w:color w:val="auto"/>
        </w:rPr>
      </w:pPr>
      <w:r>
        <w:rPr>
          <w:rFonts w:ascii="Calibri" w:cs="Calibri" w:eastAsia="Calibri" w:hAnsi="Calibri"/>
          <w:sz w:val="17"/>
          <w:szCs w:val="17"/>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ofces in the United States and abroad. We may be subject to a third party pre-issuance submission of prior art to the USPTO, or become involved in oppositon, derivaton, revocaton, reexaminaton, post-grant review, or PGR, and inter partes review, or IPR, or other similar proceedings in the USPTO or foreign patent ofces challenging our patent rights. The outcome following legal assertons of invalidity and unenforceability is unpredictable. With respect to the validity queston, for example, we cannot be certain that there is no invalidatng prior art, of which we or our predecessors and the patent examiner were unaware during prosecuton. There is no assurance that all potentally relevant prior art relatng to our in-licensed patents and patent applicatons has been found. There is also no assurance that there is not prior art of which we, our predecessors or licensors are aware, but which we do not believe afects the validity or enforceability of a claim in our in-licensed patents and patent applicatons, which may, nonetheless, ultmately be found to afect the validity or enforceability of a claim. An adverse determinaton in any such submission, proceeding or litgaton could reduce the scope of, or invalidate or render unenforceable, our patent rights, allow third partes to commercialize vonoprazan or any future product candidates and compete directly with us, without payment to us. It is possible that defects of form in the preparaton or fling of our or our current and future licensors’ patents or patent applicatons may exist, or may arise in the future, for example with respect to proper priority claims, inventorship, claim scope, or requests for patent term adjustments. If there are material defects in the form, preparaton, prosecuton, or enforcement of our future patents or future patent applicatons or our current and future licensors’ patents or patent applicatons, such patents may be invalid and/or unenforceable, and such applicatons may never result in valid, enforceable patents.</w:t>
      </w:r>
    </w:p>
    <w:p>
      <w:pPr>
        <w:spacing w:after="0" w:line="173"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Any loss of patent rights, loss of exclusivity or in patent claims being narrowed, invalidated or held unenforceable could limit our ability to stop others from using or commercializing similar or identcal technology and products, or limit the duraton of the patent protecton of vonoprazan or any future product candidates, which could materially and adversely impact our business. Such proceedings also may result in substantal cost and require signifcant tme from our scientsts and management, even if the eventual outcome is favorable to us. In additon, if the breadth or strength of protecton provided by our future patents and future patent applicatons or the patents and patent applicatons of our current and future licensors is threatened, regardless of the outcome, it could dissuade companies from collaboratng with us to license, develop or commercialize vonoprazan or any future product candidates.</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patent protecton and patent prosecuton for vonoprazan or any future product candidates may be dependent on third partes.</w:t>
      </w:r>
    </w:p>
    <w:p>
      <w:pPr>
        <w:spacing w:after="0" w:line="19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may rely on third partes to fle and prosecute patent applicatons and maintain patents and otherwise protect the licensed intellectual property under certain current and future license agreements, such as the Takeda License. Under such arrangements, we may not have primary control over these actvites for certain of licensed patents or patent applicatons and other intellectual property rights. We cannot be certain that such actvites by third partes have been or will be conducted in compliance with applicable laws and regulatons or will result in valid and enforceable patents or other intellectual property rights. In additon, our current and future licensors may not be fully cooperatve or disagree with us as to the prosecuton, maintenance or enforcement of any patent rights, which could compromise such patent rights. We may in the future enter into license agreements where the licensors may have the right to control enforcement of our licensed patents or defense of any claims assertng the invalidity of these patents and even if we are permited to pursue such enforcement or defense, we will require the cooperaton of our licensors. We cannot be certain that our licensors will allocate sufcient resources or prioritze their or our enforcement of such patents or defense of such claims to protect our interests in the licensed patents. Even if we are not a party to these legal actons, an adverse outcome could harm our business because it might prevent us from contnuing to license intellectual property that we may need to operate our business. If any of our licensors or any of our future licensors or future collaborators fail to appropriately prosecute and maintain patent protecton for patents covering vonoprazan or any future product candidates, our ability to develop and commercialize those product candidates may be adversely afected and we may not be able to prevent compettors from making, using and selling competng products.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22" w:name="page123"/>
    <w:bookmarkEnd w:id="122"/>
    <w:p>
      <w:pPr>
        <w:jc w:val="both"/>
        <w:ind w:right="100" w:firstLine="509"/>
        <w:spacing w:after="0" w:line="235" w:lineRule="auto"/>
        <w:rPr>
          <w:sz w:val="20"/>
          <w:szCs w:val="20"/>
          <w:color w:val="auto"/>
        </w:rPr>
      </w:pPr>
      <w:r>
        <w:rPr>
          <w:rFonts w:ascii="Calibri" w:cs="Calibri" w:eastAsia="Calibri" w:hAnsi="Calibri"/>
          <w:sz w:val="18"/>
          <w:szCs w:val="18"/>
          <w:color w:val="auto"/>
        </w:rPr>
        <w:t>In additon, even where we have the right to control prosecuton of patent applicatons or enforcement of patents we have acquired or licensed from third partes, we may stll be adversely afected or prejudiced by actons or inactons of our predecessors or licensors and their counsel that took place prior to us assuming control over such actvites.</w:t>
      </w:r>
    </w:p>
    <w:p>
      <w:pPr>
        <w:spacing w:after="0" w:line="178" w:lineRule="exact"/>
        <w:rPr>
          <w:sz w:val="20"/>
          <w:szCs w:val="20"/>
          <w:color w:val="auto"/>
        </w:rPr>
      </w:pPr>
    </w:p>
    <w:p>
      <w:pPr>
        <w:ind w:right="100" w:firstLine="509"/>
        <w:spacing w:after="0" w:line="251" w:lineRule="auto"/>
        <w:rPr>
          <w:sz w:val="20"/>
          <w:szCs w:val="20"/>
          <w:color w:val="auto"/>
        </w:rPr>
      </w:pPr>
      <w:r>
        <w:rPr>
          <w:rFonts w:ascii="Calibri" w:cs="Calibri" w:eastAsia="Calibri" w:hAnsi="Calibri"/>
          <w:sz w:val="17"/>
          <w:szCs w:val="17"/>
          <w:color w:val="auto"/>
        </w:rPr>
        <w:t>Third partes may retain certain rights to the technology that they license to us, including the right to use the underlying technology for noncommercial academic and research use, to publish general scientfc fndings from research related to the technology, and to make customary scientfc and scholarly disclosures of informaton relatng to the technology. For example, under the Takeda License, Takeda retained the rights to the inventons in all countries other than the United States, Europe, and Canada. Takeda also retained the right to develop certain drug products that contain vonoprazan where vonoprazan is not the only actve pharmaceutcal ingredient. It is difcult to monitor whether our predecessors or licensors limit their use of the technology to these uses, and we could incur substantal expenses to enforce our rights to our licensed technology in the event of misuse.</w:t>
      </w:r>
    </w:p>
    <w:p>
      <w:pPr>
        <w:spacing w:after="0" w:line="16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we are limited in our ability to utlize acquired or licensed technologies, or if we lose our rights to critcal in-licensed technology, we may be unable to successfully develop, out-license, market and sell our products, which could prevent or delay new product introductons. Our business strategy depends on the successful development of licensed and acquired technologies into commercial products. Therefore, any limitatons on our ability to utlize these technologies may impair our ability to develop, out-license or market and sell our product candidate.</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123" w:name="page124"/>
    <w:bookmarkEnd w:id="123"/>
    <w:p>
      <w:pPr>
        <w:spacing w:after="0"/>
        <w:rPr>
          <w:sz w:val="20"/>
          <w:szCs w:val="20"/>
          <w:color w:val="auto"/>
        </w:rPr>
      </w:pPr>
      <w:r>
        <w:rPr>
          <w:rFonts w:ascii="Calibri" w:cs="Calibri" w:eastAsia="Calibri" w:hAnsi="Calibri"/>
          <w:sz w:val="18"/>
          <w:szCs w:val="18"/>
          <w:b w:val="1"/>
          <w:bCs w:val="1"/>
          <w:i w:val="1"/>
          <w:iCs w:val="1"/>
          <w:color w:val="auto"/>
        </w:rPr>
        <w:t>Intellectual property rights do not necessarily address all potental threats to our compettve advantage.</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degree of future protecton aforded by our intellectual property rights is uncertain because intellectual property rights have limitatons and may not adequately protect our business or permit us to maintain our compettve advantage. For example:</w:t>
      </w:r>
    </w:p>
    <w:p>
      <w:pPr>
        <w:spacing w:after="0" w:line="191" w:lineRule="exact"/>
        <w:rPr>
          <w:sz w:val="20"/>
          <w:szCs w:val="20"/>
          <w:color w:val="auto"/>
        </w:rPr>
      </w:pPr>
    </w:p>
    <w:p>
      <w:pPr>
        <w:ind w:left="900" w:hanging="383"/>
        <w:spacing w:after="0" w:line="235" w:lineRule="auto"/>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others may be able to develop products that are similar to vonoprazan or any future product candidates but that are not covered by the claims of the patents that we own in the future or license;</w:t>
      </w:r>
    </w:p>
    <w:p>
      <w:pPr>
        <w:spacing w:after="0" w:line="204"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current and future licensors or predecessors might not have been the frst to make the inventons covered by the issued patents or patent applicatons that we own in the future or license;</w:t>
      </w:r>
    </w:p>
    <w:p>
      <w:pPr>
        <w:spacing w:after="0" w:line="190"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current and future licensors or predecessors might not have been the frst to fle patent applicatons covering certain of the claimed inventons;</w:t>
      </w:r>
    </w:p>
    <w:p>
      <w:pPr>
        <w:spacing w:after="0" w:line="190"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others may independently develop similar or alternatve technologies or duplicate any of our technologies without infringing our intellectual property rights;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it is possible that the pending patent applicatons we own or license will not lead to issued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patents that we own in the future or license may be held invalid or unenforceable, as a result of legal challenges by our compettors;</w:t>
      </w:r>
    </w:p>
    <w:p>
      <w:pPr>
        <w:spacing w:after="0" w:line="190" w:lineRule="exact"/>
        <w:rPr>
          <w:rFonts w:ascii="Times New Roman" w:cs="Times New Roman" w:eastAsia="Times New Roman" w:hAnsi="Times New Roman"/>
          <w:sz w:val="18"/>
          <w:szCs w:val="18"/>
          <w:color w:val="auto"/>
        </w:rPr>
      </w:pPr>
    </w:p>
    <w:p>
      <w:pPr>
        <w:ind w:left="900" w:right="780" w:hanging="383"/>
        <w:spacing w:after="0" w:line="235" w:lineRule="auto"/>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might conduct research and development actvites in countries where we do not have patent rights and then use the informaton learned from such actvites to develop compettve products for sale in our major commercial markets;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develop additonal proprietary technologies that are patentable;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patents of others may have an adverse efect on our business.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Should any of these events occur, it could signifcantly harm our business, results of operatons and prospects.</w:t>
      </w:r>
    </w:p>
    <w:p>
      <w:pPr>
        <w:spacing w:after="0" w:line="190"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b w:val="1"/>
          <w:bCs w:val="1"/>
          <w:i w:val="1"/>
          <w:iCs w:val="1"/>
          <w:color w:val="auto"/>
        </w:rPr>
        <w:t>Our commercial success depends signifcantly on our ability to operate without infringing the patents and other proprietary rights of third partes. Claims by third partes that we infringe their proprietary rights may result in liability for damages or prevent or delay our developmental and commercializaton eforts.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commercial success depends in part on avoiding infringement of the patents and proprietary rights of third partes. However, our research, development and commercializaton actvites may be subject to claims that we infringe or otherwise violate patents or other intellectual property rights owned or controlled by third partes. Other enttes may have or obtain patents or proprietary rights that could limit our ability to make, use, sell, ofer for sale or import vonoprazan and any future product candidates and products that may be approved in the future, or impair our compettve positon. There is a substantal amount of litgaton, both within and outside the United States, involving patent and other intellectual property rights in the biopharmaceutcal industry, including patent infringement lawsuits, oppositons, reexaminatons, IPR proceedings and PGR proceedings before the USPTO and/ or foreign patent ofces. Numerous third-party U.S. and foreign issued patents and pending patent applicatons exist in the felds in which we are developing product candidates. There may be third-party patents or patent applicatons with claims to materials, formulatons, methods of manufacture or methods for treatment related to the use or manufacture of vonoprazan and any future product candidates.</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124" w:name="page125"/>
    <w:bookmarkEnd w:id="124"/>
    <w:p>
      <w:pPr>
        <w:ind w:firstLine="509"/>
        <w:spacing w:after="0" w:line="235" w:lineRule="auto"/>
        <w:rPr>
          <w:sz w:val="20"/>
          <w:szCs w:val="20"/>
          <w:color w:val="auto"/>
        </w:rPr>
      </w:pPr>
      <w:r>
        <w:rPr>
          <w:rFonts w:ascii="Calibri" w:cs="Calibri" w:eastAsia="Calibri" w:hAnsi="Calibri"/>
          <w:sz w:val="18"/>
          <w:szCs w:val="18"/>
          <w:color w:val="auto"/>
        </w:rPr>
        <w:t>As the biopharmaceutcal industry expands and more patents are issued, the risk increases that vonoprazan and any future product candidates may be subject to claims of infringement of the patent rights of third partes. Because patent applicatons are maintained as confdental for a certain period of tme, untl the relevant applicaton is published we may be unaware of third-party patents that may be infringed by commercializaton of vonoprazan and any future product candidates, and we cannot be certain that we were the frst to fle a patent applicaton related to a product candidate or technology. Moreover, because patent applicatons can take many years to issue, there may be currently pending patent applicatons that may later result in issued patents that vonoprazan and any future product candidates may infringe. In additon, identfcaton of third-party patent rights that may be relevant to our technology is difcult because patent searching is imperfect due to diferences in terminology among patents, incomplete databases and the difculty in assessing the meaning of patent claims. In additon, third partes may obtain patents in the future and claim that use of our technologies infringes upon these patents. Any claims of patent infringement asserted by third partes would be tme consuming and could:</w:t>
      </w:r>
    </w:p>
    <w:p>
      <w:pPr>
        <w:spacing w:after="0" w:line="192"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result in costly litgaton that may cause negatve publicity;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divert the tme and atenton of our technical personnel and management;</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cause development delays;</w:t>
      </w:r>
    </w:p>
    <w:p>
      <w:pPr>
        <w:spacing w:after="0" w:line="190"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 us from commercializing vonoprazan and any future product candidates untl the asserted patent expires or is held fnally invalid or not infringed in a court of law;</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us to develop non-infringing technology, which may not be possible on a cost-efectve basis;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us to signifcant liability to third partes; or</w:t>
      </w:r>
    </w:p>
    <w:p>
      <w:pPr>
        <w:spacing w:after="0" w:line="190"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us to enter into royalty or licensing agreements, which may not be available on commercially reasonable terms, or at all, or which might be non-exclusive, which could result in our compettors gaining access to the same technology.</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Although no third party has asserted a claim of patent infringement against us as of the date of this annual report, others may hold proprietary rights that could prevent vonoprazan and any future product candidates from being marketed.</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Any patent-related legal acton against us claiming damages and seeking to enjoin actvites relatng to vonoprazan and any future product candidates or processes could subject us to potental liability for damages, including treble damages if we were determined to willfully infringe, and require us to obtain a license to manufacture or develop vonoprazan and any future product candidates. Defense of these claims, regardless of their merit, would involve substantal litgaton expense and would be a substantal diversion of employee resources from our business. We cannot predict whether we would prevail in any such actons or that any license required under any of these patents would be made available on commercially acceptable terms, if at all. Moreover, even if we or our future strategic partners were able to obtain a license, the rights may be nonexclusive, which could result in our compettors gaining access to the same intellectual property. In additon, we cannot be certain that we could redesign vonoprazan and any future product candidates or processes to avoid infringement, if necessary. Accordingly, an adverse determinaton in a judicial or administratve proceeding, or the failure to obtain necessary licenses, could prevent us from developing and commercializing vonoprazan and any future product candidates, which could harm our business, fnancial conditon and operatng results.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25" w:name="page126"/>
    <w:bookmarkEnd w:id="125"/>
    <w:p>
      <w:pPr>
        <w:ind w:right="80" w:firstLine="509"/>
        <w:spacing w:after="0" w:line="235" w:lineRule="auto"/>
        <w:rPr>
          <w:sz w:val="20"/>
          <w:szCs w:val="20"/>
          <w:color w:val="auto"/>
        </w:rPr>
      </w:pPr>
      <w:r>
        <w:rPr>
          <w:rFonts w:ascii="Calibri" w:cs="Calibri" w:eastAsia="Calibri" w:hAnsi="Calibri"/>
          <w:sz w:val="18"/>
          <w:szCs w:val="18"/>
          <w:color w:val="auto"/>
        </w:rPr>
        <w:t>Partes making claims against us may be able to sustain the costs of complex patent litgaton more efectvely than we can because they have substantally greater resources. Furthermore, because of the substantal amount of discovery required in connecton with intellectual property litgaton or administratve proceedings, there is a risk that some of our confdental informaton could be compromised by disclosure. In additon, any uncertaintes resultng from the initaton and contnuaton of any litgaton could have a material adverse efect on our ability to raise additonal funds or otherwise have a material adverse efect on our business, results of operatons, fnancial conditon and prospects.</w:t>
      </w:r>
    </w:p>
    <w:p>
      <w:pPr>
        <w:spacing w:after="0" w:line="180"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b w:val="1"/>
          <w:bCs w:val="1"/>
          <w:i w:val="1"/>
          <w:iCs w:val="1"/>
          <w:color w:val="auto"/>
        </w:rPr>
        <w:t>We may not be successful in obtaining or maintaining necessary rights to vonoprazan and any future product candidates through acquisitons and in-licenses.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our development programs may in the future require the use of proprietary rights held by other third partes, the growth of our business may depend in part on our ability to acquire, in-license, or use these third-party proprietary rights. We may be unable to acquire or in-license any compositons, methods of use, processes or other third-party intellectual property rights from third partes that we identfy as necessary for vonoprazan and any future product candidates. The licensing and acquisiton of third-party intellectual property rights is a compettve area, and a number of more established companies are also pursuing strategies to license or acquire third-party intellectual property rights that we may consider atractve. These established companies may have a compettve advantage over us due to their size, cash resources and greater clinical development and commercializaton capabilites. In additon, companies that perceive us to be a compettor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existng intellectual property rights we have, we may have to abandon development of that program and our business and fnancial conditon could sufer.</w:t>
      </w:r>
    </w:p>
    <w:p>
      <w:pPr>
        <w:spacing w:after="0" w:line="19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may be involved in lawsuits to protect or enforce our future patents or the patents of our current and future licensors, which could be expensive, tme consuming and unsuccessful. Further, our future issued patents or the patents of our current and future licensors could be found invalid or unenforceable if challenged in court.</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Compettors may infringe our intellectual property rights or those of our current and future licensors. To prevent infringement or unauthorized use, we and/or any such licensors may be required to fle infringement claims, which can be expensive and tme consuming. In additon, in a patent infringement proceeding, a court may decide that a patent we own or license is not valid, is unenforceable and/or is not infringed. If we or any of our current and future licensors were to initate legal proceedings against a third party to enforce a patent directed at vonoprazan and any future product candidates, the defendant could counterclaim that our patent or the patent of our current or future licensor is invalid and/or unenforceable in whole or in part. In patent litgaton, defendant counterclaims alleging invalidity and/or unenforceability are commonplace. Grounds for a validity challenge include an alleged failure to meet any of several statutory requirements, including lack of novelty, obviousness, writen descripton, non-enablement, or obviousness-type double patentng. Grounds for an unenforceability asserton could include an allegaton that someone connected with prosecuton of the patent withheld relevant informaton from the USPTO or made a misleading statement during prosecuton.</w:t>
      </w:r>
    </w:p>
    <w:p>
      <w:pPr>
        <w:spacing w:after="0" w:line="1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If a defendant were to prevail on a legal asserton of invalidity and/or unenforceability, we would lose at least part, and perhaps all, of the patent protecton on such product candidate. In additon, if the breadth or strength of protecton provided by our future patents and future patent applicatons or those of our current and future licensors is threatened, it could dissuade companies from collaboratng with us to license, develop or commercialize current or future product candidates. Such a loss of patent protecton would have a material adverse impact on our business.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26" w:name="page127"/>
    <w:bookmarkEnd w:id="126"/>
    <w:p>
      <w:pPr>
        <w:ind w:firstLine="509"/>
        <w:spacing w:after="0" w:line="235" w:lineRule="auto"/>
        <w:rPr>
          <w:sz w:val="20"/>
          <w:szCs w:val="20"/>
          <w:color w:val="auto"/>
        </w:rPr>
      </w:pPr>
      <w:r>
        <w:rPr>
          <w:rFonts w:ascii="Calibri" w:cs="Calibri" w:eastAsia="Calibri" w:hAnsi="Calibri"/>
          <w:sz w:val="18"/>
          <w:szCs w:val="18"/>
          <w:color w:val="auto"/>
        </w:rPr>
        <w:t>Even if resolved in our favor, litgaton or other legal proceedings relatng to our intellectual property rights may cause us to incur signifcant expenses and could distract our technical and management personnel from their normal responsibilites. Such litgaton or proceedings could substantally increase our operatng losses and reduce the resources available for development actvites or any future sales, marketng or distributon actvites. We may not have sufcient fnancial or other resources to conduct such litgaton or proceedings adequately. Some of our compettors may be able to sustain the costs of such litgaton or proceedings more efectvely than we can because of their greater fnancial resources. Uncertaintes resultng from the initaton and contnuaton of patent litgaton or other proceedings could compromise our ability to compete in the marketplace.</w:t>
      </w:r>
    </w:p>
    <w:p>
      <w:pPr>
        <w:spacing w:after="0" w:line="181" w:lineRule="exact"/>
        <w:rPr>
          <w:sz w:val="20"/>
          <w:szCs w:val="20"/>
          <w:color w:val="auto"/>
        </w:rPr>
      </w:pPr>
    </w:p>
    <w:p>
      <w:pPr>
        <w:jc w:val="both"/>
        <w:ind w:right="260" w:firstLine="509"/>
        <w:spacing w:after="0" w:line="235" w:lineRule="auto"/>
        <w:rPr>
          <w:sz w:val="20"/>
          <w:szCs w:val="20"/>
          <w:color w:val="auto"/>
        </w:rPr>
      </w:pPr>
      <w:r>
        <w:rPr>
          <w:rFonts w:ascii="Calibri" w:cs="Calibri" w:eastAsia="Calibri" w:hAnsi="Calibri"/>
          <w:sz w:val="18"/>
          <w:szCs w:val="18"/>
          <w:color w:val="auto"/>
        </w:rPr>
        <w:t>Furthermore, because of the substantal amount of discovery required in connecton with intellectual property litgaton or other legal proceedings relatng to our intellectual property rights, there is a risk that some of our confdental informaton could be compromised by disclosure during this type of litgaton or other proceedings.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27" w:name="page128"/>
    <w:bookmarkEnd w:id="127"/>
    <w:p>
      <w:pPr>
        <w:spacing w:after="0"/>
        <w:rPr>
          <w:sz w:val="20"/>
          <w:szCs w:val="20"/>
          <w:color w:val="auto"/>
        </w:rPr>
      </w:pPr>
      <w:r>
        <w:rPr>
          <w:rFonts w:ascii="Calibri" w:cs="Calibri" w:eastAsia="Calibri" w:hAnsi="Calibri"/>
          <w:sz w:val="17"/>
          <w:szCs w:val="17"/>
          <w:b w:val="1"/>
          <w:bCs w:val="1"/>
          <w:i w:val="1"/>
          <w:iCs w:val="1"/>
          <w:color w:val="auto"/>
        </w:rPr>
        <w:t>Intellectual property litgaton may lead to unfavorable publicity that harms our reputaton and causes the market price of our common shares to decline.</w:t>
      </w:r>
    </w:p>
    <w:p>
      <w:pPr>
        <w:spacing w:after="0" w:line="1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During the course of any intellectual property litgaton, there could be public announcements of the initaton of the litgaton as well as results of hearings, rulings on motons, and other interim proceedings in the litgaton. If securites analysts or investors regard these announcements as negatve, the perceived value of our existng products, programs or intellectual property could be diminished. Accordingly, the market price of shares of our common stock may decline. Such announcements could also harm our reputaton or the market for our future products, which could have a material adverse efect on our business.</w:t>
      </w:r>
    </w:p>
    <w:p>
      <w:pPr>
        <w:spacing w:after="0" w:line="180"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Derivaton or interference proceedings may be necessary to determine priority of inventons, and an unfavorable outcome may require us to cease using the related technology or to atempt to license rights from the prevailing party.</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Derivaton or interference proceedings provoked by third partes or brought by us or declared by the USPTO or similar proceedings in foreign patent ofces may be necessary to determine the priority of inventons with respect to our future patents or future patent applicatons or those of our current and future licensors. An unfavorable outcome could require us to cease using the related technology or to atempt to license rights to it from the prevailing party. Our business could be harmed if the prevailing party does not ofer us a license on commercially reasonable terms. Our defense of such proceedings may fail and, even if successful, may result in substantal costs and distract our management and other employees. In additon, the uncertaintes associated with such proceedings could have a material adverse efect on our ability to raise the funds necessary to contnue our clinical trials, contnue our research programs, license necessary technology from third partes or enter into development or manufacturing partnerships that would help us bring vonoprazan and any future product candidates to market.</w:t>
      </w:r>
    </w:p>
    <w:p>
      <w:pPr>
        <w:spacing w:after="0" w:line="18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Patent reform legislaton could increase the uncertaintes and costs surrounding the prosecuton of our future patent applicatons or those of our current and future licensors and the enforcement or defense of our future issued patents or those of our current and future licensors.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On September 16, 2011, the Leahy-Smith America Invents Act, or Leahy-Smith Act, was signed into law. The Leahy-Smith Act includes a number of signifcant changes to U.S. patent law. These include provisions that afect the way patent applicatons will be prosecuted and may also afect patent litgaton. In partcular, under the Leahy-Smith Act, the United States transitoned in March 2013 to a “frst inventor to fle” system in which, assuming that other requirements of patentability are met, the frst inventor to fle a patent applicaton will be enttled to the patent regardless of whether a third party was frst to invent the claimed inventon. A third party that fles a patent applicaton in the USPTO afer March 2013 but before us could therefore be awarded a patent covering an inventon of ours even if we had made the inventon before it was made by such third party. This will require us to be cognizant going forward of the tme from inventon to fling of a patent applicaton. Furthermore, our ability to obtain and maintain valid and enforceable patents depends on whether the diferences between our technology and the prior art allow our technology to be patentable over the prior art. Since patent applicatons in the United States and most other countries are confdental for a period of tme afer fling or untl issuance, we may not be certain that we or our current and future licensors are the frst to either (1) fle any patent applicaton related to vonoprazan and any future product candidates or (2) invent any of the inventons claimed in the patents or patent applicatons.</w:t>
      </w:r>
    </w:p>
    <w:p>
      <w:pPr>
        <w:spacing w:after="0" w:line="198" w:lineRule="exact"/>
        <w:rPr>
          <w:sz w:val="20"/>
          <w:szCs w:val="20"/>
          <w:color w:val="auto"/>
        </w:rPr>
      </w:pPr>
    </w:p>
    <w:p>
      <w:pPr>
        <w:ind w:right="160" w:firstLine="509"/>
        <w:spacing w:after="0" w:line="252" w:lineRule="auto"/>
        <w:rPr>
          <w:sz w:val="20"/>
          <w:szCs w:val="20"/>
          <w:color w:val="auto"/>
        </w:rPr>
      </w:pPr>
      <w:r>
        <w:rPr>
          <w:rFonts w:ascii="Calibri" w:cs="Calibri" w:eastAsia="Calibri" w:hAnsi="Calibri"/>
          <w:sz w:val="17"/>
          <w:szCs w:val="17"/>
          <w:color w:val="auto"/>
        </w:rPr>
        <w:t>The Leahy-Smith Act also includes a number of signifcant changes that afect the way patent applicatons will be prosecuted and also may afect patent litgaton. These include allowing third-party submission of prior art to the USPTO during patent prosecuton and additonal procedures to atack the validity of a patent by USPTO administered post-grant proceedings, including PGR, IPR, and derivaton proceedings. An adverse determinaton in any such submission or proceeding could reduce the scope or enforceability of, or invalidate, our patent rights, which could adversely afect our compettve positon.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28" w:name="page129"/>
    <w:bookmarkEnd w:id="128"/>
    <w:p>
      <w:pPr>
        <w:ind w:right="100" w:firstLine="509"/>
        <w:spacing w:after="0" w:line="235" w:lineRule="auto"/>
        <w:rPr>
          <w:sz w:val="20"/>
          <w:szCs w:val="20"/>
          <w:color w:val="auto"/>
        </w:rPr>
      </w:pPr>
      <w:r>
        <w:rPr>
          <w:rFonts w:ascii="Calibri" w:cs="Calibri" w:eastAsia="Calibri" w:hAnsi="Calibri"/>
          <w:sz w:val="18"/>
          <w:szCs w:val="18"/>
          <w:color w:val="auto"/>
        </w:rPr>
        <w:t>Because of a lower evidentary standard in USPTO proceedings compared to the evidentary standard in United States federal courts necessary to invalidate a patent claim, a third party could potentally provide evidence in a USPTO proceeding sufcient for the USPTO to hold a claim invalid even though the same evidence would be insufcient to invalidate the claim if frst presented in a district court acton. Accordingly, a third party may atempt to use the USPTO procedures to invalidate our patent claims that would not have been invalidated if frst challenged by the third party as a defendant in a district court acton. Thus, the Leahy-Smith Act and its implementaton could increase the uncertaintes and costs surrounding the prosecuton of our future patent applicatons or those of our current and future licensors and the enforcement or defense of our future issued patents or those of our current and future licensors, all of which could have a material adverse efect on our business, fnancial conditon, results of operatons and prospects.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2012, the European Patent Package, or EU Patent Package, regulatons were passed with the goal of providing a single pan-European Unitary Patent and a new European Unifed Patent Court, or UPC, for litgaton involving European patents. Implementaton of the EU Patent Package will likely occur in the frst half of 2023. Under the UPC, all European patents, including those issued prior to ratfcaton of the European Patent Package, will by default automatcally fall under the jurisdicton of the UPC. The UPC will provide our compettors with a new forum to centrally revoke our European patents, and allow for the possibility of a compettor to obtain pan-European injunctons.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frst seven years of the court’s existence, but doing so may preclude us from realizing the benefts of the new unifed court.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29" w:name="page130"/>
    <w:bookmarkEnd w:id="129"/>
    <w:p>
      <w:pPr>
        <w:ind w:right="120"/>
        <w:spacing w:after="0" w:line="235" w:lineRule="auto"/>
        <w:rPr>
          <w:sz w:val="20"/>
          <w:szCs w:val="20"/>
          <w:color w:val="auto"/>
        </w:rPr>
      </w:pPr>
      <w:r>
        <w:rPr>
          <w:rFonts w:ascii="Calibri" w:cs="Calibri" w:eastAsia="Calibri" w:hAnsi="Calibri"/>
          <w:sz w:val="18"/>
          <w:szCs w:val="18"/>
          <w:b w:val="1"/>
          <w:bCs w:val="1"/>
          <w:i w:val="1"/>
          <w:iCs w:val="1"/>
          <w:color w:val="auto"/>
        </w:rPr>
        <w:t>Changes in U.S. patent law, or laws in other countries, could diminish the value of patents in general, thereby impairing our ability to protect vonoprazan and any future product candidates.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is the case with other biopharmaceutcal companies, our success is heavily dependent on intellectual property, partcularly patents. Obtaining and enforcing patents in the biopharmaceutcal industry involve a high degree of technological and legal complexity. Therefore, obtaining and enforcing biopharmaceutcal patents is costly, tme consuming and inherently uncertain. Changes in either the patent laws or in the interpretatons of patent laws in the United States and other countries may diminish the value of our intellectual property and may increase the uncertaintes and costs surrounding the prosecuton of patent applicatons and the enforcement or defense of issued patents. We cannot predict the breadth of claims that may be allowed or enforced in our future patents or in third-party patents. In additon, Congress or other foreign legislatve bodies may pass patent reform legislaton that is unfavorable to us. Evolving judicial interpretaton of patent law could also adversely afect our business. For example, the U.S. Supreme Court has ruled on several patent cases in recent years, either narrowing the scope of patent protecton available in certain circumstances or weakening the rights of patent owners in certain situatons. In additon to increasing uncertainty with regard to our ability to obtain patents in the future, this combinaton of events has created uncertainty with respect to the value of patents, once obtained. Depending on decisions by the U.S. Congress, the U.S. federal courts, the USPTO, or similar authorites in foreign jurisdictons, the laws and regulatons governing patents could change in unpredictable ways that would weaken our ability to obtain new patents or to enforce the existng licensed patents and the patents we might obtain or license in the future.</w:t>
      </w:r>
    </w:p>
    <w:p>
      <w:pPr>
        <w:spacing w:after="0" w:line="186"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challenging the inventorship or ownership of our future patents, the patents of our current and future licensors, or other intellectual property</w:t>
      </w:r>
      <w:r>
        <w:rPr>
          <w:rFonts w:ascii="Calibri" w:cs="Calibri" w:eastAsia="Calibri" w:hAnsi="Calibri"/>
          <w:sz w:val="18"/>
          <w:szCs w:val="18"/>
          <w:color w:val="auto"/>
        </w:rPr>
        <w:t>.</w:t>
      </w:r>
    </w:p>
    <w:p>
      <w:pPr>
        <w:spacing w:after="0" w:line="19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may also be subject to claims that former employees or other third partes have an ownership interest in our future patents, the patents of our current and future licensors or other intellectual property. Litgaton may be necessary to defend against these and other claims challenging inventorship or ownership. If we fail in defending any such claims, in additon to paying monetary damages, we may lose valuable intellectual property rights. Such an outcome could have a material adverse efect on our business. Even if we are successful in defending against such claims, litgaton could result in substantal costs and distracton to management and other employees.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Patent terms may be inadequate to protect our compettve positon on vonoprazan and any future product candidates for an adequate amount of tme.</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Patents have a limited lifespan. In the United States, if all maintenance fees are tmely paid, the natural expiraton of a patent is generally 20 years from its earliest U.S. non-provisional fling date. Various extensions may be available, but the life of a patent, and the protecton it afords, is limited. Even if patents covering vonoprazan and any future product candidates are obtained, once the patent life has expired, we may be open to competton from compettve products. Given the amount of tme required for the development, testng and regulatory review of product candidates, patents protectng vonoprazan and any future product candidates might expire before or shortly afer such candidates are commercialized. As a result, our patent portolio may not provide us with sufcient rights to exclude others from commercializing products similar or identcal to ours.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30" w:name="page131"/>
    <w:bookmarkEnd w:id="130"/>
    <w:p>
      <w:pPr>
        <w:spacing w:after="0"/>
        <w:rPr>
          <w:sz w:val="20"/>
          <w:szCs w:val="20"/>
          <w:color w:val="auto"/>
        </w:rPr>
      </w:pPr>
      <w:r>
        <w:rPr>
          <w:rFonts w:ascii="Calibri" w:cs="Calibri" w:eastAsia="Calibri" w:hAnsi="Calibri"/>
          <w:sz w:val="18"/>
          <w:szCs w:val="18"/>
          <w:b w:val="1"/>
          <w:bCs w:val="1"/>
          <w:i w:val="1"/>
          <w:iCs w:val="1"/>
          <w:color w:val="auto"/>
        </w:rPr>
        <w:t>If we do not obtain patent term extension for vonoprazan and any future product candidates, our business may be materially harmed.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Depending upon the tming, duraton and specifcs of FDA marketng approval of vonoprazan and any future product candidates, one or more of our U.S. patents or those of our current and future licensors, may be eligible for limited patent term restoraton under the Drug Price Competton and Patent Term Restoraton Act of 1984, or the Hatch-Waxman Amendments. The Hatch- Waxman Amendments permit a patent restoraton term of up to fve years as compensaton for patent term lost during product development and the FDA regulatory review process. A maximum of one patent may be extended per FDA approved product as compensaton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vonoprazan and any future product candidates. However, we may not be granted an extension because of, for example, failing to apply within applicable deadlines, failing to apply prior to expiraton of relevant patents or otherwise failing to satsfy applicable requirements. Moreover, the applicable tme period or the scope of patent protecton aforded could be less than we request. If we are unable to obtain patent term extension or restoraton or the term of any such extension is less than we request, our compettors may obtain approval of competng products following our patent expiraton, and our revenue could be reduced, possibly materially. Further, if this occurs, our compettors may take advantage of our investment in development and trials by referencing our clinical and preclinical data and launch their product earlier than might otherwise be the case.</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protect our intellectual property rights throughout our licensed territories.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Although we have issued patents and pending patent applicatons in the United States and certain other countries in which we intend to commercialize our products, fling, prosecutng and defending patents in all relevant countries throughout our licensed territories could be prohibitvely expensive, and our intellectual property rights in some countries outside the United States can be less extensive than those in the United States. In additon, the laws of some foreign countries do not protect intellectual property rights to the same extent as federal and state laws in the United States. Consequently, we may not be able to prevent third partes from practcing our inventons in all countries outside the United States or from selling or importng products made using our inventons in and into the United States or other jurisdictons. Compettors may use our technologies in jurisdictons where we have not obtained patent protecton to develop their own products and, further, may export otherwise infringing products to territories where we have patent protecton but enforcement is not as strong as that in the United States. These products may compete with vonoprazan or any future product candidates, and our patents, the patents of our current and future licensors or other intellectual property rights may not be efectve or sufcient to prevent them from competng.</w:t>
      </w:r>
    </w:p>
    <w:p>
      <w:pPr>
        <w:spacing w:after="0" w:line="1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Many companies have encountered signifcant problems in protectng and defending intellectual property rights in foreign jurisdictons. The legal systems of many foreign countries do not favor the enforcement of patents and other intellectual property protecton, which could make it difcult for us to stop the infringement of our intellectual property rights or marketng of competng products in violaton of our proprietary rights. Proceedings to enforce our patent rights in foreign jurisdictons could result in substantal costs and divert our eforts and atenton from other aspects of our business, could put our future patents or the patents of our current and future licensors at risk of being invalidated or interpreted narrowly and our future patent applicatons or the patent applicatons of our current and future licensors at risk of not issuing and could provoke third partes to assert claims against us. We may not prevail in any lawsuits that we initate, and the damages or other remedies awarded, if any, may not be commercially meaningful. Accordingly, our eforts to enforce our intellectual property rights around the world may be inadequate to obtain a signifcant commercial advantage from the intellectual property that we develop or license.</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31" w:name="page132"/>
    <w:bookmarkEnd w:id="131"/>
    <w:p>
      <w:pPr>
        <w:ind w:firstLine="509"/>
        <w:spacing w:after="0" w:line="252" w:lineRule="auto"/>
        <w:rPr>
          <w:sz w:val="20"/>
          <w:szCs w:val="20"/>
          <w:color w:val="auto"/>
        </w:rPr>
      </w:pPr>
      <w:r>
        <w:rPr>
          <w:rFonts w:ascii="Calibri" w:cs="Calibri" w:eastAsia="Calibri" w:hAnsi="Calibri"/>
          <w:sz w:val="17"/>
          <w:szCs w:val="17"/>
          <w:color w:val="auto"/>
        </w:rPr>
        <w:t>Many countries have compulsory licensing laws under which a patent owner may be compelled to grant licenses to third partes. In additon, many countries limit the enforceability of patents against government agencies or government contractors. In these countries, the patent owner may have limited remedies, which could materially diminish the value of such patent. If we are forced to grant a license to third partes with respect to any patents relevant to our business, our compettve positon may be impaired, and our business, fnancial conditon, results of operatons and prospects may be adversely afected.</w:t>
      </w:r>
    </w:p>
    <w:p>
      <w:pPr>
        <w:spacing w:after="0" w:line="168"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i w:val="1"/>
          <w:iCs w:val="1"/>
          <w:color w:val="auto"/>
        </w:rPr>
        <w:t>Obtaining and maintaining our patent protecton depends on compliance with various procedural, documentary, fee payment and other requirements imposed by regulatons and governmental patent agencies, and our patent protecton could be reduced or eliminated for non-compliance with these requirements.</w:t>
      </w:r>
    </w:p>
    <w:p>
      <w:pPr>
        <w:spacing w:after="0" w:line="178"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Periodic maintenance fees, renewal fees, annuity fees and various other governmental fees on patents and/or applicatons will be due to the USPTO and various foreign patent ofces at various points over the lifetme of our future patents and/or future applicatons and those of our current and future licensors. We have systems in place to remind us to pay these fees, and we rely on third partes to pay these fees when due. Additonally, the USPTO and various foreign patent ofces require compliance with a number of procedural, documentary, fee payment and other similar provisions during the patent applicaton process. We employ reputable law frms and other professionals to help us comply, and in many cases, an inadvertent lapse can be cured by payment of a late fee or by other means in accordance with rules applicable to the partcular jurisdicton. However, there are situatons in which noncompliance can result in abandonment or lapse of the patent or patent applicaton, resultng in partal or complete loss of patent rights in the relevant jurisdicton. If such an event were to occur, it could have a material adverse efect on our business.</w:t>
      </w:r>
    </w:p>
    <w:p>
      <w:pPr>
        <w:spacing w:after="0" w:line="1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are unable to protect the confdentality of our trade secrets, our business and compettve positon would be harmed.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we rely on the protecton of our trade secrets, including unpatented know-how, technology and other proprietary informaton to maintain our compettve positon. Although we have taken steps to protect our trade secrets and unpatented know-how, including entering into confdentality agreements with third partes, and confdental informaton and inventons agreements with employees, consultants and advisors, we cannot provide any assurances that all such agreements have been duly executed, and any of these partes may breach the agreements and disclose our proprietary informaton, including our trade secrets, and we may not be able to obtain adequate remedies for such breaches. Enforcing a claim that a party illegally disclosed or misappropriated a trade secret is difcult, expensive and tme consuming, and the outcome is unpredictable. In additon, some courts inside and outside the United States are less willing or unwilling to protect trade secrets.</w:t>
      </w:r>
    </w:p>
    <w:p>
      <w:pPr>
        <w:spacing w:after="0" w:line="181"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Moreover, third partes may stll obtain this informaton or may come upon this or similar informaton independently, and we would have no right to prevent them from using that technology or informaton to compete with us. If any of these events occurs or if we otherwise lose protecton for our trade secrets, the value of this informaton may be greatly reduced and our compettve positon would be harmed. If we cannot otherwise maintain the confdentality of our proprietary technology and other confdental informaton, then our ability to protect our trade secret informaton may be jeopardized.</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7" w:right="399" w:bottom="1440" w:gutter="0" w:footer="0" w:header="0"/>
        </w:sectPr>
      </w:pPr>
    </w:p>
    <w:bookmarkStart w:id="132" w:name="page133"/>
    <w:bookmarkEnd w:id="132"/>
    <w:p>
      <w:pPr>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that we have wrongfully hired an employee from a compettor or that we or our employees have wrongfully used or disclosed alleged confdental informaton or trade secrets of their former employers.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is common in the biopharmaceutcal industry, in additon to our employees, we engage the services of consultants to assist us in the development of vonoprazan and any future product candidates. Many of these consultants, and many of our employees, were previously employed at, or may have previously provided or may be currently providing consultng services to, other biopharmaceutcal companies including our compettors or potental compettors. We may become subject to claims that we, our employees or a consultant inadvertently or otherwise used or disclosed trade secrets or other informaton proprietary to their former employers or their former or current clients. Litgaton may be necessary to defend against these claims. If we fail in defending any such claims, in additon to paying monetary damages, we may lose valuable intellectual property rights or personnel, which could adversely afect our business. Even if we are successful in defending against these claims, litgaton could result in substantal costs and be a distracton to our management team and other employees.</w:t>
      </w:r>
    </w:p>
    <w:p>
      <w:pPr>
        <w:spacing w:after="0" w:line="182"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If our trademarks and trade names are not adequately protected, then we may not be able to build name recogniton in our markets of interest and our business may be adversely afected.</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recogniton among potental partners or customers in our markets of interest. At tmes, compettors may adopt trade names or trademarks similar to ours, thereby impeding our ability to build brand identty and possibly leading to market confusion. In additon, there could be potental trade name or trademark infringement claims brought by owners of other trademarks or trademarks that incorporate variatons of our registered or unregistered trademarks or trade names. Over the long term, if we are unable to establish name recogniton based on our trademarks and trade names, then we may not be able to compete efectvely and our business may be adversely afected. We may license our trademarks and trade names to third partes,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eforts to enforce or protect our proprietary rights related to trademarks, trade names, trade secrets, domain names, copyrights or other intellectual property may be inefectve and could result in substantal costs and diversion of resources and could adversely afect our fnancial conditon or results of operatons.</w:t>
      </w:r>
    </w:p>
    <w:p>
      <w:pPr>
        <w:spacing w:after="0" w:line="186"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b w:val="1"/>
          <w:bCs w:val="1"/>
          <w:i w:val="1"/>
          <w:iCs w:val="1"/>
          <w:color w:val="auto"/>
        </w:rPr>
        <w:t>Any collaboraton arrangements that we have or may enter into in the future may not be successful, which could adversely afect our ability to develop and commercialize our products.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success of our collaboraton arrangements will depend heavily on the eforts and actvites of our collaborators and partners. Under the Takeda License, for example, Takeda has certain obligatons with respect to assistng with the transiton of informaton and materials to us as well as providing clinical and commercial supply of the vonoprazan product. Collaboratons and partnerships are subject to numerous risks, which may include that:</w:t>
      </w:r>
    </w:p>
    <w:p>
      <w:pPr>
        <w:spacing w:after="0" w:line="200"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have signifcant discreton in determining the eforts and resources that they will apply to collaboratons;</w:t>
      </w:r>
    </w:p>
    <w:p>
      <w:pPr>
        <w:spacing w:after="0" w:line="190" w:lineRule="exact"/>
        <w:rPr>
          <w:rFonts w:ascii="Times New Roman" w:cs="Times New Roman" w:eastAsia="Times New Roman" w:hAnsi="Times New Roman"/>
          <w:sz w:val="18"/>
          <w:szCs w:val="18"/>
          <w:color w:val="auto"/>
        </w:rPr>
      </w:pPr>
    </w:p>
    <w:p>
      <w:pPr>
        <w:ind w:left="900" w:right="560" w:hanging="383"/>
        <w:spacing w:after="0" w:line="254" w:lineRule="auto"/>
        <w:tabs>
          <w:tab w:leader="none" w:pos="900" w:val="left"/>
        </w:tabs>
        <w:numPr>
          <w:ilvl w:val="0"/>
          <w:numId w:val="42"/>
        </w:numPr>
        <w:rPr>
          <w:rFonts w:ascii="Times New Roman" w:cs="Times New Roman" w:eastAsia="Times New Roman" w:hAnsi="Times New Roman"/>
          <w:sz w:val="17"/>
          <w:szCs w:val="17"/>
          <w:color w:val="auto"/>
        </w:rPr>
      </w:pPr>
      <w:r>
        <w:rPr>
          <w:rFonts w:ascii="Calibri" w:cs="Calibri" w:eastAsia="Calibri" w:hAnsi="Calibri"/>
          <w:sz w:val="17"/>
          <w:szCs w:val="17"/>
          <w:color w:val="auto"/>
        </w:rPr>
        <w:t>collaborators may not pursue development and commercializaton of our products or may elect not to contnue or renew development or commercializaton programs based on trial or test results, changes in their strategic focus due to the acquisiton of compettve products, availability of funding or other external factors, such as a business combinaton that diverts resources or creates competng priorites;</w:t>
      </w:r>
    </w:p>
    <w:p>
      <w:pPr>
        <w:spacing w:after="0" w:line="178" w:lineRule="exact"/>
        <w:rPr>
          <w:rFonts w:ascii="Times New Roman" w:cs="Times New Roman" w:eastAsia="Times New Roman" w:hAnsi="Times New Roman"/>
          <w:sz w:val="17"/>
          <w:szCs w:val="17"/>
          <w:color w:val="auto"/>
        </w:rPr>
      </w:pPr>
    </w:p>
    <w:p>
      <w:pPr>
        <w:ind w:left="900" w:right="50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could independently develop, or develop with third partes, products that compete directly or indirectly with our products or product candidates;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33" w:name="page134"/>
    <w:bookmarkEnd w:id="133"/>
    <w:p>
      <w:pPr>
        <w:ind w:left="900" w:right="70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collaborator with marketng, manufacturing and distributon rights to one or more products may not commit sufcient resources to or otherwise not perform satsfactorily in carrying out these actvites;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could grant exclusive rights to our collaborators that would prevent us from collaboratng with others;</w:t>
      </w:r>
    </w:p>
    <w:p>
      <w:pPr>
        <w:spacing w:after="0" w:line="190" w:lineRule="exact"/>
        <w:rPr>
          <w:rFonts w:ascii="Times New Roman" w:cs="Times New Roman" w:eastAsia="Times New Roman" w:hAnsi="Times New Roman"/>
          <w:sz w:val="18"/>
          <w:szCs w:val="18"/>
          <w:color w:val="auto"/>
        </w:rPr>
      </w:pPr>
    </w:p>
    <w:p>
      <w:pPr>
        <w:jc w:val="both"/>
        <w:ind w:left="90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may not properly maintain or defend our intellectual property rights or may use our intellectual property or proprietary informaton in a way that gives rise to actual or threatened litgaton that could jeopardize or invalidate our intellectual property or proprietary informaton or expose us to potental liability;</w:t>
      </w:r>
    </w:p>
    <w:p>
      <w:pPr>
        <w:spacing w:after="0" w:line="205"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disputes may arise between us and a collaborator that causes the delay or terminaton of the research, development or commercializaton of our current or future products or that results in costly litgaton or arbitraton that diverts management atenton and resources;</w:t>
      </w:r>
    </w:p>
    <w:p>
      <w:pPr>
        <w:spacing w:after="0" w:line="190" w:lineRule="exact"/>
        <w:rPr>
          <w:rFonts w:ascii="Times New Roman" w:cs="Times New Roman" w:eastAsia="Times New Roman" w:hAnsi="Times New Roman"/>
          <w:sz w:val="18"/>
          <w:szCs w:val="18"/>
          <w:color w:val="auto"/>
        </w:rPr>
      </w:pPr>
    </w:p>
    <w:p>
      <w:pPr>
        <w:ind w:left="900" w:right="110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collaboratons may be terminated, and, if terminated, may result in a need for additonal capital to pursue further development or commercializaton of the applicable current or future products;</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may own or co-own intellectual property covering our products that results from our collaboratng with them, and in such cases, we would not have the exclusive right to develop or commercialize such intellectual property; and</w:t>
      </w:r>
    </w:p>
    <w:p>
      <w:pPr>
        <w:spacing w:after="0" w:line="204"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collaborator’s sales and marketng actvites or other operatons may not be in compliance with applicable laws resultng in civil or criminal proceedings.</w:t>
      </w:r>
    </w:p>
    <w:p>
      <w:pPr>
        <w:spacing w:after="0" w:line="177"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b w:val="1"/>
          <w:bCs w:val="1"/>
          <w:i w:val="1"/>
          <w:iCs w:val="1"/>
          <w:color w:val="auto"/>
        </w:rPr>
        <w:t>Intellectual property discovered through government funded programs may be subject to federal regulatons such as “march-in” rights, certain reportng requirements and a preference for U.S.-based companies. Compliance with such regulatons may limit our exclusive rights and limit our ability to contract with non-U.S. manufacturers.</w:t>
      </w:r>
    </w:p>
    <w:p>
      <w:pPr>
        <w:spacing w:after="0" w:line="178"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may acquire or license in the future intellectual property rights that have been generated through the use of U.S. government funding or grant. Pursuant to the Bayh-Dole Act of 1980, the U.S. government has certain rights in inventons developed with government funding. These U.S. government rights include a non-exclusive, non-transferable, irrevocable worldwide license to use inventons for any governmental purpose. In additon, the U.S. government has the right, under certain limited circumstances, to require us to grant exclusive, partally exclusive, or non-exclusive licenses to any of these inventons to a third party if it determines that: (i) adequate steps have not been taken to commercialize the inventon; (ii) government acton is necessary to meet public health or safety needs; or (iii) government acton is necessary to meet requirements for public use under federal regulatons (also referred to as “march-in rights”). The U.S. government also has the right to take ttle to these inventons if the grant recipient fails to disclose the inventon to the government or fails to fle an applicaton to register the intellectual property within specifed tme limits. Intellectual property generated under a government funded program is also subject to certain reportng requirements, compliance with which may require us to expend substantal resources. In additon, the U.S. government requires that any products embodying any of these inventons or produced through the use of any of these inventons be manufactured substantally in the United States. This preference for industry may be waived by the federal agency that provided the funding if the owner or assignee of the intellectual property can show that reasonable but unsuccessful eforts have been made to grant licenses on similar terms to potental licensees that would be likely to manufacture substantally in the United States or that under the circumstances domestc manufacture is not commercially feasible. This preference for U.S. industry may limit our ability to contract with non-U.S. product manufacturers for products covered by such intellectual property.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34" w:name="page135"/>
    <w:bookmarkEnd w:id="134"/>
    <w:p>
      <w:pPr>
        <w:spacing w:after="0"/>
        <w:rPr>
          <w:sz w:val="20"/>
          <w:szCs w:val="20"/>
          <w:color w:val="auto"/>
        </w:rPr>
      </w:pPr>
      <w:r>
        <w:rPr>
          <w:rFonts w:ascii="Calibri" w:cs="Calibri" w:eastAsia="Calibri" w:hAnsi="Calibri"/>
          <w:sz w:val="18"/>
          <w:szCs w:val="18"/>
          <w:b w:val="1"/>
          <w:bCs w:val="1"/>
          <w:color w:val="auto"/>
        </w:rPr>
        <w:t>Risks Related to Our Common Stock</w:t>
      </w:r>
    </w:p>
    <w:p>
      <w:pPr>
        <w:spacing w:after="0" w:line="17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The trading price of the shares of our common stock has been, and is likely to contnue to be, highly volatle, and purchasers of our common stock could incur substantal losses.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stock market in general and the market for stock of biopharmaceutcal companies in partcular have experienced extreme volatlity that has ofen been unrelated to the operatng performance of partcular companies. As a result of this volatlity, investors may not be able to sell their common stock at or above the price at which they paid. Our common stock has a limited trading history and the market price has fuctuated widely, and may in the future fuctuate widely, depending upon many factors such as those discussed in this “Risk Factors” secton and many others, some of which are beyond our control, including the following:</w:t>
      </w:r>
    </w:p>
    <w:p>
      <w:pPr>
        <w:spacing w:after="0" w:line="207" w:lineRule="exact"/>
        <w:rPr>
          <w:sz w:val="20"/>
          <w:szCs w:val="20"/>
          <w:color w:val="auto"/>
        </w:rPr>
      </w:pPr>
    </w:p>
    <w:p>
      <w:pPr>
        <w:ind w:left="900" w:right="38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relatvely low-volume trading market for our shares of common stock that could cause trades of small blocks of shares to have a signifcant impact on the price of our shares of common stock;</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market conditons in the biopharmaceutcal sector and issuance of securites analysts’ reports or recommendatons;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of short positons by holders or non-holders of our common stock;</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obtain additonal funding;</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sales of our stock by insiders and stockholders, including Takeda;</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enroll patents in our ongoing and any future clinical trials;</w:t>
      </w:r>
    </w:p>
    <w:p>
      <w:pPr>
        <w:spacing w:after="0" w:line="203"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results of our clinical trials and preclinical studies, the results of clinical trials conducted by Takeda and others for vonoprazan, and the results of trials of our compettors or those of other companies in our market sector;</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approval of vonoprazan and any future product candidates, or limitatons to specifc label indicatons or patent populatons for its use, or changes or delays in the regulatory review process;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terminaton or loss of rights under the Takeda License;</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developments in the United States and foreign countries;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structure of healthcare payment systems, especially in light of reforms to the U.S. healthcare system;</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success or failure of our eforts to acquire, license or develop additonal product candidates;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innovatons or new products developed by us or our compettors;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announcements by us or our compettors of signifcant acquisitons, strategic partnerships, joint ventures or capital commitments;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manufacturing, supply or distributon delays or shortages;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changes to our relatonship with any manufacturers, suppliers, licensors, future collaborators or other strategic partners;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achievement of expected product sales and proftability;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variatons in our fnancial results or those of companies that are perceived to be similar to us;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35" w:name="page136"/>
    <w:bookmarkEnd w:id="135"/>
    <w:p>
      <w:pPr>
        <w:ind w:left="900" w:hanging="383"/>
        <w:spacing w:after="0"/>
        <w:tabs>
          <w:tab w:leader="none" w:pos="900" w:val="left"/>
        </w:tabs>
        <w:numPr>
          <w:ilvl w:val="0"/>
          <w:numId w:val="45"/>
        </w:numPr>
        <w:rPr>
          <w:rFonts w:ascii="Times New Roman" w:cs="Times New Roman" w:eastAsia="Times New Roman" w:hAnsi="Times New Roman"/>
          <w:sz w:val="17"/>
          <w:szCs w:val="17"/>
          <w:color w:val="auto"/>
        </w:rPr>
      </w:pPr>
      <w:r>
        <w:rPr>
          <w:rFonts w:ascii="Calibri" w:cs="Calibri" w:eastAsia="Calibri" w:hAnsi="Calibri"/>
          <w:sz w:val="17"/>
          <w:szCs w:val="17"/>
          <w:color w:val="auto"/>
        </w:rPr>
        <w:t>general economic, industry and market conditons, public health emergencies or other events or factors, many of which are beyond our control;</w:t>
      </w:r>
    </w:p>
    <w:p>
      <w:pPr>
        <w:spacing w:after="0" w:line="192"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additons or departures of key personnel;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intellectual property, product liability or other litgaton against us;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our capital structure, such as future issuances of securites and the incurrence of additonal debt;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accountng standards, policies, guidelines, interpretatons or principles.</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additon, in the past, stockholders have initated class acton lawsuits against biopharmaceutcal companies following periods of volatlity in the market prices of these companies’ stock. Such litgaton, if insttuted against us, could cause us to incur substantal costs and divert management’s atenton and resources, which could have a material adverse efect on our business, fnancial conditon and results of operatons.</w:t>
      </w:r>
    </w:p>
    <w:p>
      <w:pPr>
        <w:spacing w:after="0" w:line="19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Our executve ofcers, directors and principal stockholders, if they choose to act together, have the ability to control or signifcantly infuence all maters submited to stockholders for approval. Furthermore, many of our current directors were appointed by our principal stockholders.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executve ofcers, directors and greater than 5% stockholders, in the aggregate, own a majority of our outstanding common stock. As a result, such persons actng together have the ability to control or signifcantly infuence all maters submited to our board of directors or stockholders for approval, including the appointment of our management, the electon and removal of directors and approval of any signifcant transacton, as well as our management and business afairs. This concentraton of ownership may have the efect of delaying, deferring or preventng a change in control, impeding a merger, consolidaton, takeover or other business combinaton involving us, or discouraging a potental acquiror from making a tender ofer or otherwise atemptng to obtain control of our business, even if such a transacton would beneft other stockholders.</w:t>
      </w:r>
    </w:p>
    <w:p>
      <w:pPr>
        <w:spacing w:after="0" w:line="18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We do not currently intend to pay dividends on our common stock, and, consequently, your ability to achieve a return on your investment will depend on appreciaton, if any, in the price of our common stock.</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never declared or paid any cash dividend on our common stock. We currently antcipate that we will retain future earnings for the development, operaton and expansion of our business and do not antcipate declaring or paying any cash dividends for the foreseeable future. In additon, under the terms of the Loan Agreement, we are prohibited from paying any cash dividends without the consent of the lenders. Any return to stockholders will therefore be limited to the appreciaton of their stock. Shares of our common stock may not appreciate in value or even maintain the price at which stockholders have purchased their shares.</w:t>
      </w:r>
    </w:p>
    <w:p>
      <w:pPr>
        <w:spacing w:after="0" w:line="180"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Sales of a substantal number of shares of our common stock by our existng stockholders, including Takeda, in the public market could cause our stock price to fall.</w:t>
      </w:r>
    </w:p>
    <w:p>
      <w:pPr>
        <w:spacing w:after="0" w:line="177" w:lineRule="exact"/>
        <w:rPr>
          <w:sz w:val="20"/>
          <w:szCs w:val="20"/>
          <w:color w:val="auto"/>
        </w:rPr>
      </w:pPr>
    </w:p>
    <w:p>
      <w:pPr>
        <w:ind w:right="280" w:firstLine="509"/>
        <w:spacing w:after="0" w:line="258" w:lineRule="auto"/>
        <w:rPr>
          <w:sz w:val="20"/>
          <w:szCs w:val="20"/>
          <w:color w:val="auto"/>
        </w:rPr>
      </w:pPr>
      <w:r>
        <w:rPr>
          <w:rFonts w:ascii="Calibri" w:cs="Calibri" w:eastAsia="Calibri" w:hAnsi="Calibri"/>
          <w:sz w:val="17"/>
          <w:szCs w:val="17"/>
          <w:color w:val="auto"/>
        </w:rPr>
        <w:t>Sales of a substantal number of shares of our common stock in the public market or the percepton that these sales might occur could signifcantly reduce the market price of our common stock and impair our ability to raise adequate capital through the sale of additonal equity securites.</w:t>
      </w:r>
    </w:p>
    <w:p>
      <w:pPr>
        <w:spacing w:after="0" w:line="17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of December 31, 2022, up to 8,780,741 shares of common stock that are either subject to outstanding optons, warrants or other rights or reserved for future issuance under our employee beneft plans will become eligible for sale in the public market to the extent permited by the provisions of various vestng schedules, exercise limitatons, and Rule 144 and Rule 701 under the Securites Act. If these additonal shares of common stock are sold, or if it is perceived that they will be sold, in the public market, the trading price of our common stock could decline.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sectPr>
      </w:pPr>
    </w:p>
    <w:bookmarkStart w:id="136" w:name="page137"/>
    <w:bookmarkEnd w:id="136"/>
    <w:p>
      <w:pPr>
        <w:ind w:firstLine="509"/>
        <w:spacing w:after="0" w:line="235" w:lineRule="auto"/>
        <w:rPr>
          <w:sz w:val="20"/>
          <w:szCs w:val="20"/>
          <w:color w:val="auto"/>
        </w:rPr>
      </w:pPr>
      <w:r>
        <w:rPr>
          <w:rFonts w:ascii="Calibri" w:cs="Calibri" w:eastAsia="Calibri" w:hAnsi="Calibri"/>
          <w:sz w:val="18"/>
          <w:szCs w:val="18"/>
          <w:color w:val="auto"/>
        </w:rPr>
        <w:t>Further, we fled a registraton statement, which became efectve on November 17, 2020, registering the resale of up to 14,499,416 shares of common stock held by Takeda and Frazier Life Sciences IX, L.P., or Frazier, including all shares of our common stock underlying the Takeda Warrant, which warrant has since been exercised in full. As a result of the registraton statement, Takeda and Frazier are each able to freely sell some or all of their shares of our common stock. Any sales by these stockholders could have a material adverse efect on the trading price of our common stock.</w:t>
      </w:r>
    </w:p>
    <w:p>
      <w:pPr>
        <w:spacing w:after="0" w:line="179" w:lineRule="exact"/>
        <w:rPr>
          <w:sz w:val="20"/>
          <w:szCs w:val="20"/>
          <w:color w:val="auto"/>
        </w:rPr>
      </w:pPr>
    </w:p>
    <w:p>
      <w:pPr>
        <w:ind w:right="720"/>
        <w:spacing w:after="0" w:line="235" w:lineRule="auto"/>
        <w:rPr>
          <w:sz w:val="20"/>
          <w:szCs w:val="20"/>
          <w:color w:val="auto"/>
        </w:rPr>
      </w:pPr>
      <w:r>
        <w:rPr>
          <w:rFonts w:ascii="Calibri" w:cs="Calibri" w:eastAsia="Calibri" w:hAnsi="Calibri"/>
          <w:sz w:val="18"/>
          <w:szCs w:val="18"/>
          <w:b w:val="1"/>
          <w:bCs w:val="1"/>
          <w:i w:val="1"/>
          <w:iCs w:val="1"/>
          <w:color w:val="auto"/>
        </w:rPr>
        <w:t>We are an emerging growth company and a smaller reportng company, and the reduced disclosure requirements applicable to emerging growth companies and smaller reportng company may make our common stock less atractve to investors.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are an emerging growth company, as defned in the JOBS Act, and may remain an emerging growth company untl the last day of the fscal year following the ffh anniversary of the completon of our IPO. However, if certain events occur prior to the end of such fve-year period, including if we become a “large accelerated fler” as defned in Rule 12b-2 under the Exchange Act, our annual gross revenues exceed $1.235 billion or we issue more than $1.0 billion of non-convertble debt in any three- year period, we will cease to be an emerging growth company prior to the end of such fve-year period. For so long as we remain an emerging growth company, we are permited and intend to rely on exemptons from certain disclosure requirements that are applicable to other public companies that are not emerging growth companies. These exemptons include:</w:t>
      </w:r>
    </w:p>
    <w:p>
      <w:pPr>
        <w:spacing w:after="0" w:line="208" w:lineRule="exact"/>
        <w:rPr>
          <w:sz w:val="20"/>
          <w:szCs w:val="20"/>
          <w:color w:val="auto"/>
        </w:rPr>
      </w:pPr>
    </w:p>
    <w:p>
      <w:pPr>
        <w:ind w:left="900" w:right="300" w:hanging="383"/>
        <w:spacing w:after="0" w:line="258" w:lineRule="auto"/>
        <w:tabs>
          <w:tab w:leader="none" w:pos="900" w:val="left"/>
        </w:tabs>
        <w:numPr>
          <w:ilvl w:val="0"/>
          <w:numId w:val="46"/>
        </w:numPr>
        <w:rPr>
          <w:rFonts w:ascii="Times New Roman" w:cs="Times New Roman" w:eastAsia="Times New Roman" w:hAnsi="Times New Roman"/>
          <w:sz w:val="17"/>
          <w:szCs w:val="17"/>
          <w:color w:val="auto"/>
        </w:rPr>
      </w:pPr>
      <w:r>
        <w:rPr>
          <w:rFonts w:ascii="Calibri" w:cs="Calibri" w:eastAsia="Calibri" w:hAnsi="Calibri"/>
          <w:sz w:val="17"/>
          <w:szCs w:val="17"/>
          <w:color w:val="auto"/>
        </w:rPr>
        <w:t>being permited to provide only two years of audited fnancial statements, in additon to any required unaudited interim fnancial statements, with correspondingly reduced “Management’s Discussion and Analysis of Financial Conditon and Results of Operatons” disclosure;</w:t>
      </w:r>
    </w:p>
    <w:p>
      <w:pPr>
        <w:spacing w:after="0" w:line="174" w:lineRule="exact"/>
        <w:rPr>
          <w:rFonts w:ascii="Times New Roman" w:cs="Times New Roman" w:eastAsia="Times New Roman" w:hAnsi="Times New Roman"/>
          <w:sz w:val="17"/>
          <w:szCs w:val="17"/>
          <w:color w:val="auto"/>
        </w:rPr>
      </w:pPr>
    </w:p>
    <w:p>
      <w:pPr>
        <w:ind w:left="900" w:right="640" w:hanging="383"/>
        <w:spacing w:after="0" w:line="235" w:lineRule="auto"/>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not being required to comply with the auditor atestaton requirements in the assessment of our internal control over fnancial reportng pursuant to the Sarbanes-Oxley Act;</w:t>
      </w:r>
    </w:p>
    <w:p>
      <w:pPr>
        <w:spacing w:after="0" w:line="190" w:lineRule="exact"/>
        <w:rPr>
          <w:rFonts w:ascii="Times New Roman" w:cs="Times New Roman" w:eastAsia="Times New Roman" w:hAnsi="Times New Roman"/>
          <w:sz w:val="18"/>
          <w:szCs w:val="18"/>
          <w:color w:val="auto"/>
        </w:rPr>
      </w:pPr>
    </w:p>
    <w:p>
      <w:pPr>
        <w:ind w:left="900" w:right="660" w:hanging="383"/>
        <w:spacing w:after="0" w:line="235" w:lineRule="auto"/>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not being required to comply with any requirement that may be adopted by the Public Company Accountng Oversight Board regarding mandatory audit frm rotaton or a supplement to the auditor’s report providing additonal informaton about the audit and the fnancial statements, unless the SEC, determines the new rules are necessary for protectng the public;</w:t>
      </w:r>
    </w:p>
    <w:p>
      <w:pPr>
        <w:spacing w:after="0" w:line="20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reduced disclosure obligatons regarding executve compensaton; and</w:t>
      </w:r>
    </w:p>
    <w:p>
      <w:pPr>
        <w:spacing w:after="0" w:line="190"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exemptons from the requirements of holding a nonbinding advisory vote on executve compensaton and shareholder approval of any golden parachute payments not previously approved.</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Investors may fnd our common stock less atractve if we rely on these exemptons. If some investors fnd our common stock less atractve as a result, there may be a less actve trading market for our common stock and our stock price may be reduced or more volatle. In additon, the JOBS Act provides that an emerging growth company can take advantage of an extended transiton period for complying with new or revised accountng standards. This allows an emerging growth company to delay the adopton of these accountng standards untl they would otherwise apply to private companies. We have irrevocably elected not to avail ourselves of this exempton and, therefore, we will be subject to the same new or revised accountng standards as other public companies that are not emerging growth companies.</w:t>
      </w:r>
    </w:p>
    <w:p>
      <w:pPr>
        <w:spacing w:after="0" w:line="194"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We are also a smaller reportng company as defned in the Exchange Act. We may contnue to be a smaller reportng company even afer we are no longer an emerging growth company. We may take advantage of certain of the scaled disclosures available to smaller reportng companies and will be able to take advantage of these scaled disclosures for so long as our votng and non-votng common stock held by non-afliates is less than $250.0 million measured on the last business day of our second fscal quarter, or our annual revenue is less than $100.0 million during the most recently completed fscal year and our votng and non-votng common stock held by non-afliates is less than $700.0 million measured on the last business day of our second fscal quarter.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37" w:name="page138"/>
    <w:bookmarkEnd w:id="137"/>
    <w:p>
      <w:pPr>
        <w:ind w:right="420"/>
        <w:spacing w:after="0" w:line="235" w:lineRule="auto"/>
        <w:rPr>
          <w:sz w:val="20"/>
          <w:szCs w:val="20"/>
          <w:color w:val="auto"/>
        </w:rPr>
      </w:pPr>
      <w:r>
        <w:rPr>
          <w:rFonts w:ascii="Calibri" w:cs="Calibri" w:eastAsia="Calibri" w:hAnsi="Calibri"/>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and amended and restated bylaws contain provisions that could signifcantly reduce the value of our shares to a potental acquiror or delay or prevent changes in control or changes in our management without the consent of our board of directors. The provisions in our charter documents include the following:</w:t>
      </w:r>
    </w:p>
    <w:p>
      <w:pPr>
        <w:spacing w:after="0" w:line="192" w:lineRule="exact"/>
        <w:rPr>
          <w:sz w:val="20"/>
          <w:szCs w:val="20"/>
          <w:color w:val="auto"/>
        </w:rPr>
      </w:pPr>
    </w:p>
    <w:p>
      <w:pPr>
        <w:ind w:left="900" w:right="48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classifed board of directors with three-year staggered terms, which may delay the ability of stockholders to change the membership of a majority of our board of directors;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 cumulatve votng in the electon of directors, which limits the ability of minority stockholders to elect director candidates;</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exclusive right of our board of directors, unless the board of directors grants such right to the stockholders, to elect a director to fll a vacancy created by the expansion of the board of directors or the resignaton, death or removal of a director, which prevents stockholders from being able to fll vacancies on our board of directors;</w:t>
      </w:r>
    </w:p>
    <w:p>
      <w:pPr>
        <w:spacing w:after="0" w:line="191" w:lineRule="exact"/>
        <w:rPr>
          <w:rFonts w:ascii="Times New Roman" w:cs="Times New Roman" w:eastAsia="Times New Roman" w:hAnsi="Times New Roman"/>
          <w:sz w:val="18"/>
          <w:szCs w:val="18"/>
          <w:color w:val="auto"/>
        </w:rPr>
      </w:pPr>
    </w:p>
    <w:p>
      <w:pPr>
        <w:ind w:left="900" w:right="60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required approval of at least 66-2/3% of the shares enttled to vote to remove a director for cause, and the prohibiton on removal of directors without cause;</w:t>
      </w:r>
    </w:p>
    <w:p>
      <w:pPr>
        <w:spacing w:after="0" w:line="204"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authorize the issuance of shares of preferred stock and to determine the price and other terms of those shares, including preferences and votng rights, without stockholder approval, which could be used to signifcantly dilute the ownership of a hostle acquiror;</w:t>
      </w:r>
    </w:p>
    <w:p>
      <w:pPr>
        <w:spacing w:after="0" w:line="18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alter our amended and restated bylaws without obtaining stockholder approval;</w:t>
      </w:r>
    </w:p>
    <w:p>
      <w:pPr>
        <w:spacing w:after="0" w:line="190"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required approval of at least 66-2/3% of the shares enttled to vote to adopt, amend or repeal our amended and restated bylaws or repeal the provisions of our amended and restated certfcate of incorporaton regarding the electon and removal of directors;</w:t>
      </w:r>
    </w:p>
    <w:p>
      <w:pPr>
        <w:spacing w:after="0" w:line="204" w:lineRule="exact"/>
        <w:rPr>
          <w:rFonts w:ascii="Times New Roman" w:cs="Times New Roman" w:eastAsia="Times New Roman" w:hAnsi="Times New Roman"/>
          <w:sz w:val="18"/>
          <w:szCs w:val="18"/>
          <w:color w:val="auto"/>
        </w:rPr>
      </w:pPr>
    </w:p>
    <w:p>
      <w:pPr>
        <w:ind w:left="900" w:right="52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prohibiton on stockholder acton by writen consent, which forces stockholder acton to be taken at an annual or special meetng of our stockholders;</w:t>
      </w:r>
    </w:p>
    <w:p>
      <w:pPr>
        <w:spacing w:after="0" w:line="190"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exclusive forum provision providing that the federal district courts will be the exclusive forum for actons and proceedings a cause of acton arising under the Securites Act of 1933, as amended, and that the Court of Chancery of the State of Delaware will be the exclusive forum for certain other actons and proceedings;</w:t>
      </w:r>
    </w:p>
    <w:p>
      <w:pPr>
        <w:spacing w:after="0" w:line="191" w:lineRule="exact"/>
        <w:rPr>
          <w:rFonts w:ascii="Times New Roman" w:cs="Times New Roman" w:eastAsia="Times New Roman" w:hAnsi="Times New Roman"/>
          <w:sz w:val="18"/>
          <w:szCs w:val="18"/>
          <w:color w:val="auto"/>
        </w:rPr>
      </w:pPr>
    </w:p>
    <w:p>
      <w:pPr>
        <w:ind w:left="900" w:right="74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requirement that a special meetng of stockholders may be called only by the board of directors, which may delay the ability of our stockholders to force consideraton of a proposal or to take acton, including the removal of directors; and</w:t>
      </w:r>
    </w:p>
    <w:p>
      <w:pPr>
        <w:spacing w:after="0" w:line="204"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notce procedures that stockholders must comply with in order to nominate candidates to our board of directors or to propose maters to be acted upon at a stockholders’ meetng, which may discourage or deter a potental acquiror from conductng a solicitaton of proxies to elect the acquiror’s own slate of directors or otherwise atemptng to obtain control of us.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also subject to the ant-takeover provisions contained in Secton 203 of the Delaware General Corporaton Law. Under Secton 203, a corporaton may not, in general, engage in a business combinaton with any holder of 15% or more of its capital stock unless the holder has held the stock for three years or, among other exceptons, the board of directors has approved the transacton.</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7" w:right="379" w:bottom="1440" w:gutter="0" w:footer="0" w:header="0"/>
        </w:sectPr>
      </w:pPr>
    </w:p>
    <w:bookmarkStart w:id="138" w:name="page139"/>
    <w:bookmarkEnd w:id="138"/>
    <w:p>
      <w:pPr>
        <w:ind w:right="60"/>
        <w:spacing w:after="0" w:line="235" w:lineRule="auto"/>
        <w:rPr>
          <w:sz w:val="20"/>
          <w:szCs w:val="20"/>
          <w:color w:val="auto"/>
        </w:rPr>
      </w:pPr>
      <w:r>
        <w:rPr>
          <w:rFonts w:ascii="Calibri" w:cs="Calibri" w:eastAsia="Calibri" w:hAnsi="Calibri"/>
          <w:sz w:val="18"/>
          <w:szCs w:val="18"/>
          <w:b w:val="1"/>
          <w:bCs w:val="1"/>
          <w:i w:val="1"/>
          <w:iCs w:val="1"/>
          <w:color w:val="auto"/>
        </w:rPr>
        <w:t>Our amended and restated certfcate of incorporaton and amended and restated bylaws provide that the Court of Chancery of the State of Delaware will be the exclusive forum for substantally all disputes between us and our stockholders, which could limit our stockholders’ ability to obtain a favorable judicial forum for disputes with us or our directors, ofcers or employees.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and amended and restated bylaws provide that the Court of Chancery of the State of Delaware is the exclusive forum for any derivatve acton or proceeding brought on our behalf under Delaware statutory or common law, including any acton assertng a breach of fduciary duty, any acton assertng a claim against us arising pursuant to the Delaware General Corporaton Law, our amended and restated certfcate of incorporaton or our amended and restated bylaws, or any acton assertng a claim against us that is governed by the internal afairs doctrine; provided, that, this provision would not apply to suits brought to enforce a duty or liability created by the Securites Act or the Exchange Act, or any other claim for which the federal courts have exclusive jurisdicton. To the extent that any such claims may be based upon federal law claims, Secton 27 of the Exchange Act creates exclusive federal jurisdicton over all suits brought to enforce any duty or liability created by the Exchange Act or the rules and regulatons thereunder. The choice of forum provisions in our amended and restated certfcate of incorporaton may limit a stockholder’s ability to bring a claim in a judicial forum that it fnds favorable for disputes with us or our directors, ofcers or other employees, which may discourage such lawsuits against us and our directors, ofcers and other employees. By agreeing to these provisions, however, stockholders will not be deemed to have waived our compliance with the federal securites laws and the rules and regulatons thereunder. Furthermore, the enforceability of similar choice of forum provisions in other companies’ certfcates of incorporaton has been challenged in legal proceedings, and it is possible that a court could fnd these types of provisions to be inapplicable or unenforceable. If a court were to fnd the choice of forum provisions in our amended and restated certfcate of incorporaton to be inapplicable or unenforceable in an acton, we may incur additonal costs associated with resolving such acton in other jurisdictons, which could adversely afect our business and fnancial conditon.</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ability to use net operatng loss carryforwards and other tax atributes may be limited.</w:t>
      </w:r>
    </w:p>
    <w:p>
      <w:pPr>
        <w:spacing w:after="0" w:line="190"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We have incurred substantal losses during our history and do not expect to become proftable in the near future, and we may never achieve proftability. To the extent that we contnue to generate taxable losses, unused losses will carry forward to ofset future taxable income, if any, untl such unused losses expire (if at all).</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Under recently enacted U.S. tax legislaton, federal net operatng loss, or NOL, carryforwards generated in periods afer December 31, 2017, may be carried forward indefnitely but may only be used to ofset 80% of our taxable income annually. Our NOL carryforwards are subject to review and possible adjustment by the Internal Revenue Service, or the IRS, and state tax authorites. Under Secton 382 of the Internal Revenue Code of 1986, as amended, or the Code, our federal NOL carryforwards may become subject to an annual limitaton in the event of certain cumulatve changes in the ownership interest of signifcant stockholders over a three-year period in excess of 50 percentage points. Our ability to utlize our NOL carryforwards and other tax atributes to ofset future taxable income or tax liabilites may be limited as a result of ownership changes, including potental changes in connecton with our IPO or future oferings. Similar rules may apply under state tax laws. We have not yet determined the amount of the cumulatve change in our ownership resultng from our IPO or other transactons, or any resultng limitatons on our ability to utlize our NOL carryforwards and other tax atributes. If we earn taxable income, such limitatons could result in increased future tax liability to us and our future cash fows could be adversely afected. We have recorded a full valuaton allowance related to our NOLs and other deferred tax assets due to the uncertainty of the ultmate realizaton of the future benefts of those assets.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39" w:name="page140"/>
    <w:bookmarkEnd w:id="139"/>
    <w:p>
      <w:pPr>
        <w:spacing w:after="0"/>
        <w:rPr>
          <w:sz w:val="20"/>
          <w:szCs w:val="20"/>
          <w:color w:val="auto"/>
        </w:rPr>
      </w:pPr>
      <w:r>
        <w:rPr>
          <w:rFonts w:ascii="Calibri" w:cs="Calibri" w:eastAsia="Calibri" w:hAnsi="Calibri"/>
          <w:sz w:val="18"/>
          <w:szCs w:val="18"/>
          <w:b w:val="1"/>
          <w:bCs w:val="1"/>
          <w:i w:val="1"/>
          <w:iCs w:val="1"/>
          <w:color w:val="auto"/>
        </w:rPr>
        <w:t>Recent U.S. tax legislaton may materially adversely afect our fnancial conditon, results of operatons and cash fows.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Tax Act has signifcantly changed the U.S. federal income taxaton of U.S. corporatons, including by reducing the U.S. corporate income tax rate and revising the rules governing NOLs. Many of these changes became efectve beginning in 2018, without any transiton periods or grandfathering for existng transactons. The legislaton is unclear in many respects and may contnue to be subject to potental amendments and technical correctons, as well as interpretatons and implementng regulatons by the U.S. Treasury Department and the IRS, which have lessened or increased certain adverse impacts of the legislaton and may do so in the future. We contnue to work with our tax advisors to determine the full impact that the recent tax legislaton as a whole will have on us. We urge our investors to consult with their legal and tax advisors with respect to such legislaton and the potental tax consequences of investng in our common stock.</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Risk Factors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Business disruptons could seriously harm our future revenue and fnancial conditon and increase our costs and expenses.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operatons could be subject to earthquakes, power shortages, telecommunicatons failures, water shortages, foods, hurricanes, typhoons, fres, extreme weather conditons, medical epidemics and other natural or manmade disasters or business interruptons, for which we are predominantly self-insured. We rely on third-party manufacturers to produce vonoprazan and any future product candidates. Our ability to obtain clinical supplies of vonoprazan and any future product candidates could be disrupted if the operatons of these suppliers were afected by a man-made or natural disaster or other business interrupton. The occurrence of any of these business disruptons could seriously harm our operatons and fnancial conditon and increase our costs and expenses.</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failure to meet the contnued listng requirements of the Nasdaq could result in a delistng of our common stock.</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we fail to satsfy the contnued listng requirements of the Nasdaq, such as the corporate governance requirements or the minimum closing bid price requirement, Nasdaq may take steps to delist our common stock. Such a delistng would likely have a negatve efect on the price of our common stock and would impair your ability to sell or purchase our common stock when you wish to do so. In the event of a delistng, any acton taken by us to restore compliance with listng requirements may not allow our common stock to become listed again, stabilize the market price or improve the liquidity of our common stock, prevent our common stock from dropping below the Nasdaq minimum bid price requirement or prevent future non-compliance with Nasdaq’s listng requirements.</w:t>
      </w:r>
    </w:p>
    <w:p>
      <w:pPr>
        <w:spacing w:after="0" w:line="181" w:lineRule="exact"/>
        <w:rPr>
          <w:sz w:val="20"/>
          <w:szCs w:val="20"/>
          <w:color w:val="auto"/>
        </w:rPr>
      </w:pPr>
    </w:p>
    <w:p>
      <w:pPr>
        <w:ind w:right="800"/>
        <w:spacing w:after="0" w:line="235" w:lineRule="auto"/>
        <w:rPr>
          <w:sz w:val="20"/>
          <w:szCs w:val="20"/>
          <w:color w:val="auto"/>
        </w:rPr>
      </w:pPr>
      <w:r>
        <w:rPr>
          <w:rFonts w:ascii="Calibri" w:cs="Calibri" w:eastAsia="Calibri" w:hAnsi="Calibri"/>
          <w:sz w:val="18"/>
          <w:szCs w:val="18"/>
          <w:b w:val="1"/>
          <w:bCs w:val="1"/>
          <w:i w:val="1"/>
          <w:iCs w:val="1"/>
          <w:color w:val="auto"/>
        </w:rPr>
        <w:t>We incur signifcant costs as a result of operatng as a public company, and our management will be required to devote substantal tme to new compliance initatves.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a public company, we incur signifcant legal, accountng and other expenses that we did not incur as a private company. We are subject to the reportng requirements of the Exchange Act, which require, among other things, that we fle with the SEC, annual, quarterly and current reports with respect to our business and fnancial conditon. In additon, the Sarbanes-Oxley Act, as well as rules subsequently adopted by the SEC and Nasdaq to implement provisions of the Sarbanes-Oxley Act, impose signifcant requirements on public companies, including requiring establishment and maintenance of efectve disclosure and fnancial controls and changes in corporate governance practces. Further, pursuant to the Dodd-Frank Wall Street Reform and Consumer Protecton Act of 2010, the SEC has adopted additonal rules and regulatons in these areas, such as mandatory “say on pay” votng requirements that will apply to us when we cease to be an emerging growth company. Stockholder actvism, the current politcal environment and the current high level of government interventon and regulatory reform may lead to substantal new regulatons and disclosure obligatons, which may lead to additonal compliance costs and impact the manner in which we operate our business in ways we cannot currently antcipate.</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140" w:name="page141"/>
    <w:bookmarkEnd w:id="140"/>
    <w:p>
      <w:pPr>
        <w:ind w:right="80" w:firstLine="509"/>
        <w:spacing w:after="0" w:line="235" w:lineRule="auto"/>
        <w:rPr>
          <w:sz w:val="20"/>
          <w:szCs w:val="20"/>
          <w:color w:val="auto"/>
        </w:rPr>
      </w:pPr>
      <w:r>
        <w:rPr>
          <w:rFonts w:ascii="Calibri" w:cs="Calibri" w:eastAsia="Calibri" w:hAnsi="Calibri"/>
          <w:sz w:val="18"/>
          <w:szCs w:val="18"/>
          <w:color w:val="auto"/>
        </w:rPr>
        <w:t>We expect the rules and regulatons applicable to public companies to substantally increase our legal and fnancial compliance costs and to make some actvites more tme consuming and costly. If these requirements divert the atenton of our management and personnel from other business concerns, they could have a material adverse efect on our business, fnancial conditon and results of operatons. The costs we incur as a public company will decrease our net income or increase our net loss, and may require us to reduce costs in other areas of our business. For example, these rules and regulatons make it more difcult and more expensive for us to obtain director and ofcer liability insurance, and we may be required to incur substantal costs to maintain the same or similar coverage in the future. We cannot predict or estmate the amount or tming of additonal costs we may incur to respond to these requirements. The impact of these requirements could also make it more difcult for us to atract and retain qualifed persons to serve on our board of directors, our board commitees or as executve ofcers.</w:t>
      </w:r>
    </w:p>
    <w:p>
      <w:pPr>
        <w:spacing w:after="0" w:line="182"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b w:val="1"/>
          <w:bCs w:val="1"/>
          <w:i w:val="1"/>
          <w:iCs w:val="1"/>
          <w:color w:val="auto"/>
        </w:rPr>
        <w:t>If securites or industry analysts do not publish research or reports or publish unfavorable research or reports about our business, our stock price and trading volume could decline.</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trading market for our common stock depends in part on the research and reports that securites or industry analysts publish about us, our business, our market or our compettors. If securites or industry analysts do not contnue coverage of our company, the trading price for our stock would be negatvely impacted. In additon,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93"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If we fail to maintain proper and efectve internal control over fnancial reportng, our ability to produce accurate and tmely fnancial statements could be impaired, investors may lose confdence in our fnancial reportng and the trading price of our common stock may decline.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Pursuant to Secton 404 of Sarbanes-Oxley, our management is required to report upon the efectveness of our internal control over fnancial reportng. When we lose our status as an “emerging growth company” and reach an accelerated fler threshold, our independent registered public accountng frm will be required to atest to the efectveness of our internal control over fnancial reportng. The rules governing the standards that must be met for management to assess our internal control over fnancial reportng are complex and require signifcant documentaton, testng and possible remediaton. To comply with the requirements of being a reportng company under the Exchange Act, we are in the process of implementng additonal fnancial and management controls, reportng systems and procedures; and hiring additonal accountng and fnance staf. If we or, if required, our auditors are unable to conclude that our internal control over fnancial reportng is efectve, investors may lose confdence in our fnancial reportng and the trading price of our common stock may decline.</w:t>
      </w:r>
    </w:p>
    <w:p>
      <w:pPr>
        <w:spacing w:after="0" w:line="1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There could be material weaknesses or signifcant defciencies in our internal control over fnancial reportng in the future. Any failure to maintain internal control over fnancial reportng could severely inhibit our ability to accurately report our fnancial conditon, results of operatons or cash fows. If we are unable to conclude that our internal control over fnancial reportng is efectve, or if our independent registered public accountng frm determines we have a material weakness or signifcant defciency in our internal control over fnancial reportng once that frm begin its Secton 404 reviews, investors may lose confdence in the accuracy and completeness of our fnancial reports, the market price of our common stock could decline, and we could be subject to sanctons or investgatons by Nasdaq, the SEC or other regulatory authorites. Failure to remedy any material weakness in our internal control over fnancial reportng, or to implement or maintain other efectve control systems required of public companies, could also restrict our future access to the capital markets.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41" w:name="page142"/>
    <w:bookmarkEnd w:id="141"/>
    <w:p>
      <w:pPr>
        <w:spacing w:after="0"/>
        <w:rPr>
          <w:sz w:val="20"/>
          <w:szCs w:val="20"/>
          <w:color w:val="auto"/>
        </w:rPr>
      </w:pPr>
      <w:r>
        <w:rPr>
          <w:rFonts w:ascii="Calibri" w:cs="Calibri" w:eastAsia="Calibri" w:hAnsi="Calibri"/>
          <w:sz w:val="18"/>
          <w:szCs w:val="18"/>
          <w:b w:val="1"/>
          <w:bCs w:val="1"/>
          <w:i w:val="1"/>
          <w:iCs w:val="1"/>
          <w:color w:val="auto"/>
        </w:rPr>
        <w:t>We could be subject to securites class acton litgaton.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past, securites class acton litgaton has ofen been brought against a company following a decline in the market price of its securites. This risk is especially relevant for us, because we, like many other biotechnology and pharmaceutcal companies, have recently experienced signifcant stock price volatlity. If we face such litgaton, it could result in substantal costs and a diversion of management’s atenton and resources, which could harm our business.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3" w:right="419" w:bottom="1440" w:gutter="0" w:footer="0" w:header="0"/>
        </w:sectPr>
      </w:pPr>
    </w:p>
    <w:bookmarkStart w:id="142" w:name="page143"/>
    <w:bookmarkEnd w:id="142"/>
    <w:p>
      <w:pPr>
        <w:spacing w:after="0"/>
        <w:rPr>
          <w:sz w:val="20"/>
          <w:szCs w:val="20"/>
          <w:color w:val="auto"/>
        </w:rPr>
      </w:pPr>
      <w:r>
        <w:rPr>
          <w:rFonts w:ascii="Calibri" w:cs="Calibri" w:eastAsia="Calibri" w:hAnsi="Calibri"/>
          <w:sz w:val="18"/>
          <w:szCs w:val="18"/>
          <w:b w:val="1"/>
          <w:bCs w:val="1"/>
          <w:color w:val="auto"/>
        </w:rPr>
        <w:t>Item 1B. Unresolved Staf Comments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Propertes</w:t>
      </w:r>
    </w:p>
    <w:p>
      <w:pPr>
        <w:spacing w:after="0" w:line="190"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Our corporate ofces are located in Bufalo Grove, Illinois, and Florham Park, New Jersey. We believe that our facilites are adequate to meet our current needs, and that suitable additonal alternatve spaces will be available in the future on commercially reasonable terms, if required.</w:t>
      </w:r>
    </w:p>
    <w:p>
      <w:pPr>
        <w:spacing w:after="0" w:line="21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additonal informaton, see Note 6, Lease Commitments included in Item 15 of this Annual Report on Form 10-K.</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Legal Proceedings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not currently subject to any material legal proceedings. From tme to tme, we may be involved in legal proceedings or subject to claims incident to the ordinary course of business. Regardless of the outcome, such proceedings or claims can have an adverse impact on us because of defense and setlement costs, diversion of resources and other factors, and there can be no assurances that favorable outcomes will be obtained.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sectPr>
      </w:pPr>
    </w:p>
    <w:bookmarkStart w:id="143" w:name="page144"/>
    <w:bookmarkEnd w:id="143"/>
    <w:p>
      <w:pPr>
        <w:jc w:val="center"/>
        <w:ind w:right="-39"/>
        <w:spacing w:after="0"/>
        <w:rPr>
          <w:sz w:val="20"/>
          <w:szCs w:val="20"/>
          <w:color w:val="auto"/>
        </w:rPr>
      </w:pPr>
      <w:r>
        <w:rPr>
          <w:rFonts w:ascii="Calibri" w:cs="Calibri" w:eastAsia="Calibri" w:hAnsi="Calibri"/>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Market for Registrant’s Common Equity, Related Stockholder Maters and Issuer Purchases of Equity Securites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 Informaton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common stock has been publicly traded on the Nasdaq Global Select Market under the symbol “PHAT” since our inital public ofering on October 25, 2019, which was completed at a price to the public of $19.00 per share. Prior to our inital public ofering, there was no public market for our common stock.</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Holders of Common Stock</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of February 24, 2023, there were 41,973,271 shares of our common stock outstanding held by approximately 59 holders of record of our common stock. This number was derived from our shareholder records and does not include benefcial owners of our common stock whose shares are held in the name of various dealers, clearing agencies, banks, brokers and other fduciaries.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 Policy</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never declared or paid any cash dividends on our capital stock. We intend to retain future earnings, if any, to fnance the operaton of our business and do not antcipate paying any cash dividends in the foreseeable future. Any future determinaton related to dividend policy will be made at the discreton of our board of directors afer considering our fnancial conditon, results of operatons, capital requirements, business prospects and other factors the board of directors deems relevant, and subject to the restrictons contained in any future fnancing instruments. In additon, under the terms of our Loan Agreement, we are prohibited from paying any cash dividends without the consent of the lenders.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Securites Authorized for Issuance Under Equity Compensaton Plans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See Item 12 of Part III of this annual report on Form 10-K for informaton about our equity compensaton plans which is incorporated by reference</w:t>
      </w:r>
    </w:p>
    <w:p>
      <w:pPr>
        <w:spacing w:after="0" w:line="235" w:lineRule="auto"/>
        <w:rPr>
          <w:sz w:val="20"/>
          <w:szCs w:val="20"/>
          <w:color w:val="auto"/>
        </w:rPr>
      </w:pPr>
      <w:r>
        <w:rPr>
          <w:rFonts w:ascii="Calibri" w:cs="Calibri" w:eastAsia="Calibri" w:hAnsi="Calibri"/>
          <w:sz w:val="18"/>
          <w:szCs w:val="18"/>
          <w:color w:val="auto"/>
        </w:rPr>
        <w:t>herein.</w:t>
      </w: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4" w:right="419" w:bottom="1440" w:gutter="0" w:footer="0" w:header="0"/>
        </w:sectPr>
      </w:pPr>
    </w:p>
    <w:bookmarkStart w:id="144" w:name="page145"/>
    <w:bookmarkEnd w:id="144"/>
    <w:p>
      <w:pPr>
        <w:spacing w:after="0"/>
        <w:rPr>
          <w:sz w:val="20"/>
          <w:szCs w:val="20"/>
          <w:color w:val="auto"/>
        </w:rPr>
      </w:pPr>
      <w:r>
        <w:rPr>
          <w:rFonts w:ascii="Calibri" w:cs="Calibri" w:eastAsia="Calibri" w:hAnsi="Calibri"/>
          <w:sz w:val="18"/>
          <w:szCs w:val="18"/>
          <w:b w:val="1"/>
          <w:bCs w:val="1"/>
          <w:color w:val="auto"/>
        </w:rPr>
        <w:t>Performance Graph</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Unregistered Sales of Equity Securites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Proceeds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October 24, 2019, our registraton statement on Form S-1 (File No. 333-234020) was declared efectve by the SEC for our inital public ofering. At the closing of the ofering on October 29, 2019, we sold 10,997,630 shares of common stock, which included the exercise in full by the underwriters of their opton to purchase 1,434,473 additonal shares, at an inital public ofering price of $19.00 per share and received gross proceeds of $209.0 million, which resulted in net proceeds to us of approximately $191.5 million, afer deductng underwritng discounts and commissions of approximately $14.6 million and ofering-related transacton costs of approximately $2.9 million. None of the expenses associated with the inital public ofering were paid to directors, ofcers, persons owning ten percent or more of any class of equity securites, or to their associates, or to our afliates. Goldman Sachs &amp; Co. LLC, Jeferies LLC and Evercore Group L.L.C. acted as joint book-running managers for the ofering.</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of December 31, 2021 the net proceeds from our inital public ofering and follow on ofering had been applied as follows: $151.7 million toward the clinical development of vonoprazan and $79.7 million towards working capital and general corporate purposes. As of December 31, 2021, we had used all of the net proceeds from our IPO of approximately $191.5 million.</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Repurchases of Equity Securites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Reserved</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45" w:name="page146"/>
    <w:bookmarkEnd w:id="145"/>
    <w:p>
      <w:pPr>
        <w:spacing w:after="0"/>
        <w:rPr>
          <w:sz w:val="20"/>
          <w:szCs w:val="20"/>
          <w:color w:val="auto"/>
        </w:rPr>
      </w:pPr>
      <w:r>
        <w:rPr>
          <w:rFonts w:ascii="Calibri" w:cs="Calibri" w:eastAsia="Calibri" w:hAnsi="Calibri"/>
          <w:sz w:val="18"/>
          <w:szCs w:val="18"/>
          <w:b w:val="1"/>
          <w:bCs w:val="1"/>
          <w:color w:val="auto"/>
        </w:rPr>
        <w:t>Item 7. Management’s Discussion and Analysis of Financial Conditon and Results of Operatons.</w:t>
      </w:r>
    </w:p>
    <w:p>
      <w:pPr>
        <w:spacing w:after="0" w:line="19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i w:val="1"/>
          <w:iCs w:val="1"/>
          <w:color w:val="auto"/>
        </w:rPr>
        <w:t>You should read the following discussion and analysis of our fnancial conditon and results of operatons together with our fnancial statements and related notes included elsewhere in this annual report. This discussion and analysis contains forward-looking statements based upon our current beliefs, plans and expectatons that involve risks, uncertaintes and assumptons. Our actual results may difer materially from those antcipated in these forward-looking statements as a result of various factors, including those set forth under “Risk Factors” or in other parts of this annual report.</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We are a biopharmaceutcal company focused on developing and commercializing novel treatments for gastrointestnal, or GI, diseases. Our inital approved products, VOQUEZNA TRIPLE PAK and VONOPRAZAN DUAL PAK, as well as our current product candidate, VOQUEZNA, contain vonoprazan, an oral small molecule PCAB. PCABs are a novel class of medicines that block acid secreton in the stomach. Vonoprazan has shown rapid, potent, and durable ant-secretory efects and has demonstrated clinical benefts over the current standard of care as a single agent in the treatment of erosive gastroesophageal refux disease, or erosive GERD, and in combinaton with antbiotcs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Takeda developed vonoprazan and has received marketng approval in numerous countries in Asia and Latn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9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In 2021 we reported positve topline data from two pivotal Phase 3 clinical trials for vonoprazan: one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or PHALCON-HP, and a second for the treatment of erosive GERD, PHALCON-EE. In April 2021, we reported positve topline data from PHALCON-HP, and in October 2021, we reported positve topline data from PHALCON-EE. These data are supplemented by the extensive existng clinical data generated by Takeda as part of their development program for vonoprazan in Japan and other markets. In September 2021, we submited two new drug applicatons, or NDAs, for combinaton packs that contain vonoprazan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one in combinaton with amoxicillin and clarithromycin (vonoprazan triple therapy) and the other in combinaton with amoxicillin alone (vonoprazan dual therapy). In May 2022, the FDA approved the NDAs for vonoprazan triple therapy, under the brand name VOQUEZNA TRIPLE PAK, and vonoprazan dual therapy, under the brand name VOQUEZNA DUAL PAK. Prior to approval, in May 2021, we received qualifed infectous disease product, or QIDP, designatons for VOQUEZNA TRIPLE PAK and VOQUEZNA DUAL PAK, which, upon approval of these products, added fve years of regulatory exclusivity to the fve years of new chemical entty, or NCE, exclusivity for vonoprazan to which these products were, and future products we develop containing vonoprazan will be, enttled.</w:t>
      </w:r>
    </w:p>
    <w:p>
      <w:pPr>
        <w:spacing w:after="0" w:line="1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March 2022, we submited an NDA for vonoprazan as a treatment for adults for the healing of all grades of erosive GERD, maintenance of healing of all grades of erosive GERD, and relief of heartburn associated with erosive GERD. If approved, we expect to market the product under the brand name VOQUEZNA. In August 2022, we announced that, consistent with current FDA recommendatons for all chemically synthesized drug compounds, we previously initated post-approval testng to determine whether nitrosamine impurites were present in our inital commercial drug product for VOQUEZNA TRIPLE PAK and VOQUEZNA DUAL PAK. These tests revealed trace levels of a nitrosamine impurity, </w:t>
      </w:r>
      <w:r>
        <w:rPr>
          <w:rFonts w:ascii="Calibri" w:cs="Calibri" w:eastAsia="Calibri" w:hAnsi="Calibri"/>
          <w:sz w:val="18"/>
          <w:szCs w:val="18"/>
          <w:i w:val="1"/>
          <w:iCs w:val="1"/>
          <w:color w:val="auto"/>
        </w:rPr>
        <w:t>N</w:t>
      </w:r>
      <w:r>
        <w:rPr>
          <w:rFonts w:ascii="Calibri" w:cs="Calibri" w:eastAsia="Calibri" w:hAnsi="Calibri"/>
          <w:sz w:val="18"/>
          <w:szCs w:val="18"/>
          <w:color w:val="auto"/>
        </w:rPr>
        <w:t xml:space="preserve">-nitroso-vonoprazan, or NVP, that is not described within the FDA guidance document enttled “Control of Nitrosamine Impurites in Human Drugs – Guidance for Industry.” In January 2023, we announced that, although the FDA established an acceptable daily intake level (AI) for NVP at 96 ng/day, the FDA advised us that it would not be actng on our erosive GERD NDA on or prior to the Prescripton Drug User Fee Act (PDUFA) target acton date of January 11, 2023. Rather, the FDA requested additonal stability data demonstratng that the levels of NVP will remain at or below the AI throughout the proposed shelf life of the product. In February 2023, we received complete response leters from the FDA relatng to our erosive GERD NDA and post approval supplement relatng to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both of which address specifcatons and controls for NVP. These leters formalize FDA’s prior request that we provide additonal stability data to demonstrate that levels of NVP will remain at or below the AI throughout the proposed shelf life of the product.</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4" w:right="379" w:bottom="1440" w:gutter="0" w:footer="0" w:header="0"/>
        </w:sectPr>
      </w:pPr>
    </w:p>
    <w:bookmarkStart w:id="146" w:name="page147"/>
    <w:bookmarkEnd w:id="146"/>
    <w:p>
      <w:pPr>
        <w:jc w:val="both"/>
        <w:ind w:right="100"/>
        <w:spacing w:after="0" w:line="235" w:lineRule="auto"/>
        <w:rPr>
          <w:sz w:val="20"/>
          <w:szCs w:val="20"/>
          <w:color w:val="auto"/>
        </w:rPr>
      </w:pPr>
      <w:r>
        <w:rPr>
          <w:rFonts w:ascii="Calibri" w:cs="Calibri" w:eastAsia="Calibri" w:hAnsi="Calibri"/>
          <w:sz w:val="18"/>
          <w:szCs w:val="18"/>
          <w:color w:val="auto"/>
        </w:rPr>
        <w:t>No additonal defciencies were cited by the FDA in either leter. We have scheduled a meetng with the FDA in March 2023 to discuss our resubmission plan and tmeline. If we are unable to demonstrate to the FDA that we will be able to maintain NVP levels at or below the AI, launches of VOQUEZNA TRIPLE PAK and VOQUEZNA DUAL PAK will be further delayed and approval of our erosive GERD NDA will contnue to be delayed, which could substantally increase our costs and delay or put at risk our ability to generate revenue and adversely afect our commercial prospects.</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Also in January 2023, we reported positve topline results from PHALCON-NERD-301, a Phase 3 study evaluatng the safety and efcacy of vonoprazan for the daily treatment of adults with non-erosive GERD. We are also in discussions with the FDA regarding the design of a Phase 3 trial to evaluate the novel dosing regimen of vonoprazan as an as needed treatment for episodic heartburn relief in patents with non-erosive GERD, a dosing regimen not approved in the U.S. for PPIs. This trial would consttute our fourth Phase 3 trial for vonoprazan. In February 2022, we reported positve topline results from PHALCON-NERD-201, a Phase 2 proof-of-concept study evaluatng this novel dosing regimen.</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plan to independently commercialize VOQUEZNA TRIPLE PAK, VOQUEZNA DUAL PAK and, if approved, VOQUEZNA, in the United States. We plan to seek commercial partnerships for vonoprazan in Europe and Canada, expand development of vonoprazan into other indicatons, dosing regimens and alternatve formulatons and packaging, and in-license or acquire additonal clinical or commercial stage product candidates for the treatment of GI diseases in a capital efcient manner.</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commenced our operatons in 2018 and have devoted substantally all of our resources to date to organizing and stafng our company, business planning, raising capital, in-licensing our inital product candidate, vonoprazan, meetng with regulatory authorites, conductng our Phase 3 clinical trials of vonoprazan, preparing applicatons for regulatory approval for vonoprazan and preparing for a potental commercial launch. Our operatons to date have been funded primarily through the issuance of convertble promissory notes, commercial bank debt, the proceeds from our inital public ofering and our follow-on public ofering. From our incepton through December 31, 2022, we have raised aggregate gross proceeds of $90.3 million from the issuance of convertble promissory notes, $100.0 million of debt, net proceeds from our inital public ofering of $191.5 million from the sale of 10,997,630 shares of common stock, which included the exercise in full by the underwriters of their opton to purchase 1,434,473 additonal shares at a public ofering price of $19.00 per share, afer deductng underwritng discounts, commissions and ofering costs, and net proceeds of $88.6 million from the sale of 2,250,000 shares of common stock at a public ofering price of $39.48 per share afer deductng underwritng discounts and commissions, and an additonal $0.2 million in ofering costs. As of December 31, 2022, we had cash and cash equivalents of $155.4 million. 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will be sufcient to fund our operatons through the end of 2024.</w:t>
      </w:r>
    </w:p>
    <w:p>
      <w:pPr>
        <w:spacing w:after="0" w:line="186" w:lineRule="exact"/>
        <w:rPr>
          <w:sz w:val="20"/>
          <w:szCs w:val="20"/>
          <w:color w:val="auto"/>
        </w:rPr>
      </w:pPr>
    </w:p>
    <w:p>
      <w:pPr>
        <w:ind w:right="60" w:firstLine="545"/>
        <w:spacing w:after="0" w:line="235" w:lineRule="auto"/>
        <w:rPr>
          <w:sz w:val="20"/>
          <w:szCs w:val="20"/>
          <w:color w:val="auto"/>
        </w:rPr>
      </w:pPr>
      <w:r>
        <w:rPr>
          <w:rFonts w:ascii="Calibri" w:cs="Calibri" w:eastAsia="Calibri" w:hAnsi="Calibri"/>
          <w:sz w:val="18"/>
          <w:szCs w:val="18"/>
          <w:color w:val="auto"/>
        </w:rPr>
        <w:t>We have not initated commercial launch of any products and have incurred net losses since our incepton. Our net losses for the years ended December 31, 2022 and 2021 were $197.7 million and $143.9 million, respectvely. As of December 31, 2022, we had an accumulated defcit of $727.1 million. Our net losses may fuctuate signifcantly from quarter-to-quarter and year-to-year, depending on the tming of our clinical development actvites, other research and development actvites and pre-commercializaton actvites. We expect our expenses and operatng losses will increase as we contnue to advance vonoprazan through clinical trials, seek additonal regulatory approvals for vonoprazan, expand our quality, regulatory, manufacturing and commercializaton capabilites, incur signifcant commercializaton expenses for marketng, sales, manufacturing and distributon if we obtain marketng approval for VOQUEZNA for erosive GERD in the U.S., protect our intellectual property, expand our general and administratve support functons, including hiring additonal personnel, and incur additonal costs associated with operatng as a public company.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47" w:name="page148"/>
    <w:bookmarkEnd w:id="147"/>
    <w:p>
      <w:pPr>
        <w:ind w:right="60" w:firstLine="509"/>
        <w:spacing w:after="0" w:line="235" w:lineRule="auto"/>
        <w:rPr>
          <w:sz w:val="20"/>
          <w:szCs w:val="20"/>
          <w:color w:val="auto"/>
        </w:rPr>
      </w:pPr>
      <w:r>
        <w:rPr>
          <w:rFonts w:ascii="Calibri" w:cs="Calibri" w:eastAsia="Calibri" w:hAnsi="Calibri"/>
          <w:sz w:val="18"/>
          <w:szCs w:val="18"/>
          <w:color w:val="auto"/>
        </w:rPr>
        <w:t>We have never generated any revenue and do not expect to generate any revenues from product sales unless and untl we obtain regulatory approval for VOQUEZNA, or approval of our resubmission for VOQUEZNA TRIPLE PAK and VOQUEZNA DUAL PAK, in the U.S. Accordingly, untl such tme as we can generate signifcant revenue from sales of products containing vonoprazan, if ever, we expect to fnance our cash needs through equity oferings, our Loan Agreement, our Revenue Interest Financing Agreement, additonal debt fnancings or other capital sources, including potental collaboratons, licenses and other similar arrangements. However, we may be unable to raise additonal funds or enter into such other arrangements when needed on favorable terms or at all, and this risk could be exacerbated by the impact of the ongoing hostlites in the Ukraine on global economic conditons. Our failure to raise capital or enter into such other arrangements when needed would have a negatve impact on our fnancial conditon and could force us to delay, limit, reduce or terminate our product development or future commercializaton eforts or grant rights to develop and market product candidates that we would otherwise prefer to develop and market ourselves.</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 with Takeda</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On May 7, 2019, we and Takeda entered into the Takeda License, pursuant to which we in-licensed the U.S., European, and Canadian rights to vonoprazan fumarate. 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vonoprazan products. We are required to use commercially reasonable eforts to develop and commercialize the vonoprazan products in our licensed territory.</w:t>
      </w:r>
    </w:p>
    <w:p>
      <w:pPr>
        <w:spacing w:after="0" w:line="193"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w:t>
      </w:r>
    </w:p>
    <w:p>
      <w:pPr>
        <w:spacing w:after="0" w:line="178"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We paid Takeda upfront consideraton consistng of a cash fee of $25.0 million, 1,084,000 shares of our common stock, the Takeda Warrant to purchase 7,588,000 shares of our common stock at an exercise price of $0.00004613 per share, and issued Takeda a right to receive an additonal common stock warrant, or the Takeda Warrant Right, if Takeda’s fully-diluted ownership of the Company represented less than a certain specifed percentage of the fully-diluted capitalizaton, including shares issuable upon conversion of then outstanding convertble promissory notes, calculated immediately prior to the closing of our IPO. The Takeda Warrant Right expired without efect since no fair value had been allocated to it upon completon of our IPO, and no additonal warrant was issued. We agreed to make milestone payments to Takeda upon achieving certain tered aggregate annual net sales of licensed products in the United States, Europe and Canada up to a total maximum milestone amount of $250.0 million. We also agreed to make tered royalty payments at percentages in the low double digits on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148" w:name="page149"/>
    <w:bookmarkEnd w:id="148"/>
    <w:p>
      <w:pPr>
        <w:spacing w:after="0"/>
        <w:rPr>
          <w:sz w:val="20"/>
          <w:szCs w:val="20"/>
          <w:color w:val="auto"/>
        </w:rPr>
      </w:pPr>
      <w:r>
        <w:rPr>
          <w:rFonts w:ascii="Calibri" w:cs="Calibri" w:eastAsia="Calibri" w:hAnsi="Calibri"/>
          <w:sz w:val="18"/>
          <w:szCs w:val="18"/>
          <w:b w:val="1"/>
          <w:bCs w:val="1"/>
          <w:color w:val="auto"/>
        </w:rPr>
        <w:t>Components of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Expenses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untl the goods or services are received.</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Research and development expenses include:</w:t>
      </w:r>
    </w:p>
    <w:p>
      <w:pPr>
        <w:spacing w:after="0" w:line="190" w:lineRule="exact"/>
        <w:rPr>
          <w:sz w:val="20"/>
          <w:szCs w:val="20"/>
          <w:color w:val="auto"/>
        </w:rPr>
      </w:pPr>
    </w:p>
    <w:p>
      <w:pPr>
        <w:ind w:left="900" w:right="32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salaries, payroll taxes, employee benefts, and stock-based compensaton charges for those individuals involved in research and development eforts;</w:t>
      </w:r>
    </w:p>
    <w:p>
      <w:pPr>
        <w:spacing w:after="0" w:line="204"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external research and development expenses incurred under agreements with CROs, and consultants to conduct and support our ongoing clinical trials of vonoprazan;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related to the manufacturing of vonoprazan for our clinical trials.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plan to increase our research and development expenses for the foreseeable future as we contnue the development of vonoprazan. We cannot determine with certainty the tming of initaton, the duraton or the completon costs of current or future clinical trials and nonclinical studies of vonoprazan or any future product candidates due to the inherently unpredictable nature of clinical and preclinical development. Clinical and preclinical development tmelines, the probability of success and development costs can difer materially from expectatons. In additon, we cannot forecast which product candidates may be subject to future collaboratons, when such arrangements will be secured, if at all, and to what degree such arrangements would afect our development plans and capital requirements.</w:t>
      </w:r>
    </w:p>
    <w:p>
      <w:pPr>
        <w:spacing w:after="0" w:line="18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clinical development costs may vary signifcantly based on factors such as:</w:t>
      </w:r>
    </w:p>
    <w:p>
      <w:pPr>
        <w:spacing w:after="0" w:line="185" w:lineRule="exact"/>
        <w:rPr>
          <w:sz w:val="20"/>
          <w:szCs w:val="20"/>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 patent trial costs;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trials required for approval;</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sites included in the trials;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countries in which the trials are conducted;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length of tme required to enroll eligible patents;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patents that partcipate in the trials;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doses evaluated in the trials;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drop-out or discontnuaton rates of patents;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additonal safety monitoring requested by regulatory agencies;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duraton of patent partcipaton in the trials and follow-up;</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phase of development of the product candidate;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efcacy and safety profle of the product candidate;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49" w:name="page150"/>
    <w:bookmarkEnd w:id="149"/>
    <w:p>
      <w:pPr>
        <w:spacing w:after="0"/>
        <w:rPr>
          <w:sz w:val="20"/>
          <w:szCs w:val="20"/>
          <w:color w:val="auto"/>
        </w:rPr>
      </w:pPr>
      <w:r>
        <w:rPr>
          <w:rFonts w:ascii="Calibri" w:cs="Calibri" w:eastAsia="Calibri" w:hAnsi="Calibri"/>
          <w:sz w:val="18"/>
          <w:szCs w:val="18"/>
          <w:b w:val="1"/>
          <w:bCs w:val="1"/>
          <w:i w:val="1"/>
          <w:iCs w:val="1"/>
          <w:color w:val="auto"/>
        </w:rPr>
        <w:t>General and Administratve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General and administratve expenses consist of salaries and employee-related costs, including stock-based compensaton, for personnel in executve, fnance, accountng, legal, human resources and other administratve functons, legal fees relatng to intellectual property and corporate maters, and professional fees for accountng and consultng services. We antcipate that our general and administratve expenses will increase in the future to support our contnued research and development actvites, pre-commercial preparaton actvites for vonoprazan and, if any future product candidate receives marketng approval, commercializaton actvites. We also antcipate increased expenses related to audit, legal, regulatory, and tax-related services associated with maintaining compliance with exchange listng and SEC requirements, director and ofcer insurance premiums, and investor relatons costs associated with operatng as a public company.</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Income</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Interest income consists of interest on our money market funds.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Expense</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Beginning on May 3, 2022, interest expense includes interest on the Revenue Interest Financing Agreement, which is based on the imputed efectve rate derived from expected future payments and the carrying value of the obligaton. The Company recalculates the efectve interest rate each period based on the current carrying value and the revised estmated future payments. Changes in future payments from previous estmates are included in current and future fnancing expense.</w:t>
      </w:r>
    </w:p>
    <w:p>
      <w:pPr>
        <w:spacing w:after="0" w:line="192" w:lineRule="exact"/>
        <w:rPr>
          <w:sz w:val="20"/>
          <w:szCs w:val="20"/>
          <w:color w:val="auto"/>
        </w:rPr>
      </w:pPr>
    </w:p>
    <w:p>
      <w:pPr>
        <w:ind w:right="160" w:firstLine="509"/>
        <w:spacing w:after="0" w:line="249" w:lineRule="auto"/>
        <w:rPr>
          <w:sz w:val="20"/>
          <w:szCs w:val="20"/>
          <w:color w:val="auto"/>
        </w:rPr>
      </w:pPr>
      <w:r>
        <w:rPr>
          <w:rFonts w:ascii="Calibri" w:cs="Calibri" w:eastAsia="Calibri" w:hAnsi="Calibri"/>
          <w:sz w:val="17"/>
          <w:szCs w:val="17"/>
          <w:color w:val="auto"/>
        </w:rPr>
        <w:t>Beginning on September 17, 2021, interest expense consists of (i) cash interest at a variable annual rate equal to the greater of (a) 5.50% and (b) the Prime Rate (as reported in the Wall Street Journal) plus 2.25% (the “Interest Rate”), (ii) payment-in-kind interest at a per annum rate of interest equal to</w:t>
      </w:r>
    </w:p>
    <w:p>
      <w:pPr>
        <w:spacing w:after="0" w:line="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3.35%, and (iii) amortzaton of the Hercules Loan Agreement debt discount recorded in connecton with the fair value of warrants issued to the lenders, the debt issuance costs incurred, and the obligaton to make a fnal payment.</w:t>
      </w:r>
    </w:p>
    <w:p>
      <w:pPr>
        <w:spacing w:after="0" w:line="177" w:lineRule="exact"/>
        <w:rPr>
          <w:sz w:val="20"/>
          <w:szCs w:val="20"/>
          <w:color w:val="auto"/>
        </w:rPr>
      </w:pPr>
    </w:p>
    <w:p>
      <w:pPr>
        <w:ind w:right="40" w:firstLine="509"/>
        <w:spacing w:after="0" w:line="254" w:lineRule="auto"/>
        <w:rPr>
          <w:sz w:val="20"/>
          <w:szCs w:val="20"/>
          <w:color w:val="auto"/>
        </w:rPr>
      </w:pPr>
      <w:r>
        <w:rPr>
          <w:rFonts w:ascii="Calibri" w:cs="Calibri" w:eastAsia="Calibri" w:hAnsi="Calibri"/>
          <w:sz w:val="17"/>
          <w:szCs w:val="17"/>
          <w:color w:val="auto"/>
        </w:rPr>
        <w:t>Prior to September 17, 2021, interest expense consisted of interest on our outstanding commercial bank debt with SVB at a variable annual rate equal to the greater of (a) 7.25% and (b) Prime Rate (as reported by the Wall Street Journal) plus 1.75% and amortzaton of the SVB Term Loan debt discount recorded in connecton with the fair value of warrants issued to the lenders, the debt issuance costs incurred, and the obligaton to make a fnal payment.</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150" w:name="page151"/>
    <w:bookmarkEnd w:id="150"/>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Comparison of the Years Ended December 31, 2022 and 2021</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our results of operatons for the years ended December 31, 2022 and 2021 (in thousands):</w:t>
      </w:r>
    </w:p>
    <w:p>
      <w:pPr>
        <w:spacing w:after="0" w:line="2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Years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December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restart"/>
          </w:tcPr>
          <w:p>
            <w:pPr>
              <w:jc w:val="right"/>
              <w:ind w:right="332"/>
              <w:spacing w:after="0"/>
              <w:rPr>
                <w:sz w:val="20"/>
                <w:szCs w:val="20"/>
                <w:color w:val="auto"/>
              </w:rPr>
            </w:pPr>
            <w:r>
              <w:rPr>
                <w:rFonts w:ascii="Calibri" w:cs="Calibri" w:eastAsia="Calibri" w:hAnsi="Calibri"/>
                <w:sz w:val="14"/>
                <w:szCs w:val="14"/>
                <w:b w:val="1"/>
                <w:bCs w:val="1"/>
                <w:color w:val="auto"/>
              </w:rPr>
              <w:t>Change</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5"/>
              <w:spacing w:after="0" w:line="164" w:lineRule="exact"/>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432"/>
              <w:spacing w:after="0" w:line="164" w:lineRule="exact"/>
              <w:rPr>
                <w:sz w:val="20"/>
                <w:szCs w:val="20"/>
                <w:color w:val="auto"/>
              </w:rPr>
            </w:pPr>
            <w:r>
              <w:rPr>
                <w:rFonts w:ascii="Calibri" w:cs="Calibri" w:eastAsia="Calibri" w:hAnsi="Calibri"/>
                <w:sz w:val="14"/>
                <w:szCs w:val="14"/>
                <w:b w:val="1"/>
                <w:bCs w:val="1"/>
                <w:color w:val="auto"/>
                <w:w w:val="98"/>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Operatng expenses:</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180"/>
              <w:spacing w:after="0" w:line="215" w:lineRule="exact"/>
              <w:rPr>
                <w:sz w:val="20"/>
                <w:szCs w:val="20"/>
                <w:color w:val="auto"/>
              </w:rPr>
            </w:pPr>
            <w:r>
              <w:rPr>
                <w:rFonts w:ascii="Calibri" w:cs="Calibri" w:eastAsia="Calibri" w:hAnsi="Calibri"/>
                <w:sz w:val="18"/>
                <w:szCs w:val="18"/>
                <w:color w:val="auto"/>
              </w:rPr>
              <w:t>Research and development</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71,441</w:t>
            </w:r>
          </w:p>
        </w:tc>
        <w:tc>
          <w:tcPr>
            <w:tcW w:w="540" w:type="dxa"/>
            <w:vAlign w:val="bottom"/>
            <w:gridSpan w:val="2"/>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72,338</w:t>
            </w:r>
          </w:p>
        </w:tc>
        <w:tc>
          <w:tcPr>
            <w:tcW w:w="3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(897 )</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General and administratve</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5"/>
              <w:spacing w:after="0" w:line="215" w:lineRule="exact"/>
              <w:rPr>
                <w:sz w:val="20"/>
                <w:szCs w:val="20"/>
                <w:color w:val="auto"/>
              </w:rPr>
            </w:pPr>
            <w:r>
              <w:rPr>
                <w:rFonts w:ascii="Calibri" w:cs="Calibri" w:eastAsia="Calibri" w:hAnsi="Calibri"/>
                <w:sz w:val="18"/>
                <w:szCs w:val="18"/>
                <w:color w:val="auto"/>
              </w:rPr>
              <w:t>100,999</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2"/>
              <w:spacing w:after="0" w:line="215" w:lineRule="exact"/>
              <w:rPr>
                <w:sz w:val="20"/>
                <w:szCs w:val="20"/>
                <w:color w:val="auto"/>
              </w:rPr>
            </w:pPr>
            <w:r>
              <w:rPr>
                <w:rFonts w:ascii="Calibri" w:cs="Calibri" w:eastAsia="Calibri" w:hAnsi="Calibri"/>
                <w:sz w:val="18"/>
                <w:szCs w:val="18"/>
                <w:color w:val="auto"/>
              </w:rPr>
              <w:t>62,742</w:t>
            </w:r>
          </w:p>
        </w:tc>
        <w:tc>
          <w:tcPr>
            <w:tcW w:w="34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ind w:right="12"/>
              <w:spacing w:after="0" w:line="215" w:lineRule="exact"/>
              <w:rPr>
                <w:sz w:val="20"/>
                <w:szCs w:val="20"/>
                <w:color w:val="auto"/>
              </w:rPr>
            </w:pPr>
            <w:r>
              <w:rPr>
                <w:rFonts w:ascii="Calibri" w:cs="Calibri" w:eastAsia="Calibri" w:hAnsi="Calibri"/>
                <w:sz w:val="18"/>
                <w:szCs w:val="18"/>
                <w:color w:val="auto"/>
              </w:rPr>
              <w:t>38,257</w:t>
            </w:r>
          </w:p>
        </w:tc>
        <w:tc>
          <w:tcPr>
            <w:tcW w:w="0" w:type="dxa"/>
            <w:vAlign w:val="bottom"/>
          </w:tcPr>
          <w:p>
            <w:pPr>
              <w:spacing w:after="0"/>
              <w:rPr>
                <w:sz w:val="1"/>
                <w:szCs w:val="1"/>
                <w:color w:val="auto"/>
              </w:rPr>
            </w:pPr>
          </w:p>
        </w:tc>
      </w:tr>
      <w:tr>
        <w:trPr>
          <w:trHeight w:val="208"/>
        </w:trPr>
        <w:tc>
          <w:tcPr>
            <w:tcW w:w="50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operatng expenses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
              <w:spacing w:after="0" w:line="208" w:lineRule="exact"/>
              <w:rPr>
                <w:sz w:val="20"/>
                <w:szCs w:val="20"/>
                <w:color w:val="auto"/>
              </w:rPr>
            </w:pPr>
            <w:r>
              <w:rPr>
                <w:rFonts w:ascii="Calibri" w:cs="Calibri" w:eastAsia="Calibri" w:hAnsi="Calibri"/>
                <w:sz w:val="18"/>
                <w:szCs w:val="18"/>
                <w:color w:val="auto"/>
              </w:rPr>
              <w:t>172,440</w:t>
            </w: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2"/>
              <w:spacing w:after="0" w:line="208" w:lineRule="exact"/>
              <w:rPr>
                <w:sz w:val="20"/>
                <w:szCs w:val="20"/>
                <w:color w:val="auto"/>
              </w:rPr>
            </w:pPr>
            <w:r>
              <w:rPr>
                <w:rFonts w:ascii="Calibri" w:cs="Calibri" w:eastAsia="Calibri" w:hAnsi="Calibri"/>
                <w:sz w:val="18"/>
                <w:szCs w:val="18"/>
                <w:color w:val="auto"/>
              </w:rPr>
              <w:t>135,080</w:t>
            </w: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2"/>
              <w:spacing w:after="0" w:line="208" w:lineRule="exact"/>
              <w:rPr>
                <w:sz w:val="20"/>
                <w:szCs w:val="20"/>
                <w:color w:val="auto"/>
              </w:rPr>
            </w:pPr>
            <w:r>
              <w:rPr>
                <w:rFonts w:ascii="Calibri" w:cs="Calibri" w:eastAsia="Calibri" w:hAnsi="Calibri"/>
                <w:sz w:val="18"/>
                <w:szCs w:val="18"/>
                <w:color w:val="auto"/>
              </w:rPr>
              <w:t>37,360</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0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Loss from operatons</w:t>
            </w:r>
          </w:p>
        </w:tc>
        <w:tc>
          <w:tcPr>
            <w:tcW w:w="2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(172,440 )</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(135,080 )</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(37,360 )</w:t>
            </w:r>
          </w:p>
        </w:tc>
        <w:tc>
          <w:tcPr>
            <w:tcW w:w="0" w:type="dxa"/>
            <w:vAlign w:val="bottom"/>
          </w:tcPr>
          <w:p>
            <w:pPr>
              <w:spacing w:after="0"/>
              <w:rPr>
                <w:sz w:val="1"/>
                <w:szCs w:val="1"/>
                <w:color w:val="auto"/>
              </w:rPr>
            </w:pPr>
          </w:p>
        </w:tc>
      </w:tr>
      <w:tr>
        <w:trPr>
          <w:trHeight w:val="208"/>
        </w:trPr>
        <w:tc>
          <w:tcPr>
            <w:tcW w:w="50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Other income (expense):</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Interest income</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15"/>
              <w:spacing w:after="0" w:line="215" w:lineRule="exact"/>
              <w:rPr>
                <w:sz w:val="20"/>
                <w:szCs w:val="20"/>
                <w:color w:val="auto"/>
              </w:rPr>
            </w:pPr>
            <w:r>
              <w:rPr>
                <w:rFonts w:ascii="Calibri" w:cs="Calibri" w:eastAsia="Calibri" w:hAnsi="Calibri"/>
                <w:sz w:val="18"/>
                <w:szCs w:val="18"/>
                <w:color w:val="auto"/>
              </w:rPr>
              <w:t>2,132</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12"/>
              <w:spacing w:after="0" w:line="215" w:lineRule="exact"/>
              <w:rPr>
                <w:sz w:val="20"/>
                <w:szCs w:val="20"/>
                <w:color w:val="auto"/>
              </w:rPr>
            </w:pPr>
            <w:r>
              <w:rPr>
                <w:rFonts w:ascii="Calibri" w:cs="Calibri" w:eastAsia="Calibri" w:hAnsi="Calibri"/>
                <w:sz w:val="18"/>
                <w:szCs w:val="18"/>
                <w:color w:val="auto"/>
              </w:rPr>
              <w:t>41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12"/>
              <w:spacing w:after="0" w:line="215" w:lineRule="exact"/>
              <w:rPr>
                <w:sz w:val="20"/>
                <w:szCs w:val="20"/>
                <w:color w:val="auto"/>
              </w:rPr>
            </w:pPr>
            <w:r>
              <w:rPr>
                <w:rFonts w:ascii="Calibri" w:cs="Calibri" w:eastAsia="Calibri" w:hAnsi="Calibri"/>
                <w:sz w:val="18"/>
                <w:szCs w:val="18"/>
                <w:color w:val="auto"/>
              </w:rPr>
              <w:t>2,091</w:t>
            </w:r>
          </w:p>
        </w:tc>
        <w:tc>
          <w:tcPr>
            <w:tcW w:w="0" w:type="dxa"/>
            <w:vAlign w:val="bottom"/>
          </w:tcPr>
          <w:p>
            <w:pPr>
              <w:spacing w:after="0"/>
              <w:rPr>
                <w:sz w:val="1"/>
                <w:szCs w:val="1"/>
                <w:color w:val="auto"/>
              </w:rPr>
            </w:pPr>
          </w:p>
        </w:tc>
      </w:tr>
      <w:tr>
        <w:trPr>
          <w:trHeight w:val="215"/>
        </w:trPr>
        <w:tc>
          <w:tcPr>
            <w:tcW w:w="5060" w:type="dxa"/>
            <w:vAlign w:val="bottom"/>
          </w:tcPr>
          <w:p>
            <w:pPr>
              <w:ind w:left="180"/>
              <w:spacing w:after="0" w:line="215" w:lineRule="exact"/>
              <w:rPr>
                <w:sz w:val="20"/>
                <w:szCs w:val="20"/>
                <w:color w:val="auto"/>
              </w:rPr>
            </w:pPr>
            <w:r>
              <w:rPr>
                <w:rFonts w:ascii="Calibri" w:cs="Calibri" w:eastAsia="Calibri" w:hAnsi="Calibri"/>
                <w:sz w:val="18"/>
                <w:szCs w:val="18"/>
                <w:color w:val="auto"/>
              </w:rPr>
              <w:t>Interest expense</w:t>
            </w: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(27,305 )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(6,788 )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(20,517 )</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Other expense</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(110 )</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(2,056 )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2"/>
              <w:spacing w:after="0" w:line="215" w:lineRule="exact"/>
              <w:rPr>
                <w:sz w:val="20"/>
                <w:szCs w:val="20"/>
                <w:color w:val="auto"/>
              </w:rPr>
            </w:pPr>
            <w:r>
              <w:rPr>
                <w:rFonts w:ascii="Calibri" w:cs="Calibri" w:eastAsia="Calibri" w:hAnsi="Calibri"/>
                <w:sz w:val="18"/>
                <w:szCs w:val="18"/>
                <w:color w:val="auto"/>
              </w:rPr>
              <w:t>1,946</w:t>
            </w:r>
          </w:p>
        </w:tc>
        <w:tc>
          <w:tcPr>
            <w:tcW w:w="0" w:type="dxa"/>
            <w:vAlign w:val="bottom"/>
          </w:tcPr>
          <w:p>
            <w:pPr>
              <w:spacing w:after="0"/>
              <w:rPr>
                <w:sz w:val="1"/>
                <w:szCs w:val="1"/>
                <w:color w:val="auto"/>
              </w:rPr>
            </w:pPr>
          </w:p>
        </w:tc>
      </w:tr>
      <w:tr>
        <w:trPr>
          <w:trHeight w:val="208"/>
        </w:trPr>
        <w:tc>
          <w:tcPr>
            <w:tcW w:w="50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other income expense</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(25,283 )</w:t>
            </w: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(8,803 )</w:t>
            </w: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(16,480 )</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0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loss</w:t>
            </w:r>
          </w:p>
        </w:tc>
        <w:tc>
          <w:tcPr>
            <w:tcW w:w="260" w:type="dxa"/>
            <w:vAlign w:val="bottom"/>
            <w:tcBorders>
              <w:top w:val="single" w:sz="8" w:color="auto"/>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(197,723 )</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(143,883 )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(53,840 )</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-1923415</wp:posOffset>
            </wp:positionV>
            <wp:extent cx="1710055" cy="1708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0055" cy="1708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-1302385</wp:posOffset>
            </wp:positionV>
            <wp:extent cx="774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-1302385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-976630</wp:posOffset>
            </wp:positionV>
            <wp:extent cx="7747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-976630</wp:posOffset>
            </wp:positionV>
            <wp:extent cx="6858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-350520</wp:posOffset>
            </wp:positionV>
            <wp:extent cx="7747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-350520</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i w:val="1"/>
          <w:iCs w:val="1"/>
          <w:color w:val="auto"/>
        </w:rPr>
        <w:t xml:space="preserve">Research and Development Expenses. </w:t>
      </w:r>
      <w:r>
        <w:rPr>
          <w:rFonts w:ascii="Calibri" w:cs="Calibri" w:eastAsia="Calibri" w:hAnsi="Calibri"/>
          <w:sz w:val="18"/>
          <w:szCs w:val="18"/>
          <w:color w:val="auto"/>
        </w:rPr>
        <w:t>Research and development expenses were $71.4 million and $72.3 million for the years ended December 31,</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2022 and 2021, respectvely. The decrease of $0.9 million consisted of consisted of a reducton of $3.2 million of expenses related to regulatory requirements and $0.4 million of chemistry manufacturing and controls, or CMC, costs related to vonoprazan, partally ofset by increases $2.7 million of personnel-related, consultng and other research expenses.</w:t>
      </w:r>
    </w:p>
    <w:p>
      <w:pPr>
        <w:spacing w:after="0" w:line="17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i w:val="1"/>
          <w:iCs w:val="1"/>
          <w:color w:val="auto"/>
        </w:rPr>
        <w:t xml:space="preserve">General and Administratve Expenses. </w:t>
      </w:r>
      <w:r>
        <w:rPr>
          <w:rFonts w:ascii="Calibri" w:cs="Calibri" w:eastAsia="Calibri" w:hAnsi="Calibri"/>
          <w:sz w:val="18"/>
          <w:szCs w:val="18"/>
          <w:color w:val="auto"/>
        </w:rPr>
        <w:t>General and administratve expenses were $101.0 million and $62.7 million for the years ended December 31,</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2022 and 2021, respectvely. The increase of $38.2 million was due to increases of $21.0 million in professional services expenses for commercial, medical afairs and other services, $15.7 million in personnel-related expenses, $1.7 million in legal and other expenses in 2022, partally ofset by a $0.2 million reducton in consultng fees.</w:t>
      </w:r>
    </w:p>
    <w:p>
      <w:pPr>
        <w:spacing w:after="0" w:line="179" w:lineRule="exact"/>
        <w:rPr>
          <w:sz w:val="20"/>
          <w:szCs w:val="20"/>
          <w:color w:val="auto"/>
        </w:rPr>
      </w:pPr>
    </w:p>
    <w:p>
      <w:pPr>
        <w:jc w:val="both"/>
        <w:ind w:right="120" w:firstLine="509"/>
        <w:spacing w:after="0" w:line="254" w:lineRule="auto"/>
        <w:rPr>
          <w:sz w:val="20"/>
          <w:szCs w:val="20"/>
          <w:color w:val="auto"/>
        </w:rPr>
      </w:pPr>
      <w:r>
        <w:rPr>
          <w:rFonts w:ascii="Calibri" w:cs="Calibri" w:eastAsia="Calibri" w:hAnsi="Calibri"/>
          <w:sz w:val="17"/>
          <w:szCs w:val="17"/>
          <w:i w:val="1"/>
          <w:iCs w:val="1"/>
          <w:color w:val="auto"/>
        </w:rPr>
        <w:t xml:space="preserve">Other Income (Expense). </w:t>
      </w:r>
      <w:r>
        <w:rPr>
          <w:rFonts w:ascii="Calibri" w:cs="Calibri" w:eastAsia="Calibri" w:hAnsi="Calibri"/>
          <w:sz w:val="17"/>
          <w:szCs w:val="17"/>
          <w:color w:val="auto"/>
        </w:rPr>
        <w:t>Other expense of $25.3 million for the year ended December 31, 2022 consisted of $27.4 million of interest expense under</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the Hercules Loan and Revenue Interest Financing Agreements, partally ofset by $2.1 million of interest income on deposits. Other expense of $8.8 million for the year ended December 31, 2021 consisted of $6.8 million of interest expense and $2.0 million of charges related to early extnguishment of debt.</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sectPr>
      </w:pPr>
    </w:p>
    <w:bookmarkStart w:id="151" w:name="page152"/>
    <w:bookmarkEnd w:id="151"/>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7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have incurred net losses and negatve cash fows from operatons since our incepton and antcipate we will contnue to incur net losses for the foreseeable future. As of December 31, 2022, we had cash and cash equivalents of $155.4 million.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Loan Agreement with Hercules</w:t>
      </w:r>
    </w:p>
    <w:p>
      <w:pPr>
        <w:spacing w:after="0" w:line="190"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On September 17, 2021, (the “Closing Date”), we entered into a Loan and Security Agreement (the “Loan Agreement”) with Hercules Capital, Inc., in its capacity as administratve agent and collateral agent and as a lender (in such capacity, the “Agent” or “Hercules”) and the other fnancial insttutons that from tme to tme become partes to the Loan Agreement as lenders (collectvely, the “Lenders”).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The Loan Agreement provides for term loans in an aggregate principal amount of up to $200.0 million (the “Term Loan”) under multple tranches. The tranches consist of (i) a frst tranche consistng of term loans in an aggregate principal amount of $100.0 million, all of which was funded on the Closing Date (the “First Advance”), (ii) a second tranche consistng of up to an additonal $50.0 million, which became available to us upon achievement of the protocol-specifed primary efcacy endpoints in our Phase 3 trial studying vonoprazan for the healing and maintenance of healing of erosive GERD with acceptable safety data, such that the results support the submission of a New Drug Applicaton (“NDA”) or supplemental NDA without the need to conduct another Phase 3 study and will be available, if specifed conditons are met, through December 15, 2022, see amendment to later date below, (iii) a third and fourth tranches consistng of an additonal total $50.0 million, which became available to us in May 2022 upon the achievement of (a) FDA approval of our NDA for vonoprazan and amoxicillin, or its NDA for vonoprazan, amoxicillin and clarithromycin, in each case for an indicaton relatng to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with an approved indicaton on the claim that is generally consistent with that sought in our NDA submission; and (b) fling of an NDA or supplemental NDA for vonoprazan for indicatons relatng to the healing and maintenance of healing of erosive GERD. The third and fourth tranches will remain available untl September 30, 2023, and March 31, 2024, respectvely. We intend to use the proceeds of the Term Loan advances for working capital and general corporate purposes. In additon, approximately $54 million of the proceeds from the First Advance was used to satsfy in full and retre our indebtedness under its previously outstanding credit facility with Silicon Valley Bank (the “SVB Term Loan”).</w:t>
      </w:r>
    </w:p>
    <w:p>
      <w:pPr>
        <w:spacing w:after="0" w:line="186" w:lineRule="exact"/>
        <w:rPr>
          <w:sz w:val="20"/>
          <w:szCs w:val="20"/>
          <w:color w:val="auto"/>
        </w:rPr>
      </w:pPr>
    </w:p>
    <w:p>
      <w:pPr>
        <w:ind w:right="60" w:firstLine="509"/>
        <w:spacing w:after="0" w:line="258" w:lineRule="auto"/>
        <w:rPr>
          <w:sz w:val="20"/>
          <w:szCs w:val="20"/>
          <w:color w:val="auto"/>
        </w:rPr>
      </w:pPr>
      <w:r>
        <w:rPr>
          <w:rFonts w:ascii="Calibri" w:cs="Calibri" w:eastAsia="Calibri" w:hAnsi="Calibri"/>
          <w:sz w:val="17"/>
          <w:szCs w:val="17"/>
          <w:color w:val="auto"/>
        </w:rPr>
        <w:t>On September 27, 2022, the Company entered into an amendment to the Loan Agreement, or the Second Loan Amendment, pursuant to which the date the second tranche of funding of $50 million will remain available to the Company has been moved untl May 15, 2023, rather than December 15, 2022.</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152" w:name="page153"/>
    <w:bookmarkEnd w:id="152"/>
    <w:p>
      <w:pPr>
        <w:ind w:right="40" w:firstLine="509"/>
        <w:spacing w:after="0" w:line="235" w:lineRule="auto"/>
        <w:rPr>
          <w:sz w:val="20"/>
          <w:szCs w:val="20"/>
          <w:color w:val="auto"/>
        </w:rPr>
      </w:pPr>
      <w:r>
        <w:rPr>
          <w:rFonts w:ascii="Calibri" w:cs="Calibri" w:eastAsia="Calibri" w:hAnsi="Calibri"/>
          <w:sz w:val="18"/>
          <w:szCs w:val="18"/>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was extended to October 1, 2025, upon the achievement of the Second Performance Milestone in May 2022 prior to September 30, 2024 and the conditon that no default or event of default exists, and which is further extendable to October 1, 2026, subject to FDA approval of our NDA (or supplemental NDA) for vonoprazan for an indicaton relatng to the healing and maintenance of healing of erosive GERD with an approved indicaton on the label that is generally consistent with that sought in our NDA submission (or supplemental NDA submission) (the “Third Performance Milestone”) on or prior to September 30, 2025 and no default or event of default exists (the “interest only period”). Afer the interest-only period, the principal balance and related interest will be required to be repaid in equal monthly installments and contnuing untl the Maturity Date.</w:t>
      </w:r>
    </w:p>
    <w:p>
      <w:pPr>
        <w:spacing w:after="0" w:line="183" w:lineRule="exact"/>
        <w:rPr>
          <w:sz w:val="20"/>
          <w:szCs w:val="20"/>
          <w:color w:val="auto"/>
        </w:rPr>
      </w:pPr>
    </w:p>
    <w:p>
      <w:pPr>
        <w:ind w:right="40" w:firstLine="509"/>
        <w:spacing w:after="0" w:line="249" w:lineRule="auto"/>
        <w:rPr>
          <w:sz w:val="20"/>
          <w:szCs w:val="20"/>
          <w:color w:val="auto"/>
        </w:rPr>
      </w:pPr>
      <w:r>
        <w:rPr>
          <w:rFonts w:ascii="Calibri" w:cs="Calibri" w:eastAsia="Calibri" w:hAnsi="Calibri"/>
          <w:sz w:val="17"/>
          <w:szCs w:val="17"/>
          <w:color w:val="auto"/>
        </w:rPr>
        <w:t>The Loan Agreement contains customary closing fees, prepayment fees and provisions, events of default, and representatons, warrantes and covenants, including a fnancial covenant requiring us to maintain certain levels of cash subject to a control agreement in favor of the Agent (minus accounts payable not paid within 120 days of invoice) (“Qualifed Cash”), and commencing on May 15, 2023, trailing three-month net product revenue from the sale of vonoprazan and products containing vonoprazan. The revenue covenant will be waived at any tme in which we maintain Qualifed Cash equal to at least</w:t>
      </w:r>
    </w:p>
    <w:p>
      <w:pPr>
        <w:spacing w:after="0" w:line="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60.0% (prior to the Third Performance Milestone), and 35% (following the Third Performance Milestone) of the total outstanding Term Loan principal amount, or our market capitalizaton is at least $900.0 million.</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Under the Second Loan Amendment, the commencement date for the covenant based on trailing three-month net product revenue from the sale of vonoprazan and products containing vonoprazan was moved from May 15, 2023, to November 15, 2023.</w:t>
      </w:r>
    </w:p>
    <w:p>
      <w:pPr>
        <w:spacing w:after="0" w:line="19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collateral for the obligatons, we granted to Hercules a senior security interest in all of our right, ttle, and interest in, to and under substantally all of our property, inclusive of intellectual property.</w:t>
      </w:r>
    </w:p>
    <w:p>
      <w:pPr>
        <w:spacing w:after="0" w:line="177" w:lineRule="exact"/>
        <w:rPr>
          <w:sz w:val="20"/>
          <w:szCs w:val="20"/>
          <w:color w:val="auto"/>
        </w:rPr>
      </w:pPr>
    </w:p>
    <w:p>
      <w:pPr>
        <w:ind w:right="20" w:firstLine="509"/>
        <w:spacing w:after="0" w:line="252" w:lineRule="auto"/>
        <w:rPr>
          <w:sz w:val="20"/>
          <w:szCs w:val="20"/>
          <w:color w:val="auto"/>
        </w:rPr>
      </w:pPr>
      <w:r>
        <w:rPr>
          <w:rFonts w:ascii="Calibri" w:cs="Calibri" w:eastAsia="Calibri" w:hAnsi="Calibri"/>
          <w:sz w:val="17"/>
          <w:szCs w:val="17"/>
          <w:color w:val="auto"/>
        </w:rPr>
        <w:t>In connecton with the entry into the Loan Agreement, we issued to Hercules a warrant (the “Warrant”) to purchase a number of shares of our common stock equal to 2.5% of the aggregate amount of the Term Loan advances funded, and will issue to Hercules additonal warrants when future Term Loan advances are funded. On the Closing Date, we issued a Warrant for 74,782 shares of common stock. The Warrant will be exercisable for a period of seven years from the date of issuance at a per-share exercise price equal to $33.43, which was the closing price of our common stock on September 16, 2021.</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Agreement</w:t>
      </w:r>
    </w:p>
    <w:p>
      <w:pPr>
        <w:spacing w:after="0" w:line="190" w:lineRule="exact"/>
        <w:rPr>
          <w:sz w:val="20"/>
          <w:szCs w:val="20"/>
          <w:color w:val="auto"/>
        </w:rPr>
      </w:pPr>
    </w:p>
    <w:p>
      <w:pPr>
        <w:ind w:right="40" w:firstLine="509"/>
        <w:spacing w:after="0" w:line="249" w:lineRule="auto"/>
        <w:rPr>
          <w:sz w:val="20"/>
          <w:szCs w:val="20"/>
          <w:color w:val="auto"/>
        </w:rPr>
      </w:pPr>
      <w:r>
        <w:rPr>
          <w:rFonts w:ascii="Calibri" w:cs="Calibri" w:eastAsia="Calibri" w:hAnsi="Calibri"/>
          <w:sz w:val="17"/>
          <w:szCs w:val="17"/>
          <w:color w:val="auto"/>
        </w:rPr>
        <w:t>On May 3, 2022, we entered into a Revenue Interest Financing Agreement (the “Revenue Interest Financing Agreement”), with enttes managed or advised by NovaQuest Capital Management (“NQ”), Sagard Holdings Manager LP (“Sagard”) and Hercules Capital, Inc. (“Hercules” together with NQ and Sagard, the “Inital Investors”) pursuant to which we can receive up to $260 million in funding from the Inital Investors. Under the terms of the Revenue Interest Financing Agreement, we received $100 million at the inital closing and can receive an additonal $160 million upon FDA approval of vonoprazan for treatment of erosive GERD on or before March 31, 2024. In additon, we had the right to obtain a writen commitment from a third party for up to (i) at any tme prior to December 31, 2022, $15,000,000 in additonal funding upon FDA approval of vonoprazan for erosive GERD (“Approval Additonal Funding”), and</w:t>
      </w:r>
    </w:p>
    <w:p>
      <w:pPr>
        <w:spacing w:after="0" w:line="4" w:lineRule="exact"/>
        <w:rPr>
          <w:sz w:val="20"/>
          <w:szCs w:val="20"/>
          <w:color w:val="auto"/>
        </w:rPr>
      </w:pPr>
    </w:p>
    <w:p>
      <w:pPr>
        <w:ind w:right="80" w:firstLine="8"/>
        <w:spacing w:after="0" w:line="258" w:lineRule="auto"/>
        <w:tabs>
          <w:tab w:leader="none" w:pos="227"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at any tme prior to June 30, 2024, $25,000,000 in additonal funding for achievement of a sales milestone (“Milestone Additonal Funding”, and, together with the Approval Additonal Funding, the “Additonal Investor Funding”).The Inital Investors had a right of frst ofer for any Additonal Investor Funding.</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53" w:name="page154"/>
    <w:bookmarkEnd w:id="153"/>
    <w:p>
      <w:pPr>
        <w:ind w:right="140" w:firstLine="509"/>
        <w:spacing w:after="0" w:line="235" w:lineRule="auto"/>
        <w:rPr>
          <w:sz w:val="20"/>
          <w:szCs w:val="20"/>
          <w:color w:val="auto"/>
        </w:rPr>
      </w:pPr>
      <w:r>
        <w:rPr>
          <w:rFonts w:ascii="Calibri" w:cs="Calibri" w:eastAsia="Calibri" w:hAnsi="Calibri"/>
          <w:sz w:val="18"/>
          <w:szCs w:val="18"/>
          <w:color w:val="auto"/>
        </w:rPr>
        <w:t>On October 31, 2022, we entered into a Joinder and Waiver Agreement with the Inital Investors and CO Finance LVS XXXVII LLC (“the Additonal Investor”), and Hercules Capital, Inc. in its capacity as administratve agent and collateral agent for itself and the lenders under that certain Loan Agreement (the “Joinder Agreement”) in respect of the Revenue Interest Financing Agreement. Under the terms of the Joinder Agreement, the Inital Investors waived their rights of frst ofer regarding the Additonal Investor Funding and the Additonal Investor joined the Revenue Interest Financing Agreement to extend commitments for the Additonal Investor Funding. The total amount funded by the Inital Investors and any subsequent investors is referred to herein as the “Investment Amount.”</w:t>
      </w:r>
    </w:p>
    <w:p>
      <w:pPr>
        <w:spacing w:after="0" w:line="18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Inital Investors, and subsequent to the payment of the Approval Additonal Funding, the Additonal Investor, are enttled to receive a 10% royalty on net sales of products containing vonoprazan. The royalty rate is subject to a step-down on net sales exceeding certain annual thresholds and if we receive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we have the right to make a cap payment equal to 200% of the Investment Amount less any royaltes already paid, at which tme the agreement will terminate.</w:t>
      </w:r>
    </w:p>
    <w:p>
      <w:pPr>
        <w:spacing w:after="0" w:line="181"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we are obligated to pay 1.30 tmes Investment Amount, 1.65 tmes Investment Amount, and 2.0 tmes investment amount, respectvely, less any amounts the Company previously paid pursuant to the agreement. Upon the occurrence of a change in control event taking place prior to the earlier of April 1, 2024, or FDA approval of vonoprazan for erosive GERD, we are obligated to pay 200% of the Investment Amount plus either 15% of the Investment Amount if occurrence prior to May 3, 2023, or plus 30% of the Investment Amount if occurrence thereafer.</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At-the-Market-Ofering</w:t>
      </w:r>
    </w:p>
    <w:p>
      <w:pPr>
        <w:spacing w:after="0" w:line="16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On November 10, 2020, we entered into an Open Market Sale Agreement</w:t>
      </w:r>
      <w:r>
        <w:rPr>
          <w:rFonts w:ascii="Calibri" w:cs="Calibri" w:eastAsia="Calibri" w:hAnsi="Calibri"/>
          <w:sz w:val="24"/>
          <w:szCs w:val="24"/>
          <w:color w:val="auto"/>
          <w:vertAlign w:val="superscript"/>
        </w:rPr>
        <w:t>SM</w:t>
      </w:r>
      <w:r>
        <w:rPr>
          <w:rFonts w:ascii="Calibri" w:cs="Calibri" w:eastAsia="Calibri" w:hAnsi="Calibri"/>
          <w:sz w:val="18"/>
          <w:szCs w:val="18"/>
          <w:color w:val="auto"/>
        </w:rPr>
        <w:t>, or the Sales Agreement, with Jeferies LLC, or the Sales Agent, under</w:t>
      </w:r>
    </w:p>
    <w:p>
      <w:pPr>
        <w:spacing w:after="0" w:line="206" w:lineRule="auto"/>
        <w:rPr>
          <w:sz w:val="20"/>
          <w:szCs w:val="20"/>
          <w:color w:val="auto"/>
        </w:rPr>
      </w:pPr>
      <w:r>
        <w:rPr>
          <w:rFonts w:ascii="Calibri" w:cs="Calibri" w:eastAsia="Calibri" w:hAnsi="Calibri"/>
          <w:sz w:val="17"/>
          <w:szCs w:val="17"/>
          <w:color w:val="auto"/>
        </w:rPr>
        <w:t>which we may, from tme to tme, sell shares of our common stock having an aggregate ofering price of up to $125.0 million through the Sales Agent, or the</w:t>
      </w:r>
    </w:p>
    <w:p>
      <w:pPr>
        <w:spacing w:after="0" w:line="236" w:lineRule="auto"/>
        <w:rPr>
          <w:sz w:val="20"/>
          <w:szCs w:val="20"/>
          <w:color w:val="auto"/>
        </w:rPr>
      </w:pPr>
      <w:r>
        <w:rPr>
          <w:rFonts w:ascii="Calibri" w:cs="Calibri" w:eastAsia="Calibri" w:hAnsi="Calibri"/>
          <w:sz w:val="18"/>
          <w:szCs w:val="18"/>
          <w:color w:val="auto"/>
        </w:rPr>
        <w:t>ATM Ofering. Sales of our common stock made pursuant to the Sales Agreement, if any, will be made under our shelf registraton statement on Form S-3</w:t>
      </w:r>
    </w:p>
    <w:p>
      <w:pPr>
        <w:spacing w:after="0" w:line="236" w:lineRule="auto"/>
        <w:rPr>
          <w:sz w:val="20"/>
          <w:szCs w:val="20"/>
          <w:color w:val="auto"/>
        </w:rPr>
      </w:pPr>
      <w:r>
        <w:rPr>
          <w:rFonts w:ascii="Calibri" w:cs="Calibri" w:eastAsia="Calibri" w:hAnsi="Calibri"/>
          <w:sz w:val="18"/>
          <w:szCs w:val="18"/>
          <w:color w:val="auto"/>
        </w:rPr>
        <w:t>which was fled on November 10, 2020 and declared efectve by the SEC on November 16, 2020. We are not obligated to, and we cannot provide any</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assurances that we will, make any sales of the shares under the Sales Agreement. The Sales Agreement may be terminated by the Sales Agent or us at any</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tme. For the year ended December 31, 2022, we sold 2,414,897 shares of our common stock under the ATM Ofering for net proceeds of approximately</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$24.6 million afer deductng $0.8 million of issuance costs. As of December 31, 2022, we utlized $25.4 million of the available $125.0 million under the ATM</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Ofering.</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154" w:name="page155"/>
    <w:bookmarkEnd w:id="154"/>
    <w:p>
      <w:pPr>
        <w:spacing w:after="0"/>
        <w:rPr>
          <w:sz w:val="20"/>
          <w:szCs w:val="20"/>
          <w:color w:val="auto"/>
        </w:rPr>
      </w:pPr>
      <w:r>
        <w:rPr>
          <w:rFonts w:ascii="Calibri" w:cs="Calibri" w:eastAsia="Calibri" w:hAnsi="Calibri"/>
          <w:sz w:val="18"/>
          <w:szCs w:val="18"/>
          <w:b w:val="1"/>
          <w:bCs w:val="1"/>
          <w:i w:val="1"/>
          <w:iCs w:val="1"/>
          <w:color w:val="auto"/>
        </w:rPr>
        <w:t>Underwriten Public Ofering</w:t>
      </w:r>
    </w:p>
    <w:p>
      <w:pPr>
        <w:spacing w:after="0" w:line="177" w:lineRule="exact"/>
        <w:rPr>
          <w:sz w:val="20"/>
          <w:szCs w:val="20"/>
          <w:color w:val="auto"/>
        </w:rPr>
      </w:pPr>
    </w:p>
    <w:p>
      <w:pPr>
        <w:jc w:val="both"/>
        <w:ind w:right="200" w:firstLine="509"/>
        <w:spacing w:after="0" w:line="254" w:lineRule="auto"/>
        <w:rPr>
          <w:sz w:val="20"/>
          <w:szCs w:val="20"/>
          <w:color w:val="auto"/>
        </w:rPr>
      </w:pPr>
      <w:r>
        <w:rPr>
          <w:rFonts w:ascii="Calibri" w:cs="Calibri" w:eastAsia="Calibri" w:hAnsi="Calibri"/>
          <w:sz w:val="17"/>
          <w:szCs w:val="17"/>
          <w:color w:val="auto"/>
        </w:rPr>
        <w:t>On December 16, 2020, the Company completed an underwriten public ofering, in which it sold 2,250,000 shares of its common stock at a price of $42.00 per share for total gross proceeds of $94.5 million. The net purchase price afer deductng underwritng discounts and commissions was $39.48 per share, which generated net proceeds of $88.8 million. We incurred an additonal $0.2 million of ofering expenses in connecton with the public ofering.</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Funding Requirements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will be sufcient to fund our operatons through the end of 2024. We expect such amounts will allow us to complete our ongoing Phase 3 clinical trial studying vonoprazan for non-erosive GERD (daily dosing), and , if our post-complete response leter resubmissions concerning NVP are approved by FDA, launch vonoprazan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erosive GERD. However, our forecast of the period of tme through which our fnancial resources will be adequate to support our operatons is a forward-looking statement that involves risks and uncertaintes and actual results could vary materially. We have based this estmate on assumptons that may prove to be wrong, and we could deplete our capital resources sooner than we expect. Additonally, the process of testng product candidates in clinical trials is costly, and the tming of progress and expenses in these trials is uncertain.</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55" w:name="page156"/>
    <w:bookmarkEnd w:id="155"/>
    <w:p>
      <w:pPr>
        <w:ind w:left="520"/>
        <w:spacing w:after="0"/>
        <w:rPr>
          <w:sz w:val="20"/>
          <w:szCs w:val="20"/>
          <w:color w:val="auto"/>
        </w:rPr>
      </w:pPr>
      <w:r>
        <w:rPr>
          <w:rFonts w:ascii="Calibri" w:cs="Calibri" w:eastAsia="Calibri" w:hAnsi="Calibri"/>
          <w:sz w:val="18"/>
          <w:szCs w:val="18"/>
          <w:color w:val="auto"/>
        </w:rPr>
        <w:t>Our future capital requirements will depend on many factors, including:</w:t>
      </w:r>
    </w:p>
    <w:p>
      <w:pPr>
        <w:spacing w:after="0" w:line="190" w:lineRule="exact"/>
        <w:rPr>
          <w:sz w:val="20"/>
          <w:szCs w:val="20"/>
          <w:color w:val="auto"/>
        </w:rPr>
      </w:pPr>
    </w:p>
    <w:p>
      <w:pPr>
        <w:ind w:left="900" w:right="24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190"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manufacturing for vonoprazan or any future product candidates, including commercial scale manufacturing if any product candidate is approved;</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tming and outcome of regulatory review of vonoprazan or any future product candidates;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obtaining, maintaining and enforcing our patents and other intellectual property rights;</w:t>
      </w:r>
    </w:p>
    <w:p>
      <w:pPr>
        <w:spacing w:after="0" w:line="190"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eforts to enhance operatonal systems and hire additonal personnel to satsfy our obligatons as a public company, including enhanced internal controls over fnancial reportng;</w:t>
      </w:r>
    </w:p>
    <w:p>
      <w:pPr>
        <w:spacing w:after="0" w:line="204"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hiring additonal personnel and consultants as our business grows, including additonal executve ofcers and clinical development personnel;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must make to Takeda and any future licensors;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establishing or securing sales and marketng capabilites for vonoprazan or any future product candidate;</w:t>
      </w:r>
    </w:p>
    <w:p>
      <w:pPr>
        <w:spacing w:after="0" w:line="203"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achieve sufcient market acceptance, coverage and adequate reimbursement from third-party payers and adequate market share and revenue for any approved products;</w:t>
      </w:r>
    </w:p>
    <w:p>
      <w:pPr>
        <w:spacing w:after="0" w:line="190"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willingness to pay out-of-pocket for any approved products in the absence of coverage and/or adequate reimbursement from third-party payers;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establishing and maintaining collaboratons, licenses and other similar arrangements;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associated with any products or technologies that we may in-license or acquire.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Untl such tme, if ever, as we can generate substantal product revenues to support our cost structure, we expect to fnance our cash needs through equity oferings, the Loan Agreement, the Revenue Interest Financing Agreement, debt fnancings, or other capital sources, including potental collaboratons, licenses and other similar arrangements. To the extent that we raise additonal capital through the sale of equity or convertble debt securites, the ownership interest of our stockholders will be or could be diluted, and the terms of these securites may include liquidaton or other preferences that adversely afect the rights of our common stockholders. Debt fnancing and equity fnancing, if available, may involve agreements that include covenants limitng or restrictng our ability to take specifc actons, such as incurring additonal debt, making capital expenditures or declaring dividends. If we raise funds through collaboratons, or other similar arrangements with third partes, we may have to relinquish valuable rights to our technologies, future revenue streams, research programs or product candidates or grant licenses on terms that may not be favorable to us and/or may reduce the value of our common stock. If we are unable to raise additonal funds through equity or debt fnancings when needed, we may be required to delay, limit, reduce or terminate our product development or future commercializaton eforts or grant rights to develop and market our product candidates even if we would otherwise prefer to develop and market such product candidates ourselves.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56" w:name="page157"/>
    <w:bookmarkEnd w:id="156"/>
    <w:p>
      <w:pPr>
        <w:ind w:right="80" w:firstLine="509"/>
        <w:spacing w:after="0" w:line="235" w:lineRule="auto"/>
        <w:rPr>
          <w:sz w:val="20"/>
          <w:szCs w:val="20"/>
          <w:color w:val="auto"/>
        </w:rPr>
      </w:pPr>
      <w:r>
        <w:rPr>
          <w:rFonts w:ascii="Calibri" w:cs="Calibri" w:eastAsia="Calibri" w:hAnsi="Calibri"/>
          <w:sz w:val="18"/>
          <w:szCs w:val="18"/>
          <w:color w:val="auto"/>
        </w:rPr>
        <w:t>Including our existng cash and cash equivalents, we believe that we have sufcient working capital on hand to fund operatons such that there is no substantal doubt as to our ability to contnue as a going concern at the date the fnancial statements were issued. There can be no assurance that we will be successful in acquiring additonal funding, that our projectons of future working capital needs will prove accurate, or that any additonal funding would be sufcient to contnue operatons in future years. 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will be sufcient to fund our operatons through the end of 2024.</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sets forth a summary of the net cash fow actvity for each of the periods indicated (in thousands):</w:t>
      </w:r>
    </w:p>
    <w:p>
      <w:pPr>
        <w:spacing w:after="0" w:line="238"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right"/>
              <w:ind w:right="70"/>
              <w:spacing w:after="0"/>
              <w:rPr>
                <w:sz w:val="20"/>
                <w:szCs w:val="20"/>
                <w:color w:val="auto"/>
              </w:rPr>
            </w:pPr>
            <w:r>
              <w:rPr>
                <w:rFonts w:ascii="Calibri" w:cs="Calibri" w:eastAsia="Calibri" w:hAnsi="Calibri"/>
                <w:sz w:val="14"/>
                <w:szCs w:val="14"/>
                <w:b w:val="1"/>
                <w:bCs w:val="1"/>
                <w:color w:val="auto"/>
              </w:rPr>
              <w:t>Years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30"/>
              <w:spacing w:after="0"/>
              <w:rPr>
                <w:sz w:val="20"/>
                <w:szCs w:val="20"/>
                <w:color w:val="auto"/>
              </w:rPr>
            </w:pPr>
            <w:r>
              <w:rPr>
                <w:rFonts w:ascii="Calibri" w:cs="Calibri" w:eastAsia="Calibri" w:hAnsi="Calibri"/>
                <w:sz w:val="14"/>
                <w:szCs w:val="14"/>
                <w:b w:val="1"/>
                <w:bCs w:val="1"/>
                <w:color w:val="auto"/>
              </w:rPr>
              <w:t>December 31,</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vMerge w:val="restart"/>
          </w:tcPr>
          <w:p>
            <w:pPr>
              <w:jc w:val="right"/>
              <w:ind w:right="334"/>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58"/>
              <w:spacing w:after="0" w:line="164" w:lineRule="exact"/>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cash provided by (used in):</w:t>
            </w: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actvites</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(146,530 )</w:t>
            </w:r>
          </w:p>
        </w:tc>
        <w:tc>
          <w:tcPr>
            <w:tcW w:w="48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(148,457 )</w:t>
            </w:r>
          </w:p>
        </w:tc>
        <w:tc>
          <w:tcPr>
            <w:tcW w:w="3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1,927</w:t>
            </w:r>
          </w:p>
        </w:tc>
        <w:tc>
          <w:tcPr>
            <w:tcW w:w="0" w:type="dxa"/>
            <w:vAlign w:val="bottom"/>
          </w:tcPr>
          <w:p>
            <w:pPr>
              <w:spacing w:after="0"/>
              <w:rPr>
                <w:sz w:val="1"/>
                <w:szCs w:val="1"/>
                <w:color w:val="auto"/>
              </w:rPr>
            </w:pPr>
          </w:p>
        </w:tc>
      </w:tr>
      <w:tr>
        <w:trPr>
          <w:trHeight w:val="28"/>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Investng actvites</w:t>
            </w: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(1,041 )</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(328 )</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(713 )</w:t>
            </w:r>
          </w:p>
        </w:tc>
        <w:tc>
          <w:tcPr>
            <w:tcW w:w="0" w:type="dxa"/>
            <w:vAlign w:val="bottom"/>
          </w:tcPr>
          <w:p>
            <w:pPr>
              <w:spacing w:after="0"/>
              <w:rPr>
                <w:sz w:val="1"/>
                <w:szCs w:val="1"/>
                <w:color w:val="auto"/>
              </w:rPr>
            </w:pPr>
          </w:p>
        </w:tc>
      </w:tr>
      <w:tr>
        <w:trPr>
          <w:trHeight w:val="215"/>
        </w:trPr>
        <w:tc>
          <w:tcPr>
            <w:tcW w:w="4880" w:type="dxa"/>
            <w:vAlign w:val="bottom"/>
          </w:tcPr>
          <w:p>
            <w:pPr>
              <w:ind w:left="200"/>
              <w:spacing w:after="0" w:line="215" w:lineRule="exact"/>
              <w:rPr>
                <w:sz w:val="20"/>
                <w:szCs w:val="20"/>
                <w:color w:val="auto"/>
              </w:rPr>
            </w:pPr>
            <w:r>
              <w:rPr>
                <w:rFonts w:ascii="Calibri" w:cs="Calibri" w:eastAsia="Calibri" w:hAnsi="Calibri"/>
                <w:sz w:val="18"/>
                <w:szCs w:val="18"/>
                <w:color w:val="auto"/>
              </w:rPr>
              <w:t>Financing actvites</w:t>
            </w:r>
          </w:p>
        </w:tc>
        <w:tc>
          <w:tcPr>
            <w:tcW w:w="320" w:type="dxa"/>
            <w:vAlign w:val="bottom"/>
          </w:tcPr>
          <w:p>
            <w:pPr>
              <w:spacing w:after="0"/>
              <w:rPr>
                <w:sz w:val="18"/>
                <w:szCs w:val="18"/>
                <w:color w:val="auto"/>
              </w:rPr>
            </w:pPr>
          </w:p>
        </w:tc>
        <w:tc>
          <w:tcPr>
            <w:tcW w:w="114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120,042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44,708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75,334</w:t>
            </w:r>
          </w:p>
        </w:tc>
        <w:tc>
          <w:tcPr>
            <w:tcW w:w="0" w:type="dxa"/>
            <w:vAlign w:val="bottom"/>
          </w:tcPr>
          <w:p>
            <w:pPr>
              <w:spacing w:after="0"/>
              <w:rPr>
                <w:sz w:val="1"/>
                <w:szCs w:val="1"/>
                <w:color w:val="auto"/>
              </w:rPr>
            </w:pPr>
          </w:p>
        </w:tc>
      </w:tr>
      <w:tr>
        <w:trPr>
          <w:trHeight w:val="28"/>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8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decrease in cash</w:t>
            </w:r>
          </w:p>
        </w:tc>
        <w:tc>
          <w:tcPr>
            <w:tcW w:w="320" w:type="dxa"/>
            <w:vAlign w:val="bottom"/>
            <w:tcBorders>
              <w:top w:val="single" w:sz="8" w:color="auto"/>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(27,529 )</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(104,077 )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76,548</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Net cash used in operatng actvites was approximately $146.5 million and $148.5 million for the years ended December 31, 2022 and 2021, respectvely. The net cash used in operatng actvites for the year ended December 31, 2022 was due to approximately $152.0 million spent on ongoing research and development and general and administratve actvites ofset by a $5.5 million change in operatng assets and liabilites. The net change in operatng assets and liabilites primarily related to a $7.7 million increase in accounts payable and accrued expenses in support of the growth in our operatng actvites, partally ofset by a $2.2 million increase in prepaid assets and other assets. The net cash used in operatng actvites for the year ended December 31, 2021 was due to approximately $121.1 million spent on ongoing research and development and general and administratve actvites and a $27.4 million net change in operatng assets and liabilites. The net change in operatng assets and liabilites primarily related to a $28.2 million decrease in accounts payable and accrued expenses (including clinical trial expenses) in support of the growth in our operatng actvites, partally ofset by a $0.8 million decrease in prepaid and other assets.</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77"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Net cash used in investng actvites for the years ended December 31, 2022 and 2021 was primarily due to the cash we paid for acquiring property, plant and equipment.</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Net cash provided by fnancing actvites for the year ended December 31, 2022 was $120 million, was due to the net proceeds from the revenue interest fnancing liability and issuance of common stock under the ATM Ofering. Net cash provided by fnancing actvites for the year ended December 31, 2021 was $44.7 million, due to $96.9 million of net proceeds from the loan agreement with Hercules and $1.9 million of proceeds related to stock opton exercises partally ofset by the $54.1 million repayment of the SVB Term Loan.</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157" w:name="page158"/>
    <w:bookmarkEnd w:id="157"/>
    <w:p>
      <w:pPr>
        <w:spacing w:after="0"/>
        <w:rPr>
          <w:sz w:val="20"/>
          <w:szCs w:val="20"/>
          <w:color w:val="auto"/>
        </w:rPr>
      </w:pPr>
      <w:r>
        <w:rPr>
          <w:rFonts w:ascii="Calibri" w:cs="Calibri" w:eastAsia="Calibri" w:hAnsi="Calibri"/>
          <w:sz w:val="18"/>
          <w:szCs w:val="18"/>
          <w:b w:val="1"/>
          <w:bCs w:val="1"/>
          <w:color w:val="auto"/>
        </w:rPr>
        <w:t>Contractual Obligatons and Commitments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our contractual obligatons as of December 31, 2022 (in thousands):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ind w:left="860"/>
              <w:spacing w:after="0"/>
              <w:rPr>
                <w:sz w:val="20"/>
                <w:szCs w:val="20"/>
                <w:color w:val="auto"/>
              </w:rPr>
            </w:pPr>
            <w:r>
              <w:rPr>
                <w:rFonts w:ascii="Calibri" w:cs="Calibri" w:eastAsia="Calibri" w:hAnsi="Calibri"/>
                <w:sz w:val="14"/>
                <w:szCs w:val="14"/>
                <w:b w:val="1"/>
                <w:bCs w:val="1"/>
                <w:color w:val="auto"/>
              </w:rPr>
              <w:t>Payments Due by Period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Less than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417"/>
              <w:spacing w:after="0" w:line="164" w:lineRule="exact"/>
              <w:rPr>
                <w:sz w:val="20"/>
                <w:szCs w:val="20"/>
                <w:color w:val="auto"/>
              </w:rPr>
            </w:pPr>
            <w:r>
              <w:rPr>
                <w:rFonts w:ascii="Calibri" w:cs="Calibri" w:eastAsia="Calibri" w:hAnsi="Calibri"/>
                <w:sz w:val="14"/>
                <w:szCs w:val="14"/>
                <w:b w:val="1"/>
                <w:bCs w:val="1"/>
                <w:color w:val="auto"/>
              </w:rPr>
              <w:t>1-3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97"/>
              <w:spacing w:after="0" w:line="164" w:lineRule="exact"/>
              <w:rPr>
                <w:sz w:val="20"/>
                <w:szCs w:val="20"/>
                <w:color w:val="auto"/>
              </w:rPr>
            </w:pPr>
            <w:r>
              <w:rPr>
                <w:rFonts w:ascii="Calibri" w:cs="Calibri" w:eastAsia="Calibri" w:hAnsi="Calibri"/>
                <w:sz w:val="14"/>
                <w:szCs w:val="14"/>
                <w:b w:val="1"/>
                <w:bCs w:val="1"/>
                <w:color w:val="auto"/>
              </w:rPr>
              <w:t>3-5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97"/>
              <w:spacing w:after="0" w:line="164" w:lineRule="exact"/>
              <w:rPr>
                <w:sz w:val="20"/>
                <w:szCs w:val="20"/>
                <w:color w:val="auto"/>
              </w:rPr>
            </w:pPr>
            <w:r>
              <w:rPr>
                <w:rFonts w:ascii="Calibri" w:cs="Calibri" w:eastAsia="Calibri" w:hAnsi="Calibri"/>
                <w:sz w:val="14"/>
                <w:szCs w:val="14"/>
                <w:b w:val="1"/>
                <w:bCs w:val="1"/>
                <w:color w:val="auto"/>
              </w:rPr>
              <w:t>More than</w:t>
            </w: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35"/>
              <w:spacing w:after="0"/>
              <w:rPr>
                <w:sz w:val="20"/>
                <w:szCs w:val="20"/>
                <w:color w:val="auto"/>
              </w:rPr>
            </w:pPr>
            <w:r>
              <w:rPr>
                <w:rFonts w:ascii="Calibri" w:cs="Calibri" w:eastAsia="Calibri" w:hAnsi="Calibri"/>
                <w:sz w:val="14"/>
                <w:szCs w:val="14"/>
                <w:b w:val="1"/>
                <w:bCs w:val="1"/>
                <w:color w:val="auto"/>
              </w:rPr>
              <w:t>Total</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9"/>
              <w:spacing w:after="0"/>
              <w:rPr>
                <w:sz w:val="20"/>
                <w:szCs w:val="20"/>
                <w:color w:val="auto"/>
              </w:rPr>
            </w:pPr>
            <w:r>
              <w:rPr>
                <w:rFonts w:ascii="Calibri" w:cs="Calibri" w:eastAsia="Calibri" w:hAnsi="Calibri"/>
                <w:sz w:val="14"/>
                <w:szCs w:val="14"/>
                <w:b w:val="1"/>
                <w:bCs w:val="1"/>
                <w:color w:val="auto"/>
              </w:rPr>
              <w:t>1 Year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Years</w:t>
            </w:r>
          </w:p>
        </w:tc>
        <w:tc>
          <w:tcPr>
            <w:tcW w:w="220" w:type="dxa"/>
            <w:vAlign w:val="bottom"/>
          </w:tcPr>
          <w:p>
            <w:pPr>
              <w:spacing w:after="0"/>
              <w:rPr>
                <w:sz w:val="17"/>
                <w:szCs w:val="17"/>
                <w:color w:val="auto"/>
              </w:rPr>
            </w:pPr>
          </w:p>
        </w:tc>
        <w:tc>
          <w:tcPr>
            <w:tcW w:w="860" w:type="dxa"/>
            <w:vAlign w:val="bottom"/>
          </w:tcPr>
          <w:p>
            <w:pPr>
              <w:jc w:val="right"/>
              <w:ind w:right="337"/>
              <w:spacing w:after="0"/>
              <w:rPr>
                <w:sz w:val="20"/>
                <w:szCs w:val="20"/>
                <w:color w:val="auto"/>
              </w:rPr>
            </w:pPr>
            <w:r>
              <w:rPr>
                <w:rFonts w:ascii="Calibri" w:cs="Calibri" w:eastAsia="Calibri" w:hAnsi="Calibri"/>
                <w:sz w:val="14"/>
                <w:szCs w:val="14"/>
                <w:b w:val="1"/>
                <w:bCs w:val="1"/>
                <w:color w:val="auto"/>
              </w:rPr>
              <w:t>Years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217"/>
              <w:spacing w:after="0"/>
              <w:rPr>
                <w:sz w:val="20"/>
                <w:szCs w:val="20"/>
                <w:color w:val="auto"/>
              </w:rPr>
            </w:pPr>
            <w:r>
              <w:rPr>
                <w:rFonts w:ascii="Calibri" w:cs="Calibri" w:eastAsia="Calibri" w:hAnsi="Calibri"/>
                <w:sz w:val="14"/>
                <w:szCs w:val="14"/>
                <w:b w:val="1"/>
                <w:bCs w:val="1"/>
                <w:color w:val="auto"/>
                <w:w w:val="99"/>
              </w:rPr>
              <w:t>5 Years</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line="176" w:lineRule="exact"/>
              <w:rPr>
                <w:sz w:val="20"/>
                <w:szCs w:val="20"/>
                <w:color w:val="auto"/>
              </w:rPr>
            </w:pPr>
            <w:r>
              <w:rPr>
                <w:rFonts w:ascii="Calibri" w:cs="Calibri" w:eastAsia="Calibri" w:hAnsi="Calibri"/>
                <w:sz w:val="18"/>
                <w:szCs w:val="18"/>
                <w:color w:val="auto"/>
              </w:rPr>
              <w:t>Total debt, including interest</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720" w:type="dxa"/>
            <w:vAlign w:val="bottom"/>
            <w:shd w:val="clear" w:color="auto" w:fill="CFF0FC"/>
          </w:tcPr>
          <w:p>
            <w:pPr>
              <w:ind w:left="120"/>
              <w:spacing w:after="0" w:line="276" w:lineRule="exact"/>
              <w:rPr>
                <w:sz w:val="20"/>
                <w:szCs w:val="20"/>
                <w:color w:val="auto"/>
              </w:rPr>
            </w:pPr>
            <w:r>
              <w:rPr>
                <w:rFonts w:ascii="Calibri" w:cs="Calibri" w:eastAsia="Calibri" w:hAnsi="Calibri"/>
                <w:sz w:val="18"/>
                <w:szCs w:val="18"/>
                <w:color w:val="auto"/>
              </w:rPr>
              <w:t xml:space="preserve">and fnal payment fee </w:t>
            </w:r>
            <w:r>
              <w:rPr>
                <w:rFonts w:ascii="Calibri" w:cs="Calibri" w:eastAsia="Calibri" w:hAnsi="Calibri"/>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ind w:right="35"/>
              <w:spacing w:after="0"/>
              <w:rPr>
                <w:sz w:val="20"/>
                <w:szCs w:val="20"/>
                <w:color w:val="auto"/>
              </w:rPr>
            </w:pPr>
            <w:r>
              <w:rPr>
                <w:rFonts w:ascii="Calibri" w:cs="Calibri" w:eastAsia="Calibri" w:hAnsi="Calibri"/>
                <w:sz w:val="18"/>
                <w:szCs w:val="18"/>
                <w:color w:val="auto"/>
              </w:rPr>
              <w:t>124,471</w:t>
            </w:r>
          </w:p>
        </w:tc>
        <w:tc>
          <w:tcPr>
            <w:tcW w:w="340" w:type="dxa"/>
            <w:vAlign w:val="bottom"/>
            <w:gridSpan w:val="2"/>
            <w:shd w:val="clear" w:color="auto" w:fill="CFF0FC"/>
          </w:tcPr>
          <w:p>
            <w:pPr>
              <w:jc w:val="right"/>
              <w:ind w:right="10"/>
              <w:spacing w:after="0"/>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Calibri" w:cs="Calibri" w:eastAsia="Calibri" w:hAnsi="Calibri"/>
                <w:sz w:val="18"/>
                <w:szCs w:val="18"/>
                <w:color w:val="auto"/>
              </w:rPr>
              <w:t>—</w:t>
            </w:r>
          </w:p>
        </w:tc>
        <w:tc>
          <w:tcPr>
            <w:tcW w:w="360" w:type="dxa"/>
            <w:vAlign w:val="bottom"/>
            <w:gridSpan w:val="2"/>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FF0FC"/>
          </w:tcPr>
          <w:p>
            <w:pPr>
              <w:jc w:val="right"/>
              <w:ind w:right="17"/>
              <w:spacing w:after="0"/>
              <w:rPr>
                <w:sz w:val="20"/>
                <w:szCs w:val="20"/>
                <w:color w:val="auto"/>
              </w:rPr>
            </w:pPr>
            <w:r>
              <w:rPr>
                <w:rFonts w:ascii="Calibri" w:cs="Calibri" w:eastAsia="Calibri" w:hAnsi="Calibri"/>
                <w:sz w:val="18"/>
                <w:szCs w:val="18"/>
                <w:color w:val="auto"/>
              </w:rPr>
              <w:t>29,707</w:t>
            </w: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ind w:right="17"/>
              <w:spacing w:after="0"/>
              <w:rPr>
                <w:sz w:val="20"/>
                <w:szCs w:val="20"/>
                <w:color w:val="auto"/>
              </w:rPr>
            </w:pPr>
            <w:r>
              <w:rPr>
                <w:rFonts w:ascii="Calibri" w:cs="Calibri" w:eastAsia="Calibri" w:hAnsi="Calibri"/>
                <w:sz w:val="18"/>
                <w:szCs w:val="18"/>
                <w:color w:val="auto"/>
              </w:rPr>
              <w:t>94,764</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ind w:left="7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7"/>
        </w:trPr>
        <w:tc>
          <w:tcPr>
            <w:tcW w:w="3720" w:type="dxa"/>
            <w:vAlign w:val="bottom"/>
          </w:tcPr>
          <w:p>
            <w:pPr>
              <w:spacing w:after="0" w:line="207" w:lineRule="exact"/>
              <w:rPr>
                <w:sz w:val="20"/>
                <w:szCs w:val="20"/>
                <w:color w:val="auto"/>
              </w:rPr>
            </w:pPr>
            <w:r>
              <w:rPr>
                <w:rFonts w:ascii="Calibri" w:cs="Calibri" w:eastAsia="Calibri" w:hAnsi="Calibri"/>
                <w:sz w:val="18"/>
                <w:szCs w:val="18"/>
                <w:color w:val="auto"/>
              </w:rPr>
              <w:t>Minimum operatng lease</w:t>
            </w:r>
          </w:p>
        </w:tc>
        <w:tc>
          <w:tcPr>
            <w:tcW w:w="260" w:type="dxa"/>
            <w:vAlign w:val="bottom"/>
            <w:vMerge w:val="restart"/>
          </w:tcPr>
          <w:p>
            <w:pPr>
              <w:jc w:val="right"/>
              <w:ind w:right="70"/>
              <w:spacing w:after="0"/>
              <w:rPr>
                <w:sz w:val="20"/>
                <w:szCs w:val="20"/>
                <w:color w:val="auto"/>
              </w:rPr>
            </w:pPr>
            <w:r>
              <w:rPr>
                <w:rFonts w:ascii="Calibri" w:cs="Calibri" w:eastAsia="Calibri" w:hAnsi="Calibri"/>
                <w:sz w:val="18"/>
                <w:szCs w:val="18"/>
                <w:color w:val="auto"/>
                <w:w w:val="87"/>
              </w:rPr>
              <w:t>$</w:t>
            </w:r>
          </w:p>
        </w:tc>
        <w:tc>
          <w:tcPr>
            <w:tcW w:w="960" w:type="dxa"/>
            <w:vAlign w:val="bottom"/>
            <w:vMerge w:val="restart"/>
          </w:tcPr>
          <w:p>
            <w:pPr>
              <w:jc w:val="right"/>
              <w:ind w:right="35"/>
              <w:spacing w:after="0"/>
              <w:rPr>
                <w:sz w:val="20"/>
                <w:szCs w:val="20"/>
                <w:color w:val="auto"/>
              </w:rPr>
            </w:pPr>
            <w:r>
              <w:rPr>
                <w:rFonts w:ascii="Calibri" w:cs="Calibri" w:eastAsia="Calibri" w:hAnsi="Calibri"/>
                <w:sz w:val="18"/>
                <w:szCs w:val="18"/>
                <w:color w:val="auto"/>
              </w:rPr>
              <w:t>2,000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restart"/>
          </w:tcPr>
          <w:p>
            <w:pPr>
              <w:jc w:val="right"/>
              <w:ind w:right="39"/>
              <w:spacing w:after="0"/>
              <w:rPr>
                <w:sz w:val="20"/>
                <w:szCs w:val="20"/>
                <w:color w:val="auto"/>
              </w:rPr>
            </w:pPr>
            <w:r>
              <w:rPr>
                <w:rFonts w:ascii="Calibri" w:cs="Calibri" w:eastAsia="Calibri" w:hAnsi="Calibri"/>
                <w:sz w:val="18"/>
                <w:szCs w:val="18"/>
                <w:color w:val="auto"/>
              </w:rPr>
              <w:t>734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ind w:right="17"/>
              <w:spacing w:after="0"/>
              <w:rPr>
                <w:sz w:val="20"/>
                <w:szCs w:val="20"/>
                <w:color w:val="auto"/>
              </w:rPr>
            </w:pPr>
            <w:r>
              <w:rPr>
                <w:rFonts w:ascii="Calibri" w:cs="Calibri" w:eastAsia="Calibri" w:hAnsi="Calibri"/>
                <w:sz w:val="18"/>
                <w:szCs w:val="18"/>
                <w:color w:val="auto"/>
              </w:rPr>
              <w:t>1,266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ind w:right="17"/>
              <w:spacing w:after="0"/>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ind w:left="7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372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w:t>
            </w:r>
          </w:p>
        </w:tc>
        <w:tc>
          <w:tcPr>
            <w:tcW w:w="2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7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w:t>
            </w:r>
          </w:p>
        </w:tc>
        <w:tc>
          <w:tcPr>
            <w:tcW w:w="260" w:type="dxa"/>
            <w:vAlign w:val="bottom"/>
            <w:tcBorders>
              <w:top w:val="single" w:sz="8" w:color="auto"/>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CFF0FC"/>
            </w:tcBorders>
            <w:shd w:val="clear" w:color="auto" w:fill="CFF0FC"/>
          </w:tcPr>
          <w:p>
            <w:pPr>
              <w:jc w:val="right"/>
              <w:ind w:right="35"/>
              <w:spacing w:after="0" w:line="208" w:lineRule="exact"/>
              <w:rPr>
                <w:sz w:val="20"/>
                <w:szCs w:val="20"/>
                <w:color w:val="auto"/>
              </w:rPr>
            </w:pPr>
            <w:r>
              <w:rPr>
                <w:rFonts w:ascii="Calibri" w:cs="Calibri" w:eastAsia="Calibri" w:hAnsi="Calibri"/>
                <w:sz w:val="18"/>
                <w:szCs w:val="18"/>
                <w:color w:val="auto"/>
              </w:rPr>
              <w:t>126,471</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CFF0FC"/>
            </w:tcBorders>
            <w:shd w:val="clear" w:color="auto" w:fill="CFF0FC"/>
          </w:tcPr>
          <w:p>
            <w:pPr>
              <w:jc w:val="right"/>
              <w:ind w:right="39"/>
              <w:spacing w:after="0" w:line="208" w:lineRule="exact"/>
              <w:rPr>
                <w:sz w:val="20"/>
                <w:szCs w:val="20"/>
                <w:color w:val="auto"/>
              </w:rPr>
            </w:pPr>
            <w:r>
              <w:rPr>
                <w:rFonts w:ascii="Calibri" w:cs="Calibri" w:eastAsia="Calibri" w:hAnsi="Calibri"/>
                <w:sz w:val="18"/>
                <w:szCs w:val="18"/>
                <w:color w:val="auto"/>
              </w:rPr>
              <w:t>734</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bottom w:val="single" w:sz="8" w:color="CFF0FC"/>
            </w:tcBorders>
            <w:shd w:val="clear" w:color="auto" w:fill="CFF0FC"/>
          </w:tcPr>
          <w:p>
            <w:pPr>
              <w:jc w:val="right"/>
              <w:ind w:right="17"/>
              <w:spacing w:after="0" w:line="208" w:lineRule="exact"/>
              <w:rPr>
                <w:sz w:val="20"/>
                <w:szCs w:val="20"/>
                <w:color w:val="auto"/>
              </w:rPr>
            </w:pPr>
            <w:r>
              <w:rPr>
                <w:rFonts w:ascii="Calibri" w:cs="Calibri" w:eastAsia="Calibri" w:hAnsi="Calibri"/>
                <w:sz w:val="18"/>
                <w:szCs w:val="18"/>
                <w:color w:val="auto"/>
              </w:rPr>
              <w:t>30,973</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bottom w:val="single" w:sz="8" w:color="CFF0FC"/>
            </w:tcBorders>
            <w:shd w:val="clear" w:color="auto" w:fill="CFF0FC"/>
          </w:tcPr>
          <w:p>
            <w:pPr>
              <w:jc w:val="right"/>
              <w:ind w:right="17"/>
              <w:spacing w:after="0" w:line="208" w:lineRule="exact"/>
              <w:rPr>
                <w:sz w:val="20"/>
                <w:szCs w:val="20"/>
                <w:color w:val="auto"/>
              </w:rPr>
            </w:pPr>
            <w:r>
              <w:rPr>
                <w:rFonts w:ascii="Calibri" w:cs="Calibri" w:eastAsia="Calibri" w:hAnsi="Calibri"/>
                <w:sz w:val="18"/>
                <w:szCs w:val="18"/>
                <w:color w:val="auto"/>
              </w:rPr>
              <w:t>94,764</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CFF0FC"/>
            </w:tcBorders>
            <w:shd w:val="clear" w:color="auto" w:fill="CFF0FC"/>
          </w:tcPr>
          <w:p>
            <w:pPr>
              <w:ind w:left="760"/>
              <w:spacing w:after="0" w:line="208"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-25400</wp:posOffset>
            </wp:positionV>
            <wp:extent cx="250317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03170" cy="179705"/>
                    </a:xfrm>
                    <a:prstGeom prst="rect">
                      <a:avLst/>
                    </a:prstGeom>
                    <a:noFill/>
                  </pic:spPr>
                </pic:pic>
              </a:graphicData>
            </a:graphic>
          </wp:anchor>
        </w:drawing>
      </w:r>
    </w:p>
    <w:p>
      <w:pPr>
        <w:spacing w:after="0" w:line="147" w:lineRule="exact"/>
        <w:rPr>
          <w:sz w:val="20"/>
          <w:szCs w:val="20"/>
          <w:color w:val="auto"/>
        </w:rPr>
      </w:pPr>
    </w:p>
    <w:p>
      <w:pPr>
        <w:ind w:left="580"/>
        <w:spacing w:after="0"/>
        <w:rPr>
          <w:sz w:val="20"/>
          <w:szCs w:val="20"/>
          <w:color w:val="auto"/>
        </w:rPr>
      </w:pPr>
      <w:r>
        <w:rPr>
          <w:rFonts w:ascii="Calibri" w:cs="Calibri" w:eastAsia="Calibri" w:hAnsi="Calibri"/>
          <w:sz w:val="12"/>
          <w:szCs w:val="12"/>
          <w:color w:val="auto"/>
        </w:rPr>
        <w:t>(1) Our outstanding long-term debt bears interest at a variable rate. The interest amounts included herein are based on the interest rate in efect as of December 31, 2022.</w:t>
      </w:r>
    </w:p>
    <w:p>
      <w:pPr>
        <w:spacing w:after="0" w:line="32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to the contractual obligatons summarized above, on May 5, 2020, we entered into a Commercial Supply Agreement with Takeda, pursuant to which Takeda will supply commercial quanttes of vonoprazan bulk drug product. We incurred $0.7 million and $1.8 million of expenses related to the Commercial Supply Agreement during the years ended December 31, 2022 and 2021, respectvely. We have no remaining minimum purchase obligaton related to this agreement.</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on December 30, 2020, we entered into a Supply and Packaging Services Agreement with Sandoz, pursuant to which Sandoz has agreed to supply commercial quanttes of amoxicillin capsules and clarithromycin tablets, to package these antbiotcs with vonoprazan, in fnished convenience packs, and to supply us with these convenience packs. The supply agreement commits the Company to a minimum purchase obligaton of approximately $3.8 million during the frst 24-month period following the launch of the fnal product. As of December 31, 2022, we are unable to estmate the tming of future expenses and, therefore, any related payments are not included in the table above. We have not incurred any expenses under the agreement during the year ended December 31, 2022.</w:t>
      </w:r>
    </w:p>
    <w:p>
      <w:pPr>
        <w:spacing w:after="0" w:line="181"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Additonally, on May 3, 2022, we entered into a Revenue Interest Financing Agreement (the “Revenue Interest Financing Agreement”), with enttes managed or advised by NovaQuest Capital Management (“NQ”), Sagard Holdings Manager LP (“Sagard”) and Hercules Capital, Inc. (“Hercules” together with NQ and Sagard, the “Inital Investors”) and received $100 million at the inital closing (the "Investment Amount"). Under the Revenue Interest Financing Agreement, the Inital Investors are enttled to receive a 10% royalty on net sales of products containing vonoprazan. The investors’ right to receive royaltes on net sales will terminate when the investors have aggregate payments equal to 200% of the Investment Amount. We have not made any payments under the Revenue Interest Financing Agreement during the year ended December 31, 2022.</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enter into contracts in the normal course of business for our contract research services, contract manufacturing services, professional services and other services and products for operatng purposes. These contracts generally provide for terminaton afer a notce period, and, therefore, are cancelable contracts and not included in the table above.</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3" w:right="379" w:bottom="1440" w:gutter="0" w:footer="0" w:header="0"/>
        </w:sectPr>
      </w:pPr>
    </w:p>
    <w:bookmarkStart w:id="158" w:name="page159"/>
    <w:bookmarkEnd w:id="158"/>
    <w:p>
      <w:pPr>
        <w:spacing w:after="0"/>
        <w:rPr>
          <w:sz w:val="20"/>
          <w:szCs w:val="20"/>
          <w:color w:val="auto"/>
        </w:rPr>
      </w:pPr>
      <w:r>
        <w:rPr>
          <w:rFonts w:ascii="Calibri" w:cs="Calibri" w:eastAsia="Calibri" w:hAnsi="Calibri"/>
          <w:sz w:val="18"/>
          <w:szCs w:val="18"/>
          <w:b w:val="1"/>
          <w:bCs w:val="1"/>
          <w:color w:val="auto"/>
        </w:rPr>
        <w:t>Critcal Accountng Policies and Signifcant Judgments and Estmates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management’s discussion and analysis of our fnancial conditon and results of operatons is based on our fnancial statements, which have been prepared in accordance with generally accepted accountng principles in the United States, or GAAP. The preparaton of our fnancial statements requires us to make estmates and assumptons that afect the reported amounts of assets, liabilites and expenses and the disclosure of contngent assets and liabilites in our fnancial statements and accompanying notes. We evaluate these estmates and judgments on an ongoing basis. We base our estmates on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w:t>
      </w:r>
    </w:p>
    <w:p>
      <w:pPr>
        <w:spacing w:after="0" w:line="181"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While our signifcant accountng policies are more fully described in Note 1 to our fnancial statements, we believe that the following accountng policies are the most critcal for fully understanding and evaluatng our fnancial conditon and results of operatons.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Accrued Research and Development Expenses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As part of the process of preparing our fnancial statements, we are required to estmate our accrued expenses as of each balance sheet date. This process involves reviewing open contracts and purchase orders, communicatng with our personnel to identfy services that have been performed on our behalf and estmatng the level of service performed and the associated cost incurred for the service when we have not yet been invoiced or otherwise notfed of the actual cost. We make estmates of our accrued expenses as of each balance sheet date based on facts and circumstances known to us at that tme. We periodically confrm the accuracy of our estmates with the service providers and make adjustments, if necessary. The signifcant estmates in our accrued research and development expenses include the costs incurred for services performed by our vendors in connecton with research and development actvites for which we have not yet been invoiced.</w:t>
      </w:r>
    </w:p>
    <w:p>
      <w:pPr>
        <w:spacing w:after="0" w:line="181"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Our research and development actvites include estmates of the services received and eforts expended pursuant to quotes and contracts with vendors that conduct research and development on our behalf. The fnancial terms of these agreements are subject to negotaton, vary from contract to contract and may result in uneven payment fows. There may be instances in which payments made to our vendors will exceed the level of services provided and result in a prepayment of the research and development expense. In accruing service fees, we estmate the tme period over which services will be performed and the level of efort to be expended in each period. If the actual tming of the performance of services or the level of efort varies from our estmate, we adjust the accrual or prepaid expense accordingly. Advance payments for goods and services that will be used in future research and development actvites are expensed when the actvity has been performed or when the goods have been received rather than when the payment is made.</w:t>
      </w:r>
    </w:p>
    <w:p>
      <w:pPr>
        <w:spacing w:after="0" w:line="1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Although we do not expect our estmates to be materially diferent from amounts actually incurred, if our estmates of the status and tming of services performed difer from the actual status and tming of services performed, it could result in us reportng amounts that are too high or too low in any partcular period. To date, there have been no material diferences between our estmates of such expenses and the amounts actually incurred.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 We use the Black-Scholes valuaton model to determine the fair value of our stock awards. Through December 31, 2022, our stock-based compensaton expense consisted of recognized fair value related to our issuance of restricted stock awards, for which the fair value is determined based on the fair value of the underlying common stock, stock optons, and ESPP awards.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59" w:name="page160"/>
    <w:bookmarkEnd w:id="159"/>
    <w:p>
      <w:pPr>
        <w:spacing w:after="0"/>
        <w:rPr>
          <w:sz w:val="20"/>
          <w:szCs w:val="20"/>
          <w:color w:val="auto"/>
        </w:rPr>
      </w:pPr>
      <w:r>
        <w:rPr>
          <w:rFonts w:ascii="Calibri" w:cs="Calibri" w:eastAsia="Calibri" w:hAnsi="Calibri"/>
          <w:sz w:val="18"/>
          <w:szCs w:val="18"/>
          <w:b w:val="1"/>
          <w:bCs w:val="1"/>
          <w:color w:val="auto"/>
        </w:rPr>
        <w:t>Other Company Informaton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JOBS Act</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an emerging growth company under the Jumpstart Our Business Startups Act of 2012, or the JOBS Act, we can take advantage of an extended transiton period for complying with new or revised accountng standards. This allows an emerging growth company to delay the adopton of certain accountng standards untl those standards would otherwise apply to private companies. We have irrevocably elected not to avail ourselves of this exempton and, therefore, we will be subject to the same new or revised accountng standards as other public companies that are not emerging growth companies. We intend to rely on other exemptons provided by the JOBS Act, including without limitaton, not being required to comply with the auditor atestaton requirements of Secton 404(b) of Sarbanes-Oxley.</w:t>
      </w:r>
    </w:p>
    <w:p>
      <w:pPr>
        <w:spacing w:after="0" w:line="19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will remain an emerging growth company untl the earliest of (i) the last day of the fscal year following the ffh anniversary of the consummaton of our IPO, (ii) the last day of the fscal year in which we have total annual gross revenue of at least $1.235 billion, (iii) the last day of the fscal year in which we are deemed to be a “large accelerated fler” as defned in Rule 12b-2 under the Exchange Act, which would occur if the market value of our common stock held by non-afliates exceeded $700.0 million as of the last business day of the second fscal quarter of such year, or (iv) the date on which we have issued more than $1.0 billion in non-convertble debt securites during the prior three-year period.</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177" w:lineRule="exact"/>
        <w:rPr>
          <w:sz w:val="20"/>
          <w:szCs w:val="20"/>
          <w:color w:val="auto"/>
        </w:rPr>
      </w:pPr>
    </w:p>
    <w:p>
      <w:pPr>
        <w:ind w:right="600" w:firstLine="509"/>
        <w:spacing w:after="0" w:line="235" w:lineRule="auto"/>
        <w:rPr>
          <w:sz w:val="20"/>
          <w:szCs w:val="20"/>
          <w:color w:val="auto"/>
        </w:rPr>
      </w:pPr>
      <w:r>
        <w:rPr>
          <w:rFonts w:ascii="Calibri" w:cs="Calibri" w:eastAsia="Calibri" w:hAnsi="Calibri"/>
          <w:sz w:val="18"/>
          <w:szCs w:val="18"/>
          <w:color w:val="auto"/>
        </w:rPr>
        <w:t>The informaton required by this item is included in Note 1, Organizaton, Basis of Presentaton and Summary of Signifcant Accountng Policies included in Item 15 of this annual report.</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During the periods presented we did not have, nor do we currently have, any of-balance sheet arrangements as defned under SEC rules.</w:t>
      </w:r>
    </w:p>
    <w:p>
      <w:pPr>
        <w:spacing w:after="0" w:line="172"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7A.</w:t>
      </w:r>
      <w:r>
        <w:rPr>
          <w:sz w:val="20"/>
          <w:szCs w:val="20"/>
          <w:color w:val="auto"/>
        </w:rPr>
        <w:tab/>
      </w:r>
      <w:r>
        <w:rPr>
          <w:rFonts w:ascii="Calibri" w:cs="Calibri" w:eastAsia="Calibri" w:hAnsi="Calibri"/>
          <w:sz w:val="17"/>
          <w:szCs w:val="17"/>
          <w:b w:val="1"/>
          <w:bCs w:val="1"/>
          <w:color w:val="auto"/>
        </w:rPr>
        <w:t>Quanttatve and Qualitatve Disclosures About Market Risk</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cash and cash equivalents consist of cash in readily available checking accounts and money market funds. As a result, the fair value of our portolio is relatvely insensitve to interest rate changes. Our long-term debt bears interest at a variable rate. A 10% increase or decrease in the interest rate on our long-term debt would not have a material efect on our fnancial positon, results of operatons or cash fows.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Efects of Infaton</w:t>
      </w:r>
    </w:p>
    <w:p>
      <w:pPr>
        <w:spacing w:after="0" w:line="190" w:lineRule="exact"/>
        <w:rPr>
          <w:sz w:val="20"/>
          <w:szCs w:val="20"/>
          <w:color w:val="auto"/>
        </w:rPr>
      </w:pPr>
    </w:p>
    <w:p>
      <w:pPr>
        <w:ind w:right="520" w:firstLine="509"/>
        <w:spacing w:after="0" w:line="235" w:lineRule="auto"/>
        <w:rPr>
          <w:sz w:val="20"/>
          <w:szCs w:val="20"/>
          <w:color w:val="auto"/>
        </w:rPr>
      </w:pPr>
      <w:r>
        <w:rPr>
          <w:rFonts w:ascii="Calibri" w:cs="Calibri" w:eastAsia="Calibri" w:hAnsi="Calibri"/>
          <w:sz w:val="18"/>
          <w:szCs w:val="18"/>
          <w:color w:val="auto"/>
        </w:rPr>
        <w:t>Infaton generally afects us by increasing our cost of labor and research and development contract costs. We do not believe infaton has had a material efect on our results of operatons during the periods presented.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17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fnancial statements required pursuant to this item are incorporated by reference herein from the applicable informaton included in Item 15 of this annual report and are presented beginning on page F-1.</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  Changes in and Disagreements with Accountants on Accountng and Financial Disclosure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160" w:name="page161"/>
    <w:bookmarkEnd w:id="160"/>
    <w:p>
      <w:pPr>
        <w:spacing w:after="0"/>
        <w:tabs>
          <w:tab w:leader="none" w:pos="940" w:val="left"/>
        </w:tabs>
        <w:rPr>
          <w:sz w:val="20"/>
          <w:szCs w:val="20"/>
          <w:color w:val="auto"/>
        </w:rPr>
      </w:pPr>
      <w:r>
        <w:rPr>
          <w:rFonts w:ascii="Calibri" w:cs="Calibri" w:eastAsia="Calibri" w:hAnsi="Calibri"/>
          <w:sz w:val="18"/>
          <w:szCs w:val="18"/>
          <w:b w:val="1"/>
          <w:bCs w:val="1"/>
          <w:color w:val="auto"/>
        </w:rPr>
        <w:t>Item 9A.</w:t>
      </w:r>
      <w:r>
        <w:rPr>
          <w:sz w:val="20"/>
          <w:szCs w:val="20"/>
          <w:color w:val="auto"/>
        </w:rPr>
        <w:tab/>
      </w:r>
      <w:r>
        <w:rPr>
          <w:rFonts w:ascii="Calibri" w:cs="Calibri" w:eastAsia="Calibri" w:hAnsi="Calibri"/>
          <w:sz w:val="17"/>
          <w:szCs w:val="17"/>
          <w:b w:val="1"/>
          <w:bCs w:val="1"/>
          <w:color w:val="auto"/>
        </w:rPr>
        <w:t>Controls and Procedures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Conclusion Regarding the Efectveness of Disclosure Controls and Procedures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maintain disclosure controls and procedures that are designed to ensure that informaton required to be disclosed in our periodic and current reports that we fle with the SEC is recorded, processed, summarized and reported within the tme periods specifed in the SEC’s rules and forms, and that such informaton is accumulated and communicated to our management, including our principal executve ofcer and principal fnancial ofcer, as appropriate, to allow tmely decisions regarding required disclosure. In designing and evaluatng the disclosure controls and procedures, management recognized that any controls and procedures, no mater how well designed and operated, can provide only reasonable and not absolute assurance of achieving the desired control objectves. In reaching a reasonable level of assurance, management necessarily was required to apply its judgment in evaluatng the cost-beneft relatonship of possible controls and procedures. In additon, the design of any system of controls also is based in part upon certain assumptons about the likelihood of future events, and there can be no assurance that any design will succeed in achieving its stated goals under all potental future conditons; over tme, control may become inadequate because of changes in conditons, or the degree of compliance with policies or procedures may deteriorate. Because of the inherent limitatons in a cost-efectve control system, misstatements due to error or fraud may occur and not be detected.</w:t>
      </w:r>
    </w:p>
    <w:p>
      <w:pPr>
        <w:spacing w:after="0" w:line="19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annual report. Based on such evaluaton, our principal executve ofcer and principal fnancial ofcer have concluded that as of such date, our disclosure controls and procedures were efectve at the reasonable assurance level.</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management is responsible for establishing and maintaining adequate internal control over fnancial reportng (as defned in Rules 13a-15(f) and 15d-15(f) of the Exchange Act). Internal control over fnancial reportng is a process designed under the supervision and with the partcipaton of our management to provide reasonable assurance regarding the reliability of fnancial reportng and the preparaton of fnancial statements for external purposes in accordance with accountng principles generally accepted in the United States of America. Management conducted an assessment of the efectveness of our internal control over fnancial reportng based on the criteria set forth by the Commitee of Sponsoring Organizatons of the Treadway Commission in Internal Control—Integrated Framework (2013 Framework). Based on this assessment, our management concluded that, as of December 31, 2022, our internal control over fnancial reportng was efectve.</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Atestaton Report of the Registered Public Accountng Firm</w:t>
      </w:r>
    </w:p>
    <w:p>
      <w:pPr>
        <w:spacing w:after="0" w:line="17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This annual report does not include an atestaton report of our registered public accountng frm due to an exempton provided by the JOBS Act for “emerging growth companies.”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19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There have been no changes in our internal control over fnancial reportng during the fourth quarter ended December 31, 2022 that have materially afected, or are reasonably likely to materially afect, our internal control over fnancial reportng.</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9B. Other Informaton</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Jurisdicton that Prevent Inspecton</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61" w:name="page162"/>
    <w:bookmarkEnd w:id="161"/>
    <w:p>
      <w:pPr>
        <w:jc w:val="center"/>
        <w:spacing w:after="0"/>
        <w:rPr>
          <w:sz w:val="20"/>
          <w:szCs w:val="20"/>
          <w:color w:val="auto"/>
        </w:rPr>
      </w:pPr>
      <w:r>
        <w:rPr>
          <w:rFonts w:ascii="Calibri" w:cs="Calibri" w:eastAsia="Calibri" w:hAnsi="Calibri"/>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10. Directors, Executve Ofcers and Corporate Governance</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informaton required by this item will be contained in our defnitve proxy statement to be fled with the SEC in connecton with our 2023 Annual Meetng of Stockholders, or the Defnitve Proxy Statement, which is expected to be fled not later than 120 days afer the end of our fscal year ended December 31, 2022, under the headings “Electon of Directors,” “Executve Ofcers,” and “Secton 16(a) Benefcial Ownership Reportng Compliance,” and is incorporated herein by reference.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 of Conduct and Ethics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adopted a Code of Conduct and Ethics that applies to our ofcers, directors and employees, which is available on our website at www.phathompharma.com. The Code of Conduct and Ethics contains general guidelines for conductng the business of our company consistent with the highest standards of business ethics and is intended to qualify as a “code of ethics” within the meaning of Secton 406 of the Sarbanes-Oxley Act of 2002 and Item 406 of Regulaton S-K. In additon, we intend to promptly disclose (1) the nature of any amendment to our Code of Business Conduct and Ethics that applies to our principal executve ofcer, principal fnancial ofcer, principal accountng ofcer or controller or persons performing similar functons and (2) the nature of any waiver, including an implicit waiver, from a provision of our code of ethics that is granted to one of these specifed ofcers, the name of such person who is granted the waiver and the date of the waiver on our website in the future.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11. Executive Compensaton</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“Executve Compensaton and Other Informaton” in our Defnitve Proxy Statement and is incorporated herein by reference.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12. Security Ownership of Certain Benefcial Owners and Management and Related Stockholder Maters</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“Security Ownership of Certain Benefcial Owners and Management” in our Defnitve Proxy Statement and is incorporated herein by reference.</w:t>
      </w:r>
    </w:p>
    <w:p>
      <w:pPr>
        <w:spacing w:after="0" w:line="177"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informaton required by Item 201(d) of Regulaton S-K will be set forth in the secton headed “Executve Compensaton” in our Defnitve Proxy Statement and is incorporated herein by reference.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13. Certain Relatonships and Related Transactons, and Director Independence</w:t>
      </w:r>
    </w:p>
    <w:p>
      <w:pPr>
        <w:spacing w:after="0" w:line="177" w:lineRule="exact"/>
        <w:rPr>
          <w:sz w:val="20"/>
          <w:szCs w:val="20"/>
          <w:color w:val="auto"/>
        </w:rPr>
      </w:pPr>
    </w:p>
    <w:p>
      <w:pPr>
        <w:ind w:right="72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“Certain Relatonships and Related Person Transactons,” “Board Independence” and “Commitees of the Board of Directors” in our Defnitve Proxy Statement and is incorporated herein by reference.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14. Principal Accountng Fees and Services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“Independent Registered Public Accountants’ Fees” in our Defnitve Proxy Statement and is incorporated herein by reference.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62" w:name="page163"/>
    <w:bookmarkEnd w:id="162"/>
    <w:p>
      <w:pPr>
        <w:jc w:val="center"/>
        <w:ind w:right="-159"/>
        <w:spacing w:after="0"/>
        <w:rPr>
          <w:sz w:val="20"/>
          <w:szCs w:val="20"/>
          <w:color w:val="auto"/>
        </w:rPr>
      </w:pPr>
      <w:r>
        <w:rPr>
          <w:rFonts w:ascii="Calibri" w:cs="Calibri" w:eastAsia="Calibri" w:hAnsi="Calibri"/>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15. Exhibits, Financial Statement Schedules</w:t>
      </w:r>
    </w:p>
    <w:p>
      <w:pPr>
        <w:spacing w:after="0" w:line="104" w:lineRule="exact"/>
        <w:rPr>
          <w:sz w:val="20"/>
          <w:szCs w:val="20"/>
          <w:color w:val="auto"/>
        </w:rPr>
      </w:pPr>
    </w:p>
    <w:p>
      <w:pPr>
        <w:ind w:left="520" w:hanging="512"/>
        <w:spacing w:after="0"/>
        <w:tabs>
          <w:tab w:leader="none" w:pos="520" w:val="left"/>
        </w:tabs>
        <w:numPr>
          <w:ilvl w:val="0"/>
          <w:numId w:val="5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All fnancial statements.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fnancial statements of Phathom Pharmaceutcals, Inc., together with the report thereon of Ernst &amp; Young LLP, an independent registered public accountng frm, are included in this annual report on Form 10-K beginning on page F-1.</w:t>
      </w:r>
    </w:p>
    <w:p>
      <w:pPr>
        <w:spacing w:after="0" w:line="172" w:lineRule="exact"/>
        <w:rPr>
          <w:sz w:val="20"/>
          <w:szCs w:val="20"/>
          <w:color w:val="auto"/>
        </w:rPr>
      </w:pPr>
    </w:p>
    <w:p>
      <w:pPr>
        <w:ind w:left="520" w:hanging="512"/>
        <w:spacing w:after="0"/>
        <w:tabs>
          <w:tab w:leader="none" w:pos="520" w:val="left"/>
        </w:tabs>
        <w:numPr>
          <w:ilvl w:val="0"/>
          <w:numId w:val="5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Financial statement schedules.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All schedules have been omited because the informaton required to be set forth therein is not applicable or is shown in the fnancial statements or notes thereto.</w:t>
      </w:r>
    </w:p>
    <w:p>
      <w:pPr>
        <w:spacing w:after="0" w:line="172" w:lineRule="exact"/>
        <w:rPr>
          <w:sz w:val="20"/>
          <w:szCs w:val="20"/>
          <w:color w:val="auto"/>
        </w:rPr>
      </w:pPr>
    </w:p>
    <w:p>
      <w:pPr>
        <w:ind w:left="520" w:hanging="512"/>
        <w:spacing w:after="0"/>
        <w:tabs>
          <w:tab w:leader="none" w:pos="520" w:val="left"/>
        </w:tabs>
        <w:numPr>
          <w:ilvl w:val="0"/>
          <w:numId w:val="5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Exhibits</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 list of exhibits is set forth on the Exhibit Index immediately preceding the signature page of this annual report on Form 10-K and is incorporated herein by reference.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04" w:right="519" w:bottom="1440" w:gutter="0" w:footer="0" w:header="0"/>
        </w:sectPr>
      </w:pPr>
    </w:p>
    <w:bookmarkStart w:id="163" w:name="page164"/>
    <w:bookmarkEnd w:id="163"/>
    <w:p>
      <w:pPr>
        <w:ind w:left="4480"/>
        <w:spacing w:after="0"/>
        <w:rPr>
          <w:sz w:val="20"/>
          <w:szCs w:val="20"/>
          <w:color w:val="auto"/>
        </w:rPr>
      </w:pPr>
      <w:r>
        <w:rPr>
          <w:rFonts w:ascii="Calibri" w:cs="Calibri" w:eastAsia="Calibri" w:hAnsi="Calibri"/>
          <w:sz w:val="18"/>
          <w:szCs w:val="18"/>
          <w:b w:val="1"/>
          <w:bCs w:val="1"/>
          <w:color w:val="auto"/>
        </w:rPr>
        <w:t>Phathom Pharmaceutcals, Inc.</w:t>
      </w:r>
    </w:p>
    <w:p>
      <w:pPr>
        <w:spacing w:after="0" w:line="104" w:lineRule="exact"/>
        <w:rPr>
          <w:sz w:val="20"/>
          <w:szCs w:val="20"/>
          <w:color w:val="auto"/>
        </w:rPr>
      </w:pPr>
    </w:p>
    <w:p>
      <w:pPr>
        <w:ind w:left="4540"/>
        <w:spacing w:after="0"/>
        <w:rPr>
          <w:sz w:val="20"/>
          <w:szCs w:val="20"/>
          <w:color w:val="auto"/>
        </w:rPr>
      </w:pPr>
      <w:r>
        <w:rPr>
          <w:rFonts w:ascii="Calibri" w:cs="Calibri" w:eastAsia="Calibri" w:hAnsi="Calibri"/>
          <w:sz w:val="18"/>
          <w:szCs w:val="18"/>
          <w:b w:val="1"/>
          <w:bCs w:val="1"/>
          <w:color w:val="auto"/>
        </w:rPr>
        <w:t>Index to Financial Statements</w:t>
      </w: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alibri" w:cs="Calibri" w:eastAsia="Calibri" w:hAnsi="Calibri"/>
                <w:sz w:val="14"/>
                <w:szCs w:val="14"/>
                <w:b w:val="1"/>
                <w:bCs w:val="1"/>
                <w:color w:val="auto"/>
              </w:rPr>
              <w:t>Page</w:t>
            </w:r>
          </w:p>
        </w:tc>
      </w:tr>
      <w:tr>
        <w:trPr>
          <w:trHeight w:val="33"/>
        </w:trPr>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5360" w:type="dxa"/>
            <w:vAlign w:val="bottom"/>
            <w:gridSpan w:val="8"/>
          </w:tcPr>
          <w:p>
            <w:pPr>
              <w:ind w:left="20"/>
              <w:spacing w:after="0"/>
              <w:rPr>
                <w:sz w:val="20"/>
                <w:szCs w:val="20"/>
                <w:color w:val="auto"/>
              </w:rPr>
            </w:pPr>
            <w:r>
              <w:rPr>
                <w:rFonts w:ascii="Calibri" w:cs="Calibri" w:eastAsia="Calibri" w:hAnsi="Calibri"/>
                <w:sz w:val="18"/>
                <w:szCs w:val="18"/>
                <w:color w:val="0000FF"/>
              </w:rPr>
              <w:t xml:space="preserve">Report of Independent Registered Public Accountng Firm </w:t>
            </w:r>
            <w:r>
              <w:rPr>
                <w:rFonts w:ascii="Calibri" w:cs="Calibri" w:eastAsia="Calibri" w:hAnsi="Calibri"/>
                <w:sz w:val="18"/>
                <w:szCs w:val="18"/>
                <w:color w:val="000000"/>
              </w:rPr>
              <w:t>(PCAOB ID: 42)</w:t>
            </w:r>
          </w:p>
        </w:tc>
        <w:tc>
          <w:tcPr>
            <w:tcW w:w="522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F-2</w:t>
            </w:r>
          </w:p>
        </w:tc>
      </w:tr>
      <w:tr>
        <w:trPr>
          <w:trHeight w:val="223"/>
        </w:trPr>
        <w:tc>
          <w:tcPr>
            <w:tcW w:w="1100" w:type="dxa"/>
            <w:vAlign w:val="bottom"/>
            <w:tcBorders>
              <w:top w:val="single" w:sz="8" w:color="0000FF"/>
              <w:bottom w:val="single" w:sz="8" w:color="0000FF"/>
            </w:tcBorders>
          </w:tcPr>
          <w:p>
            <w:pPr>
              <w:ind w:left="20"/>
              <w:spacing w:after="0"/>
              <w:rPr>
                <w:sz w:val="20"/>
                <w:szCs w:val="20"/>
                <w:color w:val="auto"/>
              </w:rPr>
            </w:pPr>
            <w:r>
              <w:rPr>
                <w:rFonts w:ascii="Calibri" w:cs="Calibri" w:eastAsia="Calibri" w:hAnsi="Calibri"/>
                <w:sz w:val="18"/>
                <w:szCs w:val="18"/>
                <w:color w:val="0000FF"/>
                <w:w w:val="96"/>
              </w:rPr>
              <w:t>Balance Sheets</w:t>
            </w:r>
          </w:p>
        </w:tc>
        <w:tc>
          <w:tcPr>
            <w:tcW w:w="20" w:type="dxa"/>
            <w:vAlign w:val="bottom"/>
            <w:tcBorders>
              <w:top w:val="single" w:sz="8" w:color="0000FF"/>
              <w:bottom w:val="single" w:sz="8" w:color="0000EE"/>
            </w:tcBorders>
          </w:tcPr>
          <w:p>
            <w:pPr>
              <w:spacing w:after="0"/>
              <w:rPr>
                <w:sz w:val="19"/>
                <w:szCs w:val="19"/>
                <w:color w:val="auto"/>
              </w:rPr>
            </w:pPr>
          </w:p>
        </w:tc>
        <w:tc>
          <w:tcPr>
            <w:tcW w:w="2980" w:type="dxa"/>
            <w:vAlign w:val="bottom"/>
            <w:tcBorders>
              <w:top w:val="single" w:sz="8" w:color="0000FF"/>
            </w:tcBorders>
            <w:gridSpan w:val="5"/>
          </w:tcPr>
          <w:p>
            <w:pPr>
              <w:spacing w:after="0"/>
              <w:rPr>
                <w:sz w:val="19"/>
                <w:szCs w:val="19"/>
                <w:color w:val="auto"/>
              </w:rPr>
            </w:pPr>
          </w:p>
        </w:tc>
        <w:tc>
          <w:tcPr>
            <w:tcW w:w="12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F-3</w:t>
            </w:r>
          </w:p>
        </w:tc>
      </w:tr>
      <w:tr>
        <w:trPr>
          <w:trHeight w:val="223"/>
        </w:trPr>
        <w:tc>
          <w:tcPr>
            <w:tcW w:w="5360" w:type="dxa"/>
            <w:vAlign w:val="bottom"/>
            <w:gridSpan w:val="8"/>
          </w:tcPr>
          <w:p>
            <w:pPr>
              <w:ind w:left="20"/>
              <w:spacing w:after="0"/>
              <w:rPr>
                <w:sz w:val="20"/>
                <w:szCs w:val="20"/>
                <w:color w:val="auto"/>
              </w:rPr>
            </w:pPr>
            <w:r>
              <w:rPr>
                <w:rFonts w:ascii="Calibri" w:cs="Calibri" w:eastAsia="Calibri" w:hAnsi="Calibri"/>
                <w:sz w:val="18"/>
                <w:szCs w:val="18"/>
                <w:color w:val="0000FF"/>
              </w:rPr>
              <w:t>Statements of Operatons and Comprehensive Loss</w:t>
            </w:r>
          </w:p>
        </w:tc>
        <w:tc>
          <w:tcPr>
            <w:tcW w:w="52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F-4</w:t>
            </w:r>
          </w:p>
        </w:tc>
      </w:tr>
      <w:tr>
        <w:trPr>
          <w:trHeight w:val="223"/>
        </w:trPr>
        <w:tc>
          <w:tcPr>
            <w:tcW w:w="3640" w:type="dxa"/>
            <w:vAlign w:val="bottom"/>
            <w:tcBorders>
              <w:top w:val="single" w:sz="8" w:color="0000FF"/>
            </w:tcBorders>
            <w:gridSpan w:val="6"/>
          </w:tcPr>
          <w:p>
            <w:pPr>
              <w:ind w:left="20"/>
              <w:spacing w:after="0"/>
              <w:rPr>
                <w:sz w:val="20"/>
                <w:szCs w:val="20"/>
                <w:color w:val="auto"/>
              </w:rPr>
            </w:pPr>
            <w:r>
              <w:rPr>
                <w:rFonts w:ascii="Calibri" w:cs="Calibri" w:eastAsia="Calibri" w:hAnsi="Calibri"/>
                <w:sz w:val="18"/>
                <w:szCs w:val="18"/>
                <w:color w:val="0000FF"/>
              </w:rPr>
              <w:t>Statements of Stockholders’ Equity (Defcit)</w:t>
            </w:r>
          </w:p>
        </w:tc>
        <w:tc>
          <w:tcPr>
            <w:tcW w:w="1720" w:type="dxa"/>
            <w:vAlign w:val="bottom"/>
            <w:gridSpan w:val="2"/>
          </w:tcPr>
          <w:p>
            <w:pPr>
              <w:spacing w:after="0"/>
              <w:rPr>
                <w:sz w:val="19"/>
                <w:szCs w:val="19"/>
                <w:color w:val="auto"/>
              </w:rPr>
            </w:pPr>
          </w:p>
        </w:tc>
        <w:tc>
          <w:tcPr>
            <w:tcW w:w="52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F-5</w:t>
            </w:r>
          </w:p>
        </w:tc>
      </w:tr>
      <w:tr>
        <w:trPr>
          <w:trHeight w:val="223"/>
        </w:trPr>
        <w:tc>
          <w:tcPr>
            <w:tcW w:w="3100" w:type="dxa"/>
            <w:vAlign w:val="bottom"/>
            <w:tcBorders>
              <w:top w:val="single" w:sz="8" w:color="0000FF"/>
            </w:tcBorders>
            <w:gridSpan w:val="5"/>
          </w:tcPr>
          <w:p>
            <w:pPr>
              <w:ind w:left="20"/>
              <w:spacing w:after="0"/>
              <w:rPr>
                <w:sz w:val="20"/>
                <w:szCs w:val="20"/>
                <w:color w:val="auto"/>
              </w:rPr>
            </w:pPr>
            <w:r>
              <w:rPr>
                <w:rFonts w:ascii="Calibri" w:cs="Calibri" w:eastAsia="Calibri" w:hAnsi="Calibri"/>
                <w:sz w:val="18"/>
                <w:szCs w:val="18"/>
                <w:color w:val="0000FF"/>
              </w:rPr>
              <w:t>Statements of Cash Flows</w:t>
            </w:r>
          </w:p>
        </w:tc>
        <w:tc>
          <w:tcPr>
            <w:tcW w:w="2260" w:type="dxa"/>
            <w:vAlign w:val="bottom"/>
            <w:gridSpan w:val="3"/>
          </w:tcPr>
          <w:p>
            <w:pPr>
              <w:spacing w:after="0"/>
              <w:rPr>
                <w:sz w:val="19"/>
                <w:szCs w:val="19"/>
                <w:color w:val="auto"/>
              </w:rPr>
            </w:pPr>
          </w:p>
        </w:tc>
        <w:tc>
          <w:tcPr>
            <w:tcW w:w="52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F-6</w:t>
            </w:r>
          </w:p>
        </w:tc>
      </w:tr>
      <w:tr>
        <w:trPr>
          <w:trHeight w:val="20"/>
        </w:trPr>
        <w:tc>
          <w:tcPr>
            <w:tcW w:w="186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5360" w:type="dxa"/>
            <w:vAlign w:val="bottom"/>
            <w:gridSpan w:val="8"/>
          </w:tcPr>
          <w:p>
            <w:pPr>
              <w:ind w:left="20"/>
              <w:spacing w:after="0"/>
              <w:rPr>
                <w:sz w:val="20"/>
                <w:szCs w:val="20"/>
                <w:color w:val="auto"/>
              </w:rPr>
            </w:pPr>
            <w:r>
              <w:rPr>
                <w:rFonts w:ascii="Calibri" w:cs="Calibri" w:eastAsia="Calibri" w:hAnsi="Calibri"/>
                <w:sz w:val="18"/>
                <w:szCs w:val="18"/>
                <w:color w:val="0000FF"/>
              </w:rPr>
              <w:t>Notes to Financial Statements</w:t>
            </w:r>
          </w:p>
        </w:tc>
        <w:tc>
          <w:tcPr>
            <w:tcW w:w="52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F-7</w:t>
            </w:r>
          </w:p>
        </w:tc>
      </w:tr>
      <w:tr>
        <w:trPr>
          <w:trHeight w:val="912"/>
        </w:trPr>
        <w:tc>
          <w:tcPr>
            <w:tcW w:w="1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F-1</w:t>
            </w:r>
          </w:p>
        </w:tc>
      </w:tr>
      <w:tr>
        <w:trPr>
          <w:trHeight w:val="115"/>
        </w:trPr>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4" w:name="page165"/>
    <w:bookmarkEnd w:id="164"/>
    <w:p>
      <w:pPr>
        <w:jc w:val="center"/>
        <w:ind w:right="40"/>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Board of Directors of Phathom Pharmaceutcals,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have audited the accompanying balance sheets of Phathom Pharmaceutcals, Inc. (the Company) as of December 31, 2022 and 2021, the related statements of operatons and comprehensive loss, stockholders' equity (defcit) and cash fows for each of the two years in the period ended December 31, 2022, and the related notes (collectvely referred to as the “fnancial statements”). In our opinion, the fnancial statements present fairly, in all material respects, the fnancial positon of the Company at December 31, 2022 and 2021, and the results of its operatons and its cash fows for each of the two years in the period ended December 31, 2022, in conformity with U.S. generally accepted accountng principles.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We conducted our audits in accordance with the standards of the PCAOB. Those standards require that we plan and perform the audit to obtain reasonable assurance about whether the fnancial statements are free of material misstatement, whether due to error or fraud. </w:t>
      </w:r>
      <w:r>
        <w:rPr>
          <w:rFonts w:ascii="Calibri" w:cs="Calibri" w:eastAsia="Calibri" w:hAnsi="Calibri"/>
          <w:sz w:val="18"/>
          <w:szCs w:val="18"/>
          <w:color w:val="030303"/>
        </w:rPr>
        <w:t>The Company is not required to have, nor</w:t>
      </w:r>
      <w:r>
        <w:rPr>
          <w:rFonts w:ascii="Calibri" w:cs="Calibri" w:eastAsia="Calibri" w:hAnsi="Calibri"/>
          <w:sz w:val="18"/>
          <w:szCs w:val="18"/>
          <w:color w:val="auto"/>
        </w:rPr>
        <w:t xml:space="preserve"> </w:t>
      </w:r>
      <w:r>
        <w:rPr>
          <w:rFonts w:ascii="Calibri" w:cs="Calibri" w:eastAsia="Calibri" w:hAnsi="Calibri"/>
          <w:sz w:val="18"/>
          <w:szCs w:val="18"/>
          <w:color w:val="030303"/>
        </w:rPr>
        <w:t>were we engaged to perform, an audit of its internal control over fnancial reportng. As part of our audits we are required to obtain an understanding of internal control over fnancial reportng but not for the purpose of expressing an opinion on the efectveness of the Company's internal control over fnancial reportng. Accordingly, we express no such opinion.</w:t>
      </w:r>
    </w:p>
    <w:p>
      <w:pPr>
        <w:spacing w:after="0" w:line="220" w:lineRule="exact"/>
        <w:rPr>
          <w:sz w:val="20"/>
          <w:szCs w:val="20"/>
          <w:color w:val="auto"/>
        </w:rPr>
      </w:pPr>
    </w:p>
    <w:p>
      <w:pPr>
        <w:ind w:right="180"/>
        <w:spacing w:after="0" w:line="252" w:lineRule="auto"/>
        <w:rPr>
          <w:sz w:val="20"/>
          <w:szCs w:val="20"/>
          <w:color w:val="auto"/>
        </w:rPr>
      </w:pPr>
      <w:r>
        <w:rPr>
          <w:rFonts w:ascii="Calibri" w:cs="Calibri" w:eastAsia="Calibri" w:hAnsi="Calibri"/>
          <w:sz w:val="17"/>
          <w:szCs w:val="17"/>
          <w:color w:val="auto"/>
        </w:rPr>
        <w:t>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35" w:lineRule="auto"/>
        <w:rPr>
          <w:sz w:val="20"/>
          <w:szCs w:val="20"/>
          <w:color w:val="auto"/>
        </w:rPr>
      </w:pPr>
      <w:r>
        <w:rPr>
          <w:rFonts w:ascii="Calibri" w:cs="Calibri" w:eastAsia="Calibri" w:hAnsi="Calibri"/>
          <w:sz w:val="18"/>
          <w:szCs w:val="18"/>
          <w:color w:val="auto"/>
        </w:rPr>
        <w:t>We have served as the Company’s auditor since 2019.</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Iselin, New Jersey</w:t>
      </w:r>
    </w:p>
    <w:p>
      <w:pPr>
        <w:spacing w:after="0" w:line="235" w:lineRule="auto"/>
        <w:rPr>
          <w:sz w:val="20"/>
          <w:szCs w:val="20"/>
          <w:color w:val="auto"/>
        </w:rPr>
      </w:pPr>
      <w:r>
        <w:rPr>
          <w:rFonts w:ascii="Calibri" w:cs="Calibri" w:eastAsia="Calibri" w:hAnsi="Calibri"/>
          <w:sz w:val="18"/>
          <w:szCs w:val="18"/>
          <w:color w:val="auto"/>
        </w:rPr>
        <w:t>February 28, 2023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5" w:name="page166"/>
    <w:bookmarkEnd w:id="165"/>
    <w:p>
      <w:pPr>
        <w:jc w:val="center"/>
        <w:spacing w:after="0"/>
        <w:rPr>
          <w:sz w:val="20"/>
          <w:szCs w:val="20"/>
          <w:color w:val="auto"/>
        </w:rPr>
      </w:pPr>
      <w:r>
        <w:rPr>
          <w:rFonts w:ascii="Calibri" w:cs="Calibri" w:eastAsia="Calibri" w:hAnsi="Calibri"/>
          <w:sz w:val="18"/>
          <w:szCs w:val="18"/>
          <w:b w:val="1"/>
          <w:bCs w:val="1"/>
          <w:color w:val="auto"/>
        </w:rPr>
        <w:t>PHATHOM PHARMACEUTICALS,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par value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Calibri" w:cs="Calibri" w:eastAsia="Calibri" w:hAnsi="Calibri"/>
                <w:sz w:val="14"/>
                <w:szCs w:val="14"/>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Calibri" w:cs="Calibri" w:eastAsia="Calibri" w:hAnsi="Calibri"/>
                <w:sz w:val="14"/>
                <w:szCs w:val="14"/>
                <w:b w:val="1"/>
                <w:bCs w:val="1"/>
                <w:color w:val="auto"/>
              </w:rPr>
              <w:t>December 31,</w:t>
            </w:r>
          </w:p>
        </w:tc>
      </w:tr>
      <w:tr>
        <w:trPr>
          <w:trHeight w:val="176"/>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ind w:right="691"/>
              <w:spacing w:after="0"/>
              <w:rPr>
                <w:sz w:val="20"/>
                <w:szCs w:val="20"/>
                <w:color w:val="auto"/>
              </w:rPr>
            </w:pPr>
            <w:r>
              <w:rPr>
                <w:rFonts w:ascii="Calibri" w:cs="Calibri" w:eastAsia="Calibri" w:hAnsi="Calibri"/>
                <w:sz w:val="14"/>
                <w:szCs w:val="14"/>
                <w:b w:val="1"/>
                <w:bCs w:val="1"/>
                <w:color w:val="auto"/>
              </w:rPr>
              <w:t>2022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691"/>
              <w:spacing w:after="0"/>
              <w:rPr>
                <w:sz w:val="20"/>
                <w:szCs w:val="20"/>
                <w:color w:val="auto"/>
              </w:rPr>
            </w:pPr>
            <w:r>
              <w:rPr>
                <w:rFonts w:ascii="Calibri" w:cs="Calibri" w:eastAsia="Calibri" w:hAnsi="Calibri"/>
                <w:sz w:val="14"/>
                <w:szCs w:val="14"/>
                <w:b w:val="1"/>
                <w:bCs w:val="1"/>
                <w:color w:val="auto"/>
              </w:rPr>
              <w:t>2021</w:t>
            </w:r>
          </w:p>
        </w:tc>
      </w:tr>
      <w:tr>
        <w:trPr>
          <w:trHeight w:val="3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7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26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26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155,385</w:t>
            </w:r>
          </w:p>
        </w:tc>
        <w:tc>
          <w:tcPr>
            <w:tcW w:w="42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183,259</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5,127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3,267</w:t>
            </w:r>
          </w:p>
        </w:tc>
      </w:tr>
      <w:tr>
        <w:trPr>
          <w:trHeight w:val="28"/>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7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current assets</w:t>
            </w:r>
          </w:p>
        </w:tc>
        <w:tc>
          <w:tcPr>
            <w:tcW w:w="26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ind w:right="31"/>
              <w:spacing w:after="0" w:line="208" w:lineRule="exact"/>
              <w:rPr>
                <w:sz w:val="20"/>
                <w:szCs w:val="20"/>
                <w:color w:val="auto"/>
              </w:rPr>
            </w:pPr>
            <w:r>
              <w:rPr>
                <w:rFonts w:ascii="Calibri" w:cs="Calibri" w:eastAsia="Calibri" w:hAnsi="Calibri"/>
                <w:sz w:val="18"/>
                <w:szCs w:val="18"/>
                <w:color w:val="auto"/>
              </w:rPr>
              <w:t>160,512</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ind w:right="31"/>
              <w:spacing w:after="0" w:line="208" w:lineRule="exact"/>
              <w:rPr>
                <w:sz w:val="20"/>
                <w:szCs w:val="20"/>
                <w:color w:val="auto"/>
              </w:rPr>
            </w:pPr>
            <w:r>
              <w:rPr>
                <w:rFonts w:ascii="Calibri" w:cs="Calibri" w:eastAsia="Calibri" w:hAnsi="Calibri"/>
                <w:sz w:val="18"/>
                <w:szCs w:val="18"/>
                <w:color w:val="auto"/>
              </w:rPr>
              <w:t>186,526</w:t>
            </w: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plant and equipment, net</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1,207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650</w:t>
            </w: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2,287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1,914</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Restricted cash</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505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160</w:t>
            </w: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8"/>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long-term assets</w:t>
            </w:r>
          </w:p>
        </w:tc>
        <w:tc>
          <w:tcPr>
            <w:tcW w:w="26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299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181</w:t>
            </w:r>
          </w:p>
        </w:tc>
      </w:tr>
      <w:tr>
        <w:trPr>
          <w:trHeight w:val="208"/>
        </w:trPr>
        <w:tc>
          <w:tcPr>
            <w:tcW w:w="76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assets</w:t>
            </w:r>
          </w:p>
        </w:tc>
        <w:tc>
          <w:tcPr>
            <w:tcW w:w="2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480" w:type="dxa"/>
            <w:vAlign w:val="bottom"/>
            <w:tcBorders>
              <w:top w:val="single" w:sz="8" w:color="auto"/>
            </w:tcBorders>
          </w:tcPr>
          <w:p>
            <w:pPr>
              <w:jc w:val="right"/>
              <w:ind w:right="31"/>
              <w:spacing w:after="0" w:line="208" w:lineRule="exact"/>
              <w:rPr>
                <w:sz w:val="20"/>
                <w:szCs w:val="20"/>
                <w:color w:val="auto"/>
              </w:rPr>
            </w:pPr>
            <w:r>
              <w:rPr>
                <w:rFonts w:ascii="Calibri" w:cs="Calibri" w:eastAsia="Calibri" w:hAnsi="Calibri"/>
                <w:sz w:val="18"/>
                <w:szCs w:val="18"/>
                <w:color w:val="auto"/>
              </w:rPr>
              <w:t>164,810</w:t>
            </w: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top w:val="single" w:sz="8" w:color="auto"/>
            </w:tcBorders>
          </w:tcPr>
          <w:p>
            <w:pPr>
              <w:jc w:val="right"/>
              <w:ind w:right="31"/>
              <w:spacing w:after="0" w:line="208" w:lineRule="exact"/>
              <w:rPr>
                <w:sz w:val="20"/>
                <w:szCs w:val="20"/>
                <w:color w:val="auto"/>
              </w:rPr>
            </w:pPr>
            <w:r>
              <w:rPr>
                <w:rFonts w:ascii="Calibri" w:cs="Calibri" w:eastAsia="Calibri" w:hAnsi="Calibri"/>
                <w:sz w:val="18"/>
                <w:szCs w:val="18"/>
                <w:color w:val="auto"/>
              </w:rPr>
              <w:t>189,431</w:t>
            </w:r>
          </w:p>
        </w:tc>
      </w:tr>
      <w:tr>
        <w:trPr>
          <w:trHeight w:val="28"/>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 and Stockholders’ Equity</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Accounts payable (including related party amounts of $35 and $1,343, respectvely)</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9,997</w:t>
            </w:r>
          </w:p>
        </w:tc>
        <w:tc>
          <w:tcPr>
            <w:tcW w:w="42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5,150</w:t>
            </w: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Accrued clinical trial expenses</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1,402</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expenses (including related party amounts of $2,499 and $2,330, respectvely)</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14,678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11,405</w:t>
            </w: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Accrued interest</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854</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477</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liabilites, current</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708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487</w:t>
            </w:r>
          </w:p>
        </w:tc>
      </w:tr>
      <w:tr>
        <w:trPr>
          <w:trHeight w:val="28"/>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7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current liabilites</w:t>
            </w:r>
          </w:p>
        </w:tc>
        <w:tc>
          <w:tcPr>
            <w:tcW w:w="26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ind w:right="31"/>
              <w:spacing w:after="0" w:line="208" w:lineRule="exact"/>
              <w:rPr>
                <w:sz w:val="20"/>
                <w:szCs w:val="20"/>
                <w:color w:val="auto"/>
              </w:rPr>
            </w:pPr>
            <w:r>
              <w:rPr>
                <w:rFonts w:ascii="Calibri" w:cs="Calibri" w:eastAsia="Calibri" w:hAnsi="Calibri"/>
                <w:sz w:val="18"/>
                <w:szCs w:val="18"/>
                <w:color w:val="auto"/>
              </w:rPr>
              <w:t>26,237</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ind w:right="31"/>
              <w:spacing w:after="0" w:line="208" w:lineRule="exact"/>
              <w:rPr>
                <w:sz w:val="20"/>
                <w:szCs w:val="20"/>
                <w:color w:val="auto"/>
              </w:rPr>
            </w:pPr>
            <w:r>
              <w:rPr>
                <w:rFonts w:ascii="Calibri" w:cs="Calibri" w:eastAsia="Calibri" w:hAnsi="Calibri"/>
                <w:sz w:val="18"/>
                <w:szCs w:val="18"/>
                <w:color w:val="auto"/>
              </w:rPr>
              <w:t>18,921</w:t>
            </w:r>
          </w:p>
        </w:tc>
      </w:tr>
      <w:tr>
        <w:trPr>
          <w:trHeight w:val="243"/>
        </w:trPr>
        <w:tc>
          <w:tcPr>
            <w:tcW w:w="7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Long-term debt, net of discount</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95,264</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89,671</w:t>
            </w: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Revenue interest fnancing liability</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109,525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Operatng lease liabilites</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1,098</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1,183</w:t>
            </w: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Other long-term liabilites</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7,500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7,500</w:t>
            </w:r>
          </w:p>
        </w:tc>
      </w:tr>
      <w:tr>
        <w:trPr>
          <w:trHeight w:val="28"/>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2"/>
        </w:trPr>
        <w:tc>
          <w:tcPr>
            <w:tcW w:w="7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liabilites</w:t>
            </w:r>
          </w:p>
        </w:tc>
        <w:tc>
          <w:tcPr>
            <w:tcW w:w="26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ind w:right="31"/>
              <w:spacing w:after="0" w:line="208" w:lineRule="exact"/>
              <w:rPr>
                <w:sz w:val="20"/>
                <w:szCs w:val="20"/>
                <w:color w:val="auto"/>
              </w:rPr>
            </w:pPr>
            <w:r>
              <w:rPr>
                <w:rFonts w:ascii="Calibri" w:cs="Calibri" w:eastAsia="Calibri" w:hAnsi="Calibri"/>
                <w:sz w:val="18"/>
                <w:szCs w:val="18"/>
                <w:color w:val="auto"/>
              </w:rPr>
              <w:t>239,624</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ind w:right="31"/>
              <w:spacing w:after="0" w:line="208" w:lineRule="exact"/>
              <w:rPr>
                <w:sz w:val="20"/>
                <w:szCs w:val="20"/>
                <w:color w:val="auto"/>
              </w:rPr>
            </w:pPr>
            <w:r>
              <w:rPr>
                <w:rFonts w:ascii="Calibri" w:cs="Calibri" w:eastAsia="Calibri" w:hAnsi="Calibri"/>
                <w:sz w:val="18"/>
                <w:szCs w:val="18"/>
                <w:color w:val="auto"/>
              </w:rPr>
              <w:t>117,275</w:t>
            </w:r>
          </w:p>
        </w:tc>
      </w:tr>
      <w:tr>
        <w:trPr>
          <w:trHeight w:val="236"/>
        </w:trPr>
        <w:tc>
          <w:tcPr>
            <w:tcW w:w="76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Commitments and contngencies (Note 4)</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r>
      <w:tr>
        <w:trPr>
          <w:trHeight w:val="243"/>
        </w:trPr>
        <w:tc>
          <w:tcPr>
            <w:tcW w:w="7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3"/>
        </w:trPr>
        <w:tc>
          <w:tcPr>
            <w:tcW w:w="7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r>
      <w:tr>
        <w:trPr>
          <w:trHeight w:val="207"/>
        </w:trPr>
        <w:tc>
          <w:tcPr>
            <w:tcW w:w="7600" w:type="dxa"/>
            <w:vAlign w:val="bottom"/>
          </w:tcPr>
          <w:p>
            <w:pPr>
              <w:ind w:left="200"/>
              <w:spacing w:after="0" w:line="207" w:lineRule="exact"/>
              <w:rPr>
                <w:sz w:val="20"/>
                <w:szCs w:val="20"/>
                <w:color w:val="auto"/>
              </w:rPr>
            </w:pPr>
            <w:r>
              <w:rPr>
                <w:rFonts w:ascii="Calibri" w:cs="Calibri" w:eastAsia="Calibri" w:hAnsi="Calibri"/>
                <w:sz w:val="18"/>
                <w:szCs w:val="18"/>
                <w:color w:val="auto"/>
                <w:w w:val="99"/>
              </w:rPr>
              <w:t>Preferred stock, $0.0001 par value; authorized shares — 40,000,000 at December 31, 2022 and 2021;</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no shares issued and outstanding at December 31, 2022 and 2021</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w:t>
            </w:r>
          </w:p>
        </w:tc>
      </w:tr>
      <w:tr>
        <w:trPr>
          <w:trHeight w:val="37"/>
        </w:trPr>
        <w:tc>
          <w:tcPr>
            <w:tcW w:w="7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7"/>
        </w:trPr>
        <w:tc>
          <w:tcPr>
            <w:tcW w:w="760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Common stock, $0.0001 par value; authorized shares — 400,000,000 at December 31, 2022 and</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5"/>
        </w:trPr>
        <w:tc>
          <w:tcPr>
            <w:tcW w:w="760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2021; issued shares — 41,723,308 and 31,656,035 at December 31, 2022 and 2021, respectvely;</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33"/>
        </w:trPr>
        <w:tc>
          <w:tcPr>
            <w:tcW w:w="760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outstanding shares — 41,468,871 and 30,511,226 at December 31, 2022 and 2021, respectvely</w:t>
            </w:r>
          </w:p>
        </w:tc>
        <w:tc>
          <w:tcPr>
            <w:tcW w:w="26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ind w:right="31"/>
              <w:spacing w:after="0" w:line="216" w:lineRule="exact"/>
              <w:rPr>
                <w:sz w:val="20"/>
                <w:szCs w:val="20"/>
                <w:color w:val="auto"/>
              </w:rPr>
            </w:pPr>
            <w:r>
              <w:rPr>
                <w:rFonts w:ascii="Calibri" w:cs="Calibri" w:eastAsia="Calibri" w:hAnsi="Calibri"/>
                <w:sz w:val="18"/>
                <w:szCs w:val="18"/>
                <w:color w:val="auto"/>
              </w:rPr>
              <w:t>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ind w:right="31"/>
              <w:spacing w:after="0" w:line="216" w:lineRule="exact"/>
              <w:rPr>
                <w:sz w:val="20"/>
                <w:szCs w:val="20"/>
                <w:color w:val="auto"/>
              </w:rPr>
            </w:pPr>
            <w:r>
              <w:rPr>
                <w:rFonts w:ascii="Calibri" w:cs="Calibri" w:eastAsia="Calibri" w:hAnsi="Calibri"/>
                <w:sz w:val="18"/>
                <w:szCs w:val="18"/>
                <w:color w:val="auto"/>
              </w:rPr>
              <w:t>3</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Treasury stock — 19 and 1 shares at December 31, 2022 and 2021, respectvely</w:t>
            </w:r>
          </w:p>
        </w:tc>
        <w:tc>
          <w:tcPr>
            <w:tcW w:w="26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6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Additonal paid-in capital</w:t>
            </w:r>
          </w:p>
        </w:tc>
        <w:tc>
          <w:tcPr>
            <w:tcW w:w="2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652,276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ind w:right="31"/>
              <w:spacing w:after="0" w:line="215" w:lineRule="exact"/>
              <w:rPr>
                <w:sz w:val="20"/>
                <w:szCs w:val="20"/>
                <w:color w:val="auto"/>
              </w:rPr>
            </w:pPr>
            <w:r>
              <w:rPr>
                <w:rFonts w:ascii="Calibri" w:cs="Calibri" w:eastAsia="Calibri" w:hAnsi="Calibri"/>
                <w:sz w:val="18"/>
                <w:szCs w:val="18"/>
                <w:color w:val="auto"/>
              </w:rPr>
              <w:t>601,523</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Accumulated defcit</w:t>
            </w:r>
          </w:p>
        </w:tc>
        <w:tc>
          <w:tcPr>
            <w:tcW w:w="26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(727,093 )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(529,370 )</w:t>
            </w:r>
          </w:p>
        </w:tc>
      </w:tr>
      <w:tr>
        <w:trPr>
          <w:trHeight w:val="28"/>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1"/>
        </w:trPr>
        <w:tc>
          <w:tcPr>
            <w:tcW w:w="7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stockholders’ (defcit) equity</w:t>
            </w:r>
          </w:p>
        </w:tc>
        <w:tc>
          <w:tcPr>
            <w:tcW w:w="26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(74,814 )</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ind w:right="31"/>
              <w:spacing w:after="0" w:line="208" w:lineRule="exact"/>
              <w:rPr>
                <w:sz w:val="20"/>
                <w:szCs w:val="20"/>
                <w:color w:val="auto"/>
              </w:rPr>
            </w:pPr>
            <w:r>
              <w:rPr>
                <w:rFonts w:ascii="Calibri" w:cs="Calibri" w:eastAsia="Calibri" w:hAnsi="Calibri"/>
                <w:sz w:val="18"/>
                <w:szCs w:val="18"/>
                <w:color w:val="auto"/>
              </w:rPr>
              <w:t>72,156</w:t>
            </w:r>
          </w:p>
        </w:tc>
      </w:tr>
      <w:tr>
        <w:trPr>
          <w:trHeight w:val="208"/>
        </w:trPr>
        <w:tc>
          <w:tcPr>
            <w:tcW w:w="76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liabilites and stockholders’ equity</w:t>
            </w:r>
          </w:p>
        </w:tc>
        <w:tc>
          <w:tcPr>
            <w:tcW w:w="2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480" w:type="dxa"/>
            <w:vAlign w:val="bottom"/>
            <w:tcBorders>
              <w:top w:val="single" w:sz="8" w:color="auto"/>
            </w:tcBorders>
          </w:tcPr>
          <w:p>
            <w:pPr>
              <w:jc w:val="right"/>
              <w:ind w:right="31"/>
              <w:spacing w:after="0" w:line="208" w:lineRule="exact"/>
              <w:rPr>
                <w:sz w:val="20"/>
                <w:szCs w:val="20"/>
                <w:color w:val="auto"/>
              </w:rPr>
            </w:pPr>
            <w:r>
              <w:rPr>
                <w:rFonts w:ascii="Calibri" w:cs="Calibri" w:eastAsia="Calibri" w:hAnsi="Calibri"/>
                <w:sz w:val="18"/>
                <w:szCs w:val="18"/>
                <w:color w:val="auto"/>
              </w:rPr>
              <w:t>164,810</w:t>
            </w: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top w:val="single" w:sz="8" w:color="auto"/>
            </w:tcBorders>
          </w:tcPr>
          <w:p>
            <w:pPr>
              <w:jc w:val="right"/>
              <w:ind w:right="31"/>
              <w:spacing w:after="0" w:line="208" w:lineRule="exact"/>
              <w:rPr>
                <w:sz w:val="20"/>
                <w:szCs w:val="20"/>
                <w:color w:val="auto"/>
              </w:rPr>
            </w:pPr>
            <w:r>
              <w:rPr>
                <w:rFonts w:ascii="Calibri" w:cs="Calibri" w:eastAsia="Calibri" w:hAnsi="Calibri"/>
                <w:sz w:val="18"/>
                <w:szCs w:val="18"/>
                <w:color w:val="auto"/>
              </w:rPr>
              <w:t>189,431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-4636135</wp:posOffset>
            </wp:positionV>
            <wp:extent cx="11112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-2115820</wp:posOffset>
            </wp:positionV>
            <wp:extent cx="111125"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-144145</wp:posOffset>
            </wp:positionV>
            <wp:extent cx="230568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05685" cy="18859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-130175</wp:posOffset>
            </wp:positionV>
            <wp:extent cx="23056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6" w:name="page167"/>
    <w:bookmarkEnd w:id="166"/>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ind w:left="3760"/>
        <w:spacing w:after="0" w:line="235" w:lineRule="auto"/>
        <w:rPr>
          <w:sz w:val="20"/>
          <w:szCs w:val="20"/>
          <w:color w:val="auto"/>
        </w:rPr>
      </w:pPr>
      <w:r>
        <w:rPr>
          <w:rFonts w:ascii="Calibri" w:cs="Calibri" w:eastAsia="Calibri" w:hAnsi="Calibri"/>
          <w:sz w:val="18"/>
          <w:szCs w:val="18"/>
          <w:b w:val="1"/>
          <w:bCs w:val="1"/>
          <w:color w:val="auto"/>
        </w:rPr>
        <w:t>Statements of Operatons and Comprehensive Loss</w:t>
      </w:r>
    </w:p>
    <w:p>
      <w:pPr>
        <w:ind w:left="3740"/>
        <w:spacing w:after="0" w:line="236" w:lineRule="auto"/>
        <w:rPr>
          <w:sz w:val="20"/>
          <w:szCs w:val="20"/>
          <w:color w:val="auto"/>
        </w:rPr>
      </w:pPr>
      <w:r>
        <w:rPr>
          <w:rFonts w:ascii="Calibri" w:cs="Calibri" w:eastAsia="Calibri" w:hAnsi="Calibri"/>
          <w:sz w:val="18"/>
          <w:szCs w:val="18"/>
          <w:b w:val="1"/>
          <w:bCs w:val="1"/>
          <w:color w:val="auto"/>
        </w:rPr>
        <w:t>(in thousands, except share and per share amounts)</w:t>
      </w:r>
    </w:p>
    <w:p>
      <w:pPr>
        <w:spacing w:after="0" w:line="238" w:lineRule="exact"/>
        <w:rPr>
          <w:sz w:val="20"/>
          <w:szCs w:val="20"/>
          <w:color w:val="auto"/>
        </w:rPr>
      </w:pPr>
    </w:p>
    <w:p>
      <w:pPr>
        <w:jc w:val="center"/>
        <w:ind w:left="7460"/>
        <w:spacing w:after="0"/>
        <w:rPr>
          <w:sz w:val="20"/>
          <w:szCs w:val="20"/>
          <w:color w:val="auto"/>
        </w:rPr>
      </w:pPr>
      <w:r>
        <w:rPr>
          <w:rFonts w:ascii="Calibri" w:cs="Calibri" w:eastAsia="Calibri" w:hAnsi="Calibri"/>
          <w:sz w:val="14"/>
          <w:szCs w:val="14"/>
          <w:b w:val="1"/>
          <w:bCs w:val="1"/>
          <w:color w:val="auto"/>
        </w:rPr>
        <w:t>Years Ended</w:t>
      </w:r>
    </w:p>
    <w:p>
      <w:pPr>
        <w:spacing w:after="0" w:line="5" w:lineRule="exact"/>
        <w:rPr>
          <w:sz w:val="20"/>
          <w:szCs w:val="20"/>
          <w:color w:val="auto"/>
        </w:rPr>
      </w:pPr>
    </w:p>
    <w:p>
      <w:pPr>
        <w:jc w:val="center"/>
        <w:ind w:left="7460"/>
        <w:spacing w:after="0"/>
        <w:rPr>
          <w:sz w:val="20"/>
          <w:szCs w:val="20"/>
          <w:color w:val="auto"/>
        </w:rPr>
      </w:pPr>
      <w:r>
        <w:rPr>
          <w:rFonts w:ascii="Calibri" w:cs="Calibri" w:eastAsia="Calibri" w:hAnsi="Calibri"/>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8255</wp:posOffset>
            </wp:positionV>
            <wp:extent cx="2322830" cy="1708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22830" cy="17081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92"/>
              <w:spacing w:after="0"/>
              <w:rPr>
                <w:sz w:val="20"/>
                <w:szCs w:val="20"/>
                <w:color w:val="auto"/>
              </w:rPr>
            </w:pPr>
            <w:r>
              <w:rPr>
                <w:rFonts w:ascii="Calibri" w:cs="Calibri" w:eastAsia="Calibri" w:hAnsi="Calibri"/>
                <w:sz w:val="14"/>
                <w:szCs w:val="14"/>
                <w:b w:val="1"/>
                <w:bCs w:val="1"/>
                <w:color w:val="auto"/>
              </w:rPr>
              <w:t>2022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692"/>
              <w:spacing w:after="0"/>
              <w:rPr>
                <w:sz w:val="20"/>
                <w:szCs w:val="20"/>
                <w:color w:val="auto"/>
              </w:rPr>
            </w:pPr>
            <w:r>
              <w:rPr>
                <w:rFonts w:ascii="Calibri" w:cs="Calibri" w:eastAsia="Calibri" w:hAnsi="Calibri"/>
                <w:sz w:val="14"/>
                <w:szCs w:val="14"/>
                <w:b w:val="1"/>
                <w:bCs w:val="1"/>
                <w:color w:val="auto"/>
              </w:rPr>
              <w:t>2021</w:t>
            </w:r>
          </w:p>
        </w:tc>
      </w:tr>
      <w:tr>
        <w:trPr>
          <w:trHeight w:val="33"/>
        </w:trPr>
        <w:tc>
          <w:tcPr>
            <w:tcW w:w="7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75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Operatng expenses:</w:t>
            </w:r>
          </w:p>
        </w:tc>
        <w:tc>
          <w:tcPr>
            <w:tcW w:w="4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r>
      <w:tr>
        <w:trPr>
          <w:trHeight w:val="215"/>
        </w:trPr>
        <w:tc>
          <w:tcPr>
            <w:tcW w:w="7580" w:type="dxa"/>
            <w:vAlign w:val="bottom"/>
          </w:tcPr>
          <w:p>
            <w:pPr>
              <w:ind w:left="200"/>
              <w:spacing w:after="0" w:line="215" w:lineRule="exact"/>
              <w:rPr>
                <w:sz w:val="20"/>
                <w:szCs w:val="20"/>
                <w:color w:val="auto"/>
              </w:rPr>
            </w:pPr>
            <w:r>
              <w:rPr>
                <w:rFonts w:ascii="Calibri" w:cs="Calibri" w:eastAsia="Calibri" w:hAnsi="Calibri"/>
                <w:sz w:val="18"/>
                <w:szCs w:val="18"/>
                <w:color w:val="auto"/>
              </w:rPr>
              <w:t>Research and development (includes related party amounts of $2,123 and $4,933, respectvely)</w:t>
            </w:r>
          </w:p>
        </w:tc>
        <w:tc>
          <w:tcPr>
            <w:tcW w:w="40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71,441</w:t>
            </w:r>
          </w:p>
        </w:tc>
        <w:tc>
          <w:tcPr>
            <w:tcW w:w="56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ind w:right="32"/>
              <w:spacing w:after="0" w:line="215" w:lineRule="exact"/>
              <w:rPr>
                <w:sz w:val="20"/>
                <w:szCs w:val="20"/>
                <w:color w:val="auto"/>
              </w:rPr>
            </w:pPr>
            <w:r>
              <w:rPr>
                <w:rFonts w:ascii="Calibri" w:cs="Calibri" w:eastAsia="Calibri" w:hAnsi="Calibri"/>
                <w:sz w:val="18"/>
                <w:szCs w:val="18"/>
                <w:color w:val="auto"/>
              </w:rPr>
              <w:t>72,338</w:t>
            </w:r>
          </w:p>
        </w:tc>
      </w:tr>
      <w:tr>
        <w:trPr>
          <w:trHeight w:val="28"/>
        </w:trPr>
        <w:tc>
          <w:tcPr>
            <w:tcW w:w="7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5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General and administratve (includes related party amounts of $0 and $18, respectvely)</w:t>
            </w: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rPr>
              <w:t>100,999</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rPr>
              <w:t>62,742</w:t>
            </w:r>
          </w:p>
        </w:tc>
      </w:tr>
      <w:tr>
        <w:trPr>
          <w:trHeight w:val="208"/>
        </w:trPr>
        <w:tc>
          <w:tcPr>
            <w:tcW w:w="75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operatng expenses</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2"/>
              <w:spacing w:after="0" w:line="208" w:lineRule="exact"/>
              <w:rPr>
                <w:sz w:val="20"/>
                <w:szCs w:val="20"/>
                <w:color w:val="auto"/>
              </w:rPr>
            </w:pPr>
            <w:r>
              <w:rPr>
                <w:rFonts w:ascii="Calibri" w:cs="Calibri" w:eastAsia="Calibri" w:hAnsi="Calibri"/>
                <w:sz w:val="18"/>
                <w:szCs w:val="18"/>
                <w:color w:val="auto"/>
              </w:rPr>
              <w:t>172,440</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2"/>
              <w:spacing w:after="0" w:line="208" w:lineRule="exact"/>
              <w:rPr>
                <w:sz w:val="20"/>
                <w:szCs w:val="20"/>
                <w:color w:val="auto"/>
              </w:rPr>
            </w:pPr>
            <w:r>
              <w:rPr>
                <w:rFonts w:ascii="Calibri" w:cs="Calibri" w:eastAsia="Calibri" w:hAnsi="Calibri"/>
                <w:sz w:val="18"/>
                <w:szCs w:val="18"/>
                <w:color w:val="auto"/>
              </w:rPr>
              <w:t>135,080</w:t>
            </w:r>
          </w:p>
        </w:tc>
      </w:tr>
      <w:tr>
        <w:trPr>
          <w:trHeight w:val="28"/>
        </w:trPr>
        <w:tc>
          <w:tcPr>
            <w:tcW w:w="7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8"/>
        </w:trPr>
        <w:tc>
          <w:tcPr>
            <w:tcW w:w="7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Loss from operatons</w:t>
            </w: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(172,440 )</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(135,080 )</w:t>
            </w:r>
          </w:p>
        </w:tc>
      </w:tr>
      <w:tr>
        <w:trPr>
          <w:trHeight w:val="443"/>
        </w:trPr>
        <w:tc>
          <w:tcPr>
            <w:tcW w:w="75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Other income (expense):</w:t>
            </w: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37"/>
        </w:trPr>
        <w:tc>
          <w:tcPr>
            <w:tcW w:w="7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23"/>
        </w:trPr>
        <w:tc>
          <w:tcPr>
            <w:tcW w:w="75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Interest income</w:t>
            </w:r>
          </w:p>
        </w:tc>
        <w:tc>
          <w:tcPr>
            <w:tcW w:w="4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rPr>
              <w:t>2,132</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ind w:right="32"/>
              <w:spacing w:after="0" w:line="215" w:lineRule="exact"/>
              <w:rPr>
                <w:sz w:val="20"/>
                <w:szCs w:val="20"/>
                <w:color w:val="auto"/>
              </w:rPr>
            </w:pPr>
            <w:r>
              <w:rPr>
                <w:rFonts w:ascii="Calibri" w:cs="Calibri" w:eastAsia="Calibri" w:hAnsi="Calibri"/>
                <w:sz w:val="18"/>
                <w:szCs w:val="18"/>
                <w:color w:val="auto"/>
              </w:rPr>
              <w:t>41</w:t>
            </w:r>
          </w:p>
        </w:tc>
      </w:tr>
      <w:tr>
        <w:trPr>
          <w:trHeight w:val="215"/>
        </w:trPr>
        <w:tc>
          <w:tcPr>
            <w:tcW w:w="758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expense</w:t>
            </w:r>
          </w:p>
        </w:tc>
        <w:tc>
          <w:tcPr>
            <w:tcW w:w="40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(27,305 )</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(6,788 )</w:t>
            </w:r>
          </w:p>
        </w:tc>
      </w:tr>
      <w:tr>
        <w:trPr>
          <w:trHeight w:val="28"/>
        </w:trPr>
        <w:tc>
          <w:tcPr>
            <w:tcW w:w="7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5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expense</w:t>
            </w: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(110 )</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(2,056 )</w:t>
            </w:r>
          </w:p>
        </w:tc>
      </w:tr>
      <w:tr>
        <w:trPr>
          <w:trHeight w:val="208"/>
        </w:trPr>
        <w:tc>
          <w:tcPr>
            <w:tcW w:w="75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other expense</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(25,283 )</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(8,803 )</w:t>
            </w:r>
          </w:p>
        </w:tc>
      </w:tr>
      <w:tr>
        <w:trPr>
          <w:trHeight w:val="28"/>
        </w:trPr>
        <w:tc>
          <w:tcPr>
            <w:tcW w:w="7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75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loss and comprehensive loss</w:t>
            </w:r>
          </w:p>
        </w:tc>
        <w:tc>
          <w:tcPr>
            <w:tcW w:w="400" w:type="dxa"/>
            <w:vAlign w:val="bottom"/>
            <w:tcBorders>
              <w:top w:val="single" w:sz="8" w:color="auto"/>
              <w:bottom w:val="single" w:sz="8" w:color="CFF0FC"/>
            </w:tcBorders>
            <w:shd w:val="clear" w:color="auto" w:fill="CFF0FC"/>
          </w:tcPr>
          <w:p>
            <w:pPr>
              <w:jc w:val="right"/>
              <w:ind w:right="210"/>
              <w:spacing w:after="0" w:line="208" w:lineRule="exact"/>
              <w:rPr>
                <w:sz w:val="20"/>
                <w:szCs w:val="20"/>
                <w:color w:val="auto"/>
              </w:rPr>
            </w:pPr>
            <w:r>
              <w:rPr>
                <w:rFonts w:ascii="Calibri" w:cs="Calibri" w:eastAsia="Calibri" w:hAnsi="Calibri"/>
                <w:sz w:val="18"/>
                <w:szCs w:val="18"/>
                <w:color w:val="auto"/>
                <w:w w:val="87"/>
              </w:rPr>
              <w:t>$</w:t>
            </w:r>
          </w:p>
        </w:tc>
        <w:tc>
          <w:tcPr>
            <w:tcW w:w="13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(197,723 )</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CFF0FC"/>
            </w:tcBorders>
            <w:shd w:val="clear" w:color="auto" w:fill="CFF0FC"/>
          </w:tcPr>
          <w:p>
            <w:pPr>
              <w:jc w:val="right"/>
              <w:ind w:right="190"/>
              <w:spacing w:after="0" w:line="208" w:lineRule="exact"/>
              <w:rPr>
                <w:sz w:val="20"/>
                <w:szCs w:val="20"/>
                <w:color w:val="auto"/>
              </w:rPr>
            </w:pPr>
            <w:r>
              <w:rPr>
                <w:rFonts w:ascii="Calibri" w:cs="Calibri" w:eastAsia="Calibri" w:hAnsi="Calibri"/>
                <w:sz w:val="18"/>
                <w:szCs w:val="18"/>
                <w:color w:val="auto"/>
                <w:w w:val="87"/>
              </w:rPr>
              <w:t>$</w:t>
            </w:r>
          </w:p>
        </w:tc>
        <w:tc>
          <w:tcPr>
            <w:tcW w:w="13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(143,883 )</w:t>
            </w:r>
          </w:p>
        </w:tc>
      </w:tr>
      <w:tr>
        <w:trPr>
          <w:trHeight w:val="195"/>
        </w:trPr>
        <w:tc>
          <w:tcPr>
            <w:tcW w:w="758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color w:val="auto"/>
              </w:rPr>
              <w:t>Net loss per share, basic and diluted</w:t>
            </w:r>
          </w:p>
        </w:tc>
        <w:tc>
          <w:tcPr>
            <w:tcW w:w="400" w:type="dxa"/>
            <w:vAlign w:val="bottom"/>
            <w:tcBorders>
              <w:top w:val="single" w:sz="8" w:color="auto"/>
            </w:tcBorders>
          </w:tcPr>
          <w:p>
            <w:pPr>
              <w:jc w:val="right"/>
              <w:ind w:right="210"/>
              <w:spacing w:after="0" w:line="196" w:lineRule="exact"/>
              <w:rPr>
                <w:sz w:val="20"/>
                <w:szCs w:val="20"/>
                <w:color w:val="auto"/>
              </w:rPr>
            </w:pPr>
            <w:r>
              <w:rPr>
                <w:rFonts w:ascii="Calibri" w:cs="Calibri" w:eastAsia="Calibri" w:hAnsi="Calibri"/>
                <w:sz w:val="18"/>
                <w:szCs w:val="18"/>
                <w:color w:val="auto"/>
                <w:w w:val="87"/>
              </w:rPr>
              <w:t>$</w:t>
            </w:r>
          </w:p>
        </w:tc>
        <w:tc>
          <w:tcPr>
            <w:tcW w:w="136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(5.05 )</w:t>
            </w:r>
          </w:p>
        </w:tc>
        <w:tc>
          <w:tcPr>
            <w:tcW w:w="18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jc w:val="right"/>
              <w:ind w:right="190"/>
              <w:spacing w:after="0" w:line="196" w:lineRule="exact"/>
              <w:rPr>
                <w:sz w:val="20"/>
                <w:szCs w:val="20"/>
                <w:color w:val="auto"/>
              </w:rPr>
            </w:pPr>
            <w:r>
              <w:rPr>
                <w:rFonts w:ascii="Calibri" w:cs="Calibri" w:eastAsia="Calibri" w:hAnsi="Calibri"/>
                <w:sz w:val="18"/>
                <w:szCs w:val="18"/>
                <w:color w:val="auto"/>
                <w:w w:val="87"/>
              </w:rPr>
              <w:t>$</w:t>
            </w:r>
          </w:p>
        </w:tc>
        <w:tc>
          <w:tcPr>
            <w:tcW w:w="134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(3.89 )</w:t>
            </w:r>
          </w:p>
        </w:tc>
      </w:tr>
      <w:tr>
        <w:trPr>
          <w:trHeight w:val="28"/>
        </w:trPr>
        <w:tc>
          <w:tcPr>
            <w:tcW w:w="7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758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Weighted-average shares of common stock outstanding, basic and diluted</w:t>
            </w: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2"/>
              <w:spacing w:after="0" w:line="196" w:lineRule="exact"/>
              <w:rPr>
                <w:sz w:val="20"/>
                <w:szCs w:val="20"/>
                <w:color w:val="auto"/>
              </w:rPr>
            </w:pPr>
            <w:r>
              <w:rPr>
                <w:rFonts w:ascii="Calibri" w:cs="Calibri" w:eastAsia="Calibri" w:hAnsi="Calibri"/>
                <w:sz w:val="18"/>
                <w:szCs w:val="18"/>
                <w:color w:val="auto"/>
              </w:rPr>
              <w:t>39,118,215</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32"/>
              <w:spacing w:after="0" w:line="196" w:lineRule="exact"/>
              <w:rPr>
                <w:sz w:val="20"/>
                <w:szCs w:val="20"/>
                <w:color w:val="auto"/>
              </w:rPr>
            </w:pPr>
            <w:r>
              <w:rPr>
                <w:rFonts w:ascii="Calibri" w:cs="Calibri" w:eastAsia="Calibri" w:hAnsi="Calibri"/>
                <w:sz w:val="18"/>
                <w:szCs w:val="18"/>
                <w:color w:val="auto"/>
              </w:rPr>
              <w:t>37,002,959</w:t>
            </w: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-1971040</wp:posOffset>
            </wp:positionV>
            <wp:extent cx="111125" cy="3257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3257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-1490980</wp:posOffset>
            </wp:positionV>
            <wp:extent cx="111125" cy="316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31686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-711200</wp:posOffset>
            </wp:positionV>
            <wp:extent cx="11112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-385445</wp:posOffset>
            </wp:positionV>
            <wp:extent cx="111125"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7" w:name="page168"/>
    <w:bookmarkEnd w:id="167"/>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spacing w:after="0" w:line="235" w:lineRule="auto"/>
        <w:rPr>
          <w:sz w:val="20"/>
          <w:szCs w:val="20"/>
          <w:color w:val="auto"/>
        </w:rPr>
      </w:pPr>
      <w:r>
        <w:rPr>
          <w:rFonts w:ascii="Calibri" w:cs="Calibri" w:eastAsia="Calibri" w:hAnsi="Calibri"/>
          <w:sz w:val="18"/>
          <w:szCs w:val="18"/>
          <w:b w:val="1"/>
          <w:bCs w:val="1"/>
          <w:color w:val="auto"/>
        </w:rPr>
        <w:t>Statements of Stockholders’ Equity (Defcit)</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(in thousands, except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000" w:type="dxa"/>
            <w:vAlign w:val="bottom"/>
            <w:gridSpan w:val="3"/>
            <w:vMerge w:val="restart"/>
          </w:tcPr>
          <w:p>
            <w:pPr>
              <w:jc w:val="right"/>
              <w:spacing w:after="0"/>
              <w:rPr>
                <w:sz w:val="20"/>
                <w:szCs w:val="20"/>
                <w:color w:val="auto"/>
              </w:rPr>
            </w:pPr>
            <w:r>
              <w:rPr>
                <w:rFonts w:ascii="Calibri" w:cs="Calibri" w:eastAsia="Calibri" w:hAnsi="Calibri"/>
                <w:sz w:val="16"/>
                <w:szCs w:val="16"/>
                <w:b w:val="1"/>
                <w:bCs w:val="1"/>
                <w:color w:val="auto"/>
              </w:rPr>
              <w:t>Common Stock</w:t>
            </w:r>
          </w:p>
        </w:tc>
        <w:tc>
          <w:tcPr>
            <w:tcW w:w="1020" w:type="dxa"/>
            <w:vAlign w:val="bottom"/>
          </w:tcPr>
          <w:p>
            <w:pPr>
              <w:spacing w:after="0"/>
              <w:rPr>
                <w:sz w:val="16"/>
                <w:szCs w:val="16"/>
                <w:color w:val="auto"/>
              </w:rPr>
            </w:pPr>
          </w:p>
        </w:tc>
        <w:tc>
          <w:tcPr>
            <w:tcW w:w="1200" w:type="dxa"/>
            <w:vAlign w:val="bottom"/>
            <w:vMerge w:val="restart"/>
          </w:tcPr>
          <w:p>
            <w:pPr>
              <w:jc w:val="right"/>
              <w:ind w:right="119"/>
              <w:spacing w:after="0"/>
              <w:rPr>
                <w:sz w:val="20"/>
                <w:szCs w:val="20"/>
                <w:color w:val="auto"/>
              </w:rPr>
            </w:pPr>
            <w:r>
              <w:rPr>
                <w:rFonts w:ascii="Calibri" w:cs="Calibri" w:eastAsia="Calibri" w:hAnsi="Calibri"/>
                <w:sz w:val="16"/>
                <w:szCs w:val="16"/>
                <w:b w:val="1"/>
                <w:bCs w:val="1"/>
                <w:color w:val="auto"/>
              </w:rPr>
              <w:t>Treasury Stock</w:t>
            </w:r>
          </w:p>
        </w:tc>
        <w:tc>
          <w:tcPr>
            <w:tcW w:w="180" w:type="dxa"/>
            <w:vAlign w:val="bottom"/>
          </w:tcPr>
          <w:p>
            <w:pPr>
              <w:spacing w:after="0"/>
              <w:rPr>
                <w:sz w:val="16"/>
                <w:szCs w:val="16"/>
                <w:color w:val="auto"/>
              </w:rPr>
            </w:pPr>
          </w:p>
        </w:tc>
        <w:tc>
          <w:tcPr>
            <w:tcW w:w="116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Additonal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Calibri" w:cs="Calibri" w:eastAsia="Calibri" w:hAnsi="Calibri"/>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Paid-in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79"/>
              <w:spacing w:after="0"/>
              <w:rPr>
                <w:sz w:val="20"/>
                <w:szCs w:val="20"/>
                <w:color w:val="auto"/>
              </w:rPr>
            </w:pPr>
            <w:r>
              <w:rPr>
                <w:rFonts w:ascii="Calibri" w:cs="Calibri" w:eastAsia="Calibri" w:hAnsi="Calibri"/>
                <w:sz w:val="16"/>
                <w:szCs w:val="16"/>
                <w:b w:val="1"/>
                <w:bCs w:val="1"/>
                <w:color w:val="auto"/>
              </w:rPr>
              <w:t>Accumulated</w:t>
            </w:r>
          </w:p>
        </w:tc>
        <w:tc>
          <w:tcPr>
            <w:tcW w:w="16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Calibri" w:cs="Calibri" w:eastAsia="Calibri" w:hAnsi="Calibri"/>
                <w:sz w:val="16"/>
                <w:szCs w:val="16"/>
                <w:b w:val="1"/>
                <w:bCs w:val="1"/>
                <w:color w:val="auto"/>
              </w:rPr>
              <w:t>Stockholders’</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vMerge w:val="restart"/>
          </w:tcPr>
          <w:p>
            <w:pPr>
              <w:jc w:val="right"/>
              <w:ind w:right="399"/>
              <w:spacing w:after="0"/>
              <w:rPr>
                <w:sz w:val="20"/>
                <w:szCs w:val="20"/>
                <w:color w:val="auto"/>
              </w:rPr>
            </w:pPr>
            <w:r>
              <w:rPr>
                <w:rFonts w:ascii="Calibri" w:cs="Calibri" w:eastAsia="Calibri" w:hAnsi="Calibri"/>
                <w:sz w:val="16"/>
                <w:szCs w:val="16"/>
                <w:b w:val="1"/>
                <w:bCs w:val="1"/>
                <w:color w:val="auto"/>
              </w:rPr>
              <w:t>Capital</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vMerge w:val="restart"/>
          </w:tcPr>
          <w:p>
            <w:pPr>
              <w:jc w:val="right"/>
              <w:ind w:right="499"/>
              <w:spacing w:after="0"/>
              <w:rPr>
                <w:sz w:val="20"/>
                <w:szCs w:val="20"/>
                <w:color w:val="auto"/>
              </w:rPr>
            </w:pPr>
            <w:r>
              <w:rPr>
                <w:rFonts w:ascii="Calibri" w:cs="Calibri" w:eastAsia="Calibri" w:hAnsi="Calibri"/>
                <w:sz w:val="16"/>
                <w:szCs w:val="16"/>
                <w:b w:val="1"/>
                <w:bCs w:val="1"/>
                <w:color w:val="auto"/>
              </w:rPr>
              <w:t>Defcit</w:t>
            </w:r>
          </w:p>
        </w:tc>
        <w:tc>
          <w:tcPr>
            <w:tcW w:w="160" w:type="dxa"/>
            <w:vAlign w:val="bottom"/>
          </w:tcPr>
          <w:p>
            <w:pPr>
              <w:spacing w:after="0"/>
              <w:rPr>
                <w:sz w:val="2"/>
                <w:szCs w:val="2"/>
                <w:color w:val="auto"/>
              </w:rPr>
            </w:pPr>
          </w:p>
        </w:tc>
        <w:tc>
          <w:tcPr>
            <w:tcW w:w="1300" w:type="dxa"/>
            <w:vAlign w:val="bottom"/>
            <w:vMerge w:val="restart"/>
          </w:tcPr>
          <w:p>
            <w:pPr>
              <w:jc w:val="center"/>
              <w:ind w:right="199"/>
              <w:spacing w:after="0"/>
              <w:rPr>
                <w:sz w:val="20"/>
                <w:szCs w:val="20"/>
                <w:color w:val="auto"/>
              </w:rPr>
            </w:pPr>
            <w:r>
              <w:rPr>
                <w:rFonts w:ascii="Calibri" w:cs="Calibri" w:eastAsia="Calibri" w:hAnsi="Calibri"/>
                <w:sz w:val="16"/>
                <w:szCs w:val="16"/>
                <w:b w:val="1"/>
                <w:bCs w:val="1"/>
                <w:color w:val="auto"/>
                <w:w w:val="99"/>
              </w:rPr>
              <w:t>Equity</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700" w:type="dxa"/>
            <w:vAlign w:val="bottom"/>
          </w:tcPr>
          <w:p>
            <w:pPr>
              <w:jc w:val="right"/>
              <w:ind w:right="599"/>
              <w:spacing w:after="0" w:line="187" w:lineRule="exact"/>
              <w:rPr>
                <w:sz w:val="20"/>
                <w:szCs w:val="20"/>
                <w:color w:val="auto"/>
              </w:rPr>
            </w:pPr>
            <w:r>
              <w:rPr>
                <w:rFonts w:ascii="Calibri" w:cs="Calibri" w:eastAsia="Calibri" w:hAnsi="Calibri"/>
                <w:sz w:val="16"/>
                <w:szCs w:val="16"/>
                <w:b w:val="1"/>
                <w:bCs w:val="1"/>
                <w:color w:val="auto"/>
              </w:rPr>
              <w:t>Shares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9"/>
              <w:spacing w:after="0" w:line="187" w:lineRule="exact"/>
              <w:rPr>
                <w:sz w:val="20"/>
                <w:szCs w:val="20"/>
                <w:color w:val="auto"/>
              </w:rPr>
            </w:pPr>
            <w:r>
              <w:rPr>
                <w:rFonts w:ascii="Calibri" w:cs="Calibri" w:eastAsia="Calibri" w:hAnsi="Calibri"/>
                <w:sz w:val="16"/>
                <w:szCs w:val="16"/>
                <w:b w:val="1"/>
                <w:bCs w:val="1"/>
                <w:color w:val="auto"/>
              </w:rPr>
              <w:t>Amount</w:t>
            </w:r>
          </w:p>
        </w:tc>
        <w:tc>
          <w:tcPr>
            <w:tcW w:w="1200" w:type="dxa"/>
            <w:vAlign w:val="bottom"/>
          </w:tcPr>
          <w:p>
            <w:pPr>
              <w:jc w:val="right"/>
              <w:ind w:right="379"/>
              <w:spacing w:after="0" w:line="187" w:lineRule="exact"/>
              <w:rPr>
                <w:sz w:val="20"/>
                <w:szCs w:val="20"/>
                <w:color w:val="auto"/>
              </w:rPr>
            </w:pPr>
            <w:r>
              <w:rPr>
                <w:rFonts w:ascii="Calibri" w:cs="Calibri" w:eastAsia="Calibri" w:hAnsi="Calibri"/>
                <w:sz w:val="16"/>
                <w:szCs w:val="16"/>
                <w:b w:val="1"/>
                <w:bCs w:val="1"/>
                <w:color w:val="auto"/>
              </w:rPr>
              <w:t>Shares</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660" w:type="dxa"/>
            <w:vAlign w:val="bottom"/>
            <w:vMerge w:val="restart"/>
          </w:tcPr>
          <w:p>
            <w:pPr>
              <w:ind w:left="20"/>
              <w:spacing w:after="0"/>
              <w:rPr>
                <w:sz w:val="20"/>
                <w:szCs w:val="20"/>
                <w:color w:val="auto"/>
              </w:rPr>
            </w:pPr>
            <w:r>
              <w:rPr>
                <w:rFonts w:ascii="Calibri" w:cs="Calibri" w:eastAsia="Calibri" w:hAnsi="Calibri"/>
                <w:sz w:val="16"/>
                <w:szCs w:val="16"/>
                <w:color w:val="auto"/>
              </w:rPr>
              <w:t>Balance at December 31, 2020</w:t>
            </w:r>
          </w:p>
        </w:tc>
        <w:tc>
          <w:tcPr>
            <w:tcW w:w="1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60" w:type="dxa"/>
            <w:vAlign w:val="bottom"/>
            <w:vMerge w:val="continue"/>
          </w:tcPr>
          <w:p>
            <w:pPr>
              <w:spacing w:after="0"/>
              <w:rPr>
                <w:sz w:val="16"/>
                <w:szCs w:val="16"/>
                <w:color w:val="auto"/>
              </w:rPr>
            </w:pPr>
          </w:p>
        </w:tc>
        <w:tc>
          <w:tcPr>
            <w:tcW w:w="1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28,516,010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19"/>
              <w:spacing w:after="0" w:line="187" w:lineRule="exact"/>
              <w:rPr>
                <w:sz w:val="20"/>
                <w:szCs w:val="20"/>
                <w:color w:val="auto"/>
              </w:rPr>
            </w:pPr>
            <w:r>
              <w:rPr>
                <w:rFonts w:ascii="Calibri" w:cs="Calibri" w:eastAsia="Calibri" w:hAnsi="Calibri"/>
                <w:sz w:val="16"/>
                <w:szCs w:val="16"/>
                <w:color w:val="auto"/>
              </w:rPr>
              <w:t>3</w:t>
            </w:r>
          </w:p>
        </w:tc>
        <w:tc>
          <w:tcPr>
            <w:tcW w:w="1200" w:type="dxa"/>
            <w:vAlign w:val="bottom"/>
          </w:tcPr>
          <w:p>
            <w:pPr>
              <w:jc w:val="right"/>
              <w:ind w:right="99"/>
              <w:spacing w:after="0" w:line="187"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579,755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line="187" w:lineRule="exact"/>
              <w:rPr>
                <w:sz w:val="20"/>
                <w:szCs w:val="20"/>
                <w:color w:val="auto"/>
              </w:rPr>
            </w:pPr>
            <w:r>
              <w:rPr>
                <w:rFonts w:ascii="Calibri" w:cs="Calibri" w:eastAsia="Calibri" w:hAnsi="Calibri"/>
                <w:sz w:val="16"/>
                <w:szCs w:val="16"/>
                <w:color w:val="auto"/>
              </w:rPr>
              <w:t>(385,487 )</w:t>
            </w:r>
          </w:p>
        </w:tc>
        <w:tc>
          <w:tcPr>
            <w:tcW w:w="160" w:type="dxa"/>
            <w:vAlign w:val="bottom"/>
          </w:tcPr>
          <w:p>
            <w:pPr>
              <w:spacing w:after="0"/>
              <w:rPr>
                <w:sz w:val="16"/>
                <w:szCs w:val="16"/>
                <w:color w:val="auto"/>
              </w:rPr>
            </w:pPr>
          </w:p>
        </w:tc>
        <w:tc>
          <w:tcPr>
            <w:tcW w:w="13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194,271</w:t>
            </w:r>
          </w:p>
        </w:tc>
        <w:tc>
          <w:tcPr>
            <w:tcW w:w="0" w:type="dxa"/>
            <w:vAlign w:val="bottom"/>
          </w:tcPr>
          <w:p>
            <w:pPr>
              <w:spacing w:after="0"/>
              <w:rPr>
                <w:sz w:val="1"/>
                <w:szCs w:val="1"/>
                <w:color w:val="auto"/>
              </w:rPr>
            </w:pPr>
          </w:p>
        </w:tc>
      </w:tr>
      <w:tr>
        <w:trPr>
          <w:trHeight w:val="36"/>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Issuance of common stock from</w:t>
            </w:r>
          </w:p>
        </w:tc>
        <w:tc>
          <w:tcPr>
            <w:tcW w:w="1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exercise of stock optons</w:t>
            </w:r>
          </w:p>
        </w:tc>
        <w:tc>
          <w:tcPr>
            <w:tcW w:w="170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107,583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right w:val="single" w:sz="8" w:color="CFF0FC"/>
            </w:tcBorders>
            <w:shd w:val="clear" w:color="auto" w:fill="CFF0FC"/>
          </w:tcPr>
          <w:p>
            <w:pPr>
              <w:jc w:val="right"/>
              <w:ind w:right="119"/>
              <w:spacing w:after="0"/>
              <w:rPr>
                <w:sz w:val="20"/>
                <w:szCs w:val="20"/>
                <w:color w:val="auto"/>
              </w:rPr>
            </w:pPr>
            <w:r>
              <w:rPr>
                <w:rFonts w:ascii="Calibri" w:cs="Calibri" w:eastAsia="Calibri" w:hAnsi="Calibri"/>
                <w:sz w:val="16"/>
                <w:szCs w:val="16"/>
                <w:color w:val="auto"/>
              </w:rPr>
              <w:t>—</w:t>
            </w:r>
          </w:p>
        </w:tc>
        <w:tc>
          <w:tcPr>
            <w:tcW w:w="1200" w:type="dxa"/>
            <w:vAlign w:val="bottom"/>
            <w:tcBorders>
              <w:bottom w:val="single" w:sz="8" w:color="CFF0FC"/>
              <w:right w:val="single" w:sz="8" w:color="CFF0FC"/>
            </w:tcBorders>
            <w:shd w:val="clear" w:color="auto" w:fill="CFF0FC"/>
          </w:tcPr>
          <w:p>
            <w:pPr>
              <w:jc w:val="right"/>
              <w:ind w:right="99"/>
              <w:spacing w:after="0"/>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1,944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right w:val="single" w:sz="8" w:color="CFF0FC"/>
            </w:tcBorders>
            <w:shd w:val="clear" w:color="auto" w:fill="CFF0FC"/>
          </w:tcPr>
          <w:p>
            <w:pPr>
              <w:jc w:val="right"/>
              <w:ind w:right="59"/>
              <w:spacing w:after="0"/>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1,944</w:t>
            </w:r>
          </w:p>
        </w:tc>
        <w:tc>
          <w:tcPr>
            <w:tcW w:w="0" w:type="dxa"/>
            <w:vAlign w:val="bottom"/>
          </w:tcPr>
          <w:p>
            <w:pPr>
              <w:spacing w:after="0"/>
              <w:rPr>
                <w:sz w:val="1"/>
                <w:szCs w:val="1"/>
                <w:color w:val="auto"/>
              </w:rPr>
            </w:pPr>
          </w:p>
        </w:tc>
      </w:tr>
      <w:tr>
        <w:trPr>
          <w:trHeight w:val="193"/>
        </w:trPr>
        <w:tc>
          <w:tcPr>
            <w:tcW w:w="2660" w:type="dxa"/>
            <w:vAlign w:val="bottom"/>
          </w:tcPr>
          <w:p>
            <w:pPr>
              <w:ind w:left="20"/>
              <w:spacing w:after="0" w:line="193" w:lineRule="exact"/>
              <w:rPr>
                <w:sz w:val="20"/>
                <w:szCs w:val="20"/>
                <w:color w:val="auto"/>
              </w:rPr>
            </w:pPr>
            <w:r>
              <w:rPr>
                <w:rFonts w:ascii="Calibri" w:cs="Calibri" w:eastAsia="Calibri" w:hAnsi="Calibri"/>
                <w:sz w:val="16"/>
                <w:szCs w:val="16"/>
                <w:color w:val="auto"/>
              </w:rPr>
              <w:t>Cashless exercise of common stock</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Calibri" w:cs="Calibri" w:eastAsia="Calibri" w:hAnsi="Calibri"/>
                <w:sz w:val="16"/>
                <w:szCs w:val="16"/>
                <w:color w:val="auto"/>
              </w:rPr>
              <w:t>warrants</w:t>
            </w:r>
          </w:p>
        </w:tc>
        <w:tc>
          <w:tcPr>
            <w:tcW w:w="1700" w:type="dxa"/>
            <w:vAlign w:val="bottom"/>
          </w:tcPr>
          <w:p>
            <w:pPr>
              <w:jc w:val="right"/>
              <w:ind w:right="39"/>
              <w:spacing w:after="0"/>
              <w:rPr>
                <w:sz w:val="20"/>
                <w:szCs w:val="20"/>
                <w:color w:val="auto"/>
              </w:rPr>
            </w:pPr>
            <w:r>
              <w:rPr>
                <w:rFonts w:ascii="Calibri" w:cs="Calibri" w:eastAsia="Calibri" w:hAnsi="Calibri"/>
                <w:sz w:val="16"/>
                <w:szCs w:val="16"/>
                <w:color w:val="auto"/>
              </w:rPr>
              <w:t>228,696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rPr>
                <w:sz w:val="20"/>
                <w:szCs w:val="20"/>
                <w:color w:val="auto"/>
              </w:rPr>
            </w:pPr>
            <w:r>
              <w:rPr>
                <w:rFonts w:ascii="Calibri" w:cs="Calibri" w:eastAsia="Calibri" w:hAnsi="Calibri"/>
                <w:sz w:val="16"/>
                <w:szCs w:val="16"/>
                <w:color w:val="auto"/>
              </w:rPr>
              <w:t>1</w:t>
            </w:r>
          </w:p>
        </w:tc>
        <w:tc>
          <w:tcPr>
            <w:tcW w:w="1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1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26,750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right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Borders>
              <w:bottom w:val="single" w:sz="8" w:color="CFF0FC"/>
              <w:right w:val="single" w:sz="8" w:color="CFF0FC"/>
            </w:tcBorders>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903</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right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903</w:t>
            </w:r>
          </w:p>
        </w:tc>
        <w:tc>
          <w:tcPr>
            <w:tcW w:w="0" w:type="dxa"/>
            <w:vAlign w:val="bottom"/>
          </w:tcPr>
          <w:p>
            <w:pPr>
              <w:spacing w:after="0"/>
              <w:rPr>
                <w:sz w:val="1"/>
                <w:szCs w:val="1"/>
                <w:color w:val="auto"/>
              </w:rPr>
            </w:pPr>
          </w:p>
        </w:tc>
      </w:tr>
      <w:tr>
        <w:trPr>
          <w:trHeight w:val="193"/>
        </w:trPr>
        <w:tc>
          <w:tcPr>
            <w:tcW w:w="2660" w:type="dxa"/>
            <w:vAlign w:val="bottom"/>
          </w:tcPr>
          <w:p>
            <w:pPr>
              <w:ind w:left="20"/>
              <w:spacing w:after="0" w:line="193" w:lineRule="exact"/>
              <w:rPr>
                <w:sz w:val="20"/>
                <w:szCs w:val="20"/>
                <w:color w:val="auto"/>
              </w:rPr>
            </w:pPr>
            <w:r>
              <w:rPr>
                <w:rFonts w:ascii="Calibri" w:cs="Calibri" w:eastAsia="Calibri" w:hAnsi="Calibri"/>
                <w:sz w:val="16"/>
                <w:szCs w:val="16"/>
                <w:color w:val="auto"/>
              </w:rPr>
              <w:t>Vestng of restricted shares</w:t>
            </w:r>
          </w:p>
        </w:tc>
        <w:tc>
          <w:tcPr>
            <w:tcW w:w="1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1,601,950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36"/>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1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right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Borders>
              <w:bottom w:val="single" w:sz="8" w:color="CFF0FC"/>
              <w:right w:val="single" w:sz="8" w:color="CFF0FC"/>
            </w:tcBorders>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16,812</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right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16,812</w:t>
            </w:r>
          </w:p>
        </w:tc>
        <w:tc>
          <w:tcPr>
            <w:tcW w:w="0" w:type="dxa"/>
            <w:vAlign w:val="bottom"/>
          </w:tcPr>
          <w:p>
            <w:pPr>
              <w:spacing w:after="0"/>
              <w:rPr>
                <w:sz w:val="1"/>
                <w:szCs w:val="1"/>
                <w:color w:val="auto"/>
              </w:rPr>
            </w:pPr>
          </w:p>
        </w:tc>
      </w:tr>
      <w:tr>
        <w:trPr>
          <w:trHeight w:val="193"/>
        </w:trPr>
        <w:tc>
          <w:tcPr>
            <w:tcW w:w="2660" w:type="dxa"/>
            <w:vAlign w:val="bottom"/>
          </w:tcPr>
          <w:p>
            <w:pPr>
              <w:ind w:left="20"/>
              <w:spacing w:after="0" w:line="193" w:lineRule="exact"/>
              <w:rPr>
                <w:sz w:val="20"/>
                <w:szCs w:val="20"/>
                <w:color w:val="auto"/>
              </w:rPr>
            </w:pPr>
            <w:r>
              <w:rPr>
                <w:rFonts w:ascii="Calibri" w:cs="Calibri" w:eastAsia="Calibri" w:hAnsi="Calibri"/>
                <w:sz w:val="16"/>
                <w:szCs w:val="16"/>
                <w:color w:val="auto"/>
              </w:rPr>
              <w:t>ESPP shares issued</w:t>
            </w:r>
          </w:p>
        </w:tc>
        <w:tc>
          <w:tcPr>
            <w:tcW w:w="1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30,237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819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819</w:t>
            </w:r>
          </w:p>
        </w:tc>
        <w:tc>
          <w:tcPr>
            <w:tcW w:w="0" w:type="dxa"/>
            <w:vAlign w:val="bottom"/>
          </w:tcPr>
          <w:p>
            <w:pPr>
              <w:spacing w:after="0"/>
              <w:rPr>
                <w:sz w:val="1"/>
                <w:szCs w:val="1"/>
                <w:color w:val="auto"/>
              </w:rPr>
            </w:pPr>
          </w:p>
        </w:tc>
      </w:tr>
      <w:tr>
        <w:trPr>
          <w:trHeight w:val="36"/>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Issuance of common stock warrants</w:t>
            </w:r>
          </w:p>
        </w:tc>
        <w:tc>
          <w:tcPr>
            <w:tcW w:w="1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right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Borders>
              <w:bottom w:val="single" w:sz="8" w:color="CFF0FC"/>
              <w:right w:val="single" w:sz="8" w:color="CFF0FC"/>
            </w:tcBorders>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1,290</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right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1,290</w:t>
            </w:r>
          </w:p>
        </w:tc>
        <w:tc>
          <w:tcPr>
            <w:tcW w:w="0" w:type="dxa"/>
            <w:vAlign w:val="bottom"/>
          </w:tcPr>
          <w:p>
            <w:pPr>
              <w:spacing w:after="0"/>
              <w:rPr>
                <w:sz w:val="1"/>
                <w:szCs w:val="1"/>
                <w:color w:val="auto"/>
              </w:rPr>
            </w:pPr>
          </w:p>
        </w:tc>
      </w:tr>
      <w:tr>
        <w:trPr>
          <w:trHeight w:val="193"/>
        </w:trPr>
        <w:tc>
          <w:tcPr>
            <w:tcW w:w="266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(143,883 )</w:t>
            </w:r>
          </w:p>
        </w:tc>
        <w:tc>
          <w:tcPr>
            <w:tcW w:w="16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(143,883 )</w:t>
            </w:r>
          </w:p>
        </w:tc>
        <w:tc>
          <w:tcPr>
            <w:tcW w:w="0" w:type="dxa"/>
            <w:vAlign w:val="bottom"/>
          </w:tcPr>
          <w:p>
            <w:pPr>
              <w:spacing w:after="0"/>
              <w:rPr>
                <w:sz w:val="1"/>
                <w:szCs w:val="1"/>
                <w:color w:val="auto"/>
              </w:rPr>
            </w:pPr>
          </w:p>
        </w:tc>
      </w:tr>
      <w:tr>
        <w:trPr>
          <w:trHeight w:val="36"/>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66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Balance at December 31, 2021</w:t>
            </w:r>
          </w:p>
        </w:tc>
        <w:tc>
          <w:tcPr>
            <w:tcW w:w="1700" w:type="dxa"/>
            <w:vAlign w:val="bottom"/>
            <w:tcBorders>
              <w:top w:val="single" w:sz="8" w:color="auto"/>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30,511,226</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top w:val="single" w:sz="8" w:color="auto"/>
              <w:bottom w:val="single" w:sz="8" w:color="CFF0FC"/>
              <w:right w:val="single" w:sz="8" w:color="CFF0FC"/>
            </w:tcBorders>
            <w:shd w:val="clear" w:color="auto" w:fill="CFF0FC"/>
          </w:tcPr>
          <w:p>
            <w:pPr>
              <w:jc w:val="right"/>
              <w:ind w:right="119"/>
              <w:spacing w:after="0" w:line="187" w:lineRule="exact"/>
              <w:rPr>
                <w:sz w:val="20"/>
                <w:szCs w:val="20"/>
                <w:color w:val="auto"/>
              </w:rPr>
            </w:pPr>
            <w:r>
              <w:rPr>
                <w:rFonts w:ascii="Calibri" w:cs="Calibri" w:eastAsia="Calibri" w:hAnsi="Calibri"/>
                <w:sz w:val="16"/>
                <w:szCs w:val="16"/>
                <w:color w:val="auto"/>
              </w:rPr>
              <w:t>3</w:t>
            </w:r>
          </w:p>
        </w:tc>
        <w:tc>
          <w:tcPr>
            <w:tcW w:w="1200" w:type="dxa"/>
            <w:vAlign w:val="bottom"/>
            <w:tcBorders>
              <w:top w:val="single" w:sz="8" w:color="auto"/>
              <w:bottom w:val="single" w:sz="8" w:color="CFF0FC"/>
              <w:right w:val="single" w:sz="8" w:color="CFF0FC"/>
            </w:tcBorders>
            <w:shd w:val="clear" w:color="auto" w:fill="CFF0FC"/>
          </w:tcPr>
          <w:p>
            <w:pPr>
              <w:jc w:val="right"/>
              <w:ind w:right="99"/>
              <w:spacing w:after="0" w:line="187" w:lineRule="exact"/>
              <w:rPr>
                <w:sz w:val="20"/>
                <w:szCs w:val="20"/>
                <w:color w:val="auto"/>
              </w:rPr>
            </w:pPr>
            <w:r>
              <w:rPr>
                <w:rFonts w:ascii="Calibri" w:cs="Calibri" w:eastAsia="Calibri" w:hAnsi="Calibri"/>
                <w:sz w:val="16"/>
                <w:szCs w:val="16"/>
                <w:color w:val="auto"/>
              </w:rPr>
              <w:t>1</w:t>
            </w:r>
          </w:p>
        </w:tc>
        <w:tc>
          <w:tcPr>
            <w:tcW w:w="18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601,523</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20" w:type="dxa"/>
            <w:vAlign w:val="bottom"/>
            <w:tcBorders>
              <w:top w:val="single" w:sz="8" w:color="auto"/>
              <w:bottom w:val="single" w:sz="8" w:color="CFF0FC"/>
              <w:right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(529,370 )</w:t>
            </w:r>
          </w:p>
        </w:tc>
        <w:tc>
          <w:tcPr>
            <w:tcW w:w="16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top w:val="single" w:sz="8" w:color="auto"/>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72,156</w:t>
            </w:r>
          </w:p>
        </w:tc>
        <w:tc>
          <w:tcPr>
            <w:tcW w:w="0" w:type="dxa"/>
            <w:vAlign w:val="bottom"/>
          </w:tcPr>
          <w:p>
            <w:pPr>
              <w:spacing w:after="0"/>
              <w:rPr>
                <w:sz w:val="1"/>
                <w:szCs w:val="1"/>
                <w:color w:val="auto"/>
              </w:rPr>
            </w:pPr>
          </w:p>
        </w:tc>
      </w:tr>
      <w:tr>
        <w:trPr>
          <w:trHeight w:val="174"/>
        </w:trPr>
        <w:tc>
          <w:tcPr>
            <w:tcW w:w="2660" w:type="dxa"/>
            <w:vAlign w:val="bottom"/>
            <w:tcBorders>
              <w:top w:val="single" w:sz="8" w:color="CFF0FC"/>
            </w:tcBorders>
          </w:tcPr>
          <w:p>
            <w:pPr>
              <w:ind w:left="20"/>
              <w:spacing w:after="0" w:line="174" w:lineRule="exact"/>
              <w:rPr>
                <w:sz w:val="20"/>
                <w:szCs w:val="20"/>
                <w:color w:val="auto"/>
              </w:rPr>
            </w:pPr>
            <w:r>
              <w:rPr>
                <w:rFonts w:ascii="Calibri" w:cs="Calibri" w:eastAsia="Calibri" w:hAnsi="Calibri"/>
                <w:sz w:val="16"/>
                <w:szCs w:val="16"/>
                <w:color w:val="auto"/>
              </w:rPr>
              <w:t>Cashless exercise of common stock</w:t>
            </w:r>
          </w:p>
        </w:tc>
        <w:tc>
          <w:tcPr>
            <w:tcW w:w="17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Calibri" w:cs="Calibri" w:eastAsia="Calibri" w:hAnsi="Calibri"/>
                <w:sz w:val="16"/>
                <w:szCs w:val="16"/>
                <w:color w:val="auto"/>
              </w:rPr>
              <w:t>warrants</w:t>
            </w:r>
          </w:p>
        </w:tc>
        <w:tc>
          <w:tcPr>
            <w:tcW w:w="1700" w:type="dxa"/>
            <w:vAlign w:val="bottom"/>
          </w:tcPr>
          <w:p>
            <w:pPr>
              <w:jc w:val="right"/>
              <w:ind w:right="39"/>
              <w:spacing w:after="0"/>
              <w:rPr>
                <w:sz w:val="20"/>
                <w:szCs w:val="20"/>
                <w:color w:val="auto"/>
              </w:rPr>
            </w:pPr>
            <w:r>
              <w:rPr>
                <w:rFonts w:ascii="Calibri" w:cs="Calibri" w:eastAsia="Calibri" w:hAnsi="Calibri"/>
                <w:sz w:val="16"/>
                <w:szCs w:val="16"/>
                <w:color w:val="auto"/>
              </w:rPr>
              <w:t>7,359,285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rPr>
                <w:sz w:val="20"/>
                <w:szCs w:val="20"/>
                <w:color w:val="auto"/>
              </w:rPr>
            </w:pPr>
            <w:r>
              <w:rPr>
                <w:rFonts w:ascii="Calibri" w:cs="Calibri" w:eastAsia="Calibri" w:hAnsi="Calibri"/>
                <w:sz w:val="16"/>
                <w:szCs w:val="16"/>
                <w:color w:val="auto"/>
              </w:rPr>
              <w:t>18</w:t>
            </w:r>
          </w:p>
        </w:tc>
        <w:tc>
          <w:tcPr>
            <w:tcW w:w="1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1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101,540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right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Borders>
              <w:bottom w:val="single" w:sz="8" w:color="CFF0FC"/>
              <w:right w:val="single" w:sz="8" w:color="CFF0FC"/>
            </w:tcBorders>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1,116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right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1,116</w:t>
            </w:r>
          </w:p>
        </w:tc>
        <w:tc>
          <w:tcPr>
            <w:tcW w:w="0" w:type="dxa"/>
            <w:vAlign w:val="bottom"/>
          </w:tcPr>
          <w:p>
            <w:pPr>
              <w:spacing w:after="0"/>
              <w:rPr>
                <w:sz w:val="1"/>
                <w:szCs w:val="1"/>
                <w:color w:val="auto"/>
              </w:rPr>
            </w:pPr>
          </w:p>
        </w:tc>
      </w:tr>
      <w:tr>
        <w:trPr>
          <w:trHeight w:val="193"/>
        </w:trPr>
        <w:tc>
          <w:tcPr>
            <w:tcW w:w="2660" w:type="dxa"/>
            <w:vAlign w:val="bottom"/>
          </w:tcPr>
          <w:p>
            <w:pPr>
              <w:ind w:left="20"/>
              <w:spacing w:after="0" w:line="193" w:lineRule="exact"/>
              <w:rPr>
                <w:sz w:val="20"/>
                <w:szCs w:val="20"/>
                <w:color w:val="auto"/>
              </w:rPr>
            </w:pPr>
            <w:r>
              <w:rPr>
                <w:rFonts w:ascii="Calibri" w:cs="Calibri" w:eastAsia="Calibri" w:hAnsi="Calibri"/>
                <w:sz w:val="16"/>
                <w:szCs w:val="16"/>
                <w:color w:val="auto"/>
              </w:rPr>
              <w:t>Vestng of restricted shares and</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Calibri" w:cs="Calibri" w:eastAsia="Calibri" w:hAnsi="Calibri"/>
                <w:sz w:val="16"/>
                <w:szCs w:val="16"/>
                <w:color w:val="auto"/>
              </w:rPr>
              <w:t>restricted stock units</w:t>
            </w:r>
          </w:p>
        </w:tc>
        <w:tc>
          <w:tcPr>
            <w:tcW w:w="1700" w:type="dxa"/>
            <w:vAlign w:val="bottom"/>
          </w:tcPr>
          <w:p>
            <w:pPr>
              <w:jc w:val="right"/>
              <w:ind w:right="39"/>
              <w:spacing w:after="0"/>
              <w:rPr>
                <w:sz w:val="20"/>
                <w:szCs w:val="20"/>
                <w:color w:val="auto"/>
              </w:rPr>
            </w:pPr>
            <w:r>
              <w:rPr>
                <w:rFonts w:ascii="Calibri" w:cs="Calibri" w:eastAsia="Calibri" w:hAnsi="Calibri"/>
                <w:sz w:val="16"/>
                <w:szCs w:val="16"/>
                <w:color w:val="auto"/>
              </w:rPr>
              <w:t>992,825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66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Issuance of common stock under ATM</w:t>
            </w:r>
          </w:p>
        </w:tc>
        <w:tc>
          <w:tcPr>
            <w:tcW w:w="1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facility</w:t>
            </w:r>
          </w:p>
        </w:tc>
        <w:tc>
          <w:tcPr>
            <w:tcW w:w="170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2,414,897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right w:val="single" w:sz="8" w:color="CFF0FC"/>
            </w:tcBorders>
            <w:shd w:val="clear" w:color="auto" w:fill="CFF0FC"/>
          </w:tcPr>
          <w:p>
            <w:pPr>
              <w:jc w:val="right"/>
              <w:ind w:right="119"/>
              <w:spacing w:after="0"/>
              <w:rPr>
                <w:sz w:val="20"/>
                <w:szCs w:val="20"/>
                <w:color w:val="auto"/>
              </w:rPr>
            </w:pPr>
            <w:r>
              <w:rPr>
                <w:rFonts w:ascii="Calibri" w:cs="Calibri" w:eastAsia="Calibri" w:hAnsi="Calibri"/>
                <w:sz w:val="16"/>
                <w:szCs w:val="16"/>
                <w:color w:val="auto"/>
              </w:rPr>
              <w:t>—</w:t>
            </w:r>
          </w:p>
        </w:tc>
        <w:tc>
          <w:tcPr>
            <w:tcW w:w="1200" w:type="dxa"/>
            <w:vAlign w:val="bottom"/>
            <w:tcBorders>
              <w:bottom w:val="single" w:sz="8" w:color="CFF0FC"/>
              <w:right w:val="single" w:sz="8" w:color="CFF0FC"/>
            </w:tcBorders>
            <w:shd w:val="clear" w:color="auto" w:fill="CFF0FC"/>
          </w:tcPr>
          <w:p>
            <w:pPr>
              <w:jc w:val="right"/>
              <w:ind w:right="99"/>
              <w:spacing w:after="0"/>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24,595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right w:val="single" w:sz="8" w:color="CFF0FC"/>
            </w:tcBorders>
            <w:shd w:val="clear" w:color="auto" w:fill="CFF0FC"/>
          </w:tcPr>
          <w:p>
            <w:pPr>
              <w:jc w:val="right"/>
              <w:ind w:right="59"/>
              <w:spacing w:after="0"/>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24,595</w:t>
            </w:r>
          </w:p>
        </w:tc>
        <w:tc>
          <w:tcPr>
            <w:tcW w:w="0" w:type="dxa"/>
            <w:vAlign w:val="bottom"/>
          </w:tcPr>
          <w:p>
            <w:pPr>
              <w:spacing w:after="0"/>
              <w:rPr>
                <w:sz w:val="1"/>
                <w:szCs w:val="1"/>
                <w:color w:val="auto"/>
              </w:rPr>
            </w:pPr>
          </w:p>
        </w:tc>
      </w:tr>
      <w:tr>
        <w:trPr>
          <w:trHeight w:val="193"/>
        </w:trPr>
        <w:tc>
          <w:tcPr>
            <w:tcW w:w="2660" w:type="dxa"/>
            <w:vAlign w:val="bottom"/>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1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24,133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3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24,133</w:t>
            </w:r>
          </w:p>
        </w:tc>
        <w:tc>
          <w:tcPr>
            <w:tcW w:w="0" w:type="dxa"/>
            <w:vAlign w:val="bottom"/>
          </w:tcPr>
          <w:p>
            <w:pPr>
              <w:spacing w:after="0"/>
              <w:rPr>
                <w:sz w:val="1"/>
                <w:szCs w:val="1"/>
                <w:color w:val="auto"/>
              </w:rPr>
            </w:pPr>
          </w:p>
        </w:tc>
      </w:tr>
      <w:tr>
        <w:trPr>
          <w:trHeight w:val="36"/>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ESPP shares issued</w:t>
            </w:r>
          </w:p>
        </w:tc>
        <w:tc>
          <w:tcPr>
            <w:tcW w:w="1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89,098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right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Borders>
              <w:bottom w:val="single" w:sz="8" w:color="CFF0FC"/>
              <w:right w:val="single" w:sz="8" w:color="CFF0FC"/>
            </w:tcBorders>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909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right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909</w:t>
            </w:r>
          </w:p>
        </w:tc>
        <w:tc>
          <w:tcPr>
            <w:tcW w:w="0" w:type="dxa"/>
            <w:vAlign w:val="bottom"/>
          </w:tcPr>
          <w:p>
            <w:pPr>
              <w:spacing w:after="0"/>
              <w:rPr>
                <w:sz w:val="1"/>
                <w:szCs w:val="1"/>
                <w:color w:val="auto"/>
              </w:rPr>
            </w:pPr>
          </w:p>
        </w:tc>
      </w:tr>
      <w:tr>
        <w:trPr>
          <w:trHeight w:val="193"/>
        </w:trPr>
        <w:tc>
          <w:tcPr>
            <w:tcW w:w="266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20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color w:val="auto"/>
              </w:rPr>
              <w:t>(197,723 )</w:t>
            </w:r>
          </w:p>
        </w:tc>
        <w:tc>
          <w:tcPr>
            <w:tcW w:w="16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(197,723 )</w:t>
            </w:r>
          </w:p>
        </w:tc>
        <w:tc>
          <w:tcPr>
            <w:tcW w:w="0" w:type="dxa"/>
            <w:vAlign w:val="bottom"/>
          </w:tcPr>
          <w:p>
            <w:pPr>
              <w:spacing w:after="0"/>
              <w:rPr>
                <w:sz w:val="1"/>
                <w:szCs w:val="1"/>
                <w:color w:val="auto"/>
              </w:rPr>
            </w:pPr>
          </w:p>
        </w:tc>
      </w:tr>
      <w:tr>
        <w:trPr>
          <w:trHeight w:val="36"/>
        </w:trPr>
        <w:tc>
          <w:tcPr>
            <w:tcW w:w="26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Balance at December 31, 2022</w:t>
            </w:r>
          </w:p>
        </w:tc>
        <w:tc>
          <w:tcPr>
            <w:tcW w:w="1700" w:type="dxa"/>
            <w:vAlign w:val="bottom"/>
            <w:tcBorders>
              <w:top w:val="single" w:sz="8" w:color="auto"/>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41,468,871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top w:val="single" w:sz="8" w:color="auto"/>
              <w:bottom w:val="single" w:sz="8" w:color="CFF0FC"/>
              <w:right w:val="single" w:sz="8" w:color="CFF0FC"/>
            </w:tcBorders>
            <w:shd w:val="clear" w:color="auto" w:fill="CFF0FC"/>
          </w:tcPr>
          <w:p>
            <w:pPr>
              <w:jc w:val="right"/>
              <w:ind w:right="119"/>
              <w:spacing w:after="0" w:line="187" w:lineRule="exact"/>
              <w:rPr>
                <w:sz w:val="20"/>
                <w:szCs w:val="20"/>
                <w:color w:val="auto"/>
              </w:rPr>
            </w:pPr>
            <w:r>
              <w:rPr>
                <w:rFonts w:ascii="Calibri" w:cs="Calibri" w:eastAsia="Calibri" w:hAnsi="Calibri"/>
                <w:sz w:val="16"/>
                <w:szCs w:val="16"/>
                <w:color w:val="auto"/>
              </w:rPr>
              <w:t>3</w:t>
            </w:r>
          </w:p>
        </w:tc>
        <w:tc>
          <w:tcPr>
            <w:tcW w:w="1200" w:type="dxa"/>
            <w:vAlign w:val="bottom"/>
            <w:tcBorders>
              <w:top w:val="single" w:sz="8" w:color="auto"/>
              <w:bottom w:val="single" w:sz="8" w:color="CFF0FC"/>
              <w:right w:val="single" w:sz="8" w:color="CFF0FC"/>
            </w:tcBorders>
            <w:shd w:val="clear" w:color="auto" w:fill="CFF0FC"/>
          </w:tcPr>
          <w:p>
            <w:pPr>
              <w:jc w:val="right"/>
              <w:ind w:right="99"/>
              <w:spacing w:after="0" w:line="187" w:lineRule="exact"/>
              <w:rPr>
                <w:sz w:val="20"/>
                <w:szCs w:val="20"/>
                <w:color w:val="auto"/>
              </w:rPr>
            </w:pPr>
            <w:r>
              <w:rPr>
                <w:rFonts w:ascii="Calibri" w:cs="Calibri" w:eastAsia="Calibri" w:hAnsi="Calibri"/>
                <w:sz w:val="16"/>
                <w:szCs w:val="16"/>
                <w:color w:val="auto"/>
              </w:rPr>
              <w:t>19</w:t>
            </w:r>
          </w:p>
        </w:tc>
        <w:tc>
          <w:tcPr>
            <w:tcW w:w="18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652,276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20" w:type="dxa"/>
            <w:vAlign w:val="bottom"/>
            <w:tcBorders>
              <w:top w:val="single" w:sz="8" w:color="auto"/>
              <w:bottom w:val="single" w:sz="8" w:color="CFF0FC"/>
              <w:right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(727,093 )</w:t>
            </w:r>
          </w:p>
        </w:tc>
        <w:tc>
          <w:tcPr>
            <w:tcW w:w="16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(74,814 )</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-1610995</wp:posOffset>
            </wp:positionV>
            <wp:extent cx="3437255" cy="300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37255" cy="3003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431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71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71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Statements of Cash Flows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48" w:lineRule="exact"/>
        <w:rPr>
          <w:sz w:val="20"/>
          <w:szCs w:val="20"/>
          <w:color w:val="auto"/>
        </w:rPr>
      </w:pPr>
    </w:p>
    <w:p>
      <w:pPr>
        <w:jc w:val="center"/>
        <w:ind w:left="7600"/>
        <w:spacing w:after="0"/>
        <w:rPr>
          <w:sz w:val="20"/>
          <w:szCs w:val="20"/>
          <w:color w:val="auto"/>
        </w:rPr>
      </w:pPr>
      <w:r>
        <w:rPr>
          <w:rFonts w:ascii="Calibri" w:cs="Calibri" w:eastAsia="Calibri" w:hAnsi="Calibri"/>
          <w:sz w:val="13"/>
          <w:szCs w:val="13"/>
          <w:b w:val="1"/>
          <w:bCs w:val="1"/>
          <w:color w:val="auto"/>
        </w:rPr>
        <w:t>Years Ended</w:t>
      </w:r>
    </w:p>
    <w:p>
      <w:pPr>
        <w:spacing w:after="0" w:line="17" w:lineRule="exact"/>
        <w:rPr>
          <w:sz w:val="20"/>
          <w:szCs w:val="20"/>
          <w:color w:val="auto"/>
        </w:rPr>
      </w:pPr>
    </w:p>
    <w:p>
      <w:pPr>
        <w:jc w:val="center"/>
        <w:ind w:left="7600"/>
        <w:spacing w:after="0"/>
        <w:rPr>
          <w:sz w:val="20"/>
          <w:szCs w:val="20"/>
          <w:color w:val="auto"/>
        </w:rPr>
      </w:pPr>
      <w:r>
        <w:rPr>
          <w:rFonts w:ascii="Calibri" w:cs="Calibri" w:eastAsia="Calibri" w:hAnsi="Calibri"/>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10160</wp:posOffset>
            </wp:positionV>
            <wp:extent cx="2228850" cy="1708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28850" cy="17081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b w:val="1"/>
                <w:bCs w:val="1"/>
                <w:color w:val="auto"/>
              </w:rPr>
              <w:t>2022</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668"/>
              <w:spacing w:after="0"/>
              <w:rPr>
                <w:sz w:val="20"/>
                <w:szCs w:val="20"/>
                <w:color w:val="auto"/>
              </w:rPr>
            </w:pPr>
            <w:r>
              <w:rPr>
                <w:rFonts w:ascii="Calibri" w:cs="Calibri" w:eastAsia="Calibri" w:hAnsi="Calibri"/>
                <w:sz w:val="13"/>
                <w:szCs w:val="13"/>
                <w:b w:val="1"/>
                <w:bCs w:val="1"/>
                <w:color w:val="auto"/>
              </w:rPr>
              <w:t>2021</w:t>
            </w:r>
          </w:p>
        </w:tc>
      </w:tr>
      <w:tr>
        <w:trPr>
          <w:trHeight w:val="36"/>
        </w:trPr>
        <w:tc>
          <w:tcPr>
            <w:tcW w:w="77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6"/>
        </w:trPr>
        <w:tc>
          <w:tcPr>
            <w:tcW w:w="772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Cash fows from operatng actvites</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r>
      <w:tr>
        <w:trPr>
          <w:trHeight w:val="170"/>
        </w:trPr>
        <w:tc>
          <w:tcPr>
            <w:tcW w:w="7720" w:type="dxa"/>
            <w:vAlign w:val="bottom"/>
          </w:tcPr>
          <w:p>
            <w:pPr>
              <w:ind w:left="20"/>
              <w:spacing w:after="0"/>
              <w:rPr>
                <w:sz w:val="20"/>
                <w:szCs w:val="20"/>
                <w:color w:val="auto"/>
              </w:rPr>
            </w:pPr>
            <w:r>
              <w:rPr>
                <w:rFonts w:ascii="Calibri" w:cs="Calibri" w:eastAsia="Calibri" w:hAnsi="Calibri"/>
                <w:sz w:val="14"/>
                <w:szCs w:val="14"/>
                <w:color w:val="auto"/>
              </w:rPr>
              <w:t>Net loss</w:t>
            </w:r>
          </w:p>
        </w:tc>
        <w:tc>
          <w:tcPr>
            <w:tcW w:w="980" w:type="dxa"/>
            <w:vAlign w:val="bottom"/>
          </w:tcPr>
          <w:p>
            <w:pPr>
              <w:jc w:val="right"/>
              <w:ind w:right="80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(197,723 )</w:t>
            </w:r>
          </w:p>
        </w:tc>
        <w:tc>
          <w:tcPr>
            <w:tcW w:w="540" w:type="dxa"/>
            <w:vAlign w:val="bottom"/>
            <w:gridSpan w:val="2"/>
          </w:tcPr>
          <w:p>
            <w:pPr>
              <w:jc w:val="right"/>
              <w:ind w:right="208"/>
              <w:spacing w:after="0"/>
              <w:rPr>
                <w:sz w:val="20"/>
                <w:szCs w:val="20"/>
                <w:color w:val="auto"/>
              </w:rPr>
            </w:pPr>
            <w:r>
              <w:rPr>
                <w:rFonts w:ascii="Calibri" w:cs="Calibri" w:eastAsia="Calibri" w:hAnsi="Calibri"/>
                <w:sz w:val="14"/>
                <w:szCs w:val="14"/>
                <w:color w:val="auto"/>
              </w:rPr>
              <w:t>$</w:t>
            </w:r>
          </w:p>
        </w:tc>
        <w:tc>
          <w:tcPr>
            <w:tcW w:w="1300" w:type="dxa"/>
            <w:vAlign w:val="bottom"/>
          </w:tcPr>
          <w:p>
            <w:pPr>
              <w:jc w:val="right"/>
              <w:spacing w:after="0"/>
              <w:rPr>
                <w:sz w:val="20"/>
                <w:szCs w:val="20"/>
                <w:color w:val="auto"/>
              </w:rPr>
            </w:pPr>
            <w:r>
              <w:rPr>
                <w:rFonts w:ascii="Calibri" w:cs="Calibri" w:eastAsia="Calibri" w:hAnsi="Calibri"/>
                <w:sz w:val="14"/>
                <w:szCs w:val="14"/>
                <w:color w:val="auto"/>
              </w:rPr>
              <w:t>(143,883 )</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Adjustments to reconcile net loss to net cash used in operatng actvites:</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r>
      <w:tr>
        <w:trPr>
          <w:trHeight w:val="170"/>
        </w:trPr>
        <w:tc>
          <w:tcPr>
            <w:tcW w:w="7720" w:type="dxa"/>
            <w:vAlign w:val="bottom"/>
          </w:tcPr>
          <w:p>
            <w:pPr>
              <w:ind w:left="160"/>
              <w:spacing w:after="0"/>
              <w:rPr>
                <w:sz w:val="20"/>
                <w:szCs w:val="20"/>
                <w:color w:val="auto"/>
              </w:rPr>
            </w:pPr>
            <w:r>
              <w:rPr>
                <w:rFonts w:ascii="Calibri" w:cs="Calibri" w:eastAsia="Calibri" w:hAnsi="Calibri"/>
                <w:sz w:val="14"/>
                <w:szCs w:val="14"/>
                <w:color w:val="auto"/>
              </w:rPr>
              <w:t>Depreciaton and amortzaton</w:t>
            </w:r>
          </w:p>
        </w:tc>
        <w:tc>
          <w:tcPr>
            <w:tcW w:w="9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620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521</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Stock-based compensaton</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24,133</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16,812</w:t>
            </w:r>
          </w:p>
        </w:tc>
      </w:tr>
      <w:tr>
        <w:trPr>
          <w:trHeight w:val="170"/>
        </w:trPr>
        <w:tc>
          <w:tcPr>
            <w:tcW w:w="7720" w:type="dxa"/>
            <w:vAlign w:val="bottom"/>
          </w:tcPr>
          <w:p>
            <w:pPr>
              <w:ind w:left="160"/>
              <w:spacing w:after="0"/>
              <w:rPr>
                <w:sz w:val="20"/>
                <w:szCs w:val="20"/>
                <w:color w:val="auto"/>
              </w:rPr>
            </w:pPr>
            <w:r>
              <w:rPr>
                <w:rFonts w:ascii="Calibri" w:cs="Calibri" w:eastAsia="Calibri" w:hAnsi="Calibri"/>
                <w:sz w:val="14"/>
                <w:szCs w:val="14"/>
                <w:color w:val="auto"/>
              </w:rPr>
              <w:t>Issuance of PIK interest debt</w:t>
            </w:r>
          </w:p>
        </w:tc>
        <w:tc>
          <w:tcPr>
            <w:tcW w:w="9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3,484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990</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4"/>
                <w:szCs w:val="14"/>
                <w:color w:val="auto"/>
              </w:rPr>
              <w:t>Accrued interest on revenue interest fnancing liability</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14,079</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70"/>
        </w:trPr>
        <w:tc>
          <w:tcPr>
            <w:tcW w:w="7720" w:type="dxa"/>
            <w:vAlign w:val="bottom"/>
          </w:tcPr>
          <w:p>
            <w:pPr>
              <w:ind w:left="160"/>
              <w:spacing w:after="0"/>
              <w:rPr>
                <w:sz w:val="20"/>
                <w:szCs w:val="20"/>
                <w:color w:val="auto"/>
              </w:rPr>
            </w:pPr>
            <w:r>
              <w:rPr>
                <w:rFonts w:ascii="Calibri" w:cs="Calibri" w:eastAsia="Calibri" w:hAnsi="Calibri"/>
                <w:sz w:val="14"/>
                <w:szCs w:val="14"/>
                <w:color w:val="auto"/>
              </w:rPr>
              <w:t>Amortzaton of debt discount</w:t>
            </w:r>
          </w:p>
        </w:tc>
        <w:tc>
          <w:tcPr>
            <w:tcW w:w="9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2,110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3,595</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Other</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1,329</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823</w:t>
            </w:r>
          </w:p>
        </w:tc>
      </w:tr>
      <w:tr>
        <w:trPr>
          <w:trHeight w:val="170"/>
        </w:trPr>
        <w:tc>
          <w:tcPr>
            <w:tcW w:w="7720" w:type="dxa"/>
            <w:vAlign w:val="bottom"/>
          </w:tcPr>
          <w:p>
            <w:pPr>
              <w:ind w:left="160"/>
              <w:spacing w:after="0"/>
              <w:rPr>
                <w:sz w:val="20"/>
                <w:szCs w:val="20"/>
                <w:color w:val="auto"/>
              </w:rPr>
            </w:pPr>
            <w:r>
              <w:rPr>
                <w:rFonts w:ascii="Calibri" w:cs="Calibri" w:eastAsia="Calibri" w:hAnsi="Calibri"/>
                <w:sz w:val="14"/>
                <w:szCs w:val="14"/>
                <w:color w:val="auto"/>
              </w:rPr>
              <w:t>Changes in operatng assets and liabilites:</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0"/>
        </w:trPr>
        <w:tc>
          <w:tcPr>
            <w:tcW w:w="7720" w:type="dxa"/>
            <w:vAlign w:val="bottom"/>
            <w:shd w:val="clear" w:color="auto" w:fill="CFF0FC"/>
          </w:tcPr>
          <w:p>
            <w:pPr>
              <w:ind w:left="300"/>
              <w:spacing w:after="0"/>
              <w:rPr>
                <w:sz w:val="20"/>
                <w:szCs w:val="20"/>
                <w:color w:val="auto"/>
              </w:rPr>
            </w:pPr>
            <w:r>
              <w:rPr>
                <w:rFonts w:ascii="Calibri" w:cs="Calibri" w:eastAsia="Calibri" w:hAnsi="Calibri"/>
                <w:sz w:val="14"/>
                <w:szCs w:val="14"/>
                <w:color w:val="auto"/>
              </w:rPr>
              <w:t>Prepaid expenses and other current assets (includes changes in related party amounts</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88"/>
        </w:trPr>
        <w:tc>
          <w:tcPr>
            <w:tcW w:w="7720" w:type="dxa"/>
            <w:vAlign w:val="bottom"/>
            <w:tcBorders>
              <w:bottom w:val="single" w:sz="8" w:color="CFF0FC"/>
            </w:tcBorders>
            <w:shd w:val="clear" w:color="auto" w:fill="CFF0FC"/>
          </w:tcPr>
          <w:p>
            <w:pPr>
              <w:ind w:left="400"/>
              <w:spacing w:after="0"/>
              <w:rPr>
                <w:sz w:val="20"/>
                <w:szCs w:val="20"/>
                <w:color w:val="auto"/>
              </w:rPr>
            </w:pPr>
            <w:r>
              <w:rPr>
                <w:rFonts w:ascii="Calibri" w:cs="Calibri" w:eastAsia="Calibri" w:hAnsi="Calibri"/>
                <w:sz w:val="14"/>
                <w:szCs w:val="14"/>
                <w:color w:val="auto"/>
              </w:rPr>
              <w:t>of $0 and $82, respectvely)</w:t>
            </w:r>
          </w:p>
        </w:tc>
        <w:tc>
          <w:tcPr>
            <w:tcW w:w="98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(1,860 )</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605</w:t>
            </w:r>
          </w:p>
        </w:tc>
      </w:tr>
      <w:tr>
        <w:trPr>
          <w:trHeight w:val="170"/>
        </w:trPr>
        <w:tc>
          <w:tcPr>
            <w:tcW w:w="7720" w:type="dxa"/>
            <w:vAlign w:val="bottom"/>
          </w:tcPr>
          <w:p>
            <w:pPr>
              <w:ind w:left="300"/>
              <w:spacing w:after="0"/>
              <w:rPr>
                <w:sz w:val="20"/>
                <w:szCs w:val="20"/>
                <w:color w:val="auto"/>
              </w:rPr>
            </w:pPr>
            <w:r>
              <w:rPr>
                <w:rFonts w:ascii="Calibri" w:cs="Calibri" w:eastAsia="Calibri" w:hAnsi="Calibri"/>
                <w:sz w:val="14"/>
                <w:szCs w:val="14"/>
                <w:color w:val="auto"/>
              </w:rPr>
              <w:t>Accounts payable and accrued expenses (includes changes in related party amounts of</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5"/>
        </w:trPr>
        <w:tc>
          <w:tcPr>
            <w:tcW w:w="7720" w:type="dxa"/>
            <w:vAlign w:val="bottom"/>
          </w:tcPr>
          <w:p>
            <w:pPr>
              <w:ind w:left="400"/>
              <w:spacing w:after="0"/>
              <w:rPr>
                <w:sz w:val="20"/>
                <w:szCs w:val="20"/>
                <w:color w:val="auto"/>
              </w:rPr>
            </w:pPr>
            <w:r>
              <w:rPr>
                <w:rFonts w:ascii="Calibri" w:cs="Calibri" w:eastAsia="Calibri" w:hAnsi="Calibri"/>
                <w:sz w:val="14"/>
                <w:szCs w:val="14"/>
                <w:color w:val="auto"/>
              </w:rPr>
              <w:t>$1,139 and $2,766, respectvely)</w:t>
            </w:r>
          </w:p>
        </w:tc>
        <w:tc>
          <w:tcPr>
            <w:tcW w:w="9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8,679</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(9,791 )</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4"/>
                <w:szCs w:val="14"/>
                <w:color w:val="auto"/>
              </w:rPr>
              <w:t>Accrued clinical trial expenses</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(1,402 )</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(18,595 )</w:t>
            </w:r>
          </w:p>
        </w:tc>
      </w:tr>
      <w:tr>
        <w:trPr>
          <w:trHeight w:val="170"/>
        </w:trPr>
        <w:tc>
          <w:tcPr>
            <w:tcW w:w="7720" w:type="dxa"/>
            <w:vAlign w:val="bottom"/>
          </w:tcPr>
          <w:p>
            <w:pPr>
              <w:ind w:left="300"/>
              <w:spacing w:after="0"/>
              <w:rPr>
                <w:sz w:val="20"/>
                <w:szCs w:val="20"/>
                <w:color w:val="auto"/>
              </w:rPr>
            </w:pPr>
            <w:r>
              <w:rPr>
                <w:rFonts w:ascii="Calibri" w:cs="Calibri" w:eastAsia="Calibri" w:hAnsi="Calibri"/>
                <w:sz w:val="14"/>
                <w:szCs w:val="14"/>
                <w:color w:val="auto"/>
              </w:rPr>
              <w:t>Accrued interest</w:t>
            </w:r>
          </w:p>
        </w:tc>
        <w:tc>
          <w:tcPr>
            <w:tcW w:w="9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377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165</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4"/>
                <w:szCs w:val="14"/>
                <w:color w:val="auto"/>
              </w:rPr>
              <w:t>Operatng right-of-use assets and lease liabilites</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(238 )</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98</w:t>
            </w:r>
          </w:p>
        </w:tc>
      </w:tr>
      <w:tr>
        <w:trPr>
          <w:trHeight w:val="170"/>
        </w:trPr>
        <w:tc>
          <w:tcPr>
            <w:tcW w:w="7720" w:type="dxa"/>
            <w:vAlign w:val="bottom"/>
          </w:tcPr>
          <w:p>
            <w:pPr>
              <w:ind w:left="300"/>
              <w:spacing w:after="0"/>
              <w:rPr>
                <w:sz w:val="20"/>
                <w:szCs w:val="20"/>
                <w:color w:val="auto"/>
              </w:rPr>
            </w:pPr>
            <w:r>
              <w:rPr>
                <w:rFonts w:ascii="Calibri" w:cs="Calibri" w:eastAsia="Calibri" w:hAnsi="Calibri"/>
                <w:sz w:val="14"/>
                <w:szCs w:val="14"/>
                <w:color w:val="auto"/>
              </w:rPr>
              <w:t>Other long-term assets</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(118 )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203</w:t>
            </w:r>
          </w:p>
        </w:tc>
      </w:tr>
      <w:tr>
        <w:trPr>
          <w:trHeight w:val="3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1"/>
        </w:trPr>
        <w:tc>
          <w:tcPr>
            <w:tcW w:w="772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Net cash used in operatng actvites</w:t>
            </w:r>
          </w:p>
        </w:tc>
        <w:tc>
          <w:tcPr>
            <w:tcW w:w="9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(146,530 )</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(148,457 )</w:t>
            </w:r>
          </w:p>
        </w:tc>
      </w:tr>
      <w:tr>
        <w:trPr>
          <w:trHeight w:val="196"/>
        </w:trPr>
        <w:tc>
          <w:tcPr>
            <w:tcW w:w="77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83"/>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Cash fows from investng actvites</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r>
      <w:tr>
        <w:trPr>
          <w:trHeight w:val="170"/>
        </w:trPr>
        <w:tc>
          <w:tcPr>
            <w:tcW w:w="7720" w:type="dxa"/>
            <w:vAlign w:val="bottom"/>
          </w:tcPr>
          <w:p>
            <w:pPr>
              <w:ind w:left="20"/>
              <w:spacing w:after="0"/>
              <w:rPr>
                <w:sz w:val="20"/>
                <w:szCs w:val="20"/>
                <w:color w:val="auto"/>
              </w:rPr>
            </w:pPr>
            <w:r>
              <w:rPr>
                <w:rFonts w:ascii="Calibri" w:cs="Calibri" w:eastAsia="Calibri" w:hAnsi="Calibri"/>
                <w:sz w:val="14"/>
                <w:szCs w:val="14"/>
                <w:color w:val="auto"/>
              </w:rPr>
              <w:t>Cash paid for property, plant and equipment</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(1,041 )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(328 )</w:t>
            </w:r>
          </w:p>
        </w:tc>
      </w:tr>
      <w:tr>
        <w:trPr>
          <w:trHeight w:val="3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1"/>
        </w:trPr>
        <w:tc>
          <w:tcPr>
            <w:tcW w:w="772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Net cash used in investng actvites</w:t>
            </w:r>
          </w:p>
        </w:tc>
        <w:tc>
          <w:tcPr>
            <w:tcW w:w="9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(1,041 )</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(328 )</w:t>
            </w:r>
          </w:p>
        </w:tc>
      </w:tr>
      <w:tr>
        <w:trPr>
          <w:trHeight w:val="196"/>
        </w:trPr>
        <w:tc>
          <w:tcPr>
            <w:tcW w:w="77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83"/>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Cash fows from fnancing actvites</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r>
      <w:tr>
        <w:trPr>
          <w:trHeight w:val="170"/>
        </w:trPr>
        <w:tc>
          <w:tcPr>
            <w:tcW w:w="7720" w:type="dxa"/>
            <w:vAlign w:val="bottom"/>
          </w:tcPr>
          <w:p>
            <w:pPr>
              <w:ind w:left="20"/>
              <w:spacing w:after="0"/>
              <w:rPr>
                <w:sz w:val="20"/>
                <w:szCs w:val="20"/>
                <w:color w:val="auto"/>
              </w:rPr>
            </w:pPr>
            <w:r>
              <w:rPr>
                <w:rFonts w:ascii="Calibri" w:cs="Calibri" w:eastAsia="Calibri" w:hAnsi="Calibri"/>
                <w:sz w:val="14"/>
                <w:szCs w:val="14"/>
                <w:color w:val="auto"/>
              </w:rPr>
              <w:t>Proceeds from issuance of common stock from exercise of stock optons</w:t>
            </w:r>
          </w:p>
        </w:tc>
        <w:tc>
          <w:tcPr>
            <w:tcW w:w="9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1,944</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Repayment of long-term debt</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(54,125 )</w:t>
            </w:r>
          </w:p>
        </w:tc>
      </w:tr>
      <w:tr>
        <w:trPr>
          <w:trHeight w:val="170"/>
        </w:trPr>
        <w:tc>
          <w:tcPr>
            <w:tcW w:w="7720" w:type="dxa"/>
            <w:vAlign w:val="bottom"/>
          </w:tcPr>
          <w:p>
            <w:pPr>
              <w:ind w:left="20"/>
              <w:spacing w:after="0"/>
              <w:rPr>
                <w:sz w:val="20"/>
                <w:szCs w:val="20"/>
                <w:color w:val="auto"/>
              </w:rPr>
            </w:pPr>
            <w:r>
              <w:rPr>
                <w:rFonts w:ascii="Calibri" w:cs="Calibri" w:eastAsia="Calibri" w:hAnsi="Calibri"/>
                <w:sz w:val="14"/>
                <w:szCs w:val="14"/>
                <w:color w:val="auto"/>
              </w:rPr>
              <w:t>Net proceeds from issuance of long-term debt</w:t>
            </w:r>
          </w:p>
        </w:tc>
        <w:tc>
          <w:tcPr>
            <w:tcW w:w="9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96,889</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Net proceeds from revenue interest fnancing transacton</w:t>
            </w:r>
          </w:p>
        </w:tc>
        <w:tc>
          <w:tcPr>
            <w:tcW w:w="9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95,446</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70"/>
        </w:trPr>
        <w:tc>
          <w:tcPr>
            <w:tcW w:w="7720" w:type="dxa"/>
            <w:vAlign w:val="bottom"/>
          </w:tcPr>
          <w:p>
            <w:pPr>
              <w:ind w:left="20"/>
              <w:spacing w:after="0"/>
              <w:rPr>
                <w:sz w:val="20"/>
                <w:szCs w:val="20"/>
                <w:color w:val="auto"/>
              </w:rPr>
            </w:pPr>
            <w:r>
              <w:rPr>
                <w:rFonts w:ascii="Calibri" w:cs="Calibri" w:eastAsia="Calibri" w:hAnsi="Calibri"/>
                <w:sz w:val="14"/>
                <w:szCs w:val="14"/>
                <w:color w:val="auto"/>
              </w:rPr>
              <w:t>Net proceeds from issuance of common stock under ATM facility</w:t>
            </w:r>
          </w:p>
        </w:tc>
        <w:tc>
          <w:tcPr>
            <w:tcW w:w="9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alibri" w:cs="Calibri" w:eastAsia="Calibri" w:hAnsi="Calibri"/>
                <w:sz w:val="14"/>
                <w:szCs w:val="14"/>
                <w:color w:val="auto"/>
              </w:rPr>
              <w:t>24,596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alibri" w:cs="Calibri" w:eastAsia="Calibri" w:hAnsi="Calibri"/>
                <w:sz w:val="14"/>
                <w:szCs w:val="14"/>
                <w:color w:val="auto"/>
              </w:rPr>
              <w:t>—</w:t>
            </w:r>
          </w:p>
        </w:tc>
      </w:tr>
      <w:tr>
        <w:trPr>
          <w:trHeight w:val="3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1"/>
        </w:trPr>
        <w:tc>
          <w:tcPr>
            <w:tcW w:w="772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Net cash provided by fnancing actvites</w:t>
            </w:r>
          </w:p>
        </w:tc>
        <w:tc>
          <w:tcPr>
            <w:tcW w:w="9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120,042</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ind w:right="48"/>
              <w:spacing w:after="0" w:line="164" w:lineRule="exact"/>
              <w:rPr>
                <w:sz w:val="20"/>
                <w:szCs w:val="20"/>
                <w:color w:val="auto"/>
              </w:rPr>
            </w:pPr>
            <w:r>
              <w:rPr>
                <w:rFonts w:ascii="Calibri" w:cs="Calibri" w:eastAsia="Calibri" w:hAnsi="Calibri"/>
                <w:sz w:val="14"/>
                <w:szCs w:val="14"/>
                <w:color w:val="auto"/>
              </w:rPr>
              <w:t>44,708</w:t>
            </w:r>
          </w:p>
        </w:tc>
      </w:tr>
      <w:tr>
        <w:trPr>
          <w:trHeight w:val="163"/>
        </w:trPr>
        <w:tc>
          <w:tcPr>
            <w:tcW w:w="7720" w:type="dxa"/>
            <w:vAlign w:val="bottom"/>
            <w:tcBorders>
              <w:top w:val="single" w:sz="8" w:color="CFF0FC"/>
            </w:tcBorders>
          </w:tcPr>
          <w:p>
            <w:pPr>
              <w:ind w:left="20"/>
              <w:spacing w:after="0" w:line="164" w:lineRule="exact"/>
              <w:rPr>
                <w:sz w:val="20"/>
                <w:szCs w:val="20"/>
                <w:color w:val="auto"/>
              </w:rPr>
            </w:pPr>
            <w:r>
              <w:rPr>
                <w:rFonts w:ascii="Calibri" w:cs="Calibri" w:eastAsia="Calibri" w:hAnsi="Calibri"/>
                <w:sz w:val="14"/>
                <w:szCs w:val="14"/>
                <w:color w:val="auto"/>
              </w:rPr>
              <w:t>Net decrease in cash and cash equivalents and restricted cash</w:t>
            </w:r>
          </w:p>
        </w:tc>
        <w:tc>
          <w:tcPr>
            <w:tcW w:w="9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(27,529 )</w:t>
            </w:r>
          </w:p>
        </w:tc>
        <w:tc>
          <w:tcPr>
            <w:tcW w:w="1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(104,077 )</w:t>
            </w: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8"/>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Cash and cash equivalents and restricted cash – beginning of period</w:t>
            </w:r>
          </w:p>
        </w:tc>
        <w:tc>
          <w:tcPr>
            <w:tcW w:w="9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183,419</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287,496</w:t>
            </w:r>
          </w:p>
        </w:tc>
      </w:tr>
      <w:tr>
        <w:trPr>
          <w:trHeight w:val="163"/>
        </w:trPr>
        <w:tc>
          <w:tcPr>
            <w:tcW w:w="7720" w:type="dxa"/>
            <w:vAlign w:val="bottom"/>
            <w:tcBorders>
              <w:top w:val="single" w:sz="8" w:color="CFF0FC"/>
            </w:tcBorders>
          </w:tcPr>
          <w:p>
            <w:pPr>
              <w:ind w:left="20"/>
              <w:spacing w:after="0" w:line="164" w:lineRule="exact"/>
              <w:rPr>
                <w:sz w:val="20"/>
                <w:szCs w:val="20"/>
                <w:color w:val="auto"/>
              </w:rPr>
            </w:pPr>
            <w:r>
              <w:rPr>
                <w:rFonts w:ascii="Calibri" w:cs="Calibri" w:eastAsia="Calibri" w:hAnsi="Calibri"/>
                <w:sz w:val="14"/>
                <w:szCs w:val="14"/>
                <w:color w:val="auto"/>
              </w:rPr>
              <w:t>Cash and cash equivalents and restricted cash – end of period</w:t>
            </w:r>
          </w:p>
        </w:tc>
        <w:tc>
          <w:tcPr>
            <w:tcW w:w="980" w:type="dxa"/>
            <w:vAlign w:val="bottom"/>
            <w:tcBorders>
              <w:top w:val="single" w:sz="8" w:color="auto"/>
            </w:tcBorders>
          </w:tcPr>
          <w:p>
            <w:pPr>
              <w:jc w:val="right"/>
              <w:ind w:right="808"/>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155,890</w:t>
            </w:r>
          </w:p>
        </w:tc>
        <w:tc>
          <w:tcPr>
            <w:tcW w:w="1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jc w:val="right"/>
              <w:ind w:right="20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183,419</w:t>
            </w:r>
          </w:p>
        </w:tc>
      </w:tr>
      <w:tr>
        <w:trPr>
          <w:trHeight w:val="3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170"/>
        </w:trPr>
        <w:tc>
          <w:tcPr>
            <w:tcW w:w="7720" w:type="dxa"/>
            <w:vAlign w:val="bottom"/>
          </w:tcPr>
          <w:p>
            <w:pPr>
              <w:ind w:left="20"/>
              <w:spacing w:after="0"/>
              <w:rPr>
                <w:sz w:val="20"/>
                <w:szCs w:val="20"/>
                <w:color w:val="auto"/>
              </w:rPr>
            </w:pPr>
            <w:r>
              <w:rPr>
                <w:rFonts w:ascii="Calibri" w:cs="Calibri" w:eastAsia="Calibri" w:hAnsi="Calibri"/>
                <w:sz w:val="14"/>
                <w:szCs w:val="14"/>
                <w:b w:val="1"/>
                <w:bCs w:val="1"/>
                <w:color w:val="auto"/>
              </w:rPr>
              <w:t>Supplemental disclosure of cash fow informaton</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Interest paid</w:t>
            </w:r>
          </w:p>
        </w:tc>
        <w:tc>
          <w:tcPr>
            <w:tcW w:w="980" w:type="dxa"/>
            <w:vAlign w:val="bottom"/>
            <w:tcBorders>
              <w:bottom w:val="single" w:sz="8" w:color="CFF0FC"/>
            </w:tcBorders>
            <w:shd w:val="clear" w:color="auto" w:fill="CFF0FC"/>
          </w:tcPr>
          <w:p>
            <w:pPr>
              <w:jc w:val="right"/>
              <w:ind w:right="808"/>
              <w:spacing w:after="0"/>
              <w:rPr>
                <w:sz w:val="20"/>
                <w:szCs w:val="20"/>
                <w:color w:val="auto"/>
              </w:rPr>
            </w:pPr>
            <w:r>
              <w:rPr>
                <w:rFonts w:ascii="Calibri" w:cs="Calibri" w:eastAsia="Calibri" w:hAnsi="Calibri"/>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7,033</w:t>
            </w:r>
          </w:p>
        </w:tc>
        <w:tc>
          <w:tcPr>
            <w:tcW w:w="54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4,069</w:t>
            </w:r>
          </w:p>
        </w:tc>
      </w:tr>
      <w:tr>
        <w:trPr>
          <w:trHeight w:val="150"/>
        </w:trPr>
        <w:tc>
          <w:tcPr>
            <w:tcW w:w="7720" w:type="dxa"/>
            <w:vAlign w:val="bottom"/>
            <w:tcBorders>
              <w:top w:val="single" w:sz="8" w:color="CFF0FC"/>
            </w:tcBorders>
          </w:tcPr>
          <w:p>
            <w:pPr>
              <w:ind w:left="20"/>
              <w:spacing w:after="0" w:line="151" w:lineRule="exact"/>
              <w:rPr>
                <w:sz w:val="20"/>
                <w:szCs w:val="20"/>
                <w:color w:val="auto"/>
              </w:rPr>
            </w:pPr>
            <w:r>
              <w:rPr>
                <w:rFonts w:ascii="Calibri" w:cs="Calibri" w:eastAsia="Calibri" w:hAnsi="Calibri"/>
                <w:sz w:val="14"/>
                <w:szCs w:val="14"/>
                <w:b w:val="1"/>
                <w:bCs w:val="1"/>
                <w:color w:val="auto"/>
              </w:rPr>
              <w:t>Supplemental disclosure of noncash investng and fnancing actvites</w:t>
            </w:r>
          </w:p>
        </w:tc>
        <w:tc>
          <w:tcPr>
            <w:tcW w:w="9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3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Issuance of common stock warrants in connecton with long-term debt</w:t>
            </w:r>
          </w:p>
        </w:tc>
        <w:tc>
          <w:tcPr>
            <w:tcW w:w="980" w:type="dxa"/>
            <w:vAlign w:val="bottom"/>
            <w:tcBorders>
              <w:bottom w:val="single" w:sz="8" w:color="CFF0FC"/>
            </w:tcBorders>
            <w:shd w:val="clear" w:color="auto" w:fill="CFF0FC"/>
          </w:tcPr>
          <w:p>
            <w:pPr>
              <w:jc w:val="right"/>
              <w:ind w:right="808"/>
              <w:spacing w:after="0"/>
              <w:rPr>
                <w:sz w:val="20"/>
                <w:szCs w:val="20"/>
                <w:color w:val="auto"/>
              </w:rPr>
            </w:pPr>
            <w:r>
              <w:rPr>
                <w:rFonts w:ascii="Calibri" w:cs="Calibri" w:eastAsia="Calibri" w:hAnsi="Calibri"/>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54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1,290</w:t>
            </w:r>
          </w:p>
        </w:tc>
      </w:tr>
      <w:tr>
        <w:trPr>
          <w:trHeight w:val="150"/>
        </w:trPr>
        <w:tc>
          <w:tcPr>
            <w:tcW w:w="7720" w:type="dxa"/>
            <w:vAlign w:val="bottom"/>
            <w:tcBorders>
              <w:top w:val="single" w:sz="8" w:color="CFF0FC"/>
            </w:tcBorders>
          </w:tcPr>
          <w:p>
            <w:pPr>
              <w:ind w:left="20"/>
              <w:spacing w:after="0" w:line="151" w:lineRule="exact"/>
              <w:rPr>
                <w:sz w:val="20"/>
                <w:szCs w:val="20"/>
                <w:color w:val="auto"/>
              </w:rPr>
            </w:pPr>
            <w:r>
              <w:rPr>
                <w:rFonts w:ascii="Calibri" w:cs="Calibri" w:eastAsia="Calibri" w:hAnsi="Calibri"/>
                <w:sz w:val="14"/>
                <w:szCs w:val="14"/>
                <w:color w:val="auto"/>
              </w:rPr>
              <w:t>Property and equipment purchases included in accounts payable and accrued expenses</w:t>
            </w:r>
          </w:p>
        </w:tc>
        <w:tc>
          <w:tcPr>
            <w:tcW w:w="980" w:type="dxa"/>
            <w:vAlign w:val="bottom"/>
            <w:tcBorders>
              <w:top w:val="single" w:sz="8" w:color="auto"/>
            </w:tcBorders>
          </w:tcPr>
          <w:p>
            <w:pPr>
              <w:jc w:val="right"/>
              <w:ind w:right="808"/>
              <w:spacing w:after="0" w:line="151"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138</w:t>
            </w:r>
          </w:p>
        </w:tc>
        <w:tc>
          <w:tcPr>
            <w:tcW w:w="18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jc w:val="right"/>
              <w:ind w:right="208"/>
              <w:spacing w:after="0" w:line="151"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2</w:t>
            </w:r>
          </w:p>
        </w:tc>
      </w:tr>
      <w:tr>
        <w:trPr>
          <w:trHeight w:val="3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8"/>
        </w:trPr>
        <w:tc>
          <w:tcPr>
            <w:tcW w:w="7720" w:type="dxa"/>
            <w:vAlign w:val="bottom"/>
            <w:tcBorders>
              <w:bottom w:val="single" w:sz="8" w:color="CFF0FC"/>
            </w:tcBorders>
            <w:shd w:val="clear" w:color="auto" w:fill="CFF0FC"/>
          </w:tcPr>
          <w:p>
            <w:pPr>
              <w:ind w:left="20"/>
              <w:spacing w:after="0" w:line="151" w:lineRule="exact"/>
              <w:rPr>
                <w:sz w:val="20"/>
                <w:szCs w:val="20"/>
                <w:color w:val="auto"/>
              </w:rPr>
            </w:pPr>
            <w:r>
              <w:rPr>
                <w:rFonts w:ascii="Calibri" w:cs="Calibri" w:eastAsia="Calibri" w:hAnsi="Calibri"/>
                <w:sz w:val="14"/>
                <w:szCs w:val="14"/>
                <w:color w:val="auto"/>
              </w:rPr>
              <w:t>Final interest payment fee</w:t>
            </w:r>
          </w:p>
        </w:tc>
        <w:tc>
          <w:tcPr>
            <w:tcW w:w="980" w:type="dxa"/>
            <w:vAlign w:val="bottom"/>
            <w:tcBorders>
              <w:top w:val="single" w:sz="8" w:color="auto"/>
              <w:bottom w:val="single" w:sz="8" w:color="CFF0FC"/>
            </w:tcBorders>
            <w:shd w:val="clear" w:color="auto" w:fill="CFF0FC"/>
          </w:tcPr>
          <w:p>
            <w:pPr>
              <w:jc w:val="right"/>
              <w:ind w:right="808"/>
              <w:spacing w:after="0" w:line="151"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bottom w:val="single" w:sz="8" w:color="CFF0FC"/>
            </w:tcBorders>
            <w:shd w:val="clear" w:color="auto" w:fill="CFF0FC"/>
          </w:tcPr>
          <w:p>
            <w:pPr>
              <w:jc w:val="right"/>
              <w:ind w:right="48"/>
              <w:spacing w:after="0" w:line="151" w:lineRule="exact"/>
              <w:rPr>
                <w:sz w:val="20"/>
                <w:szCs w:val="20"/>
                <w:color w:val="auto"/>
              </w:rPr>
            </w:pPr>
            <w:r>
              <w:rPr>
                <w:rFonts w:ascii="Calibri" w:cs="Calibri" w:eastAsia="Calibri" w:hAnsi="Calibri"/>
                <w:sz w:val="14"/>
                <w:szCs w:val="14"/>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CFF0FC"/>
            </w:tcBorders>
            <w:shd w:val="clear" w:color="auto" w:fill="CFF0FC"/>
          </w:tcPr>
          <w:p>
            <w:pPr>
              <w:jc w:val="right"/>
              <w:ind w:right="208"/>
              <w:spacing w:after="0" w:line="151"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CFF0FC"/>
            </w:tcBorders>
            <w:shd w:val="clear" w:color="auto" w:fill="CFF0FC"/>
          </w:tcPr>
          <w:p>
            <w:pPr>
              <w:jc w:val="right"/>
              <w:ind w:right="48"/>
              <w:spacing w:after="0" w:line="151" w:lineRule="exact"/>
              <w:rPr>
                <w:sz w:val="20"/>
                <w:szCs w:val="20"/>
                <w:color w:val="auto"/>
              </w:rPr>
            </w:pPr>
            <w:r>
              <w:rPr>
                <w:rFonts w:ascii="Calibri" w:cs="Calibri" w:eastAsia="Calibri" w:hAnsi="Calibri"/>
                <w:sz w:val="14"/>
                <w:szCs w:val="14"/>
                <w:color w:val="auto"/>
              </w:rPr>
              <w:t>7,500</w:t>
            </w:r>
          </w:p>
        </w:tc>
      </w:tr>
      <w:tr>
        <w:trPr>
          <w:trHeight w:val="150"/>
        </w:trPr>
        <w:tc>
          <w:tcPr>
            <w:tcW w:w="7720" w:type="dxa"/>
            <w:vAlign w:val="bottom"/>
            <w:tcBorders>
              <w:top w:val="single" w:sz="8" w:color="CFF0FC"/>
            </w:tcBorders>
          </w:tcPr>
          <w:p>
            <w:pPr>
              <w:ind w:left="20"/>
              <w:spacing w:after="0" w:line="151" w:lineRule="exact"/>
              <w:rPr>
                <w:sz w:val="20"/>
                <w:szCs w:val="20"/>
                <w:color w:val="auto"/>
              </w:rPr>
            </w:pPr>
            <w:r>
              <w:rPr>
                <w:rFonts w:ascii="Calibri" w:cs="Calibri" w:eastAsia="Calibri" w:hAnsi="Calibri"/>
                <w:sz w:val="14"/>
                <w:szCs w:val="14"/>
                <w:color w:val="auto"/>
              </w:rPr>
              <w:t>Setlement of ESPP liability in common stock</w:t>
            </w:r>
          </w:p>
        </w:tc>
        <w:tc>
          <w:tcPr>
            <w:tcW w:w="980" w:type="dxa"/>
            <w:vAlign w:val="bottom"/>
            <w:tcBorders>
              <w:top w:val="single" w:sz="8" w:color="auto"/>
            </w:tcBorders>
          </w:tcPr>
          <w:p>
            <w:pPr>
              <w:jc w:val="right"/>
              <w:ind w:right="808"/>
              <w:spacing w:after="0" w:line="151"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909</w:t>
            </w:r>
          </w:p>
        </w:tc>
        <w:tc>
          <w:tcPr>
            <w:tcW w:w="18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jc w:val="right"/>
              <w:ind w:right="208"/>
              <w:spacing w:after="0" w:line="151"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819</w:t>
            </w:r>
          </w:p>
        </w:tc>
      </w:tr>
      <w:tr>
        <w:trPr>
          <w:trHeight w:val="3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8"/>
        </w:trPr>
        <w:tc>
          <w:tcPr>
            <w:tcW w:w="7720" w:type="dxa"/>
            <w:vAlign w:val="bottom"/>
            <w:tcBorders>
              <w:bottom w:val="single" w:sz="8" w:color="CFF0FC"/>
            </w:tcBorders>
            <w:shd w:val="clear" w:color="auto" w:fill="CFF0FC"/>
          </w:tcPr>
          <w:p>
            <w:pPr>
              <w:ind w:left="20"/>
              <w:spacing w:after="0" w:line="151" w:lineRule="exact"/>
              <w:rPr>
                <w:sz w:val="20"/>
                <w:szCs w:val="20"/>
                <w:color w:val="auto"/>
              </w:rPr>
            </w:pPr>
            <w:r>
              <w:rPr>
                <w:rFonts w:ascii="Calibri" w:cs="Calibri" w:eastAsia="Calibri" w:hAnsi="Calibri"/>
                <w:sz w:val="14"/>
                <w:szCs w:val="14"/>
                <w:color w:val="auto"/>
              </w:rPr>
              <w:t>Setlement of 401(k) liability in common stock</w:t>
            </w:r>
          </w:p>
        </w:tc>
        <w:tc>
          <w:tcPr>
            <w:tcW w:w="980" w:type="dxa"/>
            <w:vAlign w:val="bottom"/>
            <w:tcBorders>
              <w:top w:val="single" w:sz="8" w:color="auto"/>
              <w:bottom w:val="single" w:sz="8" w:color="CFF0FC"/>
            </w:tcBorders>
            <w:shd w:val="clear" w:color="auto" w:fill="CFF0FC"/>
          </w:tcPr>
          <w:p>
            <w:pPr>
              <w:jc w:val="right"/>
              <w:ind w:right="808"/>
              <w:spacing w:after="0" w:line="151"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bottom w:val="single" w:sz="8" w:color="CFF0FC"/>
            </w:tcBorders>
            <w:shd w:val="clear" w:color="auto" w:fill="CFF0FC"/>
          </w:tcPr>
          <w:p>
            <w:pPr>
              <w:jc w:val="right"/>
              <w:ind w:right="48"/>
              <w:spacing w:after="0" w:line="151" w:lineRule="exact"/>
              <w:rPr>
                <w:sz w:val="20"/>
                <w:szCs w:val="20"/>
                <w:color w:val="auto"/>
              </w:rPr>
            </w:pPr>
            <w:r>
              <w:rPr>
                <w:rFonts w:ascii="Calibri" w:cs="Calibri" w:eastAsia="Calibri" w:hAnsi="Calibri"/>
                <w:sz w:val="14"/>
                <w:szCs w:val="14"/>
                <w:color w:val="auto"/>
              </w:rPr>
              <w:t>1,116</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CFF0FC"/>
            </w:tcBorders>
            <w:shd w:val="clear" w:color="auto" w:fill="CFF0FC"/>
          </w:tcPr>
          <w:p>
            <w:pPr>
              <w:jc w:val="right"/>
              <w:ind w:right="208"/>
              <w:spacing w:after="0" w:line="151"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bottom w:val="single" w:sz="8" w:color="CFF0FC"/>
            </w:tcBorders>
            <w:shd w:val="clear" w:color="auto" w:fill="CFF0FC"/>
          </w:tcPr>
          <w:p>
            <w:pPr>
              <w:jc w:val="right"/>
              <w:ind w:right="48"/>
              <w:spacing w:after="0" w:line="151" w:lineRule="exact"/>
              <w:rPr>
                <w:sz w:val="20"/>
                <w:szCs w:val="20"/>
                <w:color w:val="auto"/>
              </w:rPr>
            </w:pPr>
            <w:r>
              <w:rPr>
                <w:rFonts w:ascii="Calibri" w:cs="Calibri" w:eastAsia="Calibri" w:hAnsi="Calibri"/>
                <w:sz w:val="14"/>
                <w:szCs w:val="14"/>
                <w:color w:val="auto"/>
              </w:rPr>
              <w:t>903</w:t>
            </w:r>
          </w:p>
        </w:tc>
      </w:tr>
      <w:tr>
        <w:trPr>
          <w:trHeight w:val="150"/>
        </w:trPr>
        <w:tc>
          <w:tcPr>
            <w:tcW w:w="7720" w:type="dxa"/>
            <w:vAlign w:val="bottom"/>
            <w:tcBorders>
              <w:top w:val="single" w:sz="8" w:color="CFF0FC"/>
            </w:tcBorders>
          </w:tcPr>
          <w:p>
            <w:pPr>
              <w:ind w:left="20"/>
              <w:spacing w:after="0" w:line="151" w:lineRule="exact"/>
              <w:rPr>
                <w:sz w:val="20"/>
                <w:szCs w:val="20"/>
                <w:color w:val="auto"/>
              </w:rPr>
            </w:pPr>
            <w:r>
              <w:rPr>
                <w:rFonts w:ascii="Calibri" w:cs="Calibri" w:eastAsia="Calibri" w:hAnsi="Calibri"/>
                <w:sz w:val="14"/>
                <w:szCs w:val="14"/>
                <w:color w:val="auto"/>
              </w:rPr>
              <w:t>Operatng lease liabilites arising from obtaining right-of-use assets</w:t>
            </w:r>
          </w:p>
        </w:tc>
        <w:tc>
          <w:tcPr>
            <w:tcW w:w="980" w:type="dxa"/>
            <w:vAlign w:val="bottom"/>
            <w:tcBorders>
              <w:top w:val="single" w:sz="8" w:color="auto"/>
            </w:tcBorders>
          </w:tcPr>
          <w:p>
            <w:pPr>
              <w:jc w:val="right"/>
              <w:ind w:right="808"/>
              <w:spacing w:after="0" w:line="151"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554</w:t>
            </w:r>
          </w:p>
        </w:tc>
        <w:tc>
          <w:tcPr>
            <w:tcW w:w="18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jc w:val="right"/>
              <w:ind w:right="208"/>
              <w:spacing w:after="0" w:line="151"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tcBorders>
          </w:tcPr>
          <w:p>
            <w:pPr>
              <w:jc w:val="right"/>
              <w:ind w:right="48"/>
              <w:spacing w:after="0" w:line="151" w:lineRule="exact"/>
              <w:rPr>
                <w:sz w:val="20"/>
                <w:szCs w:val="20"/>
                <w:color w:val="auto"/>
              </w:rPr>
            </w:pPr>
            <w:r>
              <w:rPr>
                <w:rFonts w:ascii="Calibri" w:cs="Calibri" w:eastAsia="Calibri" w:hAnsi="Calibri"/>
                <w:sz w:val="14"/>
                <w:szCs w:val="14"/>
                <w:color w:val="auto"/>
              </w:rPr>
              <w:t>—</w:t>
            </w:r>
          </w:p>
        </w:tc>
      </w:tr>
      <w:tr>
        <w:trPr>
          <w:trHeight w:val="3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-3471545</wp:posOffset>
            </wp:positionV>
            <wp:extent cx="11112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-2939415</wp:posOffset>
            </wp:positionV>
            <wp:extent cx="11112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-1893570</wp:posOffset>
            </wp:positionV>
            <wp:extent cx="111125"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-1628140</wp:posOffset>
            </wp:positionV>
            <wp:extent cx="111125"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111125"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-796290</wp:posOffset>
            </wp:positionV>
            <wp:extent cx="111125"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-488315</wp:posOffset>
            </wp:positionV>
            <wp:extent cx="111125"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-179705</wp:posOffset>
            </wp:positionV>
            <wp:extent cx="111125" cy="180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18034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9" w:name="page170"/>
    <w:bookmarkEnd w:id="169"/>
    <w:p>
      <w:pPr>
        <w:jc w:val="center"/>
        <w:ind w:right="-19"/>
        <w:spacing w:after="0"/>
        <w:rPr>
          <w:sz w:val="20"/>
          <w:szCs w:val="20"/>
          <w:color w:val="auto"/>
        </w:rPr>
      </w:pPr>
      <w:r>
        <w:rPr>
          <w:rFonts w:ascii="Calibri" w:cs="Calibri" w:eastAsia="Calibri" w:hAnsi="Calibri"/>
          <w:sz w:val="18"/>
          <w:szCs w:val="18"/>
          <w:b w:val="1"/>
          <w:bCs w:val="1"/>
          <w:color w:val="auto"/>
        </w:rPr>
        <w:t>PHATHOM PHARMACEUTICALS, INC.</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Notes to Financial Statements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Organizaton, Basis of Presentaton and Summary of Signifcant Accountng Policies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Organizaton and Basis of Presentaton</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Phathom Pharmaceutcals, Inc., or the Company or Phathom, was incorporated in the state of Delaware in January 2018. The Company is a biopharmaceutcal company focused on developing and commercializing novel treatments for gastrointestnal diseases. The Company’s fnancial statements are prepared in accordance with U.S. generally accepted accountng principles, or GAAP.</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 and Capital Resources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From incepton to December 31, 2022, the Company has devoted substantally all of its eforts to organizing and stafng the Company, business planning, raising capital, in-licensing its inital product candidate, vonoprazan, meetng with regulatory authorites, managing the clinical trials of vonoprazan, preparing for commercializaton of its inital products containing vonoprazan, and providing other general and administratve support for these operatons. The Company has a limited operatng history, has never generated any revenue, and the sales and income potental of its business is unproven. The Company has incurred net losses and negatve cash fows from operatng actvites since its incepton and expects to contnue to incur additonal net losses in the future as it contnues to develop and prepares for commercializaton of vonoprazan. From incepton to December 31, 2022, the Company has funded its operatons through the issuance of convertble promissory notes, commercial bank debt, revenue interest fnancing debt, the sale of 10,997,630 shares of common stock for net proceeds of approximately $191.5 million in its 2019 IPO, the sale of 2,250,000 shares of common stock for net proceeds of approximately $88.6 million in its December 2020 follow-on public ofering, and the sale of 2,414,897 shares of common stock for net proceeds of approximately $24.6 million in its September 2022 issuance of common stock under the ATM Ofering.</w:t>
      </w:r>
    </w:p>
    <w:p>
      <w:pPr>
        <w:spacing w:after="0" w:line="18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accompanying fnancial statements have been prepared assuming the Company will contnue as a going concern, which contemplates the realizaton of assets and the satsfacton of liabilites in the normal course of business, and do not include any adjustments to refect the possible future efects on the recoverability and classifcaton of assets or amounts and classifcaton of liabilites. Management is required to perform a two-step analysis over the Company’s ability to contnue as a going concern. Management must frst evaluate whether there are conditons and events that raise substantal doubt about the Company’s ability to contnue as a going concern (Step 1). If management concludes that substantal doubt is raised, management is also required to consider whether its plans alleviate that doubt (Step 2).</w:t>
      </w:r>
    </w:p>
    <w:p>
      <w:pPr>
        <w:spacing w:after="0" w:line="181"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Management believes that it has sufcient working capital on hand to fund operatons through at least the next twelve months from the date these fnancial statements were available to be issued. There can be no assurance that the Company will be successful in acquiring additonal funding, if needed, that the Company’s projectons of its future working capital needs will prove accurate, or that any additonal funding would be sufcient to contnue operatons in future years.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0" w:name="page171"/>
    <w:bookmarkEnd w:id="170"/>
    <w:p>
      <w:pPr>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preparaton of the Company’s fnancial statements requires it to make estmates and assumptons that impact the reported amounts of assets, liabilites and expenses and the disclosure of contngent assets and liabilites in the Company’s fnancial statements and accompanying notes. The most signifcant estmates in the Company’s fnancial statements relate to accruals for research and development expenses, and the valuaton of warrant liabilites and various other equity instruments. Although these estmates are based on the Company’s knowledge of current events and actons it may undertake in the future, actual results could difer materially from those estmates and assumptons.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 Measurements</w:t>
      </w:r>
    </w:p>
    <w:p>
      <w:pPr>
        <w:spacing w:after="0" w:line="177" w:lineRule="exact"/>
        <w:rPr>
          <w:sz w:val="20"/>
          <w:szCs w:val="20"/>
          <w:color w:val="auto"/>
        </w:rPr>
      </w:pPr>
    </w:p>
    <w:p>
      <w:pPr>
        <w:ind w:right="200" w:firstLine="509"/>
        <w:spacing w:after="0" w:line="251" w:lineRule="auto"/>
        <w:rPr>
          <w:sz w:val="20"/>
          <w:szCs w:val="20"/>
          <w:color w:val="auto"/>
        </w:rPr>
      </w:pPr>
      <w:r>
        <w:rPr>
          <w:rFonts w:ascii="Calibri" w:cs="Calibri" w:eastAsia="Calibri" w:hAnsi="Calibri"/>
          <w:sz w:val="17"/>
          <w:szCs w:val="17"/>
          <w:color w:val="auto"/>
        </w:rPr>
        <w:t>The accountng guidance defnes fair value, establishes a consistent framework for measuring fair value and expands disclosure for each major asset and liability category measured at fair value on either a recurring or non-recurring basis. Fair value is defned as an exit price, representng the amount that would be received to sell an asset or paid to transfer a liability in an orderly transacton between market partcipants. As such, fair value is a market-based measurement that should be determined based on assumptons that market partcipants would use in pricing an asset or liability. As a basis for considering such assumptons, the accountng guidance establishes a three-ter fair value hierarchy, which prioritzes the inputs used in measuring fair value as follows:</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color w:val="auto"/>
        </w:rPr>
        <w:t>Level 1: Observable inputs such as quoted prices in actve markets.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Level 2: Inputs, other than the quoted prices in actve markets that are observable either directly or indirectly.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Level 3: Unobservable inputs in which there is litle or no market data, which require the reportng entty to develop its own assumptons.</w:t>
      </w:r>
    </w:p>
    <w:p>
      <w:pPr>
        <w:spacing w:after="0" w:line="190" w:lineRule="exact"/>
        <w:rPr>
          <w:sz w:val="20"/>
          <w:szCs w:val="20"/>
          <w:color w:val="auto"/>
        </w:rPr>
      </w:pPr>
    </w:p>
    <w:p>
      <w:pPr>
        <w:jc w:val="both"/>
        <w:ind w:right="520" w:firstLine="509"/>
        <w:spacing w:after="0" w:line="258" w:lineRule="auto"/>
        <w:rPr>
          <w:sz w:val="20"/>
          <w:szCs w:val="20"/>
          <w:color w:val="auto"/>
        </w:rPr>
      </w:pPr>
      <w:r>
        <w:rPr>
          <w:rFonts w:ascii="Calibri" w:cs="Calibri" w:eastAsia="Calibri" w:hAnsi="Calibri"/>
          <w:sz w:val="17"/>
          <w:szCs w:val="17"/>
          <w:color w:val="auto"/>
        </w:rPr>
        <w:t>The carrying amounts of the Company’s fnancial instruments, including cash and cash equivalents, are classifed within the Level 1 designaton discussed above, while prepaid and other current assets, accounts payable, and accrued liabilites, approximate fair value due to their short maturites.</w:t>
      </w:r>
    </w:p>
    <w:p>
      <w:pPr>
        <w:spacing w:after="0" w:line="16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no fnancial assets measured at fair value on a recurring basis. None of the Company’s non-fnancial assets or liabilites are recorded at fair value on a non-recurring basis. No transfers between levels have occurred during the periods presented.</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December 31, 2022, the estmated fair value of the Company’s long-term debt approximated the carrying amount given its foatng interest rate basis. The fair value of the Company’s long-term debt was estmated for disclosure purposes only and was determined based on quoted market data for valuaton, and thus categorized as Level 2 in the fair value hierarchy.</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and Cash Equivalents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considers all highly liquid investments with original maturites of three months or less when purchased to be cash equivalents. Cash and cash equivalents include cash in readily available checking accounts and money market funds.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Concentratons of Credit Risk</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Financial instruments that potentally subject the Company to signifcant concentratons of credit risk consist primarily of cash and cash equivalents. The Company maintains deposits in federally insured fnancial insttutons in excess of federally insured limits. The Company has not experienced any losses in such accounts and management believes that the Company is not exposed to signifcant credit risk due to the fnancial positon of the depository insttutons in which those deposits are held.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71" w:name="page172"/>
    <w:bookmarkEnd w:id="171"/>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Property, plant and equipment are recorded at cost, less accumulated depreciaton. Depreciaton expense is recognized using the straight-line method over the useful life of the asset. Computer equipment and related sofware are depreciated over two to three years. Furniture and fxtures are depreciated over three years. Leasehold improvements are amortzed over the lesser of the lease term or the estmated useful lives of the related assets. Expenditures for repairs and maintenance of assets are charged to expense as incurred. Upon retrement or sale, the cost and related accumulated depreciaton of assets disposed of are removed from the accounts and any resultng gain or loss is included in loss from operatons.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Long-Lived Assets</w:t>
      </w:r>
    </w:p>
    <w:p>
      <w:pPr>
        <w:spacing w:after="0" w:line="17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estmated undiscounted future cash fows expected to result from the use of the asset and its eventual dispositon are less than the carrying amount. The impairment loss, if recognized, would be based on the excess of the carrying value of the impaired asset over its respectve fair value. No impairment losses have been recorded through December 31, 2022.</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4" w:right="379" w:bottom="1440" w:gutter="0" w:footer="0" w:header="0"/>
        </w:sectPr>
      </w:pPr>
    </w:p>
    <w:bookmarkStart w:id="172" w:name="page173"/>
    <w:bookmarkEnd w:id="172"/>
    <w:p>
      <w:pPr>
        <w:spacing w:after="0"/>
        <w:rPr>
          <w:sz w:val="20"/>
          <w:szCs w:val="20"/>
          <w:color w:val="auto"/>
        </w:rPr>
      </w:pPr>
      <w:r>
        <w:rPr>
          <w:rFonts w:ascii="Calibri" w:cs="Calibri" w:eastAsia="Calibri" w:hAnsi="Calibri"/>
          <w:sz w:val="18"/>
          <w:szCs w:val="18"/>
          <w:b w:val="1"/>
          <w:bCs w:val="1"/>
          <w:i w:val="1"/>
          <w:iCs w:val="1"/>
          <w:color w:val="auto"/>
        </w:rPr>
        <w:t>Leases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At the incepton of a contractual arrangement, the Company determines whether the contract contains a lease by assessing whether there is an identfed asset and whether the contract conveys the right to control the use of the identfed asset in exchange for consideraton over a period of tme.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additonally evaluates leases at their incepton to determine if they are to be accounted for as an operatng lease or a fnance lease. A lease is accounted for as a fnance lease if it meets one of the following fve criteria: the lease has a purchase opton that is reasonably certain of being exercised, the present value of the future cash fows is substantally all of the fair market value of the underlying asset, the lease term is for a signifcant porton of the remaining economic life of the underlying asset, the ttle to the underlying asset transfers at the end of the lease term, or if the underlying asset is of such a specialized nature that it is expected to have no alternatve uses to the lessor at the end of the term. Leases that do not meet the fnance lease criteria are accounted for as an operatng lease. Operatng lease assets represent a right to use an underlying asset for the lease term and operatng lease liabilites represent an obligaton to make lease payments arising from the lease. Operatng lease liabilites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inital direct costs paid or incentves received. As the Company’s leases do not typically provide an implicit rate, the Company utlizes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operatng expenses in the period in which the obligaton for those payments is incurred. Variable lease payments primarily include common area maintenance, utlites, real estate taxes, insurance, and other operatng costs that are passed on from the lessor in proporton to the space leased by the Company. The Company has elected the practcal expedient to not separate between lease and non-lease components.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Liability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entered into a revenue interest fnancing agreement, or the Revenue Interest Financing Agreement, with enttes managed or advised by NovaQuest Capital Management, or NQ, Sagard Holdings Manager LP, or Sagard, and Hercules Capital, Inc., or Hercules, together with NQ and Sagard, the Inital Investors, in which the Company received funds in return for royaltes on net sales of products containing vonoprazan. The net proceeds received under the transacton were recognized as short-term and long-term liabilites with interest expense based on an imputed efectve rate derived from the expected future payments. The Company recalculates the efectve interest rate each period based on the current carrying value and the revised estmated future payments. Changes in future payments from previous estmates are included in current and future fnancing expense.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73" w:name="page174"/>
    <w:bookmarkEnd w:id="173"/>
    <w:p>
      <w:pPr>
        <w:spacing w:after="0"/>
        <w:rPr>
          <w:sz w:val="20"/>
          <w:szCs w:val="20"/>
          <w:color w:val="auto"/>
        </w:rPr>
      </w:pPr>
      <w:r>
        <w:rPr>
          <w:rFonts w:ascii="Calibri" w:cs="Calibri" w:eastAsia="Calibri" w:hAnsi="Calibri"/>
          <w:sz w:val="18"/>
          <w:szCs w:val="18"/>
          <w:b w:val="1"/>
          <w:bCs w:val="1"/>
          <w:i w:val="1"/>
          <w:iCs w:val="1"/>
          <w:color w:val="auto"/>
        </w:rPr>
        <w:t>Research and Development Expenses and Accruals</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All research and development costs are expensed in the period incurred and consist primarily of salaries, payroll taxes, employee benefts, stock-based compensaton charges for those individuals involved in research and development eforts, external research and development costs incurred under agreements with contract research organizatons and consultants to conduct and support the Company’s ongoing clinical trials of vonoprazan, and costs related to manufacturing vonoprazan for clinical trials.</w:t>
      </w:r>
    </w:p>
    <w:p>
      <w:pPr>
        <w:spacing w:after="0" w:line="1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entered into various research and development contracts with clinical research organizatons, clinical manufacturing organizatons and other companies. Payments for these actvites are based on the terms of the individual agreements, which may difer from the patern of costs incurred, and payments made in advance of or afer performance are refected in the accompanying balance sheets as prepaid expenses or accrued liabilites, respectvely. The Company records accruals for estmated costs incurred for ongoing research and development actvites. When evaluatng the adequacy of the accrued liabilites, the Company analyzes progress of the services, including the phase or completon of events, invoices received and contracted costs. Signifcant judgments and estmates may be made in determining the prepaid or accrued balances at the end of any reportng period. Actual results could difer from the Company’s estmates.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In-Process Research and Development</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evaluates whether acquired intangible assets are a business under applicable accountng standards. Additonally, the Company evaluates whether the acquired assets have a future alternatve use. Intangible assets that do not have future alternatve use are considered acquired in-process research and development. When the acquired in-process research and development assets are not part of a business combinaton, the value of the consideraton paid is expensed on the acquisiton date. Future costs to develop these assets are recorded to research and development expense as they are incurred.</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General and Administratve Expenses</w:t>
      </w:r>
    </w:p>
    <w:p>
      <w:pPr>
        <w:spacing w:after="0" w:line="177" w:lineRule="exact"/>
        <w:rPr>
          <w:sz w:val="20"/>
          <w:szCs w:val="20"/>
          <w:color w:val="auto"/>
        </w:rPr>
      </w:pPr>
    </w:p>
    <w:p>
      <w:pPr>
        <w:ind w:right="40" w:firstLine="509"/>
        <w:spacing w:after="0" w:line="258" w:lineRule="auto"/>
        <w:rPr>
          <w:sz w:val="20"/>
          <w:szCs w:val="20"/>
          <w:color w:val="auto"/>
        </w:rPr>
      </w:pPr>
      <w:r>
        <w:rPr>
          <w:rFonts w:ascii="Calibri" w:cs="Calibri" w:eastAsia="Calibri" w:hAnsi="Calibri"/>
          <w:sz w:val="17"/>
          <w:szCs w:val="17"/>
          <w:color w:val="auto"/>
        </w:rPr>
        <w:t>General and administratve expenses consist of salaries, stock-based compensaton, facilites and third-party expenses. General and administratve expenses are associated with the actvites of the executve, fnance, accountng, informaton technology, legal, medical afairs and human resource functons.</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w:t>
      </w:r>
    </w:p>
    <w:p>
      <w:pPr>
        <w:spacing w:after="0" w:line="177" w:lineRule="exact"/>
        <w:rPr>
          <w:sz w:val="20"/>
          <w:szCs w:val="20"/>
          <w:color w:val="auto"/>
        </w:rPr>
      </w:pPr>
    </w:p>
    <w:p>
      <w:pPr>
        <w:ind w:right="80" w:firstLine="509"/>
        <w:spacing w:after="0" w:line="254" w:lineRule="auto"/>
        <w:rPr>
          <w:sz w:val="20"/>
          <w:szCs w:val="20"/>
          <w:color w:val="auto"/>
        </w:rPr>
      </w:pPr>
      <w:r>
        <w:rPr>
          <w:rFonts w:ascii="Calibri" w:cs="Calibri" w:eastAsia="Calibri" w:hAnsi="Calibri"/>
          <w:sz w:val="17"/>
          <w:szCs w:val="17"/>
          <w:color w:val="auto"/>
        </w:rPr>
        <w:t>The Company also maintains an employee stock purchase program, or ESPP, under which it may issue shares. The Company estmates the fair value of stock optons and shares that will be issued under the ESPP using the Black-Scholes valuaton model, which requires the use of estmates. The Company recognizes stock-based compensaton cost for shares that it will issue under the ESPP on a straight-line basis over the requisite service period of the award.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74" w:name="page175"/>
    <w:bookmarkEnd w:id="174"/>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accounts for income taxes under the asset and liability method, which requires the recogniton of deferred tax assets and liabilites for the expected future tax consequences of events that have been included in the fnancial statements. Under this method, deferred tax assets and liabilites are determined on the basis of the diferences between the fnancial statements and tax basis of assets and liabilites using enacted tax rates in efect for the year in which the diferences are expected to reverse. The efect of a change in tax rates on deferred tax assets and liabilites is recognized in the statement of operatons in the period that includes the enactment date.</w:t>
      </w:r>
    </w:p>
    <w:p>
      <w:pPr>
        <w:spacing w:after="0" w:line="18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recognizes net deferred tax assets to the extent that the Company believes these assets are more likely than not to be realized. In making such a determinaton, management considers all available positve and negatve evidence, including future reversals of existng taxable temporary diferences, projected future taxable income, tax-planning strategies, and results of recent operatons. If management determines that the Company would be able to realize its deferred tax assets in the future in excess of their net recorded amount, management would make an adjustment to the deferred tax asset valuaton allowance, which would reduce the provision for income taxes.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records uncertain tax positons on the basis of a two-step process whereby (i) management determines whether it is more likely than not that the tax positons will be sustained on the basis of the technical merits of the positon and (ii) for those tax positons that meet the more-likely-than-not recogniton threshold, management recognizes the largest amount of tax beneft that is more than 50 percent likely to be realized upon ultmate setlement with the related tax authority. The Company recognizes interest and penaltes related to unrecognized tax benefts within income tax expense. Any accrued interest and penaltes are included within the related tax liability.</w:t>
      </w:r>
    </w:p>
    <w:p>
      <w:pPr>
        <w:spacing w:after="0" w:line="193"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Beginning in 2022, the Tax Cuts and Jobs Act, or TCJA, eliminates the opton to deduct research and development expenditures currently and requires taxpayers to amortze domestc and foreign research and development expenditures over 5 years and 15 years, respectvely. The requirement did not impact cash from operatons in the current period.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75" w:name="page176"/>
    <w:bookmarkEnd w:id="175"/>
    <w:p>
      <w:pPr>
        <w:spacing w:after="0"/>
        <w:rPr>
          <w:sz w:val="20"/>
          <w:szCs w:val="20"/>
          <w:color w:val="auto"/>
        </w:rPr>
      </w:pPr>
      <w:r>
        <w:rPr>
          <w:rFonts w:ascii="Calibri" w:cs="Calibri" w:eastAsia="Calibri" w:hAnsi="Calibri"/>
          <w:sz w:val="18"/>
          <w:szCs w:val="18"/>
          <w:b w:val="1"/>
          <w:bCs w:val="1"/>
          <w:i w:val="1"/>
          <w:iCs w:val="1"/>
          <w:color w:val="auto"/>
        </w:rPr>
        <w:t>Comprehensive Loss</w:t>
      </w:r>
    </w:p>
    <w:p>
      <w:pPr>
        <w:spacing w:after="0" w:line="190"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Comprehensive loss is defned as a change in equity during a period from transactons and other events and circumstances from non-owner sources.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comprehensive loss was the same as its reported net loss for all periods presented.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Reportng</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Operatng segments are identfed as components of an enterprise about which separate discrete fnancial informaton is available for evaluaton by the chief operatng decision maker in making decisions on how to allocate resources and assess performance. The Company views its operatons and manages its business as one operatng segment.</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Loss Per Share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Basic net loss per share is computed by dividing the net loss by the weighted-average number of common shares outstanding for the period, without consideraton for potentally dilutve securites. The Company included 7,588,000 shares of common stock under its warrant (the “Takeda Warrant”) issued to Takeda Pharmaceutcal Company Limited (“Takeda”) in connecton with a May 2019 license agreement (see Note 4) in the calculaton of basic weighted-average common shares outstanding from the tme it became exercisable at the Company’s IPO untl its exercise because the Takeda Warrant was exercisable for litle consideraton. As of December 31, 2022, all Takeda Warrants has been exercised and no Takeda Warrants remain exercisable. For the years ended December 31, 2022 and December 31, 2021, the Company has excluded weighted-average unvested shares of 686,703 and 1,939,252, respectvely, from the weighted-average number of common shares outstanding. Diluted net loss per share is computed by dividing the net loss by the weighted-average number of common shares and dilutve common stock equivalents outstanding for the period determined using the treasury-stock and if-converted methods. Dilutve common stock equivalents are comprised of unvested common stock, optons and warrants. For the periods presented, there is no diference in the number of shares used to calculate basic and diluted shares outstanding as inclusion of the potentally dilutve securites (warrants, stock optons, and common shares subject to repurchase) would be antdilutve.</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Accountng Standards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There were no recently adopted accountng standards which would have a material impact on the Company's fnancial statements.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assesses the adopton impacts of recently issued accountng standards by the Financial Accountng Standards Board or other standard setng bodies on the Company's fnancial statements as well as material updates to previous assessments. There were no new material accountng standards issued or adopted in year of 2022 that impacted the Company.</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76" w:name="page177"/>
    <w:bookmarkEnd w:id="176"/>
    <w:p>
      <w:pPr>
        <w:spacing w:after="0"/>
        <w:rPr>
          <w:sz w:val="20"/>
          <w:szCs w:val="20"/>
          <w:color w:val="auto"/>
        </w:rPr>
      </w:pPr>
      <w:r>
        <w:rPr>
          <w:rFonts w:ascii="Calibri" w:cs="Calibri" w:eastAsia="Calibri" w:hAnsi="Calibri"/>
          <w:sz w:val="18"/>
          <w:szCs w:val="18"/>
          <w:b w:val="1"/>
          <w:bCs w:val="1"/>
          <w:color w:val="auto"/>
        </w:rPr>
        <w:t>2. Balance Sheet Details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Property, plant and equipment, net, consist of the following (in thousands):</w:t>
      </w:r>
    </w:p>
    <w:p>
      <w:pPr>
        <w:spacing w:after="0" w:line="292"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gridSpan w:val="3"/>
          </w:tcPr>
          <w:p>
            <w:pPr>
              <w:jc w:val="right"/>
              <w:ind w:right="130"/>
              <w:spacing w:after="0"/>
              <w:rPr>
                <w:sz w:val="20"/>
                <w:szCs w:val="20"/>
                <w:color w:val="auto"/>
              </w:rPr>
            </w:pPr>
            <w:r>
              <w:rPr>
                <w:rFonts w:ascii="Calibri" w:cs="Calibri" w:eastAsia="Calibri" w:hAnsi="Calibri"/>
                <w:sz w:val="14"/>
                <w:szCs w:val="14"/>
                <w:b w:val="1"/>
                <w:bCs w:val="1"/>
                <w:color w:val="auto"/>
              </w:rPr>
              <w:t>December 31,</w:t>
            </w:r>
          </w:p>
        </w:tc>
        <w:tc>
          <w:tcPr>
            <w:tcW w:w="1320" w:type="dxa"/>
            <w:vAlign w:val="bottom"/>
          </w:tcPr>
          <w:p>
            <w:pPr>
              <w:spacing w:after="0"/>
              <w:rPr>
                <w:sz w:val="14"/>
                <w:szCs w:val="14"/>
                <w:color w:val="auto"/>
              </w:rPr>
            </w:pPr>
          </w:p>
        </w:tc>
      </w:tr>
      <w:tr>
        <w:trPr>
          <w:trHeight w:val="33"/>
        </w:trPr>
        <w:tc>
          <w:tcPr>
            <w:tcW w:w="46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3"/>
        </w:trPr>
        <w:tc>
          <w:tcPr>
            <w:tcW w:w="4600" w:type="dxa"/>
            <w:vAlign w:val="bottom"/>
          </w:tcPr>
          <w:p>
            <w:pPr>
              <w:spacing w:after="0"/>
              <w:rPr>
                <w:sz w:val="14"/>
                <w:szCs w:val="14"/>
                <w:color w:val="auto"/>
              </w:rPr>
            </w:pPr>
          </w:p>
        </w:tc>
        <w:tc>
          <w:tcPr>
            <w:tcW w:w="118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2022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732"/>
              <w:spacing w:after="0" w:line="164" w:lineRule="exact"/>
              <w:rPr>
                <w:sz w:val="20"/>
                <w:szCs w:val="20"/>
                <w:color w:val="auto"/>
              </w:rPr>
            </w:pPr>
            <w:r>
              <w:rPr>
                <w:rFonts w:ascii="Calibri" w:cs="Calibri" w:eastAsia="Calibri" w:hAnsi="Calibri"/>
                <w:sz w:val="14"/>
                <w:szCs w:val="14"/>
                <w:b w:val="1"/>
                <w:bCs w:val="1"/>
                <w:color w:val="auto"/>
              </w:rPr>
              <w:t>2021</w:t>
            </w:r>
          </w:p>
        </w:tc>
      </w:tr>
      <w:tr>
        <w:trPr>
          <w:trHeight w:val="33"/>
        </w:trPr>
        <w:tc>
          <w:tcPr>
            <w:tcW w:w="46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Computer equipment and sofware</w:t>
            </w:r>
          </w:p>
        </w:tc>
        <w:tc>
          <w:tcPr>
            <w:tcW w:w="1180" w:type="dxa"/>
            <w:vAlign w:val="bottom"/>
            <w:tcBorders>
              <w:bottom w:val="single" w:sz="8" w:color="CFF0FC"/>
            </w:tcBorders>
            <w:shd w:val="clear" w:color="auto" w:fill="CFF0FC"/>
          </w:tcPr>
          <w:p>
            <w:pPr>
              <w:jc w:val="right"/>
              <w:ind w:right="976"/>
              <w:spacing w:after="0" w:line="208"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ind w:right="12"/>
              <w:spacing w:after="0" w:line="208" w:lineRule="exact"/>
              <w:rPr>
                <w:sz w:val="20"/>
                <w:szCs w:val="20"/>
                <w:color w:val="auto"/>
              </w:rPr>
            </w:pPr>
            <w:r>
              <w:rPr>
                <w:rFonts w:ascii="Calibri" w:cs="Calibri" w:eastAsia="Calibri" w:hAnsi="Calibri"/>
                <w:sz w:val="18"/>
                <w:szCs w:val="18"/>
                <w:color w:val="auto"/>
              </w:rPr>
              <w:t>1,078</w:t>
            </w: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ind w:right="33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CFF0FC"/>
            </w:tcBorders>
            <w:shd w:val="clear" w:color="auto" w:fill="CFF0FC"/>
          </w:tcPr>
          <w:p>
            <w:pPr>
              <w:jc w:val="right"/>
              <w:ind w:right="12"/>
              <w:spacing w:after="0" w:line="208" w:lineRule="exact"/>
              <w:rPr>
                <w:sz w:val="20"/>
                <w:szCs w:val="20"/>
                <w:color w:val="auto"/>
              </w:rPr>
            </w:pPr>
            <w:r>
              <w:rPr>
                <w:rFonts w:ascii="Calibri" w:cs="Calibri" w:eastAsia="Calibri" w:hAnsi="Calibri"/>
                <w:sz w:val="18"/>
                <w:szCs w:val="18"/>
                <w:color w:val="auto"/>
              </w:rPr>
              <w:t>646</w:t>
            </w:r>
          </w:p>
        </w:tc>
      </w:tr>
      <w:tr>
        <w:trPr>
          <w:trHeight w:val="215"/>
        </w:trPr>
        <w:tc>
          <w:tcPr>
            <w:tcW w:w="4600" w:type="dxa"/>
            <w:vAlign w:val="bottom"/>
          </w:tcPr>
          <w:p>
            <w:pPr>
              <w:spacing w:after="0" w:line="215" w:lineRule="exact"/>
              <w:rPr>
                <w:sz w:val="20"/>
                <w:szCs w:val="20"/>
                <w:color w:val="auto"/>
              </w:rPr>
            </w:pPr>
            <w:r>
              <w:rPr>
                <w:rFonts w:ascii="Calibri" w:cs="Calibri" w:eastAsia="Calibri" w:hAnsi="Calibri"/>
                <w:sz w:val="18"/>
                <w:szCs w:val="18"/>
                <w:color w:val="auto"/>
              </w:rPr>
              <w:t>Furniture and fxtures</w:t>
            </w:r>
          </w:p>
        </w:tc>
        <w:tc>
          <w:tcPr>
            <w:tcW w:w="1180" w:type="dxa"/>
            <w:vAlign w:val="bottom"/>
          </w:tcPr>
          <w:p>
            <w:pPr>
              <w:spacing w:after="0"/>
              <w:rPr>
                <w:sz w:val="18"/>
                <w:szCs w:val="18"/>
                <w:color w:val="auto"/>
              </w:rPr>
            </w:pPr>
          </w:p>
        </w:tc>
        <w:tc>
          <w:tcPr>
            <w:tcW w:w="70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1,086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780</w:t>
            </w:r>
          </w:p>
        </w:tc>
      </w:tr>
      <w:tr>
        <w:trPr>
          <w:trHeight w:val="28"/>
        </w:trPr>
        <w:tc>
          <w:tcPr>
            <w:tcW w:w="4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46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Leasehold improvements</w:t>
            </w:r>
          </w:p>
        </w:tc>
        <w:tc>
          <w:tcPr>
            <w:tcW w:w="1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12"/>
              <w:spacing w:after="0" w:line="215" w:lineRule="exact"/>
              <w:rPr>
                <w:sz w:val="20"/>
                <w:szCs w:val="20"/>
                <w:color w:val="auto"/>
              </w:rPr>
            </w:pPr>
            <w:r>
              <w:rPr>
                <w:rFonts w:ascii="Calibri" w:cs="Calibri" w:eastAsia="Calibri" w:hAnsi="Calibri"/>
                <w:sz w:val="18"/>
                <w:szCs w:val="18"/>
                <w:color w:val="auto"/>
              </w:rPr>
              <w:t>115</w:t>
            </w: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ind w:right="12"/>
              <w:spacing w:after="0" w:line="215" w:lineRule="exact"/>
              <w:rPr>
                <w:sz w:val="20"/>
                <w:szCs w:val="20"/>
                <w:color w:val="auto"/>
              </w:rPr>
            </w:pPr>
            <w:r>
              <w:rPr>
                <w:rFonts w:ascii="Calibri" w:cs="Calibri" w:eastAsia="Calibri" w:hAnsi="Calibri"/>
                <w:sz w:val="18"/>
                <w:szCs w:val="18"/>
                <w:color w:val="auto"/>
              </w:rPr>
              <w:t>76</w:t>
            </w:r>
          </w:p>
        </w:tc>
      </w:tr>
      <w:tr>
        <w:trPr>
          <w:trHeight w:val="215"/>
        </w:trPr>
        <w:tc>
          <w:tcPr>
            <w:tcW w:w="4600" w:type="dxa"/>
            <w:vAlign w:val="bottom"/>
          </w:tcPr>
          <w:p>
            <w:pPr>
              <w:spacing w:after="0" w:line="215" w:lineRule="exact"/>
              <w:rPr>
                <w:sz w:val="20"/>
                <w:szCs w:val="20"/>
                <w:color w:val="auto"/>
              </w:rPr>
            </w:pPr>
            <w:r>
              <w:rPr>
                <w:rFonts w:ascii="Calibri" w:cs="Calibri" w:eastAsia="Calibri" w:hAnsi="Calibri"/>
                <w:sz w:val="18"/>
                <w:szCs w:val="18"/>
                <w:color w:val="auto"/>
              </w:rPr>
              <w:t>Constructon in process</w:t>
            </w:r>
          </w:p>
        </w:tc>
        <w:tc>
          <w:tcPr>
            <w:tcW w:w="1180" w:type="dxa"/>
            <w:vAlign w:val="bottom"/>
          </w:tcPr>
          <w:p>
            <w:pPr>
              <w:spacing w:after="0"/>
              <w:rPr>
                <w:sz w:val="18"/>
                <w:szCs w:val="18"/>
                <w:color w:val="auto"/>
              </w:rPr>
            </w:pPr>
          </w:p>
        </w:tc>
        <w:tc>
          <w:tcPr>
            <w:tcW w:w="70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399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46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property, plant and equipment, gross</w:t>
            </w:r>
          </w:p>
        </w:tc>
        <w:tc>
          <w:tcPr>
            <w:tcW w:w="1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12"/>
              <w:spacing w:after="0" w:line="208" w:lineRule="exact"/>
              <w:rPr>
                <w:sz w:val="20"/>
                <w:szCs w:val="20"/>
                <w:color w:val="auto"/>
              </w:rPr>
            </w:pPr>
            <w:r>
              <w:rPr>
                <w:rFonts w:ascii="Calibri" w:cs="Calibri" w:eastAsia="Calibri" w:hAnsi="Calibri"/>
                <w:sz w:val="18"/>
                <w:szCs w:val="18"/>
                <w:color w:val="auto"/>
              </w:rPr>
              <w:t>2,678</w:t>
            </w: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12"/>
              <w:spacing w:after="0" w:line="208" w:lineRule="exact"/>
              <w:rPr>
                <w:sz w:val="20"/>
                <w:szCs w:val="20"/>
                <w:color w:val="auto"/>
              </w:rPr>
            </w:pPr>
            <w:r>
              <w:rPr>
                <w:rFonts w:ascii="Calibri" w:cs="Calibri" w:eastAsia="Calibri" w:hAnsi="Calibri"/>
                <w:sz w:val="18"/>
                <w:szCs w:val="18"/>
                <w:color w:val="auto"/>
              </w:rPr>
              <w:t>1,502</w:t>
            </w:r>
          </w:p>
        </w:tc>
      </w:tr>
      <w:tr>
        <w:trPr>
          <w:trHeight w:val="215"/>
        </w:trPr>
        <w:tc>
          <w:tcPr>
            <w:tcW w:w="4600" w:type="dxa"/>
            <w:vAlign w:val="bottom"/>
          </w:tcPr>
          <w:p>
            <w:pPr>
              <w:spacing w:after="0" w:line="215" w:lineRule="exact"/>
              <w:rPr>
                <w:sz w:val="20"/>
                <w:szCs w:val="20"/>
                <w:color w:val="auto"/>
              </w:rPr>
            </w:pPr>
            <w:r>
              <w:rPr>
                <w:rFonts w:ascii="Calibri" w:cs="Calibri" w:eastAsia="Calibri" w:hAnsi="Calibri"/>
                <w:sz w:val="18"/>
                <w:szCs w:val="18"/>
                <w:color w:val="auto"/>
              </w:rPr>
              <w:t>Less: accumulated depreciaton</w:t>
            </w:r>
          </w:p>
        </w:tc>
        <w:tc>
          <w:tcPr>
            <w:tcW w:w="118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(1,471 )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(852 )</w:t>
            </w:r>
          </w:p>
        </w:tc>
      </w:tr>
      <w:tr>
        <w:trPr>
          <w:trHeight w:val="28"/>
        </w:trPr>
        <w:tc>
          <w:tcPr>
            <w:tcW w:w="4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46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property, plant and equipment, net</w:t>
            </w:r>
          </w:p>
        </w:tc>
        <w:tc>
          <w:tcPr>
            <w:tcW w:w="1180" w:type="dxa"/>
            <w:vAlign w:val="bottom"/>
            <w:tcBorders>
              <w:top w:val="single" w:sz="8" w:color="auto"/>
              <w:bottom w:val="single" w:sz="8" w:color="CFF0FC"/>
            </w:tcBorders>
            <w:shd w:val="clear" w:color="auto" w:fill="CFF0FC"/>
          </w:tcPr>
          <w:p>
            <w:pPr>
              <w:jc w:val="right"/>
              <w:ind w:right="976"/>
              <w:spacing w:after="0" w:line="208" w:lineRule="exact"/>
              <w:rPr>
                <w:sz w:val="20"/>
                <w:szCs w:val="20"/>
                <w:color w:val="auto"/>
              </w:rPr>
            </w:pPr>
            <w:r>
              <w:rPr>
                <w:rFonts w:ascii="Calibri" w:cs="Calibri" w:eastAsia="Calibri" w:hAnsi="Calibri"/>
                <w:sz w:val="18"/>
                <w:szCs w:val="18"/>
                <w:color w:val="auto"/>
              </w:rPr>
              <w:t>$</w:t>
            </w:r>
          </w:p>
        </w:tc>
        <w:tc>
          <w:tcPr>
            <w:tcW w:w="700" w:type="dxa"/>
            <w:vAlign w:val="bottom"/>
            <w:tcBorders>
              <w:top w:val="single" w:sz="8" w:color="auto"/>
              <w:bottom w:val="single" w:sz="8" w:color="CFF0FC"/>
            </w:tcBorders>
            <w:shd w:val="clear" w:color="auto" w:fill="CFF0FC"/>
          </w:tcPr>
          <w:p>
            <w:pPr>
              <w:jc w:val="right"/>
              <w:ind w:right="12"/>
              <w:spacing w:after="0" w:line="208" w:lineRule="exact"/>
              <w:rPr>
                <w:sz w:val="20"/>
                <w:szCs w:val="20"/>
                <w:color w:val="auto"/>
              </w:rPr>
            </w:pPr>
            <w:r>
              <w:rPr>
                <w:rFonts w:ascii="Calibri" w:cs="Calibri" w:eastAsia="Calibri" w:hAnsi="Calibri"/>
                <w:sz w:val="18"/>
                <w:szCs w:val="18"/>
                <w:color w:val="auto"/>
              </w:rPr>
              <w:t>1,207</w:t>
            </w:r>
          </w:p>
        </w:tc>
        <w:tc>
          <w:tcPr>
            <w:tcW w:w="1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top w:val="single" w:sz="8" w:color="auto"/>
              <w:bottom w:val="single" w:sz="8" w:color="CFF0FC"/>
            </w:tcBorders>
            <w:shd w:val="clear" w:color="auto" w:fill="CFF0FC"/>
          </w:tcPr>
          <w:p>
            <w:pPr>
              <w:jc w:val="right"/>
              <w:ind w:right="33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CFF0FC"/>
            </w:tcBorders>
            <w:shd w:val="clear" w:color="auto" w:fill="CFF0FC"/>
          </w:tcPr>
          <w:p>
            <w:pPr>
              <w:jc w:val="right"/>
              <w:ind w:right="12"/>
              <w:spacing w:after="0" w:line="208" w:lineRule="exact"/>
              <w:rPr>
                <w:sz w:val="20"/>
                <w:szCs w:val="20"/>
                <w:color w:val="auto"/>
              </w:rPr>
            </w:pPr>
            <w:r>
              <w:rPr>
                <w:rFonts w:ascii="Calibri" w:cs="Calibri" w:eastAsia="Calibri" w:hAnsi="Calibri"/>
                <w:sz w:val="18"/>
                <w:szCs w:val="18"/>
                <w:color w:val="auto"/>
              </w:rPr>
              <w:t>650</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Depreciaton expense for the years ended December 31, 2022 and 2021 was approximately $0.6 million and $0.5 million, respectvely. No property, plant or equipment was disposed of during the years ended December 31, 2022 and 2021.</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Accrued Expenses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Accrued expenses consist of the following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gridSpan w:val="3"/>
          </w:tcPr>
          <w:p>
            <w:pPr>
              <w:jc w:val="right"/>
              <w:ind w:right="110"/>
              <w:spacing w:after="0"/>
              <w:rPr>
                <w:sz w:val="20"/>
                <w:szCs w:val="20"/>
                <w:color w:val="auto"/>
              </w:rPr>
            </w:pPr>
            <w:r>
              <w:rPr>
                <w:rFonts w:ascii="Calibri" w:cs="Calibri" w:eastAsia="Calibri" w:hAnsi="Calibri"/>
                <w:sz w:val="14"/>
                <w:szCs w:val="14"/>
                <w:b w:val="1"/>
                <w:bCs w:val="1"/>
                <w:color w:val="auto"/>
              </w:rPr>
              <w:t>December 31,</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
        </w:trPr>
        <w:tc>
          <w:tcPr>
            <w:tcW w:w="1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63"/>
        </w:trPr>
        <w:tc>
          <w:tcPr>
            <w:tcW w:w="1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Borders>
              <w:top w:val="single" w:sz="8" w:color="auto"/>
            </w:tcBorders>
          </w:tcPr>
          <w:p>
            <w:pPr>
              <w:jc w:val="right"/>
              <w:ind w:right="36"/>
              <w:spacing w:after="0" w:line="164" w:lineRule="exact"/>
              <w:rPr>
                <w:sz w:val="20"/>
                <w:szCs w:val="20"/>
                <w:color w:val="auto"/>
              </w:rPr>
            </w:pPr>
            <w:r>
              <w:rPr>
                <w:rFonts w:ascii="Calibri" w:cs="Calibri" w:eastAsia="Calibri" w:hAnsi="Calibri"/>
                <w:sz w:val="14"/>
                <w:szCs w:val="14"/>
                <w:b w:val="1"/>
                <w:bCs w:val="1"/>
                <w:color w:val="auto"/>
              </w:rPr>
              <w:t>2022</w:t>
            </w: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733"/>
              <w:spacing w:after="0" w:line="164" w:lineRule="exact"/>
              <w:rPr>
                <w:sz w:val="20"/>
                <w:szCs w:val="20"/>
                <w:color w:val="auto"/>
              </w:rPr>
            </w:pPr>
            <w:r>
              <w:rPr>
                <w:rFonts w:ascii="Calibri" w:cs="Calibri" w:eastAsia="Calibri" w:hAnsi="Calibri"/>
                <w:sz w:val="14"/>
                <w:szCs w:val="14"/>
                <w:b w:val="1"/>
                <w:bCs w:val="1"/>
                <w:color w:val="auto"/>
              </w:rPr>
              <w:t>2021</w:t>
            </w:r>
          </w:p>
        </w:tc>
        <w:tc>
          <w:tcPr>
            <w:tcW w:w="1400" w:type="dxa"/>
            <w:vAlign w:val="bottom"/>
          </w:tcPr>
          <w:p>
            <w:pPr>
              <w:spacing w:after="0"/>
              <w:rPr>
                <w:sz w:val="14"/>
                <w:szCs w:val="14"/>
                <w:color w:val="auto"/>
              </w:rPr>
            </w:pPr>
          </w:p>
        </w:tc>
      </w:tr>
      <w:tr>
        <w:trPr>
          <w:trHeight w:val="33"/>
        </w:trPr>
        <w:tc>
          <w:tcPr>
            <w:tcW w:w="1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Accrued research and development expenses</w:t>
            </w:r>
          </w:p>
        </w:tc>
        <w:tc>
          <w:tcPr>
            <w:tcW w:w="9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CFF0FC"/>
            </w:tcBorders>
            <w:shd w:val="clear" w:color="auto" w:fill="CFF0FC"/>
          </w:tcPr>
          <w:p>
            <w:pPr>
              <w:jc w:val="right"/>
              <w:ind w:right="976"/>
              <w:spacing w:after="0" w:line="208"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CFF0FC"/>
            </w:tcBorders>
            <w:shd w:val="clear" w:color="auto" w:fill="CFF0FC"/>
          </w:tcPr>
          <w:p>
            <w:pPr>
              <w:jc w:val="right"/>
              <w:ind w:right="13"/>
              <w:spacing w:after="0" w:line="208" w:lineRule="exact"/>
              <w:rPr>
                <w:sz w:val="20"/>
                <w:szCs w:val="20"/>
                <w:color w:val="auto"/>
              </w:rPr>
            </w:pPr>
            <w:r>
              <w:rPr>
                <w:rFonts w:ascii="Calibri" w:cs="Calibri" w:eastAsia="Calibri" w:hAnsi="Calibri"/>
                <w:sz w:val="18"/>
                <w:szCs w:val="18"/>
                <w:color w:val="auto"/>
              </w:rPr>
              <w:t>3,080</w:t>
            </w: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CFF0FC"/>
            </w:tcBorders>
            <w:shd w:val="clear" w:color="auto" w:fill="CFF0FC"/>
          </w:tcPr>
          <w:p>
            <w:pPr>
              <w:jc w:val="right"/>
              <w:ind w:right="33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CFF0FC"/>
            </w:tcBorders>
            <w:shd w:val="clear" w:color="auto" w:fill="CFF0FC"/>
          </w:tcPr>
          <w:p>
            <w:pPr>
              <w:jc w:val="right"/>
              <w:ind w:right="13"/>
              <w:spacing w:after="0" w:line="208" w:lineRule="exact"/>
              <w:rPr>
                <w:sz w:val="20"/>
                <w:szCs w:val="20"/>
                <w:color w:val="auto"/>
              </w:rPr>
            </w:pPr>
            <w:r>
              <w:rPr>
                <w:rFonts w:ascii="Calibri" w:cs="Calibri" w:eastAsia="Calibri" w:hAnsi="Calibri"/>
                <w:sz w:val="18"/>
                <w:szCs w:val="18"/>
                <w:color w:val="auto"/>
              </w:rPr>
              <w:t>3,165</w:t>
            </w:r>
          </w:p>
        </w:tc>
        <w:tc>
          <w:tcPr>
            <w:tcW w:w="1400" w:type="dxa"/>
            <w:vAlign w:val="bottom"/>
          </w:tcPr>
          <w:p>
            <w:pPr>
              <w:spacing w:after="0"/>
              <w:rPr>
                <w:sz w:val="18"/>
                <w:szCs w:val="18"/>
                <w:color w:val="auto"/>
              </w:rPr>
            </w:pPr>
          </w:p>
        </w:tc>
      </w:tr>
      <w:tr>
        <w:trPr>
          <w:trHeight w:val="215"/>
        </w:trPr>
        <w:tc>
          <w:tcPr>
            <w:tcW w:w="142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Accrued compensaton expenses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8,447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6,344</w:t>
            </w:r>
          </w:p>
        </w:tc>
        <w:tc>
          <w:tcPr>
            <w:tcW w:w="1400" w:type="dxa"/>
            <w:vAlign w:val="bottom"/>
          </w:tcPr>
          <w:p>
            <w:pPr>
              <w:spacing w:after="0"/>
              <w:rPr>
                <w:sz w:val="18"/>
                <w:szCs w:val="18"/>
                <w:color w:val="auto"/>
              </w:rPr>
            </w:pPr>
          </w:p>
        </w:tc>
      </w:tr>
      <w:tr>
        <w:trPr>
          <w:trHeight w:val="28"/>
        </w:trPr>
        <w:tc>
          <w:tcPr>
            <w:tcW w:w="1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7"/>
        </w:trPr>
        <w:tc>
          <w:tcPr>
            <w:tcW w:w="1420" w:type="dxa"/>
            <w:vAlign w:val="bottom"/>
          </w:tcPr>
          <w:p>
            <w:pPr>
              <w:spacing w:after="0"/>
              <w:rPr>
                <w:sz w:val="18"/>
                <w:szCs w:val="18"/>
                <w:color w:val="auto"/>
              </w:rPr>
            </w:pPr>
          </w:p>
        </w:tc>
        <w:tc>
          <w:tcPr>
            <w:tcW w:w="364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Accrued professional &amp; consultng</w:t>
            </w: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r>
      <w:tr>
        <w:trPr>
          <w:trHeight w:val="232"/>
        </w:trPr>
        <w:tc>
          <w:tcPr>
            <w:tcW w:w="1420" w:type="dxa"/>
            <w:vAlign w:val="bottom"/>
          </w:tcPr>
          <w:p>
            <w:pPr>
              <w:spacing w:after="0"/>
              <w:rPr>
                <w:sz w:val="20"/>
                <w:szCs w:val="20"/>
                <w:color w:val="auto"/>
              </w:rPr>
            </w:pPr>
          </w:p>
        </w:tc>
        <w:tc>
          <w:tcPr>
            <w:tcW w:w="36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expenses</w:t>
            </w:r>
          </w:p>
        </w:tc>
        <w:tc>
          <w:tcPr>
            <w:tcW w:w="9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ind w:right="13"/>
              <w:spacing w:after="0" w:line="215" w:lineRule="exact"/>
              <w:rPr>
                <w:sz w:val="20"/>
                <w:szCs w:val="20"/>
                <w:color w:val="auto"/>
              </w:rPr>
            </w:pPr>
            <w:r>
              <w:rPr>
                <w:rFonts w:ascii="Calibri" w:cs="Calibri" w:eastAsia="Calibri" w:hAnsi="Calibri"/>
                <w:sz w:val="18"/>
                <w:szCs w:val="18"/>
                <w:color w:val="auto"/>
              </w:rPr>
              <w:t>3,000</w:t>
            </w: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ind w:right="13"/>
              <w:spacing w:after="0" w:line="215" w:lineRule="exact"/>
              <w:rPr>
                <w:sz w:val="20"/>
                <w:szCs w:val="20"/>
                <w:color w:val="auto"/>
              </w:rPr>
            </w:pPr>
            <w:r>
              <w:rPr>
                <w:rFonts w:ascii="Calibri" w:cs="Calibri" w:eastAsia="Calibri" w:hAnsi="Calibri"/>
                <w:sz w:val="18"/>
                <w:szCs w:val="18"/>
                <w:color w:val="auto"/>
              </w:rPr>
              <w:t>1,855</w:t>
            </w:r>
          </w:p>
        </w:tc>
        <w:tc>
          <w:tcPr>
            <w:tcW w:w="1400" w:type="dxa"/>
            <w:vAlign w:val="bottom"/>
          </w:tcPr>
          <w:p>
            <w:pPr>
              <w:spacing w:after="0"/>
              <w:rPr>
                <w:sz w:val="20"/>
                <w:szCs w:val="20"/>
                <w:color w:val="auto"/>
              </w:rPr>
            </w:pPr>
          </w:p>
        </w:tc>
      </w:tr>
      <w:tr>
        <w:trPr>
          <w:trHeight w:val="215"/>
        </w:trPr>
        <w:tc>
          <w:tcPr>
            <w:tcW w:w="142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Accrued other</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151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41</w:t>
            </w:r>
          </w:p>
        </w:tc>
        <w:tc>
          <w:tcPr>
            <w:tcW w:w="1400" w:type="dxa"/>
            <w:vAlign w:val="bottom"/>
          </w:tcPr>
          <w:p>
            <w:pPr>
              <w:spacing w:after="0"/>
              <w:rPr>
                <w:sz w:val="18"/>
                <w:szCs w:val="18"/>
                <w:color w:val="auto"/>
              </w:rPr>
            </w:pPr>
          </w:p>
        </w:tc>
      </w:tr>
      <w:tr>
        <w:trPr>
          <w:trHeight w:val="28"/>
        </w:trPr>
        <w:tc>
          <w:tcPr>
            <w:tcW w:w="1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1"/>
        </w:trPr>
        <w:tc>
          <w:tcPr>
            <w:tcW w:w="1420" w:type="dxa"/>
            <w:vAlign w:val="bottom"/>
          </w:tcPr>
          <w:p>
            <w:pPr>
              <w:spacing w:after="0"/>
              <w:rPr>
                <w:sz w:val="24"/>
                <w:szCs w:val="24"/>
                <w:color w:val="auto"/>
              </w:rPr>
            </w:pPr>
          </w:p>
        </w:tc>
        <w:tc>
          <w:tcPr>
            <w:tcW w:w="36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accrued expenses</w:t>
            </w:r>
          </w:p>
        </w:tc>
        <w:tc>
          <w:tcPr>
            <w:tcW w:w="9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CFF0FC"/>
            </w:tcBorders>
            <w:shd w:val="clear" w:color="auto" w:fill="CFF0FC"/>
          </w:tcPr>
          <w:p>
            <w:pPr>
              <w:jc w:val="right"/>
              <w:ind w:right="976"/>
              <w:spacing w:after="0" w:line="208"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CFF0FC"/>
            </w:tcBorders>
            <w:shd w:val="clear" w:color="auto" w:fill="CFF0FC"/>
          </w:tcPr>
          <w:p>
            <w:pPr>
              <w:jc w:val="right"/>
              <w:ind w:right="13"/>
              <w:spacing w:after="0" w:line="208" w:lineRule="exact"/>
              <w:rPr>
                <w:sz w:val="20"/>
                <w:szCs w:val="20"/>
                <w:color w:val="auto"/>
              </w:rPr>
            </w:pPr>
            <w:r>
              <w:rPr>
                <w:rFonts w:ascii="Calibri" w:cs="Calibri" w:eastAsia="Calibri" w:hAnsi="Calibri"/>
                <w:sz w:val="18"/>
                <w:szCs w:val="18"/>
                <w:color w:val="auto"/>
              </w:rPr>
              <w:t>14,678</w:t>
            </w:r>
          </w:p>
        </w:tc>
        <w:tc>
          <w:tcPr>
            <w:tcW w:w="1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CFF0FC"/>
            </w:tcBorders>
            <w:shd w:val="clear" w:color="auto" w:fill="CFF0FC"/>
          </w:tcPr>
          <w:p>
            <w:pPr>
              <w:jc w:val="right"/>
              <w:ind w:right="33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CFF0FC"/>
            </w:tcBorders>
            <w:shd w:val="clear" w:color="auto" w:fill="CFF0FC"/>
          </w:tcPr>
          <w:p>
            <w:pPr>
              <w:jc w:val="right"/>
              <w:ind w:right="13"/>
              <w:spacing w:after="0" w:line="208" w:lineRule="exact"/>
              <w:rPr>
                <w:sz w:val="20"/>
                <w:szCs w:val="20"/>
                <w:color w:val="auto"/>
              </w:rPr>
            </w:pPr>
            <w:r>
              <w:rPr>
                <w:rFonts w:ascii="Calibri" w:cs="Calibri" w:eastAsia="Calibri" w:hAnsi="Calibri"/>
                <w:sz w:val="18"/>
                <w:szCs w:val="18"/>
                <w:color w:val="auto"/>
              </w:rPr>
              <w:t>11,405</w:t>
            </w:r>
          </w:p>
        </w:tc>
        <w:tc>
          <w:tcPr>
            <w:tcW w:w="1400" w:type="dxa"/>
            <w:vAlign w:val="bottom"/>
          </w:tcPr>
          <w:p>
            <w:pPr>
              <w:spacing w:after="0"/>
              <w:rPr>
                <w:sz w:val="24"/>
                <w:szCs w:val="24"/>
                <w:color w:val="auto"/>
              </w:rPr>
            </w:pPr>
          </w:p>
        </w:tc>
      </w:tr>
      <w:tr>
        <w:trPr>
          <w:trHeight w:val="629"/>
        </w:trPr>
        <w:tc>
          <w:tcPr>
            <w:tcW w:w="1420" w:type="dxa"/>
            <w:vAlign w:val="bottom"/>
          </w:tcPr>
          <w:p>
            <w:pPr>
              <w:spacing w:after="0"/>
              <w:rPr>
                <w:sz w:val="24"/>
                <w:szCs w:val="24"/>
                <w:color w:val="auto"/>
              </w:rPr>
            </w:pPr>
          </w:p>
        </w:tc>
        <w:tc>
          <w:tcPr>
            <w:tcW w:w="36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ind w:left="400"/>
              <w:spacing w:after="0"/>
              <w:rPr>
                <w:sz w:val="20"/>
                <w:szCs w:val="20"/>
                <w:color w:val="auto"/>
              </w:rPr>
            </w:pPr>
            <w:r>
              <w:rPr>
                <w:rFonts w:ascii="Times New Roman" w:cs="Times New Roman" w:eastAsia="Times New Roman" w:hAnsi="Times New Roman"/>
                <w:sz w:val="18"/>
                <w:szCs w:val="18"/>
                <w:color w:val="auto"/>
              </w:rPr>
              <w:t>F-14</w:t>
            </w:r>
          </w:p>
        </w:tc>
        <w:tc>
          <w:tcPr>
            <w:tcW w:w="1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-521970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-504825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77" w:name="page178"/>
    <w:bookmarkEnd w:id="177"/>
    <w:p>
      <w:pPr>
        <w:spacing w:after="0"/>
        <w:rPr>
          <w:sz w:val="20"/>
          <w:szCs w:val="20"/>
          <w:color w:val="auto"/>
        </w:rPr>
      </w:pPr>
      <w:r>
        <w:rPr>
          <w:rFonts w:ascii="Calibri" w:cs="Calibri" w:eastAsia="Calibri" w:hAnsi="Calibri"/>
          <w:sz w:val="18"/>
          <w:szCs w:val="18"/>
          <w:b w:val="1"/>
          <w:bCs w:val="1"/>
          <w:color w:val="auto"/>
        </w:rPr>
        <w:t>3. Related Party Transactons</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Frazier is a principal stockholder of the Company and is a principal stockholder in PCI Pharma Services, or PCI. In the third quarter of 2019, the Company engaged PCI for clinical manufacturing services. As of December 31, 2022 and 2021, the Company had $1.1 million and $1.7 million, respectvely, in outstanding accounts payable and accrued expenses related to these manufacturing services. For the years ended December 31, 2022 and 2021, the Company incurred $0.7 million and $3.2 million, respectvely, of expenses related to services performed by PCI.</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Takeda became a common stockholder of the Company in connecton with the May 2019 license agreement (see Note 4). In conjuncton with this license, Takeda provides proprietary supplies for the Company’s ongoing clinical development of vonoprazan in additon to the exclusive license for the commercializaton of vonoprazan in the United States, Canada and Europe. On May 5, 2020, the Company entered into a Commercial Supply Agreement, or the Commercial Supply Agreement, with Takeda, pursuant to which Takeda agreed to supply commercial quanttes of vonoprazan bulk drug product or drug substance. Pursuant to the Commercial Supply Agreement, Takeda agreed to supply the Company with, and the Company agreed to purchase from Takeda, certain quanttes of vonoprazan bulk drug product according to approved specifcatons at a fxed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frst commercial launch of vonoprazan in any jurisdicton in the licensed territory, provided that this two-year period will expire no later than December 31, 2023. The Commercial Supply Agreement will terminate immediately upon the terminaton of the Takeda License in accordance with its terms. In connecton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terminaton of the Takeda License in accordance with its terms. As of December 31, 2022 and December 31, 2021, the Company had $1.4 million and $0.9 million, respectvely, in outstanding accounts payable and accrued expenses related to these agreements. For the years ended December 31, 2022 and 2021, the Company incurred $1.4 million and $1.8 million, respectvely, of expenses related to these agreements. The Company has no remaining minimum purchase obligaton related to these agreements.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78" w:name="page179"/>
    <w:bookmarkEnd w:id="178"/>
    <w:p>
      <w:pPr>
        <w:spacing w:after="0"/>
        <w:rPr>
          <w:sz w:val="20"/>
          <w:szCs w:val="20"/>
          <w:color w:val="auto"/>
        </w:rPr>
      </w:pPr>
      <w:r>
        <w:rPr>
          <w:rFonts w:ascii="Calibri" w:cs="Calibri" w:eastAsia="Calibri" w:hAnsi="Calibri"/>
          <w:sz w:val="18"/>
          <w:szCs w:val="18"/>
          <w:b w:val="1"/>
          <w:bCs w:val="1"/>
          <w:color w:val="auto"/>
        </w:rPr>
        <w:t>4. Commitments and Contngencies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conditons. The agreement will remain in efect, on a country-by-country and product-by-product basis, untl the later of (i) the expiraton of the last to expire valid patent claim covering vonoprazan fumarate alone or in combinaton with at least one other therapeutcally actve ingredient, (ii) the expiraton of the applicable regulatory exclusivity and (iii) 15 years from the date of frst commercial sale, unless earlier terminated. The Company may terminate the Takeda License upon six months’ writen notce. The Company and Takeda may terminate the Takeda License in the case of the other party’s insolvency or material uncured breach. Takeda may terminate the Takeda License if the Company challenges, or assists in challenging, licensed patents.</w:t>
      </w:r>
    </w:p>
    <w:p>
      <w:pPr>
        <w:spacing w:after="0" w:line="1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consideraton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inital fair value of $47.9 million, and (iv) issued a right to receive an additonal common stock warrant, or, the Takeda Warrant Right, should Takeda’s fully-diluted ownership of the Company represent less than a certain specifed percentage of the fully-diluted capitalizaton, including shares issuable upon conversion of then outstanding convertble promissory notes, calculated immediately before the closing of the Company’s IPO, with a nominal inital fair value due to the low probability of issuance. The Takeda Warrant Right expired without efect since no fair value had been allocated to it upon completon of the IPO, and no additonal warrant was issued. In additon, the Company is obligated to pay Takeda up to an aggregate of $250.0 million in sales milestones upon the achievement of specifed levels of product sales, and a low double-digit royalty rate on aggregate net sales of licensed products, subject to certain adjustments. The Takeda Warrant had an exercise price of $0.00004613 per share, and was to expire on May 7, 2029 and became exercisable upon the consummaton of the IPO. As of December 31, 2022 all Takeda Warrants have been exercised.</w:t>
      </w:r>
    </w:p>
    <w:p>
      <w:pPr>
        <w:spacing w:after="0" w:line="19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 Commitments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December 2020, the Company entered into a supply agreement with Sandoz pursuant to which Sandoz will supply commercial quanttes of amoxicillin capsules and clarithromycin tablets, package these antbiotcs with vonoprazan, and provide in fnished convenience packs. The supply agreement commits the Company to a minimum purchase obligaton of approximately $3.8 million in the frst 24-month period following the launch of the fnal product. The Company has not incurred any expenses under the agreement during the years ended December 31, 2022 and 2021.</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1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the event the Company becomes subject to claims or suits arising in the ordinary course of business, the Company would accrue a liability for such maters when it is probable that future expenditures will be made and such expenditures can be reasonably estmated.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Lease Commitments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of December 31, 2022, the Company had operatng leases for ofce space in both Bufalo Grove, Illinois and Florham Park, New Jersey, with weighted average remaining lease terms of 2.3 years and 2.7 years, respectvely. All operatng leases contain an opton to extend the term for one additonal fve-year period, which was not considered in the determinaton of the right-of-use asset or lease liability as the Company did not consider it reasonably certain that it would exercise such optons.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79" w:name="page180"/>
    <w:bookmarkEnd w:id="179"/>
    <w:p>
      <w:pPr>
        <w:ind w:left="520"/>
        <w:spacing w:after="0"/>
        <w:rPr>
          <w:sz w:val="20"/>
          <w:szCs w:val="20"/>
          <w:color w:val="auto"/>
        </w:rPr>
      </w:pPr>
      <w:r>
        <w:rPr>
          <w:rFonts w:ascii="Calibri" w:cs="Calibri" w:eastAsia="Calibri" w:hAnsi="Calibri"/>
          <w:sz w:val="18"/>
          <w:szCs w:val="18"/>
          <w:color w:val="auto"/>
        </w:rPr>
        <w:t>The total rent expense for the years ended December 31, 2022 and 2021 was approximately $1.0 million and $0.7 million, respectvely.</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supplemental balance sheet informaton related to the operatng leases as of December 31, 2022:</w:t>
      </w:r>
    </w:p>
    <w:p>
      <w:pPr>
        <w:spacing w:after="0" w:line="238"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December 31,</w:t>
            </w:r>
          </w:p>
        </w:tc>
        <w:tc>
          <w:tcPr>
            <w:tcW w:w="92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473"/>
              <w:spacing w:after="0" w:line="164" w:lineRule="exact"/>
              <w:rPr>
                <w:sz w:val="20"/>
                <w:szCs w:val="20"/>
                <w:color w:val="auto"/>
              </w:rPr>
            </w:pPr>
            <w:r>
              <w:rPr>
                <w:rFonts w:ascii="Calibri" w:cs="Calibri" w:eastAsia="Calibri" w:hAnsi="Calibri"/>
                <w:sz w:val="14"/>
                <w:szCs w:val="14"/>
                <w:b w:val="1"/>
                <w:bCs w:val="1"/>
                <w:color w:val="auto"/>
              </w:rPr>
              <w:t>2021</w:t>
            </w:r>
          </w:p>
        </w:tc>
      </w:tr>
      <w:tr>
        <w:trPr>
          <w:trHeight w:val="33"/>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6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8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r>
      <w:tr>
        <w:trPr>
          <w:trHeight w:val="215"/>
        </w:trPr>
        <w:tc>
          <w:tcPr>
            <w:tcW w:w="466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right-of-use assets</w:t>
            </w:r>
          </w:p>
        </w:tc>
        <w:tc>
          <w:tcPr>
            <w:tcW w:w="820" w:type="dxa"/>
            <w:vAlign w:val="bottom"/>
          </w:tcPr>
          <w:p>
            <w:pPr>
              <w:jc w:val="right"/>
              <w:ind w:right="63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2,287</w:t>
            </w:r>
          </w:p>
        </w:tc>
        <w:tc>
          <w:tcPr>
            <w:tcW w:w="500" w:type="dxa"/>
            <w:vAlign w:val="bottom"/>
            <w:gridSpan w:val="2"/>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1,914</w:t>
            </w:r>
          </w:p>
        </w:tc>
      </w:tr>
      <w:tr>
        <w:trPr>
          <w:trHeight w:val="28"/>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2"/>
        </w:trPr>
        <w:tc>
          <w:tcPr>
            <w:tcW w:w="466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Total right-of-use assets</w:t>
            </w:r>
          </w:p>
        </w:tc>
        <w:tc>
          <w:tcPr>
            <w:tcW w:w="8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2,287</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1,914</w:t>
            </w:r>
          </w:p>
        </w:tc>
      </w:tr>
      <w:tr>
        <w:trPr>
          <w:trHeight w:val="223"/>
        </w:trPr>
        <w:tc>
          <w:tcPr>
            <w:tcW w:w="4660" w:type="dxa"/>
            <w:vAlign w:val="bottom"/>
            <w:tcBorders>
              <w:top w:val="single" w:sz="8" w:color="CFF0F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8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r>
      <w:tr>
        <w:trPr>
          <w:trHeight w:val="215"/>
        </w:trPr>
        <w:tc>
          <w:tcPr>
            <w:tcW w:w="466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liabilites, current</w:t>
            </w:r>
          </w:p>
        </w:tc>
        <w:tc>
          <w:tcPr>
            <w:tcW w:w="8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708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487</w:t>
            </w:r>
          </w:p>
        </w:tc>
      </w:tr>
      <w:tr>
        <w:trPr>
          <w:trHeight w:val="28"/>
        </w:trPr>
        <w:tc>
          <w:tcPr>
            <w:tcW w:w="4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46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Operatng lease liabilites, non-current</w:t>
            </w:r>
          </w:p>
        </w:tc>
        <w:tc>
          <w:tcPr>
            <w:tcW w:w="8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1,098</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1,183</w:t>
            </w:r>
          </w:p>
        </w:tc>
      </w:tr>
      <w:tr>
        <w:trPr>
          <w:trHeight w:val="208"/>
        </w:trPr>
        <w:tc>
          <w:tcPr>
            <w:tcW w:w="466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Total operatng lease liabilites</w:t>
            </w:r>
          </w:p>
        </w:tc>
        <w:tc>
          <w:tcPr>
            <w:tcW w:w="820" w:type="dxa"/>
            <w:vAlign w:val="bottom"/>
            <w:tcBorders>
              <w:top w:val="single" w:sz="8" w:color="auto"/>
            </w:tcBorders>
          </w:tcPr>
          <w:p>
            <w:pPr>
              <w:jc w:val="right"/>
              <w:ind w:right="636"/>
              <w:spacing w:after="0" w:line="208"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1,806</w:t>
            </w: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jc w:val="right"/>
              <w:ind w:right="21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1,670</w:t>
            </w:r>
          </w:p>
        </w:tc>
      </w:tr>
      <w:tr>
        <w:trPr>
          <w:trHeight w:val="28"/>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-831215</wp:posOffset>
            </wp:positionV>
            <wp:extent cx="6858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2022, the future minimum annual lease payments under the operatng leases were as follows (in thousands):</w:t>
      </w:r>
    </w:p>
    <w:p>
      <w:pPr>
        <w:spacing w:after="0" w:line="239" w:lineRule="exact"/>
        <w:rPr>
          <w:sz w:val="20"/>
          <w:szCs w:val="20"/>
          <w:color w:val="auto"/>
        </w:rPr>
      </w:pPr>
    </w:p>
    <w:tbl>
      <w:tblPr>
        <w:tblLayout w:type="fixed"/>
        <w:tblInd w:w="1880" w:type="dxa"/>
        <w:tblCellMar>
          <w:top w:w="0" w:type="dxa"/>
          <w:left w:w="0" w:type="dxa"/>
          <w:bottom w:w="0" w:type="dxa"/>
          <w:right w:w="0" w:type="dxa"/>
        </w:tblCellMar>
      </w:tblPr>
      <w:tr>
        <w:trPr>
          <w:trHeight w:val="243"/>
        </w:trPr>
        <w:tc>
          <w:tcPr>
            <w:tcW w:w="576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2023</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Calibri" w:cs="Calibri" w:eastAsia="Calibri" w:hAnsi="Calibri"/>
                <w:sz w:val="18"/>
                <w:szCs w:val="18"/>
                <w:color w:val="auto"/>
              </w:rPr>
              <w:t>734</w:t>
            </w:r>
          </w:p>
        </w:tc>
        <w:tc>
          <w:tcPr>
            <w:tcW w:w="60" w:type="dxa"/>
            <w:vAlign w:val="bottom"/>
          </w:tcPr>
          <w:p>
            <w:pPr>
              <w:spacing w:after="0"/>
              <w:rPr>
                <w:sz w:val="21"/>
                <w:szCs w:val="21"/>
                <w:color w:val="auto"/>
              </w:rPr>
            </w:pPr>
          </w:p>
        </w:tc>
      </w:tr>
      <w:tr>
        <w:trPr>
          <w:trHeight w:val="215"/>
        </w:trPr>
        <w:tc>
          <w:tcPr>
            <w:tcW w:w="5760" w:type="dxa"/>
            <w:vAlign w:val="bottom"/>
          </w:tcPr>
          <w:p>
            <w:pPr>
              <w:ind w:left="180"/>
              <w:spacing w:after="0" w:line="215" w:lineRule="exact"/>
              <w:rPr>
                <w:sz w:val="20"/>
                <w:szCs w:val="20"/>
                <w:color w:val="auto"/>
              </w:rPr>
            </w:pPr>
            <w:r>
              <w:rPr>
                <w:rFonts w:ascii="Calibri" w:cs="Calibri" w:eastAsia="Calibri" w:hAnsi="Calibri"/>
                <w:sz w:val="18"/>
                <w:szCs w:val="18"/>
                <w:color w:val="auto"/>
              </w:rPr>
              <w:t>2024</w:t>
            </w:r>
          </w:p>
        </w:tc>
        <w:tc>
          <w:tcPr>
            <w:tcW w:w="680" w:type="dxa"/>
            <w:vAlign w:val="bottom"/>
          </w:tcPr>
          <w:p>
            <w:pPr>
              <w:spacing w:after="0"/>
              <w:rPr>
                <w:sz w:val="18"/>
                <w:szCs w:val="18"/>
                <w:color w:val="auto"/>
              </w:rPr>
            </w:pPr>
          </w:p>
        </w:tc>
        <w:tc>
          <w:tcPr>
            <w:tcW w:w="10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753</w:t>
            </w:r>
          </w:p>
        </w:tc>
        <w:tc>
          <w:tcPr>
            <w:tcW w:w="60" w:type="dxa"/>
            <w:vAlign w:val="bottom"/>
          </w:tcPr>
          <w:p>
            <w:pPr>
              <w:spacing w:after="0"/>
              <w:rPr>
                <w:sz w:val="18"/>
                <w:szCs w:val="18"/>
                <w:color w:val="auto"/>
              </w:rPr>
            </w:pPr>
          </w:p>
        </w:tc>
      </w:tr>
      <w:tr>
        <w:trPr>
          <w:trHeight w:val="28"/>
        </w:trPr>
        <w:tc>
          <w:tcPr>
            <w:tcW w:w="5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57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2025</w:t>
            </w:r>
          </w:p>
        </w:tc>
        <w:tc>
          <w:tcPr>
            <w:tcW w:w="6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513</w:t>
            </w:r>
          </w:p>
        </w:tc>
        <w:tc>
          <w:tcPr>
            <w:tcW w:w="60" w:type="dxa"/>
            <w:vAlign w:val="bottom"/>
          </w:tcPr>
          <w:p>
            <w:pPr>
              <w:spacing w:after="0"/>
              <w:rPr>
                <w:sz w:val="21"/>
                <w:szCs w:val="21"/>
                <w:color w:val="auto"/>
              </w:rPr>
            </w:pPr>
          </w:p>
        </w:tc>
      </w:tr>
      <w:tr>
        <w:trPr>
          <w:trHeight w:val="208"/>
        </w:trPr>
        <w:tc>
          <w:tcPr>
            <w:tcW w:w="57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minimum lease payments</w:t>
            </w:r>
          </w:p>
        </w:tc>
        <w:tc>
          <w:tcPr>
            <w:tcW w:w="6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2,000</w:t>
            </w:r>
          </w:p>
        </w:tc>
        <w:tc>
          <w:tcPr>
            <w:tcW w:w="60" w:type="dxa"/>
            <w:vAlign w:val="bottom"/>
          </w:tcPr>
          <w:p>
            <w:pPr>
              <w:spacing w:after="0"/>
              <w:rPr>
                <w:sz w:val="18"/>
                <w:szCs w:val="18"/>
                <w:color w:val="auto"/>
              </w:rPr>
            </w:pPr>
          </w:p>
        </w:tc>
      </w:tr>
      <w:tr>
        <w:trPr>
          <w:trHeight w:val="28"/>
        </w:trPr>
        <w:tc>
          <w:tcPr>
            <w:tcW w:w="5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57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amount representng interest</w:t>
            </w:r>
          </w:p>
        </w:tc>
        <w:tc>
          <w:tcPr>
            <w:tcW w:w="6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(194 )</w:t>
            </w:r>
          </w:p>
        </w:tc>
        <w:tc>
          <w:tcPr>
            <w:tcW w:w="60" w:type="dxa"/>
            <w:vAlign w:val="bottom"/>
          </w:tcPr>
          <w:p>
            <w:pPr>
              <w:spacing w:after="0"/>
              <w:rPr>
                <w:sz w:val="21"/>
                <w:szCs w:val="21"/>
                <w:color w:val="auto"/>
              </w:rPr>
            </w:pPr>
          </w:p>
        </w:tc>
      </w:tr>
      <w:tr>
        <w:trPr>
          <w:trHeight w:val="208"/>
        </w:trPr>
        <w:tc>
          <w:tcPr>
            <w:tcW w:w="57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Present value of operatng lease liabilites</w:t>
            </w:r>
          </w:p>
        </w:tc>
        <w:tc>
          <w:tcPr>
            <w:tcW w:w="6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1,806</w:t>
            </w:r>
          </w:p>
        </w:tc>
        <w:tc>
          <w:tcPr>
            <w:tcW w:w="60" w:type="dxa"/>
            <w:vAlign w:val="bottom"/>
          </w:tcPr>
          <w:p>
            <w:pPr>
              <w:spacing w:after="0"/>
              <w:rPr>
                <w:sz w:val="18"/>
                <w:szCs w:val="18"/>
                <w:color w:val="auto"/>
              </w:rPr>
            </w:pPr>
          </w:p>
        </w:tc>
      </w:tr>
      <w:tr>
        <w:trPr>
          <w:trHeight w:val="28"/>
        </w:trPr>
        <w:tc>
          <w:tcPr>
            <w:tcW w:w="5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57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operatng lease liabilites, current</w:t>
            </w:r>
          </w:p>
        </w:tc>
        <w:tc>
          <w:tcPr>
            <w:tcW w:w="6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(708 )</w:t>
            </w:r>
          </w:p>
        </w:tc>
        <w:tc>
          <w:tcPr>
            <w:tcW w:w="60" w:type="dxa"/>
            <w:vAlign w:val="bottom"/>
          </w:tcPr>
          <w:p>
            <w:pPr>
              <w:spacing w:after="0"/>
              <w:rPr>
                <w:sz w:val="21"/>
                <w:szCs w:val="21"/>
                <w:color w:val="auto"/>
              </w:rPr>
            </w:pPr>
          </w:p>
        </w:tc>
      </w:tr>
      <w:tr>
        <w:trPr>
          <w:trHeight w:val="208"/>
        </w:trPr>
        <w:tc>
          <w:tcPr>
            <w:tcW w:w="57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Operatng lease liabilites</w:t>
            </w:r>
          </w:p>
        </w:tc>
        <w:tc>
          <w:tcPr>
            <w:tcW w:w="680" w:type="dxa"/>
            <w:vAlign w:val="bottom"/>
            <w:tcBorders>
              <w:top w:val="single" w:sz="8" w:color="auto"/>
            </w:tcBorders>
          </w:tcPr>
          <w:p>
            <w:pPr>
              <w:jc w:val="right"/>
              <w:ind w:right="49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1,098</w:t>
            </w:r>
          </w:p>
        </w:tc>
        <w:tc>
          <w:tcPr>
            <w:tcW w:w="60" w:type="dxa"/>
            <w:vAlign w:val="bottom"/>
          </w:tcPr>
          <w:p>
            <w:pPr>
              <w:spacing w:after="0"/>
              <w:rPr>
                <w:sz w:val="18"/>
                <w:szCs w:val="18"/>
                <w:color w:val="auto"/>
              </w:rPr>
            </w:pPr>
          </w:p>
        </w:tc>
      </w:tr>
      <w:tr>
        <w:trPr>
          <w:trHeight w:val="28"/>
        </w:trPr>
        <w:tc>
          <w:tcPr>
            <w:tcW w:w="5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5760" w:type="dxa"/>
            <w:vAlign w:val="bottom"/>
          </w:tcPr>
          <w:p>
            <w:pPr>
              <w:spacing w:after="0" w:line="215" w:lineRule="exact"/>
              <w:rPr>
                <w:sz w:val="20"/>
                <w:szCs w:val="20"/>
                <w:color w:val="auto"/>
              </w:rPr>
            </w:pPr>
            <w:r>
              <w:rPr>
                <w:rFonts w:ascii="Calibri" w:cs="Calibri" w:eastAsia="Calibri" w:hAnsi="Calibri"/>
                <w:sz w:val="18"/>
                <w:szCs w:val="18"/>
                <w:color w:val="auto"/>
              </w:rPr>
              <w:t>Weighted-average remaining lease term (in years)</w:t>
            </w:r>
          </w:p>
        </w:tc>
        <w:tc>
          <w:tcPr>
            <w:tcW w:w="680" w:type="dxa"/>
            <w:vAlign w:val="bottom"/>
          </w:tcPr>
          <w:p>
            <w:pPr>
              <w:spacing w:after="0"/>
              <w:rPr>
                <w:sz w:val="18"/>
                <w:szCs w:val="18"/>
                <w:color w:val="auto"/>
              </w:rPr>
            </w:pPr>
          </w:p>
        </w:tc>
        <w:tc>
          <w:tcPr>
            <w:tcW w:w="10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2.6</w:t>
            </w:r>
          </w:p>
        </w:tc>
        <w:tc>
          <w:tcPr>
            <w:tcW w:w="60" w:type="dxa"/>
            <w:vAlign w:val="bottom"/>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Calibri" w:cs="Calibri" w:eastAsia="Calibri" w:hAnsi="Calibri"/>
                <w:sz w:val="18"/>
                <w:szCs w:val="18"/>
                <w:color w:val="auto"/>
              </w:rPr>
              <w:t>Weighted-average incremental borrowing rate</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Calibri" w:cs="Calibri" w:eastAsia="Calibri" w:hAnsi="Calibri"/>
                <w:sz w:val="18"/>
                <w:szCs w:val="18"/>
                <w:color w:val="auto"/>
              </w:rPr>
              <w:t>8.20 %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-130175</wp:posOffset>
            </wp:positionV>
            <wp:extent cx="477456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74565" cy="154305"/>
                    </a:xfrm>
                    <a:prstGeom prst="rect">
                      <a:avLst/>
                    </a:prstGeom>
                    <a:noFill/>
                  </pic:spPr>
                </pic:pic>
              </a:graphicData>
            </a:graphic>
          </wp:anchor>
        </w:drawing>
      </w:r>
    </w:p>
    <w:p>
      <w:pPr>
        <w:spacing w:after="0" w:line="21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Operatng cash fows for the years ended December 31, 2022 included $1.1 million in cash payments for operatng leases, none of which were prepaid lease payments. Operatng cash fows for the years ended December 31, 2021 included $0.7 million in cash payments for operatng leases, $0.1 million of which were prepaid lease payments.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Debt</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Total debt consists of the following (in thousands):</w:t>
      </w:r>
    </w:p>
    <w:p>
      <w:pPr>
        <w:spacing w:after="0" w:line="292"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Calibri" w:cs="Calibri" w:eastAsia="Calibri" w:hAnsi="Calibri"/>
                <w:sz w:val="14"/>
                <w:szCs w:val="14"/>
                <w:b w:val="1"/>
                <w:bCs w:val="1"/>
                <w:color w:val="auto"/>
              </w:rPr>
              <w:t>December 31,</w:t>
            </w:r>
          </w:p>
        </w:tc>
      </w:tr>
      <w:tr>
        <w:trPr>
          <w:trHeight w:val="175"/>
        </w:trPr>
        <w:tc>
          <w:tcPr>
            <w:tcW w:w="5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656"/>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5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Long-term debt, current porton</w:t>
            </w:r>
          </w:p>
        </w:tc>
        <w:tc>
          <w:tcPr>
            <w:tcW w:w="24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non-current porton</w:t>
            </w:r>
          </w:p>
        </w:tc>
        <w:tc>
          <w:tcPr>
            <w:tcW w:w="24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104,474</w:t>
            </w:r>
          </w:p>
        </w:tc>
      </w:tr>
      <w:tr>
        <w:trPr>
          <w:trHeight w:val="28"/>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8"/>
        </w:trPr>
        <w:tc>
          <w:tcPr>
            <w:tcW w:w="5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Unamortzed debt discount</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(9,210 )</w:t>
            </w:r>
          </w:p>
        </w:tc>
      </w:tr>
      <w:tr>
        <w:trPr>
          <w:trHeight w:val="208"/>
        </w:trPr>
        <w:tc>
          <w:tcPr>
            <w:tcW w:w="57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debt, net of debt discount</w:t>
            </w: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95,264</w:t>
            </w:r>
          </w:p>
        </w:tc>
      </w:tr>
      <w:tr>
        <w:trPr>
          <w:trHeight w:val="28"/>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On September 17, 2021, or the Closing Date, the Company entered into a Loan and Security Agreement, or, the Loan Agreement, with Hercules Capital, Inc., in its capacity as administratve agent and collateral agent and as a lender, or, in such capacity, the Agent or Hercules, and the other fnancial insttutons that from tme to tme become partes to the Loan Agreement as lenders, or, collectvely, the Lenders.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4" w:right="399" w:bottom="1440" w:gutter="0" w:footer="0" w:header="0"/>
        </w:sectPr>
      </w:pPr>
    </w:p>
    <w:bookmarkStart w:id="180" w:name="page181"/>
    <w:bookmarkEnd w:id="180"/>
    <w:p>
      <w:pPr>
        <w:ind w:firstLine="509"/>
        <w:spacing w:after="0" w:line="235" w:lineRule="auto"/>
        <w:rPr>
          <w:sz w:val="20"/>
          <w:szCs w:val="20"/>
          <w:color w:val="auto"/>
        </w:rPr>
      </w:pPr>
      <w:r>
        <w:rPr>
          <w:rFonts w:ascii="Calibri" w:cs="Calibri" w:eastAsia="Calibri" w:hAnsi="Calibri"/>
          <w:sz w:val="18"/>
          <w:szCs w:val="18"/>
          <w:color w:val="auto"/>
        </w:rPr>
        <w:t xml:space="preserve">The Loan Agreement provides for term loans in an aggregate principal amount of up to $200.0 million, or the Term Loan, under multple tranches. The tranches consist of (i) a frst tranche consistng of term loans in an aggregate principal amount of $100.0 million, all of which was funded to the Company on the Closing Date, or First Advance, (ii) a second tranche consistng of up to an additonal $50.0 million, which became available to the Company upon achievement of the protocol-specifed primary efcacy endpoints in the Company’s Phase 3 trial studying vonoprazan for the healing and maintenance of healing of erosive GERD with acceptable safety data, such that the results support the submission of a New Drug Applicaton, or NDA, or supplemental NDA without the need to conduct another Phase 3 study and will be available, if specifed conditons are met, through December 15, 2022, see amendment to later date below, (iii) a third and fourth tranches consistng of an additonal total $50.0 million, which became available to the Company in May 2022 upon the achievement of (a) Food and Drug Administraton, or FDA, approval of the Company’s NDA for vonoprazan and amoxicillin, or its New Drug Applicaton for vonoprazan, amoxicillin and clarithromycin, in each case for an indicaton relatng to the treatment of </w:t>
      </w:r>
      <w:r>
        <w:rPr>
          <w:rFonts w:ascii="Calibri" w:cs="Calibri" w:eastAsia="Calibri" w:hAnsi="Calibri"/>
          <w:sz w:val="18"/>
          <w:szCs w:val="18"/>
          <w:i w:val="1"/>
          <w:iCs w:val="1"/>
          <w:color w:val="auto"/>
        </w:rPr>
        <w:t>Helicobacter pylori</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with an approved indicaton on the claim that is generally consistent with that sought in the Company’s NDA submission; and (b) fling of the Company’s NDA or supplemental NDA for vonoprazan for indicatons relatng to the healing and maintenance of healing of erosive GERD. The third and fourth tranches will remain available untl September 30, 2023, and March 31, 2024, respectvely.</w:t>
      </w:r>
    </w:p>
    <w:p>
      <w:pPr>
        <w:spacing w:after="0" w:line="199" w:lineRule="exact"/>
        <w:rPr>
          <w:sz w:val="20"/>
          <w:szCs w:val="20"/>
          <w:color w:val="auto"/>
        </w:rPr>
      </w:pPr>
    </w:p>
    <w:p>
      <w:pPr>
        <w:ind w:right="80" w:firstLine="509"/>
        <w:spacing w:after="0" w:line="258" w:lineRule="auto"/>
        <w:rPr>
          <w:sz w:val="20"/>
          <w:szCs w:val="20"/>
          <w:color w:val="auto"/>
        </w:rPr>
      </w:pPr>
      <w:r>
        <w:rPr>
          <w:rFonts w:ascii="Calibri" w:cs="Calibri" w:eastAsia="Calibri" w:hAnsi="Calibri"/>
          <w:sz w:val="17"/>
          <w:szCs w:val="17"/>
          <w:color w:val="auto"/>
        </w:rPr>
        <w:t>On September 27, 2022, the Company entered into an amendment to the Loan Agreement, or the Second Loan Amendment, pursuant to which the date the second tranche of funding of $50 million will remain available to the Company has been moved untl May 15, 2023, rather than December 15, 2022.</w:t>
      </w:r>
    </w:p>
    <w:p>
      <w:pPr>
        <w:spacing w:after="0" w:line="16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paid a $1.25 million facility charge in connecton with closing of the Loan Agreement and would need to pay 0.5% of any advances made under the third and fourth tranches.</w:t>
      </w:r>
    </w:p>
    <w:p>
      <w:pPr>
        <w:spacing w:after="0" w:line="177" w:lineRule="exact"/>
        <w:rPr>
          <w:sz w:val="20"/>
          <w:szCs w:val="20"/>
          <w:color w:val="auto"/>
        </w:rPr>
      </w:pPr>
    </w:p>
    <w:p>
      <w:pPr>
        <w:ind w:firstLine="549"/>
        <w:spacing w:after="0" w:line="235" w:lineRule="auto"/>
        <w:rPr>
          <w:sz w:val="20"/>
          <w:szCs w:val="20"/>
          <w:color w:val="auto"/>
        </w:rPr>
      </w:pPr>
      <w:r>
        <w:rPr>
          <w:rFonts w:ascii="Calibri" w:cs="Calibri" w:eastAsia="Calibri" w:hAnsi="Calibri"/>
          <w:sz w:val="18"/>
          <w:szCs w:val="18"/>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was extended to October 1, 2025, upon the achievement of the Second Performance Milestone in May 2022 prior to September 30, 2024 and met the conditon that no default or event of default exists, and which is further extendable to October 1, 2026, subject to FDA approval of the Company’s NDA (or supplemental NDA) for vonoprazan for an indicaton relatng to the healing and maintenance of healing of erosive GERD with an approved indicaton on the label that is generally consistent with that sought in the Company’s NDA submission (or supplemental NDA submission), or the Third Performance Milestone, on or prior to September 30, 2025 and no default or event of default exists (the “interest only period”). Afer the interest-only period, the principal balance and related interest will be required to be repaid in equal monthly installments and contnuing untl the Maturity Date.</w:t>
      </w:r>
    </w:p>
    <w:p>
      <w:pPr>
        <w:spacing w:after="0" w:line="19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additon, the Company is obligated to pay a fnal payment fee of 7.50% of the original principal amount of amounts actually advanced under the Term Loan, or, each a Term Loan Advance and together, the Term Loan Advances. As of December 31, 2022, the aggregate fnal payment fee for the frst Term Loan Advance of $7.5 million has been recorded as an other long-term liability.</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may elect to prepay all or a porton of the Term Loan Advances prior to maturity, subject to a prepayment fee of up to 1.25% of the then outstanding principal balance of the Term Loan Advances being prepaid. Afer repayment, no Term Loan amounts may be borrowed again.</w:t>
      </w:r>
    </w:p>
    <w:p>
      <w:pPr>
        <w:spacing w:after="0" w:line="17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As collateral for the obligatons, the Company has granted to Hercules a senior security interest in all of Company’s right, ttle, and interest in, to and under substantally all of Company’s property, inclusive of intellectual property.</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81" w:name="page182"/>
    <w:bookmarkEnd w:id="181"/>
    <w:p>
      <w:pPr>
        <w:ind w:firstLine="509"/>
        <w:spacing w:after="0" w:line="235" w:lineRule="auto"/>
        <w:rPr>
          <w:sz w:val="20"/>
          <w:szCs w:val="20"/>
          <w:color w:val="auto"/>
        </w:rPr>
      </w:pPr>
      <w:r>
        <w:rPr>
          <w:rFonts w:ascii="Calibri" w:cs="Calibri" w:eastAsia="Calibri" w:hAnsi="Calibri"/>
          <w:sz w:val="18"/>
          <w:szCs w:val="18"/>
          <w:color w:val="auto"/>
        </w:rPr>
        <w:t>The Loan Agreement contains customary closing fees, prepayment fees and provisions, events of default, and representatons, warrantes and covenants, including a fnancial covenant requiring the Company to maintain certain levels of cash subject to a control agreement in favor of the Agent (minus accounts payable not paid within 120 days of invoice), or Qualifed Cash, and commencing on May 15, 2023, trailing three-month net product revenue from the sale of vonoprazan and products containing vonoprazan. The revenue covenant will be waived at any tme in which the Company maintains Qualifed Cash equal to at least 60.0% (prior to the Third Performance Milestone), and 35% (following the Third Performance Milestone) of the total outstanding Term Loan principal amount, or the Company’s market capitalizaton is at least $900.0 million. Upon the occurrence of an event of default, subject to any specifed cure periods, all amounts owed by the Company may be declared immediately due and payable by Hercules, as collateral agent. As of December 31, 2022, the Company was in compliance with all applicable covenants under the Loan Agreement.</w:t>
      </w:r>
    </w:p>
    <w:p>
      <w:pPr>
        <w:spacing w:after="0" w:line="19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Under the Second Loan Amendment, the commencement date for the covenant based on trailing three-month net product revenue from the sale of vonoprazan and products containing vonoprazan was moved from May 15, 2023, to November 15, 2023.</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connecton with the entry into the Loan Agreement, the Company issued to Hercules a warrant, or, the Warrant, to purchase a number of shares of the Company’s common stock equal to 2.5% of the aggregate amount of the Term Loan advances funded, and will issue to Hercules additonal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tme untl September 17, 2028 and had an inital fair value of approximately $1.3 million.</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inital $1.3 million fair value of the Warrant, the $7.5 million fnal interest payment fee and $3.1 million of debt issuance costs have been recorded as debt discount and are being amortzed to interest expense using the efectve interest method over the term of the Term Loan.</w:t>
      </w:r>
    </w:p>
    <w:p>
      <w:pPr>
        <w:spacing w:after="0" w:line="18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Future minimum principal payments under the Term Loan, including the fnal payment fee, as of December 31, 2022 are as follows (in thousands):</w:t>
      </w:r>
    </w:p>
    <w:p>
      <w:pPr>
        <w:spacing w:after="0" w:line="239" w:lineRule="exact"/>
        <w:rPr>
          <w:sz w:val="20"/>
          <w:szCs w:val="20"/>
          <w:color w:val="auto"/>
        </w:rPr>
      </w:pPr>
    </w:p>
    <w:tbl>
      <w:tblPr>
        <w:tblLayout w:type="fixed"/>
        <w:tblInd w:w="1920" w:type="dxa"/>
        <w:tblCellMar>
          <w:top w:w="0" w:type="dxa"/>
          <w:left w:w="0" w:type="dxa"/>
          <w:bottom w:w="0" w:type="dxa"/>
          <w:right w:w="0" w:type="dxa"/>
        </w:tblCellMar>
      </w:tblPr>
      <w:tr>
        <w:trPr>
          <w:trHeight w:val="243"/>
        </w:trPr>
        <w:tc>
          <w:tcPr>
            <w:tcW w:w="574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Year ending December 31:</w:t>
            </w: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15"/>
        </w:trPr>
        <w:tc>
          <w:tcPr>
            <w:tcW w:w="5740" w:type="dxa"/>
            <w:vAlign w:val="bottom"/>
          </w:tcPr>
          <w:p>
            <w:pPr>
              <w:jc w:val="right"/>
              <w:ind w:right="5110"/>
              <w:spacing w:after="0" w:line="215" w:lineRule="exact"/>
              <w:rPr>
                <w:sz w:val="20"/>
                <w:szCs w:val="20"/>
                <w:color w:val="auto"/>
              </w:rPr>
            </w:pPr>
            <w:r>
              <w:rPr>
                <w:rFonts w:ascii="Calibri" w:cs="Calibri" w:eastAsia="Calibri" w:hAnsi="Calibri"/>
                <w:sz w:val="18"/>
                <w:szCs w:val="18"/>
                <w:color w:val="auto"/>
              </w:rPr>
              <w:t>2023</w:t>
            </w:r>
          </w:p>
        </w:tc>
        <w:tc>
          <w:tcPr>
            <w:tcW w:w="5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5740" w:type="dxa"/>
            <w:vAlign w:val="bottom"/>
            <w:tcBorders>
              <w:bottom w:val="single" w:sz="8" w:color="CFF0FC"/>
            </w:tcBorders>
            <w:shd w:val="clear" w:color="auto" w:fill="CFF0FC"/>
          </w:tcPr>
          <w:p>
            <w:pPr>
              <w:jc w:val="right"/>
              <w:ind w:right="5110"/>
              <w:spacing w:after="0" w:line="215" w:lineRule="exact"/>
              <w:rPr>
                <w:sz w:val="20"/>
                <w:szCs w:val="20"/>
                <w:color w:val="auto"/>
              </w:rPr>
            </w:pPr>
            <w:r>
              <w:rPr>
                <w:rFonts w:ascii="Calibri" w:cs="Calibri" w:eastAsia="Calibri" w:hAnsi="Calibri"/>
                <w:sz w:val="18"/>
                <w:szCs w:val="18"/>
                <w:color w:val="auto"/>
              </w:rPr>
              <w:t>2024</w:t>
            </w:r>
          </w:p>
        </w:tc>
        <w:tc>
          <w:tcPr>
            <w:tcW w:w="5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740" w:type="dxa"/>
            <w:vAlign w:val="bottom"/>
          </w:tcPr>
          <w:p>
            <w:pPr>
              <w:jc w:val="right"/>
              <w:ind w:right="5110"/>
              <w:spacing w:after="0" w:line="215" w:lineRule="exact"/>
              <w:rPr>
                <w:sz w:val="20"/>
                <w:szCs w:val="20"/>
                <w:color w:val="auto"/>
              </w:rPr>
            </w:pPr>
            <w:r>
              <w:rPr>
                <w:rFonts w:ascii="Calibri" w:cs="Calibri" w:eastAsia="Calibri" w:hAnsi="Calibri"/>
                <w:sz w:val="18"/>
                <w:szCs w:val="18"/>
                <w:color w:val="auto"/>
              </w:rPr>
              <w:t>2025</w:t>
            </w:r>
          </w:p>
        </w:tc>
        <w:tc>
          <w:tcPr>
            <w:tcW w:w="5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29,707</w:t>
            </w:r>
          </w:p>
        </w:tc>
      </w:tr>
      <w:tr>
        <w:trPr>
          <w:trHeight w:val="28"/>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5740" w:type="dxa"/>
            <w:vAlign w:val="bottom"/>
            <w:tcBorders>
              <w:bottom w:val="single" w:sz="8" w:color="CFF0FC"/>
            </w:tcBorders>
            <w:shd w:val="clear" w:color="auto" w:fill="CFF0FC"/>
          </w:tcPr>
          <w:p>
            <w:pPr>
              <w:jc w:val="right"/>
              <w:ind w:right="5110"/>
              <w:spacing w:after="0" w:line="215" w:lineRule="exact"/>
              <w:rPr>
                <w:sz w:val="20"/>
                <w:szCs w:val="20"/>
                <w:color w:val="auto"/>
              </w:rPr>
            </w:pPr>
            <w:r>
              <w:rPr>
                <w:rFonts w:ascii="Calibri" w:cs="Calibri" w:eastAsia="Calibri" w:hAnsi="Calibri"/>
                <w:sz w:val="18"/>
                <w:szCs w:val="18"/>
                <w:color w:val="auto"/>
              </w:rPr>
              <w:t>2026</w:t>
            </w:r>
          </w:p>
        </w:tc>
        <w:tc>
          <w:tcPr>
            <w:tcW w:w="5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94,764</w:t>
            </w:r>
          </w:p>
        </w:tc>
      </w:tr>
      <w:tr>
        <w:trPr>
          <w:trHeight w:val="208"/>
        </w:trPr>
        <w:tc>
          <w:tcPr>
            <w:tcW w:w="57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principal and interest payments</w:t>
            </w: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124,471</w:t>
            </w:r>
          </w:p>
        </w:tc>
      </w:tr>
      <w:tr>
        <w:trPr>
          <w:trHeight w:val="28"/>
        </w:trPr>
        <w:tc>
          <w:tcPr>
            <w:tcW w:w="5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57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Less payment-in-kind and fnal payment fee</w:t>
            </w:r>
          </w:p>
        </w:tc>
        <w:tc>
          <w:tcPr>
            <w:tcW w:w="5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(24,471 )</w:t>
            </w:r>
          </w:p>
        </w:tc>
      </w:tr>
      <w:tr>
        <w:trPr>
          <w:trHeight w:val="208"/>
        </w:trPr>
        <w:tc>
          <w:tcPr>
            <w:tcW w:w="57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term loan borrowings</w:t>
            </w:r>
          </w:p>
        </w:tc>
        <w:tc>
          <w:tcPr>
            <w:tcW w:w="560" w:type="dxa"/>
            <w:vAlign w:val="bottom"/>
            <w:tcBorders>
              <w:top w:val="single" w:sz="8" w:color="auto"/>
            </w:tcBorders>
          </w:tcPr>
          <w:p>
            <w:pPr>
              <w:jc w:val="right"/>
              <w:ind w:right="37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100,000</w:t>
            </w:r>
          </w:p>
        </w:tc>
      </w:tr>
      <w:tr>
        <w:trPr>
          <w:trHeight w:val="28"/>
        </w:trPr>
        <w:tc>
          <w:tcPr>
            <w:tcW w:w="5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60" w:firstLine="509"/>
        <w:spacing w:after="0" w:line="258" w:lineRule="auto"/>
        <w:rPr>
          <w:sz w:val="20"/>
          <w:szCs w:val="20"/>
          <w:color w:val="auto"/>
        </w:rPr>
      </w:pPr>
      <w:r>
        <w:rPr>
          <w:rFonts w:ascii="Calibri" w:cs="Calibri" w:eastAsia="Calibri" w:hAnsi="Calibri"/>
          <w:sz w:val="17"/>
          <w:szCs w:val="17"/>
          <w:color w:val="auto"/>
        </w:rPr>
        <w:t>Prior to the Loan Agreement with Hercules, the Company had a loan with SVB and approximately $54.3 million of the proceeds from the First Advance was used to satsfy in full and retre the Company’s indebtedness under the SVB Term Loan with SVB, including accrued interest through the payof date.</w:t>
      </w:r>
    </w:p>
    <w:p>
      <w:pPr>
        <w:spacing w:after="0" w:line="161"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During the years ended December 31, 2022 and 2021, the Company recognized $13.0 million and $6.8 million, respectvely, of interest expense, including amortzaton of the debt discount, in connecton with the Hercules Loan Agreement and SVB Term Loan. As of December 31, 2022, the Company had outstanding loan balance of $104.5 million and accrued interest of $0.9 million.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2" w:name="page183"/>
    <w:bookmarkEnd w:id="182"/>
    <w:p>
      <w:pPr>
        <w:spacing w:after="0"/>
        <w:rPr>
          <w:sz w:val="20"/>
          <w:szCs w:val="20"/>
          <w:color w:val="auto"/>
        </w:rPr>
      </w:pPr>
      <w:r>
        <w:rPr>
          <w:rFonts w:ascii="Calibri" w:cs="Calibri" w:eastAsia="Calibri" w:hAnsi="Calibri"/>
          <w:sz w:val="18"/>
          <w:szCs w:val="18"/>
          <w:b w:val="1"/>
          <w:bCs w:val="1"/>
          <w:color w:val="auto"/>
        </w:rPr>
        <w:t>7. Revenue Interest Financing Liability</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On May 3, 2022, Phathom entered into a Revenue Interest Financing Agreement with Inital Investors NQ, Sagard, and Hercules pursuant to which the Company will receive up to $260 million in funding from the Inital Investors. Under the terms of the Revenue Interest Financing Agreement, the Company received $100 million at the inital closing and can receive an additonal $160 million upon FDA approval of vonoprazan for treatment of erosive GERD on or before March 31, 2024. At any tme prior to December 31, 2022, the Company also has the right to obtain a writen commitment from a third party for up to $15 million of funding upon FDA approval of vonoprazan for erosive GERD. In additon, the Company has the right at any tme prior to June 30, 2024, to obtain a writen commitment from a third party for up to $25 million of funding upon achievement of a sales milestone. The Inital Investors have a right of frst ofer if the Company seeks to obtain such additonal funding. The total amount funded by the Inital Investors and any subsequent investors is referred to herein as the Investment Amount.</w:t>
      </w:r>
    </w:p>
    <w:p>
      <w:pPr>
        <w:spacing w:after="0" w:line="182" w:lineRule="exact"/>
        <w:rPr>
          <w:sz w:val="20"/>
          <w:szCs w:val="20"/>
          <w:color w:val="auto"/>
        </w:rPr>
      </w:pPr>
    </w:p>
    <w:p>
      <w:pPr>
        <w:ind w:right="100" w:firstLine="509"/>
        <w:spacing w:after="0" w:line="254" w:lineRule="auto"/>
        <w:rPr>
          <w:sz w:val="20"/>
          <w:szCs w:val="20"/>
          <w:color w:val="auto"/>
        </w:rPr>
      </w:pPr>
      <w:r>
        <w:rPr>
          <w:rFonts w:ascii="Calibri" w:cs="Calibri" w:eastAsia="Calibri" w:hAnsi="Calibri"/>
          <w:sz w:val="17"/>
          <w:szCs w:val="17"/>
          <w:color w:val="auto"/>
        </w:rPr>
        <w:t>On October 31, 2022, the Company entered into a Joinder Agreement with the Inital Investors and CO Finance LVS XXXVII LLC (“the Additonal Investor”), and Hercules Capital, Inc. Under the terms of the Joinder Agreement, the Inital Investors waived their rights of frst ofer regarding the Additonal Investor Funding and the Additonal Investor joined the Revenue Interest Financing Agreement to extend commitments for the Additonal Investor Funding.</w:t>
      </w:r>
    </w:p>
    <w:p>
      <w:pPr>
        <w:spacing w:after="0" w:line="16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investors are enttled to receive a 10% royalty on net sales of products containing vonoprazan. The royalty rate is subject to a step-down on net sales exceeding certain annual thresholds and if the Company receives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the Company has the right to make a cap payment equal to 200% of the Investment Amount less any royaltes already paid, at which tme the agreement will terminate.</w:t>
      </w:r>
    </w:p>
    <w:p>
      <w:pPr>
        <w:spacing w:after="0" w:line="194" w:lineRule="exact"/>
        <w:rPr>
          <w:sz w:val="20"/>
          <w:szCs w:val="20"/>
          <w:color w:val="auto"/>
        </w:rPr>
      </w:pPr>
    </w:p>
    <w:p>
      <w:pPr>
        <w:jc w:val="both"/>
        <w:ind w:right="32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sufcient to gross the investors up to the applicable Minimum Amount.</w:t>
      </w:r>
    </w:p>
    <w:p>
      <w:pPr>
        <w:spacing w:after="0" w:line="178"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the Company is obligated to pay 1.30 tmes Investment Amount, 1.65 tmes Investment Amount, and 2.0 tmes investment amount, respectvely, less any amounts the Company previously paid pursuant to the agreement.</w:t>
      </w:r>
    </w:p>
    <w:p>
      <w:pPr>
        <w:spacing w:after="0" w:line="178"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Upon the occurrence of a change in control event taking place prior to the earlier of April 1, 2024, or FDA approval of vonoprazan for erosive GERD, the Company is obligated to pay 200% of the Investment Amount plus either 15% of the Investment Amount if occurrence prior to May 3, 2023, or plus 30% of the Investment Amount if occurrence thereafer.</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During the year ended December 31, 2022, the Company received gross proceeds of $100.0 million before deductng transacton costs of $4.6 million, which resulted in net proceeds of $95.4 million.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83" w:name="page184"/>
    <w:bookmarkEnd w:id="183"/>
    <w:p>
      <w:pPr>
        <w:ind w:right="220" w:firstLine="509"/>
        <w:spacing w:after="0" w:line="235" w:lineRule="auto"/>
        <w:rPr>
          <w:sz w:val="20"/>
          <w:szCs w:val="20"/>
          <w:color w:val="auto"/>
        </w:rPr>
      </w:pPr>
      <w:r>
        <w:rPr>
          <w:rFonts w:ascii="Calibri" w:cs="Calibri" w:eastAsia="Calibri" w:hAnsi="Calibri"/>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transacton as a debt obligaton with interest expense based on an imputed efectve rate derived from the inital carrying value of the obligaton and the expected future payments. The Company recalculates the efectve interest rate each period based on the current carrying value and the revised estmated future payments. Changes in future payments from previous estmates are included in the current and future fnancing expense. The carrying value of the revenue interest fnancing liability was $109.5 million as of December 31, 2022.</w:t>
      </w:r>
    </w:p>
    <w:p>
      <w:pPr>
        <w:spacing w:after="0" w:line="18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Total revenue interest fnancing liability consists of the following (in thousands):</w:t>
      </w:r>
    </w:p>
    <w:p>
      <w:pPr>
        <w:spacing w:after="0" w:line="238" w:lineRule="exact"/>
        <w:rPr>
          <w:sz w:val="20"/>
          <w:szCs w:val="20"/>
          <w:color w:val="auto"/>
        </w:rPr>
      </w:pPr>
    </w:p>
    <w:tbl>
      <w:tblPr>
        <w:tblLayout w:type="fixed"/>
        <w:tblInd w:w="208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Calibri" w:cs="Calibri" w:eastAsia="Calibri" w:hAnsi="Calibri"/>
                <w:sz w:val="14"/>
                <w:szCs w:val="14"/>
                <w:b w:val="1"/>
                <w:bCs w:val="1"/>
                <w:color w:val="auto"/>
              </w:rPr>
              <w:t>December 31,</w:t>
            </w:r>
          </w:p>
        </w:tc>
      </w:tr>
      <w:tr>
        <w:trPr>
          <w:trHeight w:val="176"/>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55"/>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16"/>
        </w:trPr>
        <w:tc>
          <w:tcPr>
            <w:tcW w:w="5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Beginning liability balance</w:t>
            </w:r>
          </w:p>
        </w:tc>
        <w:tc>
          <w:tcPr>
            <w:tcW w:w="2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Proceeds from the Revenue Interest Financing Agreement</w:t>
            </w:r>
          </w:p>
        </w:tc>
        <w:tc>
          <w:tcPr>
            <w:tcW w:w="2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100,000</w:t>
            </w:r>
          </w:p>
        </w:tc>
        <w:tc>
          <w:tcPr>
            <w:tcW w:w="100" w:type="dxa"/>
            <w:vAlign w:val="bottom"/>
          </w:tcPr>
          <w:p>
            <w:pPr>
              <w:spacing w:after="0"/>
              <w:rPr>
                <w:sz w:val="18"/>
                <w:szCs w:val="18"/>
                <w:color w:val="auto"/>
              </w:rPr>
            </w:pPr>
          </w:p>
        </w:tc>
      </w:tr>
      <w:tr>
        <w:trPr>
          <w:trHeight w:val="28"/>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23"/>
        </w:trPr>
        <w:tc>
          <w:tcPr>
            <w:tcW w:w="5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Less: transacton costs</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(4,554 )</w:t>
            </w:r>
          </w:p>
        </w:tc>
      </w:tr>
      <w:tr>
        <w:trPr>
          <w:trHeight w:val="215"/>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Less: royalty payments and payables</w:t>
            </w:r>
          </w:p>
        </w:tc>
        <w:tc>
          <w:tcPr>
            <w:tcW w:w="2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r>
        <w:trPr>
          <w:trHeight w:val="28"/>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Plus: interest expense</w:t>
            </w:r>
          </w:p>
        </w:tc>
        <w:tc>
          <w:tcPr>
            <w:tcW w:w="2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14,079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Ending liability balance</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109,525</w:t>
            </w:r>
          </w:p>
        </w:tc>
        <w:tc>
          <w:tcPr>
            <w:tcW w:w="100" w:type="dxa"/>
            <w:vAlign w:val="bottom"/>
          </w:tcPr>
          <w:p>
            <w:pPr>
              <w:spacing w:after="0"/>
              <w:rPr>
                <w:sz w:val="18"/>
                <w:szCs w:val="18"/>
                <w:color w:val="auto"/>
              </w:rPr>
            </w:pPr>
          </w:p>
        </w:tc>
      </w:tr>
    </w:tbl>
    <w:p>
      <w:pPr>
        <w:spacing w:after="0" w:line="181" w:lineRule="exact"/>
        <w:rPr>
          <w:sz w:val="20"/>
          <w:szCs w:val="20"/>
          <w:color w:val="auto"/>
        </w:rPr>
      </w:pPr>
    </w:p>
    <w:p>
      <w:pPr>
        <w:ind w:right="640" w:firstLine="509"/>
        <w:spacing w:after="0" w:line="235" w:lineRule="auto"/>
        <w:rPr>
          <w:sz w:val="20"/>
          <w:szCs w:val="20"/>
          <w:color w:val="auto"/>
        </w:rPr>
      </w:pPr>
      <w:r>
        <w:rPr>
          <w:rFonts w:ascii="Calibri" w:cs="Calibri" w:eastAsia="Calibri" w:hAnsi="Calibri"/>
          <w:sz w:val="18"/>
          <w:szCs w:val="18"/>
          <w:color w:val="auto"/>
        </w:rPr>
        <w:t>During the year ended December 31, 2022, the Company recognized $14.1 million of interest expense in connecton with the revenue interest fnancing liability.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will record liabilites associated with additonal funding upon FDA approval of vonoprazan for erosive GERD and achievement of the sales milestone when such contngent events occur. To determine the accreton of the liability related to the Revenue Interest Financing Agreement, the Company is required to estmate the total amount of future royalty payments and estmated tming of such payments based on the Company’s revenue projectons. As royalty payments are made, the balance of the debt obligaton will be efectvely repaid. Based on the Company’s periodic review, the exact tming of repayment is likely to be diferent in each reportng period as compared to those estmated in the Company’s inital revenue projectons. A signifcant increase or decrease in actual net sales of vonoprazan compared to the Company’s revenue projectons could impact the interest expense associated with the revenue interest fnancing liability. Also, the Company’s total obligaton can vary depending on change in control or default events and the achievement of FDA approval of vonoprazan for erosive GERD and achievement of the sales milestone.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4" w:name="page185"/>
    <w:bookmarkEnd w:id="184"/>
    <w:p>
      <w:pPr>
        <w:spacing w:after="0"/>
        <w:rPr>
          <w:sz w:val="20"/>
          <w:szCs w:val="20"/>
          <w:color w:val="auto"/>
        </w:rPr>
      </w:pPr>
      <w:r>
        <w:rPr>
          <w:rFonts w:ascii="Calibri" w:cs="Calibri" w:eastAsia="Calibri" w:hAnsi="Calibri"/>
          <w:sz w:val="18"/>
          <w:szCs w:val="18"/>
          <w:b w:val="1"/>
          <w:bCs w:val="1"/>
          <w:color w:val="auto"/>
        </w:rPr>
        <w:t>8. Stockholders’ Equity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Common Stock</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March 2019, subsequent to the Merger, the Company sold 1,491,072 shares of the Company’s common stock to Frazier.</w:t>
      </w:r>
    </w:p>
    <w:p>
      <w:pPr>
        <w:spacing w:after="0" w:line="177"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In March 2019, the founders granted the Company a repurchase right for the 3,373,408 shares of common stock originally purchased in 2018. The Company has the right, but not the obligaton, to repurchase unvested shares in the event the founder’s relatonship with the Company is terminated, subject to certain limitatons,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compensaton expense on a straight-line basis over the vestng period. As of December 31, 2022, 79,064 shares of common stock were subject to repurchase by the Company and the associated repurchase liability was not signifcant. The amount of recognized and unrecognized stock-based compensaton related to the founder stock was immaterial for all periods presented.</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May 2019, the Company issued Takeda 1,084,000 shares of common stock in connecton with the Takeda License.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opton by the Company at the original purchase price of the shares. The repurchase rights generally lapse as to 25% of the shares on the frst anniversary of the vestng commencement date, and the repurchase right lapses as to 1/48th of the shares each one-month period thereafer, subject to the purchaser remaining contnuously an employee, consultant or director of the Company. In November 2019, the Company repurchased 17,560 shares at the original purchase price for an aggregate purchase price of $5.20. As of December 31, 2022, 175,373 shares remain available for repurchase by the Company and the associated repurchase liability was not signifcant.</w:t>
      </w:r>
    </w:p>
    <w:p>
      <w:pPr>
        <w:spacing w:after="0" w:line="181"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On October 29, 2019, upon completon of the IPO, the Company sold 10,997,630 shares of common stock, which included the exercise in full by the underwriters of their opton to purchase 1,434,473 additonal shares at a public ofering price of $19.00 per share. The net proceeds were approximately $191.5 million, afer deductng underwritng discounts, commissions and ofering costs.</w:t>
      </w:r>
    </w:p>
    <w:p>
      <w:pPr>
        <w:spacing w:after="0" w:line="19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November 2020, the Company entered into an Open Market Sale Agreement, or, the Sales Agreement, with Jeferies LLC, or, the Sales Agent, under which it may, from tme to tme, sell shares of its common stock having an aggregate ofering price of up to $125.0 million through the Sales Agent, or, the ATM Ofering. Pursuant to the Sales Agreement, the Company will pay the Sales Agent a commission for its services in actng as an agent in the sale of common stock in an amount equal to 3% of the gross sales price per share sold. In September 2022, the Company sold 2,414,897 shares for net proceeds of approximately $24.6 million under the ATM ofering afer deductng $0.8 million of issuance costs. As of December 31, 2022, the Company has utlized $25.4 million of the available $125.0 million under the ATM Ofering.</w:t>
      </w:r>
    </w:p>
    <w:p>
      <w:pPr>
        <w:spacing w:after="0" w:line="181" w:lineRule="exact"/>
        <w:rPr>
          <w:sz w:val="20"/>
          <w:szCs w:val="20"/>
          <w:color w:val="auto"/>
        </w:rPr>
      </w:pPr>
    </w:p>
    <w:p>
      <w:pPr>
        <w:jc w:val="both"/>
        <w:ind w:right="200" w:firstLine="509"/>
        <w:spacing w:after="0" w:line="235" w:lineRule="auto"/>
        <w:rPr>
          <w:sz w:val="20"/>
          <w:szCs w:val="20"/>
          <w:color w:val="auto"/>
        </w:rPr>
      </w:pPr>
      <w:r>
        <w:rPr>
          <w:rFonts w:ascii="Calibri" w:cs="Calibri" w:eastAsia="Calibri" w:hAnsi="Calibri"/>
          <w:sz w:val="18"/>
          <w:szCs w:val="18"/>
          <w:color w:val="auto"/>
        </w:rPr>
        <w:t>On December 16, 2020, the Company completed an underwriten public ofering, in which it sold 2,250,000 shares of its common stock at a price of $42.00 per share for total gross proceeds of $94.5 million. The net purchase price afer deductng underwritng discounts and commissions was $39.48 per share, which generated net proceeds of $88.8 million. The Company incurred an additonal $0.2 million of ofering expenses in connecton with this public ofering.</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185" w:name="page186"/>
    <w:bookmarkEnd w:id="185"/>
    <w:tbl>
      <w:tblPr>
        <w:tblLayout w:type="fixed"/>
        <w:tblInd w:w="520" w:type="dxa"/>
        <w:tblCellMar>
          <w:top w:w="0" w:type="dxa"/>
          <w:left w:w="0" w:type="dxa"/>
          <w:bottom w:w="0" w:type="dxa"/>
          <w:right w:w="0" w:type="dxa"/>
        </w:tblCellMar>
      </w:tblPr>
      <w:tr>
        <w:trPr>
          <w:trHeight w:val="220"/>
        </w:trPr>
        <w:tc>
          <w:tcPr>
            <w:tcW w:w="7300" w:type="dxa"/>
            <w:vAlign w:val="bottom"/>
            <w:gridSpan w:val="2"/>
          </w:tcPr>
          <w:p>
            <w:pPr>
              <w:spacing w:after="0"/>
              <w:rPr>
                <w:sz w:val="20"/>
                <w:szCs w:val="20"/>
                <w:color w:val="auto"/>
              </w:rPr>
            </w:pPr>
            <w:r>
              <w:rPr>
                <w:rFonts w:ascii="Calibri" w:cs="Calibri" w:eastAsia="Calibri" w:hAnsi="Calibri"/>
                <w:sz w:val="18"/>
                <w:szCs w:val="18"/>
                <w:color w:val="auto"/>
              </w:rPr>
              <w:t>A summary of the Company’s unvested shares is as follows: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15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560" w:type="dxa"/>
            <w:vAlign w:val="bottom"/>
            <w:tcBorders>
              <w:right w:val="single" w:sz="8" w:color="CFF0FC"/>
            </w:tcBorders>
          </w:tcPr>
          <w:p>
            <w:pPr>
              <w:spacing w:after="0"/>
              <w:rPr>
                <w:sz w:val="19"/>
                <w:szCs w:val="19"/>
                <w:color w:val="auto"/>
              </w:rPr>
            </w:pPr>
          </w:p>
        </w:tc>
        <w:tc>
          <w:tcPr>
            <w:tcW w:w="5740" w:type="dxa"/>
            <w:vAlign w:val="bottom"/>
            <w:tcBorders>
              <w:bottom w:val="single" w:sz="8" w:color="CFF0FC"/>
              <w:right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Balance at December 31, 2021</w:t>
            </w: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1,144,809</w:t>
            </w:r>
          </w:p>
        </w:tc>
        <w:tc>
          <w:tcPr>
            <w:tcW w:w="80" w:type="dxa"/>
            <w:vAlign w:val="bottom"/>
            <w:tcBorders>
              <w:left w:val="single" w:sz="8" w:color="CFF0FC"/>
            </w:tcBorders>
          </w:tcPr>
          <w:p>
            <w:pPr>
              <w:spacing w:after="0"/>
              <w:rPr>
                <w:sz w:val="19"/>
                <w:szCs w:val="19"/>
                <w:color w:val="auto"/>
              </w:rPr>
            </w:pPr>
          </w:p>
        </w:tc>
      </w:tr>
      <w:tr>
        <w:trPr>
          <w:trHeight w:val="215"/>
        </w:trPr>
        <w:tc>
          <w:tcPr>
            <w:tcW w:w="1560" w:type="dxa"/>
            <w:vAlign w:val="bottom"/>
          </w:tcPr>
          <w:p>
            <w:pPr>
              <w:spacing w:after="0"/>
              <w:rPr>
                <w:sz w:val="18"/>
                <w:szCs w:val="18"/>
                <w:color w:val="auto"/>
              </w:rPr>
            </w:pPr>
          </w:p>
        </w:tc>
        <w:tc>
          <w:tcPr>
            <w:tcW w:w="5740" w:type="dxa"/>
            <w:vAlign w:val="bottom"/>
          </w:tcPr>
          <w:p>
            <w:pPr>
              <w:ind w:left="140"/>
              <w:spacing w:after="0" w:line="215" w:lineRule="exact"/>
              <w:rPr>
                <w:sz w:val="20"/>
                <w:szCs w:val="20"/>
                <w:color w:val="auto"/>
              </w:rPr>
            </w:pPr>
            <w:r>
              <w:rPr>
                <w:rFonts w:ascii="Calibri" w:cs="Calibri" w:eastAsia="Calibri" w:hAnsi="Calibri"/>
                <w:sz w:val="18"/>
                <w:szCs w:val="18"/>
                <w:color w:val="auto"/>
              </w:rPr>
              <w:t>Share vestng</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(890,372 )</w:t>
            </w:r>
          </w:p>
        </w:tc>
        <w:tc>
          <w:tcPr>
            <w:tcW w:w="80" w:type="dxa"/>
            <w:vAlign w:val="bottom"/>
          </w:tcPr>
          <w:p>
            <w:pPr>
              <w:spacing w:after="0"/>
              <w:rPr>
                <w:sz w:val="18"/>
                <w:szCs w:val="18"/>
                <w:color w:val="auto"/>
              </w:rPr>
            </w:pPr>
          </w:p>
        </w:tc>
      </w:tr>
      <w:tr>
        <w:trPr>
          <w:trHeight w:val="28"/>
        </w:trPr>
        <w:tc>
          <w:tcPr>
            <w:tcW w:w="1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1560" w:type="dxa"/>
            <w:vAlign w:val="bottom"/>
            <w:tcBorders>
              <w:right w:val="single" w:sz="8" w:color="CFF0FC"/>
            </w:tcBorders>
          </w:tcPr>
          <w:p>
            <w:pPr>
              <w:spacing w:after="0"/>
              <w:rPr>
                <w:sz w:val="22"/>
                <w:szCs w:val="22"/>
                <w:color w:val="auto"/>
              </w:rPr>
            </w:pPr>
          </w:p>
        </w:tc>
        <w:tc>
          <w:tcPr>
            <w:tcW w:w="5740" w:type="dxa"/>
            <w:vAlign w:val="bottom"/>
            <w:tcBorders>
              <w:bottom w:val="single" w:sz="8" w:color="CFF0FC"/>
              <w:right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Balance at December 31, 2022</w:t>
            </w:r>
          </w:p>
        </w:tc>
        <w:tc>
          <w:tcPr>
            <w:tcW w:w="13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254,437</w:t>
            </w:r>
          </w:p>
        </w:tc>
        <w:tc>
          <w:tcPr>
            <w:tcW w:w="80" w:type="dxa"/>
            <w:vAlign w:val="bottom"/>
            <w:tcBorders>
              <w:left w:val="single" w:sz="8" w:color="CFF0FC"/>
            </w:tcBorders>
          </w:tcPr>
          <w:p>
            <w:pPr>
              <w:spacing w:after="0"/>
              <w:rPr>
                <w:sz w:val="22"/>
                <w:szCs w:val="22"/>
                <w:color w:val="auto"/>
              </w:rPr>
            </w:pPr>
          </w:p>
        </w:tc>
      </w:tr>
      <w:tr>
        <w:trPr>
          <w:trHeight w:val="20"/>
        </w:trPr>
        <w:tc>
          <w:tcPr>
            <w:tcW w:w="1560" w:type="dxa"/>
            <w:vAlign w:val="bottom"/>
            <w:tcBorders>
              <w:right w:val="single" w:sz="8" w:color="CFF0FC"/>
            </w:tcBorders>
          </w:tcPr>
          <w:p>
            <w:pPr>
              <w:spacing w:after="0" w:line="20" w:lineRule="exact"/>
              <w:rPr>
                <w:sz w:val="1"/>
                <w:szCs w:val="1"/>
                <w:color w:val="auto"/>
              </w:rPr>
            </w:pPr>
          </w:p>
        </w:tc>
        <w:tc>
          <w:tcPr>
            <w:tcW w:w="57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578"/>
        </w:trPr>
        <w:tc>
          <w:tcPr>
            <w:tcW w:w="7300" w:type="dxa"/>
            <w:vAlign w:val="bottom"/>
            <w:gridSpan w:val="2"/>
          </w:tcPr>
          <w:p>
            <w:pPr>
              <w:spacing w:after="0"/>
              <w:rPr>
                <w:sz w:val="20"/>
                <w:szCs w:val="20"/>
                <w:color w:val="auto"/>
              </w:rPr>
            </w:pPr>
            <w:r>
              <w:rPr>
                <w:rFonts w:ascii="Calibri" w:cs="Calibri" w:eastAsia="Calibri" w:hAnsi="Calibri"/>
                <w:sz w:val="18"/>
                <w:szCs w:val="18"/>
                <w:color w:val="auto"/>
                <w:w w:val="98"/>
              </w:rPr>
              <w:t>For accountng purposes, unvested awards are considered issued, but not outstanding untl they vest.</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7300" w:type="dxa"/>
            <w:vAlign w:val="bottom"/>
            <w:gridSpan w:val="2"/>
          </w:tcPr>
          <w:p>
            <w:pPr>
              <w:spacing w:after="0"/>
              <w:rPr>
                <w:sz w:val="20"/>
                <w:szCs w:val="20"/>
                <w:color w:val="auto"/>
              </w:rPr>
            </w:pPr>
            <w:r>
              <w:rPr>
                <w:rFonts w:ascii="Calibri" w:cs="Calibri" w:eastAsia="Calibri" w:hAnsi="Calibri"/>
                <w:sz w:val="18"/>
                <w:szCs w:val="18"/>
                <w:color w:val="auto"/>
              </w:rPr>
              <w:t>Common stock reserved for future issuance consists of the following:</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8"/>
        </w:trPr>
        <w:tc>
          <w:tcPr>
            <w:tcW w:w="15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Calibri" w:cs="Calibri" w:eastAsia="Calibri" w:hAnsi="Calibri"/>
                <w:sz w:val="14"/>
                <w:szCs w:val="14"/>
                <w:b w:val="1"/>
                <w:bCs w:val="1"/>
                <w:color w:val="auto"/>
              </w:rPr>
              <w:t>December 31,</w:t>
            </w:r>
          </w:p>
        </w:tc>
      </w:tr>
      <w:tr>
        <w:trPr>
          <w:trHeight w:val="175"/>
        </w:trPr>
        <w:tc>
          <w:tcPr>
            <w:tcW w:w="15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340" w:type="dxa"/>
            <w:vAlign w:val="bottom"/>
          </w:tcPr>
          <w:p>
            <w:pPr>
              <w:jc w:val="right"/>
              <w:ind w:right="474"/>
              <w:spacing w:after="0"/>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5"/>
                <w:szCs w:val="15"/>
                <w:color w:val="auto"/>
              </w:rPr>
            </w:pPr>
          </w:p>
        </w:tc>
      </w:tr>
      <w:tr>
        <w:trPr>
          <w:trHeight w:val="33"/>
        </w:trPr>
        <w:tc>
          <w:tcPr>
            <w:tcW w:w="1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1560" w:type="dxa"/>
            <w:vAlign w:val="bottom"/>
          </w:tcPr>
          <w:p>
            <w:pPr>
              <w:spacing w:after="0"/>
              <w:rPr>
                <w:sz w:val="18"/>
                <w:szCs w:val="18"/>
                <w:color w:val="auto"/>
              </w:rPr>
            </w:pPr>
          </w:p>
        </w:tc>
        <w:tc>
          <w:tcPr>
            <w:tcW w:w="5740" w:type="dxa"/>
            <w:vAlign w:val="bottom"/>
            <w:tcBorders>
              <w:bottom w:val="single" w:sz="8" w:color="CFF0FC"/>
              <w:right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Common stock warrants</w:t>
            </w:r>
          </w:p>
        </w:tc>
        <w:tc>
          <w:tcPr>
            <w:tcW w:w="13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91,228</w:t>
            </w:r>
          </w:p>
        </w:tc>
        <w:tc>
          <w:tcPr>
            <w:tcW w:w="80" w:type="dxa"/>
            <w:vAlign w:val="bottom"/>
          </w:tcPr>
          <w:p>
            <w:pPr>
              <w:spacing w:after="0"/>
              <w:rPr>
                <w:sz w:val="18"/>
                <w:szCs w:val="18"/>
                <w:color w:val="auto"/>
              </w:rPr>
            </w:pPr>
          </w:p>
        </w:tc>
      </w:tr>
      <w:tr>
        <w:trPr>
          <w:trHeight w:val="215"/>
        </w:trPr>
        <w:tc>
          <w:tcPr>
            <w:tcW w:w="1560" w:type="dxa"/>
            <w:vAlign w:val="bottom"/>
          </w:tcPr>
          <w:p>
            <w:pPr>
              <w:spacing w:after="0"/>
              <w:rPr>
                <w:sz w:val="18"/>
                <w:szCs w:val="18"/>
                <w:color w:val="auto"/>
              </w:rPr>
            </w:pPr>
          </w:p>
        </w:tc>
        <w:tc>
          <w:tcPr>
            <w:tcW w:w="5740" w:type="dxa"/>
            <w:vAlign w:val="bottom"/>
          </w:tcPr>
          <w:p>
            <w:pPr>
              <w:ind w:left="20"/>
              <w:spacing w:after="0" w:line="215" w:lineRule="exact"/>
              <w:rPr>
                <w:sz w:val="20"/>
                <w:szCs w:val="20"/>
                <w:color w:val="auto"/>
              </w:rPr>
            </w:pPr>
            <w:r>
              <w:rPr>
                <w:rFonts w:ascii="Calibri" w:cs="Calibri" w:eastAsia="Calibri" w:hAnsi="Calibri"/>
                <w:sz w:val="18"/>
                <w:szCs w:val="18"/>
                <w:color w:val="auto"/>
              </w:rPr>
              <w:t>Stock optons and performance-based awards outstanding</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6,876,237</w:t>
            </w:r>
          </w:p>
        </w:tc>
        <w:tc>
          <w:tcPr>
            <w:tcW w:w="80" w:type="dxa"/>
            <w:vAlign w:val="bottom"/>
          </w:tcPr>
          <w:p>
            <w:pPr>
              <w:spacing w:after="0"/>
              <w:rPr>
                <w:sz w:val="18"/>
                <w:szCs w:val="18"/>
                <w:color w:val="auto"/>
              </w:rPr>
            </w:pPr>
          </w:p>
        </w:tc>
      </w:tr>
      <w:tr>
        <w:trPr>
          <w:trHeight w:val="28"/>
        </w:trPr>
        <w:tc>
          <w:tcPr>
            <w:tcW w:w="1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560" w:type="dxa"/>
            <w:vAlign w:val="bottom"/>
          </w:tcPr>
          <w:p>
            <w:pPr>
              <w:spacing w:after="0"/>
              <w:rPr>
                <w:sz w:val="19"/>
                <w:szCs w:val="19"/>
                <w:color w:val="auto"/>
              </w:rPr>
            </w:pPr>
          </w:p>
        </w:tc>
        <w:tc>
          <w:tcPr>
            <w:tcW w:w="5740" w:type="dxa"/>
            <w:vAlign w:val="bottom"/>
            <w:tcBorders>
              <w:bottom w:val="single" w:sz="8" w:color="CFF0FC"/>
              <w:right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Shares available for issuance under the 2019 Incentve Plan</w:t>
            </w: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957,885</w:t>
            </w:r>
          </w:p>
        </w:tc>
        <w:tc>
          <w:tcPr>
            <w:tcW w:w="80" w:type="dxa"/>
            <w:vAlign w:val="bottom"/>
          </w:tcPr>
          <w:p>
            <w:pPr>
              <w:spacing w:after="0"/>
              <w:rPr>
                <w:sz w:val="19"/>
                <w:szCs w:val="19"/>
                <w:color w:val="auto"/>
              </w:rPr>
            </w:pPr>
          </w:p>
        </w:tc>
      </w:tr>
      <w:tr>
        <w:trPr>
          <w:trHeight w:val="215"/>
        </w:trPr>
        <w:tc>
          <w:tcPr>
            <w:tcW w:w="1560" w:type="dxa"/>
            <w:vAlign w:val="bottom"/>
          </w:tcPr>
          <w:p>
            <w:pPr>
              <w:spacing w:after="0"/>
              <w:rPr>
                <w:sz w:val="18"/>
                <w:szCs w:val="18"/>
                <w:color w:val="auto"/>
              </w:rPr>
            </w:pPr>
          </w:p>
        </w:tc>
        <w:tc>
          <w:tcPr>
            <w:tcW w:w="5740" w:type="dxa"/>
            <w:vAlign w:val="bottom"/>
          </w:tcPr>
          <w:p>
            <w:pPr>
              <w:ind w:left="20"/>
              <w:spacing w:after="0" w:line="215" w:lineRule="exact"/>
              <w:rPr>
                <w:sz w:val="20"/>
                <w:szCs w:val="20"/>
                <w:color w:val="auto"/>
              </w:rPr>
            </w:pPr>
            <w:r>
              <w:rPr>
                <w:rFonts w:ascii="Calibri" w:cs="Calibri" w:eastAsia="Calibri" w:hAnsi="Calibri"/>
                <w:sz w:val="18"/>
                <w:szCs w:val="18"/>
                <w:color w:val="auto"/>
              </w:rPr>
              <w:t>Shares available for issuance under the ESPP Plan</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752,938</w:t>
            </w:r>
          </w:p>
        </w:tc>
        <w:tc>
          <w:tcPr>
            <w:tcW w:w="80" w:type="dxa"/>
            <w:vAlign w:val="bottom"/>
          </w:tcPr>
          <w:p>
            <w:pPr>
              <w:spacing w:after="0"/>
              <w:rPr>
                <w:sz w:val="18"/>
                <w:szCs w:val="18"/>
                <w:color w:val="auto"/>
              </w:rPr>
            </w:pPr>
          </w:p>
        </w:tc>
      </w:tr>
      <w:tr>
        <w:trPr>
          <w:trHeight w:val="28"/>
        </w:trPr>
        <w:tc>
          <w:tcPr>
            <w:tcW w:w="1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1560" w:type="dxa"/>
            <w:vAlign w:val="bottom"/>
          </w:tcPr>
          <w:p>
            <w:pPr>
              <w:spacing w:after="0"/>
              <w:rPr>
                <w:sz w:val="22"/>
                <w:szCs w:val="22"/>
                <w:color w:val="auto"/>
              </w:rPr>
            </w:pPr>
          </w:p>
        </w:tc>
        <w:tc>
          <w:tcPr>
            <w:tcW w:w="5740" w:type="dxa"/>
            <w:vAlign w:val="bottom"/>
            <w:tcBorders>
              <w:bottom w:val="single" w:sz="8" w:color="CFF0FC"/>
              <w:right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2022</w:t>
            </w:r>
          </w:p>
        </w:tc>
        <w:tc>
          <w:tcPr>
            <w:tcW w:w="13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8,678,288</w:t>
            </w:r>
          </w:p>
        </w:tc>
        <w:tc>
          <w:tcPr>
            <w:tcW w:w="80" w:type="dxa"/>
            <w:vAlign w:val="bottom"/>
          </w:tcPr>
          <w:p>
            <w:pPr>
              <w:spacing w:after="0"/>
              <w:rPr>
                <w:sz w:val="22"/>
                <w:szCs w:val="22"/>
                <w:color w:val="auto"/>
              </w:rPr>
            </w:pPr>
          </w:p>
        </w:tc>
      </w:tr>
      <w:tr>
        <w:trPr>
          <w:trHeight w:val="20"/>
        </w:trPr>
        <w:tc>
          <w:tcPr>
            <w:tcW w:w="1560" w:type="dxa"/>
            <w:vAlign w:val="bottom"/>
          </w:tcPr>
          <w:p>
            <w:pPr>
              <w:spacing w:after="0" w:line="20" w:lineRule="exact"/>
              <w:rPr>
                <w:sz w:val="1"/>
                <w:szCs w:val="1"/>
                <w:color w:val="auto"/>
              </w:rPr>
            </w:pPr>
          </w:p>
        </w:tc>
        <w:tc>
          <w:tcPr>
            <w:tcW w:w="5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Preferred Stock</w:t>
      </w:r>
    </w:p>
    <w:p>
      <w:pPr>
        <w:spacing w:after="0" w:line="190"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The Company is authorized to issue up to 40 million shares of preferred stock. As of December 31, 2022, and December 31, 2021, there were no shares of preferred stock issued or outstanding.</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 Incentve Plan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Company’s 2019 Equity Incentve Plan, or the Existng Incentve Plan, provides for the grant of incentve stock optons, non-statutory stock optons, stock appreciaton rights, restricted stock awards, restricted stock unit awards, and other stock awards to eligible recipients, including employees, directors or consultants of the Company. The Company had 2,231,739 shares of common stock authorized for issuance under the Existng Incentve Plan, of which, 1,400,528 stock optons and 16,260 restricted stock awards were granted in 2019. As a result of the adopton of the 2019 Incentve Award Plan, or the 2019 Plan, in October 2019, no further shares are available for issuance under the Existng Incentve Plan.</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2019 Incentve Award Plan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October 2019, the board of directors adopted, and the Company’s stockholders approved, the 2019 Plan, which became efectve in connecton with the IPO. Under the 2019 Plan, the Company may grant stock optons, stock appreciaton rights, restricted stock, restricted stock units and other awards to individuals who are then employees, ofcers, non-employee directors or consultants of the Company or its subsidiaries. The number of shares initally available for issuance will be increased by (i) the number of shares subject to stock optons or similar awards granted under the Existng Incentve Plan that expire or otherwise terminate without having been exercised in full afer the efectve date of the 2019 Plan and unvested shares issued pursuant to awards granted under the Existng Incentve Plan that are forfeited to or repurchased by the Company afer the efectve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fnal day of the immediately preceding calendar year and (b) such smaller number of shares as determined by the board of directors. As of December 31, 2022, 957,885 shares remain available for issuance, which refects 2,789,868 stock optons and performance-based units, or PSU, and restricted stock unit, or RSU, awards granted, and 392,207 of awards cancelled or forfeited, during the year ended December 31, 2022 as well as an annual increases of 1,582,802 shares authorized on January 1, 2022.</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86" w:name="page187"/>
    <w:bookmarkEnd w:id="186"/>
    <w:p>
      <w:pPr>
        <w:spacing w:after="0"/>
        <w:rPr>
          <w:sz w:val="20"/>
          <w:szCs w:val="20"/>
          <w:color w:val="auto"/>
        </w:rPr>
      </w:pPr>
      <w:r>
        <w:rPr>
          <w:rFonts w:ascii="Calibri" w:cs="Calibri" w:eastAsia="Calibri" w:hAnsi="Calibri"/>
          <w:sz w:val="18"/>
          <w:szCs w:val="18"/>
          <w:b w:val="1"/>
          <w:bCs w:val="1"/>
          <w:i w:val="1"/>
          <w:iCs w:val="1"/>
          <w:color w:val="auto"/>
        </w:rPr>
        <w:t>Performance-based Units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During 2020, the Company granted the inital PSUs whereby vestng depends upon the approval by the FDA of vonoprazan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then, or concurrent with, erosive GERD. In 2022, the Company granted an additonal 37,500 PSUs to employees. As of December 31, 2022, the PSU milestones had not been achieved. As of December 31, 2022, no related compensaton cost had been recognized. The following table summarizes PSU actvity under the 2019 Incentve Award Plan during the year ended December 31, 2022.</w:t>
      </w:r>
    </w:p>
    <w:p>
      <w:pPr>
        <w:spacing w:after="0" w:line="240"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Weighted-</w:t>
            </w:r>
          </w:p>
        </w:tc>
      </w:tr>
      <w:tr>
        <w:trPr>
          <w:trHeight w:val="175"/>
        </w:trPr>
        <w:tc>
          <w:tcPr>
            <w:tcW w:w="5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Average Grant</w:t>
            </w:r>
          </w:p>
        </w:tc>
      </w:tr>
      <w:tr>
        <w:trPr>
          <w:trHeight w:val="176"/>
        </w:trPr>
        <w:tc>
          <w:tcPr>
            <w:tcW w:w="5080" w:type="dxa"/>
            <w:vAlign w:val="bottom"/>
          </w:tcPr>
          <w:p>
            <w:pPr>
              <w:spacing w:after="0"/>
              <w:rPr>
                <w:sz w:val="15"/>
                <w:szCs w:val="15"/>
                <w:color w:val="auto"/>
              </w:rPr>
            </w:pPr>
          </w:p>
        </w:tc>
        <w:tc>
          <w:tcPr>
            <w:tcW w:w="1200" w:type="dxa"/>
            <w:vAlign w:val="bottom"/>
          </w:tcPr>
          <w:p>
            <w:pPr>
              <w:jc w:val="right"/>
              <w:ind w:right="235"/>
              <w:spacing w:after="0"/>
              <w:rPr>
                <w:sz w:val="20"/>
                <w:szCs w:val="20"/>
                <w:color w:val="auto"/>
              </w:rPr>
            </w:pPr>
            <w:r>
              <w:rPr>
                <w:rFonts w:ascii="Calibri" w:cs="Calibri" w:eastAsia="Calibri" w:hAnsi="Calibri"/>
                <w:sz w:val="14"/>
                <w:szCs w:val="14"/>
                <w:b w:val="1"/>
                <w:bCs w:val="1"/>
                <w:color w:val="auto"/>
              </w:rPr>
              <w:t>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Date Fair Value</w:t>
            </w:r>
          </w:p>
        </w:tc>
      </w:tr>
      <w:tr>
        <w:trPr>
          <w:trHeight w:val="175"/>
        </w:trPr>
        <w:tc>
          <w:tcPr>
            <w:tcW w:w="508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Calibri" w:cs="Calibri" w:eastAsia="Calibri" w:hAnsi="Calibri"/>
                <w:sz w:val="14"/>
                <w:szCs w:val="14"/>
                <w:b w:val="1"/>
                <w:bCs w:val="1"/>
                <w:color w:val="auto"/>
              </w:rPr>
              <w:t>Stock Units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Per Share</w:t>
            </w:r>
          </w:p>
        </w:tc>
      </w:tr>
      <w:tr>
        <w:trPr>
          <w:trHeight w:val="33"/>
        </w:trPr>
        <w:tc>
          <w:tcPr>
            <w:tcW w:w="50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0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Unvested balance at December 31, 2021</w:t>
            </w:r>
          </w:p>
        </w:tc>
        <w:tc>
          <w:tcPr>
            <w:tcW w:w="1200" w:type="dxa"/>
            <w:vAlign w:val="bottom"/>
            <w:tcBorders>
              <w:bottom w:val="single" w:sz="8" w:color="CFF0FC"/>
            </w:tcBorders>
            <w:shd w:val="clear" w:color="auto" w:fill="CFF0FC"/>
          </w:tcPr>
          <w:p>
            <w:pPr>
              <w:jc w:val="right"/>
              <w:ind w:right="15"/>
              <w:spacing w:after="0" w:line="208" w:lineRule="exact"/>
              <w:rPr>
                <w:sz w:val="20"/>
                <w:szCs w:val="20"/>
                <w:color w:val="auto"/>
              </w:rPr>
            </w:pPr>
            <w:r>
              <w:rPr>
                <w:rFonts w:ascii="Calibri" w:cs="Calibri" w:eastAsia="Calibri" w:hAnsi="Calibri"/>
                <w:sz w:val="18"/>
                <w:szCs w:val="18"/>
                <w:color w:val="auto"/>
              </w:rPr>
              <w:t>394,300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32.23</w:t>
            </w:r>
          </w:p>
        </w:tc>
      </w:tr>
      <w:tr>
        <w:trPr>
          <w:trHeight w:val="215"/>
        </w:trPr>
        <w:tc>
          <w:tcPr>
            <w:tcW w:w="5080" w:type="dxa"/>
            <w:vAlign w:val="bottom"/>
          </w:tcPr>
          <w:p>
            <w:pPr>
              <w:ind w:left="180"/>
              <w:spacing w:after="0" w:line="215" w:lineRule="exact"/>
              <w:rPr>
                <w:sz w:val="20"/>
                <w:szCs w:val="20"/>
                <w:color w:val="auto"/>
              </w:rPr>
            </w:pPr>
            <w:r>
              <w:rPr>
                <w:rFonts w:ascii="Calibri" w:cs="Calibri" w:eastAsia="Calibri" w:hAnsi="Calibri"/>
                <w:sz w:val="18"/>
                <w:szCs w:val="18"/>
                <w:color w:val="auto"/>
              </w:rPr>
              <w:t>Granted</w:t>
            </w:r>
          </w:p>
        </w:tc>
        <w:tc>
          <w:tcPr>
            <w:tcW w:w="12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37,500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20.06</w:t>
            </w:r>
          </w:p>
        </w:tc>
      </w:tr>
      <w:tr>
        <w:trPr>
          <w:trHeight w:val="28"/>
        </w:trPr>
        <w:tc>
          <w:tcPr>
            <w:tcW w:w="5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50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Vested</w:t>
            </w: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080" w:type="dxa"/>
            <w:vAlign w:val="bottom"/>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(19,500 )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35.39</w:t>
            </w:r>
          </w:p>
        </w:tc>
      </w:tr>
      <w:tr>
        <w:trPr>
          <w:trHeight w:val="28"/>
        </w:trPr>
        <w:tc>
          <w:tcPr>
            <w:tcW w:w="5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217"/>
        </w:trPr>
        <w:tc>
          <w:tcPr>
            <w:tcW w:w="50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Unvested balance at December 31, 2022</w:t>
            </w:r>
          </w:p>
        </w:tc>
        <w:tc>
          <w:tcPr>
            <w:tcW w:w="1200" w:type="dxa"/>
            <w:vAlign w:val="bottom"/>
            <w:tcBorders>
              <w:top w:val="single" w:sz="8" w:color="auto"/>
              <w:bottom w:val="single" w:sz="8" w:color="CFF0FC"/>
            </w:tcBorders>
            <w:shd w:val="clear" w:color="auto" w:fill="CFF0FC"/>
          </w:tcPr>
          <w:p>
            <w:pPr>
              <w:jc w:val="right"/>
              <w:ind w:right="15"/>
              <w:spacing w:after="0" w:line="208" w:lineRule="exact"/>
              <w:rPr>
                <w:sz w:val="20"/>
                <w:szCs w:val="20"/>
                <w:color w:val="auto"/>
              </w:rPr>
            </w:pPr>
            <w:r>
              <w:rPr>
                <w:rFonts w:ascii="Calibri" w:cs="Calibri" w:eastAsia="Calibri" w:hAnsi="Calibri"/>
                <w:sz w:val="18"/>
                <w:szCs w:val="18"/>
                <w:color w:val="auto"/>
              </w:rPr>
              <w:t>412,300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30.97</w:t>
            </w:r>
          </w:p>
        </w:tc>
      </w:tr>
      <w:tr>
        <w:trPr>
          <w:trHeight w:val="20"/>
        </w:trPr>
        <w:tc>
          <w:tcPr>
            <w:tcW w:w="50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 xml:space="preserve">As of December 31, 2022 there was approximately $12.8 million of related unrecognized compensaton cost, which will be recognized upon vestng. </w:t>
      </w:r>
      <w:r>
        <w:rPr>
          <w:rFonts w:ascii="Calibri" w:cs="Calibri" w:eastAsia="Calibri" w:hAnsi="Calibri"/>
          <w:sz w:val="18"/>
          <w:szCs w:val="18"/>
          <w:b w:val="1"/>
          <w:bCs w:val="1"/>
          <w:i w:val="1"/>
          <w:iCs w:val="1"/>
          <w:color w:val="auto"/>
        </w:rPr>
        <w:t>Restricted Stock Units</w:t>
      </w:r>
    </w:p>
    <w:p>
      <w:pPr>
        <w:spacing w:after="0" w:line="191"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During 2022, the Company granted 1,010,437 RSUs with vestng over tme. The following table summarizes RSU actvity under the 2019 Incentve Award Plan during the year ended December 31, 2022.</w:t>
      </w:r>
    </w:p>
    <w:p>
      <w:pPr>
        <w:spacing w:after="0" w:line="238"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80" w:type="dxa"/>
            <w:vAlign w:val="bottom"/>
            <w:gridSpan w:val="3"/>
          </w:tcPr>
          <w:p>
            <w:pPr>
              <w:ind w:left="300"/>
              <w:spacing w:after="0"/>
              <w:rPr>
                <w:sz w:val="20"/>
                <w:szCs w:val="20"/>
                <w:color w:val="auto"/>
              </w:rPr>
            </w:pPr>
            <w:r>
              <w:rPr>
                <w:rFonts w:ascii="Calibri" w:cs="Calibri" w:eastAsia="Calibri" w:hAnsi="Calibri"/>
                <w:sz w:val="14"/>
                <w:szCs w:val="14"/>
                <w:b w:val="1"/>
                <w:bCs w:val="1"/>
                <w:color w:val="auto"/>
              </w:rPr>
              <w:t>Number of</w:t>
            </w:r>
          </w:p>
        </w:tc>
        <w:tc>
          <w:tcPr>
            <w:tcW w:w="16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1480" w:type="dxa"/>
            <w:vAlign w:val="bottom"/>
            <w:gridSpan w:val="3"/>
          </w:tcPr>
          <w:p>
            <w:pPr>
              <w:ind w:left="300"/>
              <w:spacing w:after="0"/>
              <w:rPr>
                <w:sz w:val="20"/>
                <w:szCs w:val="20"/>
                <w:color w:val="auto"/>
              </w:rPr>
            </w:pPr>
            <w:r>
              <w:rPr>
                <w:rFonts w:ascii="Calibri" w:cs="Calibri" w:eastAsia="Calibri" w:hAnsi="Calibri"/>
                <w:sz w:val="14"/>
                <w:szCs w:val="14"/>
                <w:b w:val="1"/>
                <w:bCs w:val="1"/>
                <w:color w:val="auto"/>
              </w:rPr>
              <w:t>Stock Units</w:t>
            </w:r>
          </w:p>
        </w:tc>
        <w:tc>
          <w:tcPr>
            <w:tcW w:w="160" w:type="dxa"/>
            <w:vAlign w:val="bottom"/>
          </w:tcPr>
          <w:p>
            <w:pPr>
              <w:spacing w:after="0"/>
              <w:rPr>
                <w:sz w:val="15"/>
                <w:szCs w:val="15"/>
                <w:color w:val="auto"/>
              </w:rPr>
            </w:pPr>
          </w:p>
        </w:tc>
        <w:tc>
          <w:tcPr>
            <w:tcW w:w="1120" w:type="dxa"/>
            <w:vAlign w:val="bottom"/>
          </w:tcPr>
          <w:p>
            <w:pPr>
              <w:jc w:val="center"/>
              <w:ind w:right="78"/>
              <w:spacing w:after="0"/>
              <w:rPr>
                <w:sz w:val="20"/>
                <w:szCs w:val="20"/>
                <w:color w:val="auto"/>
              </w:rPr>
            </w:pPr>
            <w:r>
              <w:rPr>
                <w:rFonts w:ascii="Calibri" w:cs="Calibri" w:eastAsia="Calibri" w:hAnsi="Calibri"/>
                <w:sz w:val="14"/>
                <w:szCs w:val="14"/>
                <w:b w:val="1"/>
                <w:bCs w:val="1"/>
                <w:color w:val="auto"/>
                <w:w w:val="99"/>
              </w:rPr>
              <w:t>Average Grant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58"/>
              <w:spacing w:after="0"/>
              <w:rPr>
                <w:sz w:val="20"/>
                <w:szCs w:val="20"/>
                <w:color w:val="auto"/>
              </w:rPr>
            </w:pPr>
            <w:r>
              <w:rPr>
                <w:rFonts w:ascii="Calibri" w:cs="Calibri" w:eastAsia="Calibri" w:hAnsi="Calibri"/>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100" w:type="dxa"/>
            <w:vAlign w:val="bottom"/>
            <w:vMerge w:val="restart"/>
          </w:tcPr>
          <w:p>
            <w:pPr>
              <w:ind w:left="20"/>
              <w:spacing w:after="0"/>
              <w:rPr>
                <w:sz w:val="20"/>
                <w:szCs w:val="20"/>
                <w:color w:val="auto"/>
              </w:rPr>
            </w:pPr>
            <w:r>
              <w:rPr>
                <w:rFonts w:ascii="Calibri" w:cs="Calibri" w:eastAsia="Calibri" w:hAnsi="Calibri"/>
                <w:sz w:val="18"/>
                <w:szCs w:val="18"/>
                <w:color w:val="auto"/>
              </w:rPr>
              <w:t>Unvested balance at December 31, 2021</w:t>
            </w: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100" w:type="dxa"/>
            <w:vAlign w:val="bottom"/>
            <w:vMerge w:val="continue"/>
          </w:tcPr>
          <w:p>
            <w:pPr>
              <w:spacing w:after="0"/>
              <w:rPr>
                <w:sz w:val="16"/>
                <w:szCs w:val="16"/>
                <w:color w:val="auto"/>
              </w:rPr>
            </w:pPr>
          </w:p>
        </w:tc>
        <w:tc>
          <w:tcPr>
            <w:tcW w:w="1280" w:type="dxa"/>
            <w:vAlign w:val="bottom"/>
          </w:tcPr>
          <w:p>
            <w:pPr>
              <w:jc w:val="right"/>
              <w:spacing w:after="0" w:line="188"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line="18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188"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5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1,010,437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line="215" w:lineRule="exact"/>
              <w:rPr>
                <w:sz w:val="20"/>
                <w:szCs w:val="20"/>
                <w:color w:val="auto"/>
              </w:rPr>
            </w:pPr>
            <w:r>
              <w:rPr>
                <w:rFonts w:ascii="Calibri" w:cs="Calibri" w:eastAsia="Calibri" w:hAnsi="Calibri"/>
                <w:sz w:val="18"/>
                <w:szCs w:val="18"/>
                <w:color w:val="auto"/>
              </w:rPr>
              <w:t>Vested</w:t>
            </w:r>
          </w:p>
        </w:tc>
        <w:tc>
          <w:tcPr>
            <w:tcW w:w="13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(102,453 )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3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(30,517 )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1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Unvested balance at December 31, 2022</w:t>
            </w:r>
          </w:p>
        </w:tc>
        <w:tc>
          <w:tcPr>
            <w:tcW w:w="12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877,467</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of December 31, 2022, the Company had $7.2 million of unrecognized stock-based compensaton expense, which is expected to be recognized over a weighted-average period of 1.8 years.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Employee Stock Purchase Plan</w:t>
      </w:r>
    </w:p>
    <w:p>
      <w:pPr>
        <w:spacing w:after="0" w:line="190"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In October 2019, the board of directors adopted, and the Company’s stockholders approved, the Employee Stock Purchase Plan, or the ESPP, which became efectve in connecton with the IPO. The ESPP permits partcipants to purchase common stock through payroll deductons of up to 20% of their eligible compensaton, which includes a partcipant’s gross base compensaton for services to the Company, including overtme payments and excluding sales commissions, incentve compensaton, bonuses, expense reimbursements, fringe benefts and other special payments. A total of 270,000 shares of common stock was initally reserved for issuance under the ESPP. In additon, the number of shares available for issuance under the ESPP will be annually increased on January 1 of each calendar year beginning in 2020 and ending in 2029, by an amount equal to the lesser of: (i) 1% of the shares outstanding on the fnal day of the immediately preceding calendar year and (ii) such smaller number of shares as is determined by the board of directors. As of December 31, 2022, 752,938 shares of common stock remain available for issuance, which refects 89,098 shares sold to employees during the year ended December 31, 2022.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87" w:name="page188"/>
    <w:bookmarkEnd w:id="187"/>
    <w:p>
      <w:pPr>
        <w:jc w:val="both"/>
        <w:ind w:right="180" w:firstLine="509"/>
        <w:spacing w:after="0" w:line="235" w:lineRule="auto"/>
        <w:rPr>
          <w:sz w:val="20"/>
          <w:szCs w:val="20"/>
          <w:color w:val="auto"/>
        </w:rPr>
      </w:pPr>
      <w:r>
        <w:rPr>
          <w:rFonts w:ascii="Calibri" w:cs="Calibri" w:eastAsia="Calibri" w:hAnsi="Calibri"/>
          <w:sz w:val="18"/>
          <w:szCs w:val="18"/>
          <w:color w:val="auto"/>
        </w:rPr>
        <w:t>The ESPP is considered a compensatory plan, and the Company recorded related stock-based compensaton of $0.5 million and $0.4 million for the years ended December 31, 2022 and 2021, respectvely. The weighted-average assumptons used to estmate the fair value of ESPP awards using the Black-Scholes opton valuaton model were as follows:</w:t>
      </w:r>
    </w:p>
    <w:p>
      <w:pPr>
        <w:spacing w:after="0" w:line="239" w:lineRule="exact"/>
        <w:rPr>
          <w:sz w:val="20"/>
          <w:szCs w:val="20"/>
          <w:color w:val="auto"/>
        </w:rPr>
      </w:pPr>
    </w:p>
    <w:p>
      <w:pPr>
        <w:jc w:val="center"/>
        <w:ind w:left="4180"/>
        <w:spacing w:after="0"/>
        <w:rPr>
          <w:sz w:val="20"/>
          <w:szCs w:val="20"/>
          <w:color w:val="auto"/>
        </w:rPr>
      </w:pPr>
      <w:r>
        <w:rPr>
          <w:rFonts w:ascii="Calibri" w:cs="Calibri" w:eastAsia="Calibri" w:hAnsi="Calibri"/>
          <w:sz w:val="14"/>
          <w:szCs w:val="14"/>
          <w:b w:val="1"/>
          <w:bCs w:val="1"/>
          <w:color w:val="auto"/>
        </w:rPr>
        <w:t>Years Ended</w:t>
      </w:r>
    </w:p>
    <w:p>
      <w:pPr>
        <w:spacing w:after="0" w:line="5" w:lineRule="exact"/>
        <w:rPr>
          <w:sz w:val="20"/>
          <w:szCs w:val="20"/>
          <w:color w:val="auto"/>
        </w:rPr>
      </w:pPr>
    </w:p>
    <w:p>
      <w:pPr>
        <w:jc w:val="center"/>
        <w:ind w:left="4180"/>
        <w:spacing w:after="0"/>
        <w:rPr>
          <w:sz w:val="20"/>
          <w:szCs w:val="20"/>
          <w:color w:val="auto"/>
        </w:rPr>
      </w:pPr>
      <w:r>
        <w:rPr>
          <w:rFonts w:ascii="Calibri" w:cs="Calibri" w:eastAsia="Calibri" w:hAnsi="Calibri"/>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24345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5"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5460" w:type="dxa"/>
            <w:vAlign w:val="bottom"/>
            <w:gridSpan w:val="2"/>
          </w:tcPr>
          <w:p>
            <w:pPr>
              <w:ind w:left="5000"/>
              <w:spacing w:after="0"/>
              <w:rPr>
                <w:sz w:val="20"/>
                <w:szCs w:val="20"/>
                <w:color w:val="auto"/>
              </w:rPr>
            </w:pPr>
            <w:r>
              <w:rPr>
                <w:rFonts w:ascii="Calibri" w:cs="Calibri" w:eastAsia="Calibri" w:hAnsi="Calibri"/>
                <w:sz w:val="14"/>
                <w:szCs w:val="14"/>
                <w:b w:val="1"/>
                <w:bCs w:val="1"/>
                <w:color w:val="auto"/>
              </w:rPr>
              <w:t>2022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ind w:right="734"/>
              <w:spacing w:after="0"/>
              <w:rPr>
                <w:sz w:val="20"/>
                <w:szCs w:val="20"/>
                <w:color w:val="auto"/>
              </w:rPr>
            </w:pPr>
            <w:r>
              <w:rPr>
                <w:rFonts w:ascii="Calibri" w:cs="Calibri" w:eastAsia="Calibri" w:hAnsi="Calibri"/>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Assumptons:</w:t>
            </w:r>
          </w:p>
        </w:tc>
        <w:tc>
          <w:tcPr>
            <w:tcW w:w="1200" w:type="dxa"/>
            <w:vAlign w:val="bottom"/>
            <w:tcBorders>
              <w:top w:val="single" w:sz="8" w:color="auto"/>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Expected term (in years)</w:t>
            </w:r>
          </w:p>
        </w:tc>
        <w:tc>
          <w:tcPr>
            <w:tcW w:w="6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0.50</w:t>
            </w:r>
          </w:p>
        </w:tc>
        <w:tc>
          <w:tcPr>
            <w:tcW w:w="120" w:type="dxa"/>
            <w:vAlign w:val="bottom"/>
          </w:tcPr>
          <w:p>
            <w:pPr>
              <w:spacing w:after="0"/>
              <w:rPr>
                <w:sz w:val="18"/>
                <w:szCs w:val="18"/>
                <w:color w:val="auto"/>
              </w:rPr>
            </w:pPr>
          </w:p>
        </w:tc>
        <w:tc>
          <w:tcPr>
            <w:tcW w:w="1840" w:type="dxa"/>
            <w:vAlign w:val="bottom"/>
          </w:tcPr>
          <w:p>
            <w:pPr>
              <w:jc w:val="right"/>
              <w:ind w:right="14"/>
              <w:spacing w:after="0" w:line="215" w:lineRule="exact"/>
              <w:rPr>
                <w:sz w:val="20"/>
                <w:szCs w:val="20"/>
                <w:color w:val="auto"/>
              </w:rPr>
            </w:pPr>
            <w:r>
              <w:rPr>
                <w:rFonts w:ascii="Calibri" w:cs="Calibri" w:eastAsia="Calibri" w:hAnsi="Calibri"/>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ind w:left="200"/>
              <w:spacing w:after="0"/>
              <w:rPr>
                <w:sz w:val="20"/>
                <w:szCs w:val="20"/>
                <w:color w:val="auto"/>
              </w:rPr>
            </w:pPr>
            <w:r>
              <w:rPr>
                <w:rFonts w:ascii="Calibri" w:cs="Calibri" w:eastAsia="Calibri" w:hAnsi="Calibri"/>
                <w:sz w:val="18"/>
                <w:szCs w:val="18"/>
                <w:color w:val="auto"/>
              </w:rPr>
              <w:t>Expected volatlity</w:t>
            </w:r>
          </w:p>
        </w:tc>
        <w:tc>
          <w:tcPr>
            <w:tcW w:w="800" w:type="dxa"/>
            <w:vAlign w:val="bottom"/>
            <w:gridSpan w:val="2"/>
          </w:tcPr>
          <w:p>
            <w:pPr>
              <w:jc w:val="right"/>
              <w:ind w:right="60"/>
              <w:spacing w:after="0"/>
              <w:rPr>
                <w:sz w:val="20"/>
                <w:szCs w:val="20"/>
                <w:color w:val="auto"/>
              </w:rPr>
            </w:pPr>
            <w:r>
              <w:rPr>
                <w:rFonts w:ascii="Calibri" w:cs="Calibri" w:eastAsia="Calibri" w:hAnsi="Calibri"/>
                <w:sz w:val="18"/>
                <w:szCs w:val="18"/>
                <w:color w:val="auto"/>
              </w:rPr>
              <w:t>68.59 %</w:t>
            </w:r>
          </w:p>
        </w:tc>
        <w:tc>
          <w:tcPr>
            <w:tcW w:w="1900" w:type="dxa"/>
            <w:vAlign w:val="bottom"/>
            <w:gridSpan w:val="2"/>
          </w:tcPr>
          <w:p>
            <w:pPr>
              <w:jc w:val="right"/>
              <w:spacing w:after="0"/>
              <w:rPr>
                <w:sz w:val="20"/>
                <w:szCs w:val="20"/>
                <w:color w:val="auto"/>
              </w:rPr>
            </w:pPr>
            <w:r>
              <w:rPr>
                <w:rFonts w:ascii="Calibri" w:cs="Calibri" w:eastAsia="Calibri" w:hAnsi="Calibri"/>
                <w:sz w:val="18"/>
                <w:szCs w:val="18"/>
                <w:color w:val="auto"/>
              </w:rPr>
              <w:t>76.25 %</w:t>
            </w:r>
          </w:p>
        </w:tc>
        <w:tc>
          <w:tcPr>
            <w:tcW w:w="0" w:type="dxa"/>
            <w:vAlign w:val="bottom"/>
          </w:tcPr>
          <w:p>
            <w:pPr>
              <w:spacing w:after="0"/>
              <w:rPr>
                <w:sz w:val="1"/>
                <w:szCs w:val="1"/>
                <w:color w:val="auto"/>
              </w:rPr>
            </w:pPr>
          </w:p>
        </w:tc>
      </w:tr>
      <w:tr>
        <w:trPr>
          <w:trHeight w:val="243"/>
        </w:trPr>
        <w:tc>
          <w:tcPr>
            <w:tcW w:w="5460" w:type="dxa"/>
            <w:vAlign w:val="bottom"/>
            <w:gridSpan w:val="2"/>
          </w:tcPr>
          <w:p>
            <w:pPr>
              <w:ind w:left="200"/>
              <w:spacing w:after="0"/>
              <w:rPr>
                <w:sz w:val="20"/>
                <w:szCs w:val="20"/>
                <w:color w:val="auto"/>
              </w:rPr>
            </w:pPr>
            <w:r>
              <w:rPr>
                <w:rFonts w:ascii="Calibri" w:cs="Calibri" w:eastAsia="Calibri" w:hAnsi="Calibri"/>
                <w:sz w:val="18"/>
                <w:szCs w:val="18"/>
                <w:color w:val="auto"/>
              </w:rPr>
              <w:t>Risk free interest rate</w:t>
            </w:r>
          </w:p>
        </w:tc>
        <w:tc>
          <w:tcPr>
            <w:tcW w:w="800" w:type="dxa"/>
            <w:vAlign w:val="bottom"/>
            <w:gridSpan w:val="2"/>
          </w:tcPr>
          <w:p>
            <w:pPr>
              <w:jc w:val="right"/>
              <w:ind w:right="60"/>
              <w:spacing w:after="0"/>
              <w:rPr>
                <w:sz w:val="20"/>
                <w:szCs w:val="20"/>
                <w:color w:val="auto"/>
              </w:rPr>
            </w:pPr>
            <w:r>
              <w:rPr>
                <w:rFonts w:ascii="Calibri" w:cs="Calibri" w:eastAsia="Calibri" w:hAnsi="Calibri"/>
                <w:sz w:val="18"/>
                <w:szCs w:val="18"/>
                <w:color w:val="auto"/>
              </w:rPr>
              <w:t>2.04 %</w:t>
            </w:r>
          </w:p>
        </w:tc>
        <w:tc>
          <w:tcPr>
            <w:tcW w:w="1900" w:type="dxa"/>
            <w:vAlign w:val="bottom"/>
            <w:gridSpan w:val="2"/>
          </w:tcPr>
          <w:p>
            <w:pPr>
              <w:jc w:val="right"/>
              <w:spacing w:after="0"/>
              <w:rPr>
                <w:sz w:val="20"/>
                <w:szCs w:val="20"/>
                <w:color w:val="auto"/>
              </w:rPr>
            </w:pPr>
            <w:r>
              <w:rPr>
                <w:rFonts w:ascii="Calibri" w:cs="Calibri" w:eastAsia="Calibri" w:hAnsi="Calibri"/>
                <w:sz w:val="18"/>
                <w:szCs w:val="18"/>
                <w:color w:val="auto"/>
              </w:rPr>
              <w:t>0.09 %</w:t>
            </w:r>
          </w:p>
        </w:tc>
        <w:tc>
          <w:tcPr>
            <w:tcW w:w="0" w:type="dxa"/>
            <w:vAlign w:val="bottom"/>
          </w:tcPr>
          <w:p>
            <w:pPr>
              <w:spacing w:after="0"/>
              <w:rPr>
                <w:sz w:val="1"/>
                <w:szCs w:val="1"/>
                <w:color w:val="auto"/>
              </w:rPr>
            </w:pPr>
          </w:p>
        </w:tc>
      </w:tr>
      <w:tr>
        <w:trPr>
          <w:trHeight w:val="37"/>
        </w:trPr>
        <w:tc>
          <w:tcPr>
            <w:tcW w:w="5460" w:type="dxa"/>
            <w:vAlign w:val="bottom"/>
            <w:gridSpan w:val="2"/>
          </w:tcPr>
          <w:p>
            <w:pPr>
              <w:spacing w:after="0"/>
              <w:rPr>
                <w:sz w:val="3"/>
                <w:szCs w:val="3"/>
                <w:color w:val="auto"/>
              </w:rPr>
            </w:pPr>
          </w:p>
        </w:tc>
        <w:tc>
          <w:tcPr>
            <w:tcW w:w="800" w:type="dxa"/>
            <w:vAlign w:val="bottom"/>
            <w:gridSpan w:val="2"/>
          </w:tcPr>
          <w:p>
            <w:pPr>
              <w:spacing w:after="0"/>
              <w:rPr>
                <w:sz w:val="3"/>
                <w:szCs w:val="3"/>
                <w:color w:val="auto"/>
              </w:rPr>
            </w:pPr>
          </w:p>
        </w:tc>
        <w:tc>
          <w:tcPr>
            <w:tcW w:w="18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5460" w:type="dxa"/>
            <w:vAlign w:val="bottom"/>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Dividend yield</w:t>
            </w:r>
          </w:p>
        </w:tc>
        <w:tc>
          <w:tcPr>
            <w:tcW w:w="80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26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4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-462280</wp:posOffset>
            </wp:positionV>
            <wp:extent cx="513461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34610" cy="154305"/>
                    </a:xfrm>
                    <a:prstGeom prst="rect">
                      <a:avLst/>
                    </a:prstGeom>
                    <a:noFill/>
                  </pic:spPr>
                </pic:pic>
              </a:graphicData>
            </a:graphic>
          </wp:anchor>
        </w:drawing>
      </w:r>
    </w:p>
    <w:p>
      <w:pPr>
        <w:spacing w:after="0" w:line="36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estmated weighted-average fair value of ESPP awards during 2022 and 2021 was $3.98 and $14.66, respectvely. As of December 31, 2022, the total unrecognized compensaton expense related to the ESPP was $31,000, which is expected to be recognized over a weighted-average period of approximately 0.5 months.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401(k) Plan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established a 401(k) savings plan during the year ended December 31, 2020. The Company’s contributons to the plan are discretonary. During the years ended December 31, 2022 and December 31, 2021, the Company incurred $1.3 million and $0.8 million, respectvely, of expense related to estmated employer contributon liabilites, which was based on a 75% match of employees’ contributons during the periods. In August 2021, the Board of Directors approved a semi-annual discretonary match for 2021, which was setled by contributng 18,394 shares. In January 2022, the Board of Directors approved a second semi-annual discretonary match for 2021, which was setled by contributng 16,756 shares. In July 2022, the Board of Directors approved a semi-annual match for 2022, which was setled by contributng 84,784 shares.</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fair value of each employee and non-employee stock opton grant is estmated on the date of grant using the Black-Scholes opton-pricing model. The Company, prior to the IPO on October 29, 2019, was a private company and lacked company-specifc historical and implied volatlity informaton. Therefore, it estmated its expected volatlity based on the historical volatlity of a publicly-traded set of peer companies. Due to the lack of historical exercise history, the expected term of the Company’s stock optons for employees was determined utlizing the “simplifed” method for awards. The expected term of stock optons granted to non-employees was equal to the contractual term of the opton award. The risk-free interest rate was determined by reference to the U.S. Treasury yield curve in efect at the tme of grant of the award for tme periods approximately equal to the expected term of the award. Expected dividend yield was zero based on the fact that the Company has never paid cash dividends and does not expect to pay any cash dividends in the foreseeable future.</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9" w:right="399" w:bottom="1440" w:gutter="0" w:footer="0" w:header="0"/>
        </w:sectPr>
      </w:pPr>
    </w:p>
    <w:bookmarkStart w:id="188" w:name="page189"/>
    <w:bookmarkEnd w:id="188"/>
    <w:p>
      <w:pPr>
        <w:ind w:left="520"/>
        <w:spacing w:after="0"/>
        <w:rPr>
          <w:sz w:val="20"/>
          <w:szCs w:val="20"/>
          <w:color w:val="auto"/>
        </w:rPr>
      </w:pPr>
      <w:r>
        <w:rPr>
          <w:rFonts w:ascii="Calibri" w:cs="Calibri" w:eastAsia="Calibri" w:hAnsi="Calibri"/>
          <w:sz w:val="18"/>
          <w:szCs w:val="18"/>
          <w:color w:val="auto"/>
        </w:rPr>
        <w:t>A summary of the Company’s stock opton actvity and related informaton is as follows:</w:t>
      </w:r>
    </w:p>
    <w:p>
      <w:pPr>
        <w:spacing w:after="0" w:line="238"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center"/>
              <w:ind w:right="1"/>
              <w:spacing w:after="0"/>
              <w:rPr>
                <w:sz w:val="20"/>
                <w:szCs w:val="20"/>
                <w:color w:val="auto"/>
              </w:rPr>
            </w:pPr>
            <w:r>
              <w:rPr>
                <w:rFonts w:ascii="Calibri" w:cs="Calibri" w:eastAsia="Calibri" w:hAnsi="Calibri"/>
                <w:sz w:val="14"/>
                <w:szCs w:val="14"/>
                <w:b w:val="1"/>
                <w:bCs w:val="1"/>
                <w:color w:val="auto"/>
              </w:rPr>
              <w:t>Weighted-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4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77"/>
              <w:spacing w:after="0"/>
              <w:rPr>
                <w:sz w:val="20"/>
                <w:szCs w:val="20"/>
                <w:color w:val="auto"/>
              </w:rPr>
            </w:pPr>
            <w:r>
              <w:rPr>
                <w:rFonts w:ascii="Calibri" w:cs="Calibri" w:eastAsia="Calibri" w:hAnsi="Calibri"/>
                <w:sz w:val="14"/>
                <w:szCs w:val="14"/>
                <w:b w:val="1"/>
                <w:bCs w:val="1"/>
                <w:color w:val="auto"/>
              </w:rPr>
              <w:t>Weighted-</w:t>
            </w:r>
          </w:p>
        </w:tc>
        <w:tc>
          <w:tcPr>
            <w:tcW w:w="60" w:type="dxa"/>
            <w:vAlign w:val="bottom"/>
          </w:tcPr>
          <w:p>
            <w:pPr>
              <w:spacing w:after="0"/>
              <w:rPr>
                <w:sz w:val="15"/>
                <w:szCs w:val="15"/>
                <w:color w:val="auto"/>
              </w:rPr>
            </w:pPr>
          </w:p>
        </w:tc>
        <w:tc>
          <w:tcPr>
            <w:tcW w:w="1060" w:type="dxa"/>
            <w:vAlign w:val="bottom"/>
          </w:tcPr>
          <w:p>
            <w:pPr>
              <w:jc w:val="center"/>
              <w:ind w:right="21"/>
              <w:spacing w:after="0"/>
              <w:rPr>
                <w:sz w:val="20"/>
                <w:szCs w:val="20"/>
                <w:color w:val="auto"/>
              </w:rPr>
            </w:pPr>
            <w:r>
              <w:rPr>
                <w:rFonts w:ascii="Calibri" w:cs="Calibri" w:eastAsia="Calibri" w:hAnsi="Calibri"/>
                <w:sz w:val="14"/>
                <w:szCs w:val="14"/>
                <w:b w:val="1"/>
                <w:bCs w:val="1"/>
                <w:color w:val="auto"/>
              </w:rPr>
              <w:t>Average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80"/>
              <w:spacing w:after="0"/>
              <w:rPr>
                <w:sz w:val="20"/>
                <w:szCs w:val="20"/>
                <w:color w:val="auto"/>
              </w:rPr>
            </w:pPr>
            <w:r>
              <w:rPr>
                <w:rFonts w:ascii="Calibri" w:cs="Calibri" w:eastAsia="Calibri" w:hAnsi="Calibri"/>
                <w:sz w:val="14"/>
                <w:szCs w:val="14"/>
                <w:b w:val="1"/>
                <w:bCs w:val="1"/>
                <w:color w:val="auto"/>
              </w:rPr>
              <w:t>Aggregate</w:t>
            </w:r>
          </w:p>
        </w:tc>
      </w:tr>
      <w:tr>
        <w:trPr>
          <w:trHeight w:val="175"/>
        </w:trPr>
        <w:tc>
          <w:tcPr>
            <w:tcW w:w="4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57"/>
              <w:spacing w:after="0"/>
              <w:rPr>
                <w:sz w:val="20"/>
                <w:szCs w:val="20"/>
                <w:color w:val="auto"/>
              </w:rPr>
            </w:pPr>
            <w:r>
              <w:rPr>
                <w:rFonts w:ascii="Calibri" w:cs="Calibri" w:eastAsia="Calibri" w:hAnsi="Calibri"/>
                <w:sz w:val="14"/>
                <w:szCs w:val="14"/>
                <w:b w:val="1"/>
                <w:bCs w:val="1"/>
                <w:color w:val="auto"/>
              </w:rPr>
              <w:t>Average</w:t>
            </w:r>
          </w:p>
        </w:tc>
        <w:tc>
          <w:tcPr>
            <w:tcW w:w="60" w:type="dxa"/>
            <w:vAlign w:val="bottom"/>
          </w:tcPr>
          <w:p>
            <w:pPr>
              <w:spacing w:after="0"/>
              <w:rPr>
                <w:sz w:val="15"/>
                <w:szCs w:val="15"/>
                <w:color w:val="auto"/>
              </w:rPr>
            </w:pPr>
          </w:p>
        </w:tc>
        <w:tc>
          <w:tcPr>
            <w:tcW w:w="1060" w:type="dxa"/>
            <w:vAlign w:val="bottom"/>
          </w:tcPr>
          <w:p>
            <w:pPr>
              <w:jc w:val="center"/>
              <w:ind w:right="1"/>
              <w:spacing w:after="0"/>
              <w:rPr>
                <w:sz w:val="20"/>
                <w:szCs w:val="20"/>
                <w:color w:val="auto"/>
              </w:rPr>
            </w:pPr>
            <w:r>
              <w:rPr>
                <w:rFonts w:ascii="Calibri" w:cs="Calibri" w:eastAsia="Calibri" w:hAnsi="Calibri"/>
                <w:sz w:val="14"/>
                <w:szCs w:val="14"/>
                <w:b w:val="1"/>
                <w:bCs w:val="1"/>
                <w:color w:val="auto"/>
              </w:rPr>
              <w:t>Remaining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80"/>
              <w:spacing w:after="0"/>
              <w:rPr>
                <w:sz w:val="20"/>
                <w:szCs w:val="20"/>
                <w:color w:val="auto"/>
              </w:rPr>
            </w:pPr>
            <w:r>
              <w:rPr>
                <w:rFonts w:ascii="Calibri" w:cs="Calibri" w:eastAsia="Calibri" w:hAnsi="Calibri"/>
                <w:sz w:val="14"/>
                <w:szCs w:val="14"/>
                <w:b w:val="1"/>
                <w:bCs w:val="1"/>
                <w:color w:val="auto"/>
              </w:rPr>
              <w:t>Intrinsic</w:t>
            </w:r>
          </w:p>
        </w:tc>
      </w:tr>
      <w:tr>
        <w:trPr>
          <w:trHeight w:val="176"/>
        </w:trPr>
        <w:tc>
          <w:tcPr>
            <w:tcW w:w="4800" w:type="dxa"/>
            <w:vAlign w:val="bottom"/>
          </w:tcPr>
          <w:p>
            <w:pPr>
              <w:spacing w:after="0"/>
              <w:rPr>
                <w:sz w:val="15"/>
                <w:szCs w:val="15"/>
                <w:color w:val="auto"/>
              </w:rPr>
            </w:pPr>
          </w:p>
        </w:tc>
        <w:tc>
          <w:tcPr>
            <w:tcW w:w="1600" w:type="dxa"/>
            <w:vAlign w:val="bottom"/>
          </w:tcPr>
          <w:p>
            <w:pPr>
              <w:jc w:val="right"/>
              <w:ind w:right="535"/>
              <w:spacing w:after="0"/>
              <w:rPr>
                <w:sz w:val="20"/>
                <w:szCs w:val="20"/>
                <w:color w:val="auto"/>
              </w:rPr>
            </w:pPr>
            <w:r>
              <w:rPr>
                <w:rFonts w:ascii="Calibri" w:cs="Calibri" w:eastAsia="Calibri" w:hAnsi="Calibri"/>
                <w:sz w:val="14"/>
                <w:szCs w:val="14"/>
                <w:b w:val="1"/>
                <w:bCs w:val="1"/>
                <w:color w:val="auto"/>
              </w:rPr>
              <w:t>Optons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57"/>
              <w:spacing w:after="0"/>
              <w:rPr>
                <w:sz w:val="20"/>
                <w:szCs w:val="20"/>
                <w:color w:val="auto"/>
              </w:rPr>
            </w:pPr>
            <w:r>
              <w:rPr>
                <w:rFonts w:ascii="Calibri" w:cs="Calibri" w:eastAsia="Calibri" w:hAnsi="Calibri"/>
                <w:sz w:val="14"/>
                <w:szCs w:val="14"/>
                <w:b w:val="1"/>
                <w:bCs w:val="1"/>
                <w:color w:val="auto"/>
              </w:rPr>
              <w:t>Exercise</w:t>
            </w:r>
          </w:p>
        </w:tc>
        <w:tc>
          <w:tcPr>
            <w:tcW w:w="60" w:type="dxa"/>
            <w:vAlign w:val="bottom"/>
          </w:tcPr>
          <w:p>
            <w:pPr>
              <w:spacing w:after="0"/>
              <w:rPr>
                <w:sz w:val="15"/>
                <w:szCs w:val="15"/>
                <w:color w:val="auto"/>
              </w:rPr>
            </w:pPr>
          </w:p>
        </w:tc>
        <w:tc>
          <w:tcPr>
            <w:tcW w:w="1060" w:type="dxa"/>
            <w:vAlign w:val="bottom"/>
          </w:tcPr>
          <w:p>
            <w:pPr>
              <w:jc w:val="center"/>
              <w:ind w:right="1"/>
              <w:spacing w:after="0"/>
              <w:rPr>
                <w:sz w:val="20"/>
                <w:szCs w:val="20"/>
                <w:color w:val="auto"/>
              </w:rPr>
            </w:pPr>
            <w:r>
              <w:rPr>
                <w:rFonts w:ascii="Calibri" w:cs="Calibri" w:eastAsia="Calibri" w:hAnsi="Calibri"/>
                <w:sz w:val="14"/>
                <w:szCs w:val="14"/>
                <w:b w:val="1"/>
                <w:bCs w:val="1"/>
                <w:color w:val="auto"/>
              </w:rPr>
              <w:t>Contractual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80"/>
              <w:spacing w:after="0"/>
              <w:rPr>
                <w:sz w:val="20"/>
                <w:szCs w:val="20"/>
                <w:color w:val="auto"/>
              </w:rPr>
            </w:pPr>
            <w:r>
              <w:rPr>
                <w:rFonts w:ascii="Calibri" w:cs="Calibri" w:eastAsia="Calibri" w:hAnsi="Calibri"/>
                <w:sz w:val="14"/>
                <w:szCs w:val="14"/>
                <w:b w:val="1"/>
                <w:bCs w:val="1"/>
                <w:color w:val="auto"/>
              </w:rPr>
              <w:t>Value (in</w:t>
            </w:r>
          </w:p>
        </w:tc>
      </w:tr>
      <w:tr>
        <w:trPr>
          <w:trHeight w:val="176"/>
        </w:trPr>
        <w:tc>
          <w:tcPr>
            <w:tcW w:w="4800" w:type="dxa"/>
            <w:vAlign w:val="bottom"/>
          </w:tcPr>
          <w:p>
            <w:pPr>
              <w:spacing w:after="0"/>
              <w:rPr>
                <w:sz w:val="15"/>
                <w:szCs w:val="15"/>
                <w:color w:val="auto"/>
              </w:rPr>
            </w:pPr>
          </w:p>
        </w:tc>
        <w:tc>
          <w:tcPr>
            <w:tcW w:w="1600" w:type="dxa"/>
            <w:vAlign w:val="bottom"/>
          </w:tcPr>
          <w:p>
            <w:pPr>
              <w:jc w:val="right"/>
              <w:ind w:right="395"/>
              <w:spacing w:after="0"/>
              <w:rPr>
                <w:sz w:val="20"/>
                <w:szCs w:val="20"/>
                <w:color w:val="auto"/>
              </w:rPr>
            </w:pPr>
            <w:r>
              <w:rPr>
                <w:rFonts w:ascii="Calibri" w:cs="Calibri" w:eastAsia="Calibri" w:hAnsi="Calibri"/>
                <w:sz w:val="14"/>
                <w:szCs w:val="14"/>
                <w:b w:val="1"/>
                <w:bCs w:val="1"/>
                <w:color w:val="auto"/>
              </w:rPr>
              <w:t>Outstanding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77"/>
              <w:spacing w:after="0"/>
              <w:rPr>
                <w:sz w:val="20"/>
                <w:szCs w:val="20"/>
                <w:color w:val="auto"/>
              </w:rPr>
            </w:pPr>
            <w:r>
              <w:rPr>
                <w:rFonts w:ascii="Calibri" w:cs="Calibri" w:eastAsia="Calibri" w:hAnsi="Calibri"/>
                <w:sz w:val="14"/>
                <w:szCs w:val="14"/>
                <w:b w:val="1"/>
                <w:bCs w:val="1"/>
                <w:color w:val="auto"/>
              </w:rPr>
              <w:t>Price</w:t>
            </w:r>
          </w:p>
        </w:tc>
        <w:tc>
          <w:tcPr>
            <w:tcW w:w="60" w:type="dxa"/>
            <w:vAlign w:val="bottom"/>
          </w:tcPr>
          <w:p>
            <w:pPr>
              <w:spacing w:after="0"/>
              <w:rPr>
                <w:sz w:val="15"/>
                <w:szCs w:val="15"/>
                <w:color w:val="auto"/>
              </w:rPr>
            </w:pPr>
          </w:p>
        </w:tc>
        <w:tc>
          <w:tcPr>
            <w:tcW w:w="1060" w:type="dxa"/>
            <w:vAlign w:val="bottom"/>
          </w:tcPr>
          <w:p>
            <w:pPr>
              <w:jc w:val="center"/>
              <w:ind w:right="1"/>
              <w:spacing w:after="0"/>
              <w:rPr>
                <w:sz w:val="20"/>
                <w:szCs w:val="20"/>
                <w:color w:val="auto"/>
              </w:rPr>
            </w:pPr>
            <w:r>
              <w:rPr>
                <w:rFonts w:ascii="Calibri" w:cs="Calibri" w:eastAsia="Calibri" w:hAnsi="Calibri"/>
                <w:sz w:val="14"/>
                <w:szCs w:val="14"/>
                <w:b w:val="1"/>
                <w:bCs w:val="1"/>
                <w:color w:val="auto"/>
                <w:w w:val="98"/>
              </w:rPr>
              <w:t>Term</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80"/>
              <w:spacing w:after="0"/>
              <w:rPr>
                <w:sz w:val="20"/>
                <w:szCs w:val="20"/>
                <w:color w:val="auto"/>
              </w:rPr>
            </w:pPr>
            <w:r>
              <w:rPr>
                <w:rFonts w:ascii="Calibri" w:cs="Calibri" w:eastAsia="Calibri" w:hAnsi="Calibri"/>
                <w:sz w:val="14"/>
                <w:szCs w:val="14"/>
                <w:b w:val="1"/>
                <w:bCs w:val="1"/>
                <w:color w:val="auto"/>
              </w:rPr>
              <w:t>thousands)</w:t>
            </w:r>
          </w:p>
        </w:tc>
      </w:tr>
      <w:tr>
        <w:trPr>
          <w:trHeight w:val="33"/>
        </w:trPr>
        <w:tc>
          <w:tcPr>
            <w:tcW w:w="48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6"/>
        </w:trPr>
        <w:tc>
          <w:tcPr>
            <w:tcW w:w="48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2021</w:t>
            </w:r>
          </w:p>
        </w:tc>
        <w:tc>
          <w:tcPr>
            <w:tcW w:w="1600" w:type="dxa"/>
            <w:vAlign w:val="bottom"/>
            <w:tcBorders>
              <w:bottom w:val="single" w:sz="8" w:color="CFF0FC"/>
            </w:tcBorders>
            <w:shd w:val="clear" w:color="auto" w:fill="CFF0FC"/>
          </w:tcPr>
          <w:p>
            <w:pPr>
              <w:jc w:val="right"/>
              <w:ind w:right="35"/>
              <w:spacing w:after="0" w:line="208" w:lineRule="exact"/>
              <w:rPr>
                <w:sz w:val="20"/>
                <w:szCs w:val="20"/>
                <w:color w:val="auto"/>
              </w:rPr>
            </w:pPr>
            <w:r>
              <w:rPr>
                <w:rFonts w:ascii="Calibri" w:cs="Calibri" w:eastAsia="Calibri" w:hAnsi="Calibri"/>
                <w:sz w:val="18"/>
                <w:szCs w:val="18"/>
                <w:color w:val="auto"/>
              </w:rPr>
              <w:t>4,186,729</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ind w:right="17"/>
              <w:spacing w:after="0" w:line="208" w:lineRule="exact"/>
              <w:rPr>
                <w:sz w:val="20"/>
                <w:szCs w:val="20"/>
                <w:color w:val="auto"/>
              </w:rPr>
            </w:pPr>
            <w:r>
              <w:rPr>
                <w:rFonts w:ascii="Calibri" w:cs="Calibri" w:eastAsia="Calibri" w:hAnsi="Calibri"/>
                <w:sz w:val="18"/>
                <w:szCs w:val="18"/>
                <w:color w:val="auto"/>
              </w:rPr>
              <w:t>27.53</w:t>
            </w:r>
          </w:p>
        </w:tc>
        <w:tc>
          <w:tcPr>
            <w:tcW w:w="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21"/>
              <w:spacing w:after="0" w:line="208" w:lineRule="exact"/>
              <w:rPr>
                <w:sz w:val="20"/>
                <w:szCs w:val="20"/>
                <w:color w:val="auto"/>
              </w:rPr>
            </w:pPr>
            <w:r>
              <w:rPr>
                <w:rFonts w:ascii="Calibri" w:cs="Calibri" w:eastAsia="Calibri" w:hAnsi="Calibri"/>
                <w:sz w:val="18"/>
                <w:szCs w:val="18"/>
                <w:color w:val="auto"/>
              </w:rPr>
              <w:t>7.91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CFF0FC"/>
            </w:tcBorders>
            <w:shd w:val="clear" w:color="auto" w:fill="CFF0FC"/>
          </w:tcPr>
          <w:p>
            <w:pPr>
              <w:jc w:val="right"/>
              <w:ind w:right="20"/>
              <w:spacing w:after="0" w:line="208" w:lineRule="exact"/>
              <w:rPr>
                <w:sz w:val="20"/>
                <w:szCs w:val="20"/>
                <w:color w:val="auto"/>
              </w:rPr>
            </w:pPr>
            <w:r>
              <w:rPr>
                <w:rFonts w:ascii="Calibri" w:cs="Calibri" w:eastAsia="Calibri" w:hAnsi="Calibri"/>
                <w:sz w:val="18"/>
                <w:szCs w:val="18"/>
                <w:color w:val="auto"/>
              </w:rPr>
              <w:t>13,973</w:t>
            </w:r>
          </w:p>
        </w:tc>
      </w:tr>
      <w:tr>
        <w:trPr>
          <w:trHeight w:val="215"/>
        </w:trPr>
        <w:tc>
          <w:tcPr>
            <w:tcW w:w="4800" w:type="dxa"/>
            <w:vAlign w:val="bottom"/>
          </w:tcPr>
          <w:p>
            <w:pPr>
              <w:ind w:left="200"/>
              <w:spacing w:after="0" w:line="215" w:lineRule="exact"/>
              <w:rPr>
                <w:sz w:val="20"/>
                <w:szCs w:val="20"/>
                <w:color w:val="auto"/>
              </w:rPr>
            </w:pPr>
            <w:r>
              <w:rPr>
                <w:rFonts w:ascii="Calibri" w:cs="Calibri" w:eastAsia="Calibri" w:hAnsi="Calibri"/>
                <w:sz w:val="18"/>
                <w:szCs w:val="18"/>
                <w:color w:val="auto"/>
              </w:rPr>
              <w:t>Optons granted</w:t>
            </w:r>
          </w:p>
        </w:tc>
        <w:tc>
          <w:tcPr>
            <w:tcW w:w="160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1,741,931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14.62</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48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Optons exercised</w:t>
            </w:r>
          </w:p>
        </w:tc>
        <w:tc>
          <w:tcPr>
            <w:tcW w:w="1600" w:type="dxa"/>
            <w:vAlign w:val="bottom"/>
            <w:tcBorders>
              <w:bottom w:val="single" w:sz="8" w:color="CFF0FC"/>
            </w:tcBorders>
            <w:shd w:val="clear" w:color="auto" w:fill="CFF0FC"/>
          </w:tcPr>
          <w:p>
            <w:pPr>
              <w:jc w:val="right"/>
              <w:ind w:right="35"/>
              <w:spacing w:after="0" w:line="215" w:lineRule="exact"/>
              <w:rPr>
                <w:sz w:val="20"/>
                <w:szCs w:val="20"/>
                <w:color w:val="auto"/>
              </w:rPr>
            </w:pPr>
            <w:r>
              <w:rPr>
                <w:rFonts w:ascii="Calibri" w:cs="Calibri" w:eastAsia="Calibri" w:hAnsi="Calibri"/>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r>
      <w:tr>
        <w:trPr>
          <w:trHeight w:val="215"/>
        </w:trPr>
        <w:tc>
          <w:tcPr>
            <w:tcW w:w="4800" w:type="dxa"/>
            <w:vAlign w:val="bottom"/>
          </w:tcPr>
          <w:p>
            <w:pPr>
              <w:ind w:left="200"/>
              <w:spacing w:after="0" w:line="215" w:lineRule="exact"/>
              <w:rPr>
                <w:sz w:val="20"/>
                <w:szCs w:val="20"/>
                <w:color w:val="auto"/>
              </w:rPr>
            </w:pPr>
            <w:r>
              <w:rPr>
                <w:rFonts w:ascii="Calibri" w:cs="Calibri" w:eastAsia="Calibri" w:hAnsi="Calibri"/>
                <w:sz w:val="18"/>
                <w:szCs w:val="18"/>
                <w:color w:val="auto"/>
              </w:rPr>
              <w:t>Optons cancelled</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(342,190 )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29.32</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48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2022</w:t>
            </w:r>
          </w:p>
        </w:tc>
        <w:tc>
          <w:tcPr>
            <w:tcW w:w="1600" w:type="dxa"/>
            <w:vAlign w:val="bottom"/>
            <w:tcBorders>
              <w:top w:val="single" w:sz="8" w:color="auto"/>
              <w:bottom w:val="single" w:sz="8" w:color="CFF0FC"/>
            </w:tcBorders>
            <w:shd w:val="clear" w:color="auto" w:fill="CFF0FC"/>
          </w:tcPr>
          <w:p>
            <w:pPr>
              <w:jc w:val="right"/>
              <w:ind w:right="35"/>
              <w:spacing w:after="0" w:line="208" w:lineRule="exact"/>
              <w:rPr>
                <w:sz w:val="20"/>
                <w:szCs w:val="20"/>
                <w:color w:val="auto"/>
              </w:rPr>
            </w:pPr>
            <w:r>
              <w:rPr>
                <w:rFonts w:ascii="Calibri" w:cs="Calibri" w:eastAsia="Calibri" w:hAnsi="Calibri"/>
                <w:sz w:val="18"/>
                <w:szCs w:val="18"/>
                <w:color w:val="auto"/>
              </w:rPr>
              <w:t>5,586,470</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CFF0FC"/>
            </w:tcBorders>
            <w:shd w:val="clear" w:color="auto" w:fill="CFF0FC"/>
          </w:tcPr>
          <w:p>
            <w:pPr>
              <w:jc w:val="right"/>
              <w:ind w:right="17"/>
              <w:spacing w:after="0" w:line="208" w:lineRule="exact"/>
              <w:rPr>
                <w:sz w:val="20"/>
                <w:szCs w:val="20"/>
                <w:color w:val="auto"/>
              </w:rPr>
            </w:pPr>
            <w:r>
              <w:rPr>
                <w:rFonts w:ascii="Calibri" w:cs="Calibri" w:eastAsia="Calibri" w:hAnsi="Calibri"/>
                <w:sz w:val="18"/>
                <w:szCs w:val="18"/>
                <w:color w:val="auto"/>
              </w:rPr>
              <w:t>23.40</w:t>
            </w:r>
          </w:p>
        </w:tc>
        <w:tc>
          <w:tcPr>
            <w:tcW w:w="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CFF0FC"/>
            </w:tcBorders>
            <w:shd w:val="clear" w:color="auto" w:fill="CFF0FC"/>
          </w:tcPr>
          <w:p>
            <w:pPr>
              <w:jc w:val="right"/>
              <w:ind w:right="21"/>
              <w:spacing w:after="0" w:line="208" w:lineRule="exact"/>
              <w:rPr>
                <w:sz w:val="20"/>
                <w:szCs w:val="20"/>
                <w:color w:val="auto"/>
              </w:rPr>
            </w:pPr>
            <w:r>
              <w:rPr>
                <w:rFonts w:ascii="Calibri" w:cs="Calibri" w:eastAsia="Calibri" w:hAnsi="Calibri"/>
                <w:sz w:val="18"/>
                <w:szCs w:val="18"/>
                <w:color w:val="auto"/>
              </w:rPr>
              <w:t>7.90</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bottom w:val="single" w:sz="8" w:color="CFF0FC"/>
            </w:tcBorders>
            <w:shd w:val="clear" w:color="auto" w:fill="CFF0FC"/>
          </w:tcPr>
          <w:p>
            <w:pPr>
              <w:jc w:val="right"/>
              <w:ind w:right="20"/>
              <w:spacing w:after="0" w:line="208" w:lineRule="exact"/>
              <w:rPr>
                <w:sz w:val="20"/>
                <w:szCs w:val="20"/>
                <w:color w:val="auto"/>
              </w:rPr>
            </w:pPr>
            <w:r>
              <w:rPr>
                <w:rFonts w:ascii="Calibri" w:cs="Calibri" w:eastAsia="Calibri" w:hAnsi="Calibri"/>
                <w:sz w:val="18"/>
                <w:szCs w:val="18"/>
                <w:color w:val="auto"/>
              </w:rPr>
              <w:t>4,476</w:t>
            </w:r>
          </w:p>
        </w:tc>
      </w:tr>
      <w:tr>
        <w:trPr>
          <w:trHeight w:val="208"/>
        </w:trPr>
        <w:tc>
          <w:tcPr>
            <w:tcW w:w="480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Optons exercisable as of December 31, 2022</w:t>
            </w:r>
          </w:p>
        </w:tc>
        <w:tc>
          <w:tcPr>
            <w:tcW w:w="1600" w:type="dxa"/>
            <w:vAlign w:val="bottom"/>
            <w:tcBorders>
              <w:top w:val="single" w:sz="8" w:color="auto"/>
            </w:tcBorders>
          </w:tcPr>
          <w:p>
            <w:pPr>
              <w:jc w:val="right"/>
              <w:ind w:right="35"/>
              <w:spacing w:after="0" w:line="208" w:lineRule="exact"/>
              <w:rPr>
                <w:sz w:val="20"/>
                <w:szCs w:val="20"/>
                <w:color w:val="auto"/>
              </w:rPr>
            </w:pPr>
            <w:r>
              <w:rPr>
                <w:rFonts w:ascii="Calibri" w:cs="Calibri" w:eastAsia="Calibri" w:hAnsi="Calibri"/>
                <w:sz w:val="18"/>
                <w:szCs w:val="18"/>
                <w:color w:val="auto"/>
              </w:rPr>
              <w:t>2,455,735</w:t>
            </w: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
              <w:spacing w:after="0" w:line="208" w:lineRule="exact"/>
              <w:rPr>
                <w:sz w:val="20"/>
                <w:szCs w:val="20"/>
                <w:color w:val="auto"/>
              </w:rPr>
            </w:pPr>
            <w:r>
              <w:rPr>
                <w:rFonts w:ascii="Calibri" w:cs="Calibri" w:eastAsia="Calibri" w:hAnsi="Calibri"/>
                <w:sz w:val="18"/>
                <w:szCs w:val="18"/>
                <w:color w:val="auto"/>
              </w:rPr>
              <w:t>25.00</w:t>
            </w:r>
          </w:p>
        </w:tc>
        <w:tc>
          <w:tcPr>
            <w:tcW w:w="6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jc w:val="right"/>
              <w:ind w:right="21"/>
              <w:spacing w:after="0" w:line="208" w:lineRule="exact"/>
              <w:rPr>
                <w:sz w:val="20"/>
                <w:szCs w:val="20"/>
                <w:color w:val="auto"/>
              </w:rPr>
            </w:pPr>
            <w:r>
              <w:rPr>
                <w:rFonts w:ascii="Calibri" w:cs="Calibri" w:eastAsia="Calibri" w:hAnsi="Calibri"/>
                <w:sz w:val="18"/>
                <w:szCs w:val="18"/>
                <w:color w:val="auto"/>
              </w:rPr>
              <w:t>7.18</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line="208" w:lineRule="exact"/>
              <w:rPr>
                <w:sz w:val="20"/>
                <w:szCs w:val="20"/>
                <w:color w:val="auto"/>
              </w:rPr>
            </w:pPr>
            <w:r>
              <w:rPr>
                <w:rFonts w:ascii="Calibri" w:cs="Calibri" w:eastAsia="Calibri" w:hAnsi="Calibri"/>
                <w:sz w:val="18"/>
                <w:szCs w:val="18"/>
                <w:color w:val="auto"/>
              </w:rPr>
              <w:t>2,867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-144145</wp:posOffset>
            </wp:positionV>
            <wp:extent cx="4318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-144145</wp:posOffset>
            </wp:positionV>
            <wp:extent cx="43180" cy="163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-144145</wp:posOffset>
            </wp:positionV>
            <wp:extent cx="43180"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163195"/>
                    </a:xfrm>
                    <a:prstGeom prst="rect">
                      <a:avLst/>
                    </a:prstGeom>
                    <a:noFill/>
                  </pic:spPr>
                </pic:pic>
              </a:graphicData>
            </a:graphic>
          </wp:anchor>
        </w:drawing>
      </w:r>
    </w:p>
    <w:p>
      <w:pPr>
        <w:spacing w:after="0" w:line="175"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 estmated weighted-average fair value of employee and nonemployee director stock optons granted during 2022 was $8.40 per opton. As of December 31, 2022, the Company had $37.3 million of unrecognized stock-based compensaton expense, which is expected to be recognized over a weighted-average period of 2.1 years.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weighted-average assumptons used to estmate the fair value of stock optons using the Black-Scholes opton valuaton model were as follows:</w:t>
      </w:r>
    </w:p>
    <w:p>
      <w:pPr>
        <w:spacing w:after="0" w:line="238" w:lineRule="exact"/>
        <w:rPr>
          <w:sz w:val="20"/>
          <w:szCs w:val="20"/>
          <w:color w:val="auto"/>
        </w:rPr>
      </w:pPr>
    </w:p>
    <w:p>
      <w:pPr>
        <w:jc w:val="center"/>
        <w:ind w:left="3880"/>
        <w:spacing w:after="0"/>
        <w:rPr>
          <w:sz w:val="20"/>
          <w:szCs w:val="20"/>
          <w:color w:val="auto"/>
        </w:rPr>
      </w:pPr>
      <w:r>
        <w:rPr>
          <w:rFonts w:ascii="Calibri" w:cs="Calibri" w:eastAsia="Calibri" w:hAnsi="Calibri"/>
          <w:sz w:val="14"/>
          <w:szCs w:val="14"/>
          <w:b w:val="1"/>
          <w:bCs w:val="1"/>
          <w:color w:val="auto"/>
        </w:rPr>
        <w:t>Years Ended</w:t>
      </w:r>
    </w:p>
    <w:p>
      <w:pPr>
        <w:spacing w:after="0" w:line="5" w:lineRule="exact"/>
        <w:rPr>
          <w:sz w:val="20"/>
          <w:szCs w:val="20"/>
          <w:color w:val="auto"/>
        </w:rPr>
      </w:pPr>
    </w:p>
    <w:p>
      <w:pPr>
        <w:jc w:val="center"/>
        <w:ind w:left="3880"/>
        <w:spacing w:after="0"/>
        <w:rPr>
          <w:sz w:val="20"/>
          <w:szCs w:val="20"/>
          <w:color w:val="auto"/>
        </w:rPr>
      </w:pPr>
      <w:r>
        <w:rPr>
          <w:rFonts w:ascii="Calibri" w:cs="Calibri" w:eastAsia="Calibri" w:hAnsi="Calibri"/>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20955</wp:posOffset>
            </wp:positionV>
            <wp:extent cx="24771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00" w:type="dxa"/>
            <w:vAlign w:val="bottom"/>
            <w:gridSpan w:val="2"/>
          </w:tcPr>
          <w:p>
            <w:pPr>
              <w:ind w:left="4740"/>
              <w:spacing w:after="0"/>
              <w:rPr>
                <w:sz w:val="20"/>
                <w:szCs w:val="20"/>
                <w:color w:val="auto"/>
              </w:rPr>
            </w:pPr>
            <w:r>
              <w:rPr>
                <w:rFonts w:ascii="Calibri" w:cs="Calibri" w:eastAsia="Calibri" w:hAnsi="Calibri"/>
                <w:sz w:val="14"/>
                <w:szCs w:val="14"/>
                <w:b w:val="1"/>
                <w:bCs w:val="1"/>
                <w:color w:val="auto"/>
              </w:rPr>
              <w:t>2022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jc w:val="right"/>
              <w:ind w:right="754"/>
              <w:spacing w:after="0"/>
              <w:rPr>
                <w:sz w:val="20"/>
                <w:szCs w:val="20"/>
                <w:color w:val="auto"/>
              </w:rPr>
            </w:pPr>
            <w:r>
              <w:rPr>
                <w:rFonts w:ascii="Calibri" w:cs="Calibri" w:eastAsia="Calibri" w:hAnsi="Calibri"/>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2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Assumptons:</w:t>
            </w:r>
          </w:p>
        </w:tc>
        <w:tc>
          <w:tcPr>
            <w:tcW w:w="1240" w:type="dxa"/>
            <w:vAlign w:val="bottom"/>
            <w:tcBorders>
              <w:top w:val="single" w:sz="8" w:color="auto"/>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Expected term (in years)</w:t>
            </w:r>
          </w:p>
        </w:tc>
        <w:tc>
          <w:tcPr>
            <w:tcW w:w="6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5.88</w:t>
            </w:r>
          </w:p>
        </w:tc>
        <w:tc>
          <w:tcPr>
            <w:tcW w:w="80" w:type="dxa"/>
            <w:vAlign w:val="bottom"/>
          </w:tcPr>
          <w:p>
            <w:pPr>
              <w:spacing w:after="0"/>
              <w:rPr>
                <w:sz w:val="18"/>
                <w:szCs w:val="18"/>
                <w:color w:val="auto"/>
              </w:rPr>
            </w:pPr>
          </w:p>
        </w:tc>
        <w:tc>
          <w:tcPr>
            <w:tcW w:w="1900" w:type="dxa"/>
            <w:vAlign w:val="bottom"/>
          </w:tcPr>
          <w:p>
            <w:pPr>
              <w:jc w:val="right"/>
              <w:spacing w:after="0" w:line="215" w:lineRule="exact"/>
              <w:rPr>
                <w:sz w:val="20"/>
                <w:szCs w:val="20"/>
                <w:color w:val="auto"/>
              </w:rPr>
            </w:pPr>
            <w:r>
              <w:rPr>
                <w:rFonts w:ascii="Calibri" w:cs="Calibri" w:eastAsia="Calibri" w:hAnsi="Calibri"/>
                <w:sz w:val="18"/>
                <w:szCs w:val="18"/>
                <w:color w:val="auto"/>
              </w:rPr>
              <w:t>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ind w:left="180"/>
              <w:spacing w:after="0"/>
              <w:rPr>
                <w:sz w:val="20"/>
                <w:szCs w:val="20"/>
                <w:color w:val="auto"/>
              </w:rPr>
            </w:pPr>
            <w:r>
              <w:rPr>
                <w:rFonts w:ascii="Calibri" w:cs="Calibri" w:eastAsia="Calibri" w:hAnsi="Calibri"/>
                <w:sz w:val="18"/>
                <w:szCs w:val="18"/>
                <w:color w:val="auto"/>
              </w:rPr>
              <w:t>Expected volatlity</w:t>
            </w:r>
          </w:p>
        </w:tc>
        <w:tc>
          <w:tcPr>
            <w:tcW w:w="7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66.00 %</w:t>
            </w:r>
          </w:p>
        </w:tc>
        <w:tc>
          <w:tcPr>
            <w:tcW w:w="1960" w:type="dxa"/>
            <w:vAlign w:val="bottom"/>
            <w:gridSpan w:val="2"/>
          </w:tcPr>
          <w:p>
            <w:pPr>
              <w:jc w:val="right"/>
              <w:spacing w:after="0"/>
              <w:rPr>
                <w:sz w:val="20"/>
                <w:szCs w:val="20"/>
                <w:color w:val="auto"/>
              </w:rPr>
            </w:pPr>
            <w:r>
              <w:rPr>
                <w:rFonts w:ascii="Calibri" w:cs="Calibri" w:eastAsia="Calibri" w:hAnsi="Calibri"/>
                <w:sz w:val="18"/>
                <w:szCs w:val="18"/>
                <w:color w:val="auto"/>
              </w:rPr>
              <w:t>67.46 %</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80"/>
              <w:spacing w:after="0"/>
              <w:rPr>
                <w:sz w:val="20"/>
                <w:szCs w:val="20"/>
                <w:color w:val="auto"/>
              </w:rPr>
            </w:pPr>
            <w:r>
              <w:rPr>
                <w:rFonts w:ascii="Calibri" w:cs="Calibri" w:eastAsia="Calibri" w:hAnsi="Calibri"/>
                <w:sz w:val="18"/>
                <w:szCs w:val="18"/>
                <w:color w:val="auto"/>
              </w:rPr>
              <w:t>Risk free interest rate</w:t>
            </w:r>
          </w:p>
        </w:tc>
        <w:tc>
          <w:tcPr>
            <w:tcW w:w="7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2.06 %</w:t>
            </w:r>
          </w:p>
        </w:tc>
        <w:tc>
          <w:tcPr>
            <w:tcW w:w="1960" w:type="dxa"/>
            <w:vAlign w:val="bottom"/>
            <w:gridSpan w:val="2"/>
          </w:tcPr>
          <w:p>
            <w:pPr>
              <w:jc w:val="right"/>
              <w:spacing w:after="0"/>
              <w:rPr>
                <w:sz w:val="20"/>
                <w:szCs w:val="20"/>
                <w:color w:val="auto"/>
              </w:rPr>
            </w:pPr>
            <w:r>
              <w:rPr>
                <w:rFonts w:ascii="Calibri" w:cs="Calibri" w:eastAsia="Calibri" w:hAnsi="Calibri"/>
                <w:sz w:val="18"/>
                <w:szCs w:val="18"/>
                <w:color w:val="auto"/>
              </w:rPr>
              <w:t>0.68 %</w:t>
            </w:r>
          </w:p>
        </w:tc>
        <w:tc>
          <w:tcPr>
            <w:tcW w:w="0" w:type="dxa"/>
            <w:vAlign w:val="bottom"/>
          </w:tcPr>
          <w:p>
            <w:pPr>
              <w:spacing w:after="0"/>
              <w:rPr>
                <w:sz w:val="1"/>
                <w:szCs w:val="1"/>
                <w:color w:val="auto"/>
              </w:rPr>
            </w:pPr>
          </w:p>
        </w:tc>
      </w:tr>
      <w:tr>
        <w:trPr>
          <w:trHeight w:val="37"/>
        </w:trPr>
        <w:tc>
          <w:tcPr>
            <w:tcW w:w="5200" w:type="dxa"/>
            <w:vAlign w:val="bottom"/>
            <w:gridSpan w:val="2"/>
          </w:tcPr>
          <w:p>
            <w:pPr>
              <w:spacing w:after="0"/>
              <w:rPr>
                <w:sz w:val="3"/>
                <w:szCs w:val="3"/>
                <w:color w:val="auto"/>
              </w:rPr>
            </w:pPr>
          </w:p>
        </w:tc>
        <w:tc>
          <w:tcPr>
            <w:tcW w:w="760" w:type="dxa"/>
            <w:vAlign w:val="bottom"/>
            <w:gridSpan w:val="2"/>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5200" w:type="dxa"/>
            <w:vAlign w:val="bottom"/>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Dividend yield</w:t>
            </w:r>
          </w:p>
        </w:tc>
        <w:tc>
          <w:tcPr>
            <w:tcW w:w="7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90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90"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Stock-based compensaton expense recognized for all equity awards, including founder stock, has been reported in the statements of operatons as follows (in thousands):</w:t>
      </w:r>
    </w:p>
    <w:p>
      <w:pPr>
        <w:spacing w:after="0" w:line="238" w:lineRule="exact"/>
        <w:rPr>
          <w:sz w:val="20"/>
          <w:szCs w:val="20"/>
          <w:color w:val="auto"/>
        </w:rPr>
      </w:pPr>
    </w:p>
    <w:p>
      <w:pPr>
        <w:jc w:val="center"/>
        <w:ind w:left="3920"/>
        <w:spacing w:after="0"/>
        <w:rPr>
          <w:sz w:val="20"/>
          <w:szCs w:val="20"/>
          <w:color w:val="auto"/>
        </w:rPr>
      </w:pPr>
      <w:r>
        <w:rPr>
          <w:rFonts w:ascii="Calibri" w:cs="Calibri" w:eastAsia="Calibri" w:hAnsi="Calibri"/>
          <w:sz w:val="14"/>
          <w:szCs w:val="14"/>
          <w:b w:val="1"/>
          <w:bCs w:val="1"/>
          <w:color w:val="auto"/>
        </w:rPr>
        <w:t>Years Ended</w:t>
      </w:r>
    </w:p>
    <w:p>
      <w:pPr>
        <w:spacing w:after="0" w:line="5" w:lineRule="exact"/>
        <w:rPr>
          <w:sz w:val="20"/>
          <w:szCs w:val="20"/>
          <w:color w:val="auto"/>
        </w:rPr>
      </w:pPr>
    </w:p>
    <w:p>
      <w:pPr>
        <w:jc w:val="center"/>
        <w:ind w:left="3920"/>
        <w:spacing w:after="0"/>
        <w:rPr>
          <w:sz w:val="20"/>
          <w:szCs w:val="20"/>
          <w:color w:val="auto"/>
        </w:rPr>
      </w:pPr>
      <w:r>
        <w:rPr>
          <w:rFonts w:ascii="Calibri" w:cs="Calibri" w:eastAsia="Calibri" w:hAnsi="Calibri"/>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20955</wp:posOffset>
            </wp:positionV>
            <wp:extent cx="24517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ind w:right="755"/>
              <w:spacing w:after="0"/>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735"/>
              <w:spacing w:after="0"/>
              <w:rPr>
                <w:sz w:val="20"/>
                <w:szCs w:val="20"/>
                <w:color w:val="auto"/>
              </w:rPr>
            </w:pPr>
            <w:r>
              <w:rPr>
                <w:rFonts w:ascii="Calibri" w:cs="Calibri" w:eastAsia="Calibri" w:hAnsi="Calibri"/>
                <w:sz w:val="14"/>
                <w:szCs w:val="14"/>
                <w:b w:val="1"/>
                <w:bCs w:val="1"/>
                <w:color w:val="auto"/>
              </w:rPr>
              <w:t>2021</w:t>
            </w:r>
          </w:p>
        </w:tc>
        <w:tc>
          <w:tcPr>
            <w:tcW w:w="1680" w:type="dxa"/>
            <w:vAlign w:val="bottom"/>
          </w:tcPr>
          <w:p>
            <w:pPr>
              <w:spacing w:after="0"/>
              <w:rPr>
                <w:sz w:val="14"/>
                <w:szCs w:val="14"/>
                <w:color w:val="auto"/>
              </w:rPr>
            </w:pPr>
          </w:p>
        </w:tc>
      </w:tr>
      <w:tr>
        <w:trPr>
          <w:trHeight w:val="33"/>
        </w:trPr>
        <w:tc>
          <w:tcPr>
            <w:tcW w:w="1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7"/>
        </w:trPr>
        <w:tc>
          <w:tcPr>
            <w:tcW w:w="1700" w:type="dxa"/>
            <w:vAlign w:val="bottom"/>
          </w:tcPr>
          <w:p>
            <w:pPr>
              <w:spacing w:after="0"/>
              <w:rPr>
                <w:sz w:val="18"/>
                <w:szCs w:val="18"/>
                <w:color w:val="auto"/>
              </w:rPr>
            </w:pPr>
          </w:p>
        </w:tc>
        <w:tc>
          <w:tcPr>
            <w:tcW w:w="31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Research and development expense</w:t>
            </w:r>
          </w:p>
        </w:tc>
        <w:tc>
          <w:tcPr>
            <w:tcW w:w="8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bottom w:val="single" w:sz="8" w:color="CFF0FC"/>
            </w:tcBorders>
            <w:shd w:val="clear" w:color="auto" w:fill="CFF0FC"/>
          </w:tcPr>
          <w:p>
            <w:pPr>
              <w:jc w:val="right"/>
              <w:ind w:right="15"/>
              <w:spacing w:after="0" w:line="208" w:lineRule="exact"/>
              <w:rPr>
                <w:sz w:val="20"/>
                <w:szCs w:val="20"/>
                <w:color w:val="auto"/>
              </w:rPr>
            </w:pPr>
            <w:r>
              <w:rPr>
                <w:rFonts w:ascii="Calibri" w:cs="Calibri" w:eastAsia="Calibri" w:hAnsi="Calibri"/>
                <w:sz w:val="18"/>
                <w:szCs w:val="18"/>
                <w:color w:val="auto"/>
              </w:rPr>
              <w:t>5,534</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4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3,838</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60" w:type="dxa"/>
            <w:vAlign w:val="bottom"/>
          </w:tcPr>
          <w:p>
            <w:pPr>
              <w:spacing w:after="0" w:line="215" w:lineRule="exact"/>
              <w:rPr>
                <w:sz w:val="20"/>
                <w:szCs w:val="20"/>
                <w:color w:val="auto"/>
              </w:rPr>
            </w:pPr>
            <w:r>
              <w:rPr>
                <w:rFonts w:ascii="Calibri" w:cs="Calibri" w:eastAsia="Calibri" w:hAnsi="Calibri"/>
                <w:sz w:val="18"/>
                <w:szCs w:val="18"/>
                <w:color w:val="auto"/>
              </w:rPr>
              <w:t>General and administratve expense</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18,599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12,974</w:t>
            </w:r>
          </w:p>
        </w:tc>
        <w:tc>
          <w:tcPr>
            <w:tcW w:w="1680" w:type="dxa"/>
            <w:vAlign w:val="bottom"/>
          </w:tcPr>
          <w:p>
            <w:pPr>
              <w:spacing w:after="0"/>
              <w:rPr>
                <w:sz w:val="18"/>
                <w:szCs w:val="18"/>
                <w:color w:val="auto"/>
              </w:rPr>
            </w:pPr>
          </w:p>
        </w:tc>
      </w:tr>
      <w:tr>
        <w:trPr>
          <w:trHeight w:val="28"/>
        </w:trPr>
        <w:tc>
          <w:tcPr>
            <w:tcW w:w="1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1"/>
        </w:trPr>
        <w:tc>
          <w:tcPr>
            <w:tcW w:w="1700" w:type="dxa"/>
            <w:vAlign w:val="bottom"/>
          </w:tcPr>
          <w:p>
            <w:pPr>
              <w:spacing w:after="0"/>
              <w:rPr>
                <w:sz w:val="22"/>
                <w:szCs w:val="22"/>
                <w:color w:val="auto"/>
              </w:rPr>
            </w:pPr>
          </w:p>
        </w:tc>
        <w:tc>
          <w:tcPr>
            <w:tcW w:w="31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w:t>
            </w:r>
          </w:p>
        </w:tc>
        <w:tc>
          <w:tcPr>
            <w:tcW w:w="8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bottom w:val="single" w:sz="8" w:color="CFF0FC"/>
            </w:tcBorders>
            <w:shd w:val="clear" w:color="auto" w:fill="CFF0FC"/>
          </w:tcPr>
          <w:p>
            <w:pPr>
              <w:jc w:val="right"/>
              <w:ind w:right="15"/>
              <w:spacing w:after="0" w:line="208" w:lineRule="exact"/>
              <w:rPr>
                <w:sz w:val="20"/>
                <w:szCs w:val="20"/>
                <w:color w:val="auto"/>
              </w:rPr>
            </w:pPr>
            <w:r>
              <w:rPr>
                <w:rFonts w:ascii="Calibri" w:cs="Calibri" w:eastAsia="Calibri" w:hAnsi="Calibri"/>
                <w:sz w:val="18"/>
                <w:szCs w:val="18"/>
                <w:color w:val="auto"/>
              </w:rPr>
              <w:t>24,133</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4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16,812</w:t>
            </w:r>
          </w:p>
        </w:tc>
        <w:tc>
          <w:tcPr>
            <w:tcW w:w="1680" w:type="dxa"/>
            <w:vAlign w:val="bottom"/>
          </w:tcPr>
          <w:p>
            <w:pPr>
              <w:spacing w:after="0"/>
              <w:rPr>
                <w:sz w:val="22"/>
                <w:szCs w:val="22"/>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04"/>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F-26</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-633730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-616585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89" w:name="page190"/>
    <w:bookmarkEnd w:id="189"/>
    <w:p>
      <w:pPr>
        <w:spacing w:after="0"/>
        <w:rPr>
          <w:sz w:val="20"/>
          <w:szCs w:val="20"/>
          <w:color w:val="auto"/>
        </w:rPr>
      </w:pPr>
      <w:r>
        <w:rPr>
          <w:rFonts w:ascii="Calibri" w:cs="Calibri" w:eastAsia="Calibri" w:hAnsi="Calibri"/>
          <w:sz w:val="18"/>
          <w:szCs w:val="18"/>
          <w:b w:val="1"/>
          <w:bCs w:val="1"/>
          <w:color w:val="231F20"/>
        </w:rPr>
        <w:t>9. Income Taxes</w:t>
      </w:r>
    </w:p>
    <w:p>
      <w:pPr>
        <w:spacing w:after="0" w:line="190"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231F20"/>
        </w:rPr>
        <w:t>For the years ended December 31, 2022 and 2021, the Company did not record a provision for income taxes due to a full valuaton against its deferred taxes. A reconciliaton between the provision for income taxes and income taxes computed using the U.S. federal statutory corporate tax rate is as follows (in thousands):</w:t>
      </w:r>
    </w:p>
    <w:p>
      <w:pPr>
        <w:spacing w:after="0" w:line="200" w:lineRule="exact"/>
        <w:rPr>
          <w:sz w:val="20"/>
          <w:szCs w:val="20"/>
          <w:color w:val="auto"/>
        </w:rPr>
      </w:pPr>
    </w:p>
    <w:p>
      <w:pPr>
        <w:spacing w:after="0" w:line="215" w:lineRule="exact"/>
        <w:rPr>
          <w:sz w:val="20"/>
          <w:szCs w:val="20"/>
          <w:color w:val="auto"/>
        </w:rPr>
      </w:pPr>
    </w:p>
    <w:p>
      <w:pPr>
        <w:jc w:val="center"/>
        <w:ind w:left="3960"/>
        <w:spacing w:after="0"/>
        <w:rPr>
          <w:sz w:val="20"/>
          <w:szCs w:val="20"/>
          <w:color w:val="auto"/>
        </w:rPr>
      </w:pPr>
      <w:r>
        <w:rPr>
          <w:rFonts w:ascii="Calibri" w:cs="Calibri" w:eastAsia="Calibri" w:hAnsi="Calibri"/>
          <w:sz w:val="14"/>
          <w:szCs w:val="14"/>
          <w:b w:val="1"/>
          <w:bCs w:val="1"/>
          <w:color w:val="auto"/>
        </w:rPr>
        <w:t>Years Ended</w:t>
      </w:r>
    </w:p>
    <w:p>
      <w:pPr>
        <w:spacing w:after="0" w:line="5" w:lineRule="exact"/>
        <w:rPr>
          <w:sz w:val="20"/>
          <w:szCs w:val="20"/>
          <w:color w:val="auto"/>
        </w:rPr>
      </w:pPr>
    </w:p>
    <w:p>
      <w:pPr>
        <w:jc w:val="center"/>
        <w:ind w:left="3960"/>
        <w:spacing w:after="0"/>
        <w:rPr>
          <w:sz w:val="20"/>
          <w:szCs w:val="20"/>
          <w:color w:val="auto"/>
        </w:rPr>
      </w:pPr>
      <w:r>
        <w:rPr>
          <w:rFonts w:ascii="Calibri" w:cs="Calibri" w:eastAsia="Calibri" w:hAnsi="Calibri"/>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20955</wp:posOffset>
            </wp:positionV>
            <wp:extent cx="2425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Calibri" w:cs="Calibri" w:eastAsia="Calibri" w:hAnsi="Calibri"/>
                <w:sz w:val="14"/>
                <w:szCs w:val="14"/>
                <w:b w:val="1"/>
                <w:bCs w:val="1"/>
                <w:color w:val="auto"/>
              </w:rPr>
              <w:t>2022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733"/>
              <w:spacing w:after="0"/>
              <w:rPr>
                <w:sz w:val="20"/>
                <w:szCs w:val="20"/>
                <w:color w:val="auto"/>
              </w:rPr>
            </w:pPr>
            <w:r>
              <w:rPr>
                <w:rFonts w:ascii="Calibri" w:cs="Calibri" w:eastAsia="Calibri" w:hAnsi="Calibri"/>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Income taxes computed at the statutory rate</w:t>
            </w:r>
          </w:p>
        </w:tc>
        <w:tc>
          <w:tcPr>
            <w:tcW w:w="1140" w:type="dxa"/>
            <w:vAlign w:val="bottom"/>
            <w:tcBorders>
              <w:bottom w:val="single" w:sz="8" w:color="CFF0FC"/>
            </w:tcBorders>
            <w:shd w:val="clear" w:color="auto" w:fill="CFF0FC"/>
          </w:tcPr>
          <w:p>
            <w:pPr>
              <w:jc w:val="right"/>
              <w:ind w:right="956"/>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(41,522 )</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(30,216 )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Permanent items</w:t>
            </w:r>
          </w:p>
        </w:tc>
        <w:tc>
          <w:tcPr>
            <w:tcW w:w="114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2,713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Research and development credit</w:t>
            </w:r>
          </w:p>
        </w:tc>
        <w:tc>
          <w:tcPr>
            <w:tcW w:w="1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(2,453 )</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(2,950 )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Change in valuaton allowance</w:t>
            </w:r>
          </w:p>
        </w:tc>
        <w:tc>
          <w:tcPr>
            <w:tcW w:w="114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41,137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31,783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w:t>
            </w:r>
          </w:p>
        </w:tc>
        <w:tc>
          <w:tcPr>
            <w:tcW w:w="1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125</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Provision (beneft) for income taxes</w:t>
            </w:r>
          </w:p>
        </w:tc>
        <w:tc>
          <w:tcPr>
            <w:tcW w:w="1140" w:type="dxa"/>
            <w:vAlign w:val="bottom"/>
            <w:tcBorders>
              <w:top w:val="single" w:sz="8" w:color="auto"/>
            </w:tcBorders>
          </w:tcPr>
          <w:p>
            <w:pPr>
              <w:jc w:val="right"/>
              <w:ind w:right="956"/>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68580"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8" w:lineRule="exact"/>
        <w:rPr>
          <w:sz w:val="20"/>
          <w:szCs w:val="20"/>
          <w:color w:val="auto"/>
        </w:rPr>
      </w:pPr>
    </w:p>
    <w:p>
      <w:pPr>
        <w:ind w:left="520"/>
        <w:spacing w:after="0"/>
        <w:rPr>
          <w:sz w:val="20"/>
          <w:szCs w:val="20"/>
          <w:color w:val="auto"/>
        </w:rPr>
      </w:pPr>
      <w:r>
        <w:rPr>
          <w:rFonts w:ascii="Calibri" w:cs="Calibri" w:eastAsia="Calibri" w:hAnsi="Calibri"/>
          <w:sz w:val="18"/>
          <w:szCs w:val="18"/>
          <w:color w:val="231F20"/>
        </w:rPr>
        <w:t>Signifcant components of the Company’s net deferred tax assets are as follows (in thousands):</w:t>
      </w:r>
    </w:p>
    <w:p>
      <w:pPr>
        <w:spacing w:after="0" w:line="200" w:lineRule="exact"/>
        <w:rPr>
          <w:sz w:val="20"/>
          <w:szCs w:val="20"/>
          <w:color w:val="auto"/>
        </w:rPr>
      </w:pPr>
    </w:p>
    <w:p>
      <w:pPr>
        <w:spacing w:after="0" w:line="227" w:lineRule="exact"/>
        <w:rPr>
          <w:sz w:val="20"/>
          <w:szCs w:val="20"/>
          <w:color w:val="auto"/>
        </w:rPr>
      </w:pPr>
    </w:p>
    <w:p>
      <w:pPr>
        <w:jc w:val="center"/>
        <w:ind w:left="3920"/>
        <w:spacing w:after="0"/>
        <w:rPr>
          <w:sz w:val="20"/>
          <w:szCs w:val="20"/>
          <w:color w:val="auto"/>
        </w:rPr>
      </w:pPr>
      <w:r>
        <w:rPr>
          <w:rFonts w:ascii="Calibri" w:cs="Calibri" w:eastAsia="Calibri" w:hAnsi="Calibri"/>
          <w:sz w:val="14"/>
          <w:szCs w:val="14"/>
          <w:b w:val="1"/>
          <w:bCs w:val="1"/>
          <w:color w:val="auto"/>
        </w:rPr>
        <w:t>Years Ended</w:t>
      </w:r>
    </w:p>
    <w:p>
      <w:pPr>
        <w:spacing w:after="0" w:line="5" w:lineRule="exact"/>
        <w:rPr>
          <w:sz w:val="20"/>
          <w:szCs w:val="20"/>
          <w:color w:val="auto"/>
        </w:rPr>
      </w:pPr>
    </w:p>
    <w:p>
      <w:pPr>
        <w:jc w:val="center"/>
        <w:ind w:left="3920"/>
        <w:spacing w:after="0"/>
        <w:rPr>
          <w:sz w:val="20"/>
          <w:szCs w:val="20"/>
          <w:color w:val="auto"/>
        </w:rPr>
      </w:pPr>
      <w:r>
        <w:rPr>
          <w:rFonts w:ascii="Calibri" w:cs="Calibri" w:eastAsia="Calibri" w:hAnsi="Calibri"/>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20955</wp:posOffset>
            </wp:positionV>
            <wp:extent cx="24517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b w:val="1"/>
                <w:bCs w:val="1"/>
                <w:color w:val="auto"/>
              </w:rPr>
              <w:t>2022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ind w:right="732"/>
              <w:spacing w:after="0"/>
              <w:rPr>
                <w:sz w:val="20"/>
                <w:szCs w:val="20"/>
                <w:color w:val="auto"/>
              </w:rPr>
            </w:pPr>
            <w:r>
              <w:rPr>
                <w:rFonts w:ascii="Calibri" w:cs="Calibri" w:eastAsia="Calibri" w:hAnsi="Calibri"/>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Deferred tax assets:</w:t>
            </w:r>
          </w:p>
        </w:tc>
        <w:tc>
          <w:tcPr>
            <w:tcW w:w="1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180"/>
              <w:spacing w:after="0" w:line="215" w:lineRule="exact"/>
              <w:rPr>
                <w:sz w:val="20"/>
                <w:szCs w:val="20"/>
                <w:color w:val="auto"/>
              </w:rPr>
            </w:pPr>
            <w:r>
              <w:rPr>
                <w:rFonts w:ascii="Calibri" w:cs="Calibri" w:eastAsia="Calibri" w:hAnsi="Calibri"/>
                <w:sz w:val="18"/>
                <w:szCs w:val="18"/>
                <w:color w:val="auto"/>
              </w:rPr>
              <w:t>Net operatng loss carryforwards</w:t>
            </w:r>
          </w:p>
        </w:tc>
        <w:tc>
          <w:tcPr>
            <w:tcW w:w="1100" w:type="dxa"/>
            <w:vAlign w:val="bottom"/>
          </w:tcPr>
          <w:p>
            <w:pPr>
              <w:jc w:val="right"/>
              <w:ind w:right="916"/>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85,918</w:t>
            </w:r>
          </w:p>
        </w:tc>
        <w:tc>
          <w:tcPr>
            <w:tcW w:w="540" w:type="dxa"/>
            <w:vAlign w:val="bottom"/>
            <w:gridSpan w:val="2"/>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60,936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Research credits</w:t>
            </w:r>
          </w:p>
        </w:tc>
        <w:tc>
          <w:tcPr>
            <w:tcW w:w="1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8,897</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180"/>
              <w:spacing w:after="0" w:line="215" w:lineRule="exact"/>
              <w:rPr>
                <w:sz w:val="20"/>
                <w:szCs w:val="20"/>
                <w:color w:val="auto"/>
              </w:rPr>
            </w:pPr>
            <w:r>
              <w:rPr>
                <w:rFonts w:ascii="Calibri" w:cs="Calibri" w:eastAsia="Calibri" w:hAnsi="Calibri"/>
                <w:sz w:val="18"/>
                <w:szCs w:val="18"/>
                <w:color w:val="auto"/>
              </w:rPr>
              <w:t>Intangible assets</w:t>
            </w:r>
          </w:p>
        </w:tc>
        <w:tc>
          <w:tcPr>
            <w:tcW w:w="1100" w:type="dxa"/>
            <w:vAlign w:val="bottom"/>
          </w:tcPr>
          <w:p>
            <w:pPr>
              <w:spacing w:after="0"/>
              <w:rPr>
                <w:sz w:val="18"/>
                <w:szCs w:val="18"/>
                <w:color w:val="auto"/>
              </w:rPr>
            </w:pPr>
          </w:p>
        </w:tc>
        <w:tc>
          <w:tcPr>
            <w:tcW w:w="7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25,319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13,809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Other</w:t>
            </w:r>
          </w:p>
        </w:tc>
        <w:tc>
          <w:tcPr>
            <w:tcW w:w="1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6,517</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Gross deferred tax assets</w:t>
            </w:r>
          </w:p>
        </w:tc>
        <w:tc>
          <w:tcPr>
            <w:tcW w:w="1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126,651</w:t>
            </w:r>
          </w:p>
        </w:tc>
        <w:tc>
          <w:tcPr>
            <w:tcW w:w="10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85,435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valuaton allowance</w:t>
            </w:r>
          </w:p>
        </w:tc>
        <w:tc>
          <w:tcPr>
            <w:tcW w:w="1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9"/>
              </w:rPr>
              <w:t>(126,170 )</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(85,033 )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Deferred tax assets, net of valuaton allowance</w:t>
            </w:r>
          </w:p>
        </w:tc>
        <w:tc>
          <w:tcPr>
            <w:tcW w:w="1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481</w:t>
            </w:r>
          </w:p>
        </w:tc>
        <w:tc>
          <w:tcPr>
            <w:tcW w:w="10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Deferred tax liabilites:</w:t>
            </w:r>
          </w:p>
        </w:tc>
        <w:tc>
          <w:tcPr>
            <w:tcW w:w="1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1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(481 )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(402 )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deferred tax assets</w:t>
            </w:r>
          </w:p>
        </w:tc>
        <w:tc>
          <w:tcPr>
            <w:tcW w:w="1100" w:type="dxa"/>
            <w:vAlign w:val="bottom"/>
            <w:tcBorders>
              <w:top w:val="single" w:sz="8" w:color="auto"/>
              <w:bottom w:val="single" w:sz="8" w:color="CFF0FC"/>
            </w:tcBorders>
            <w:shd w:val="clear" w:color="auto" w:fill="CFF0FC"/>
          </w:tcPr>
          <w:p>
            <w:pPr>
              <w:jc w:val="right"/>
              <w:ind w:right="916"/>
              <w:spacing w:after="0" w:line="208"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rPr>
              <w:t>$</w:t>
            </w:r>
          </w:p>
        </w:tc>
        <w:tc>
          <w:tcPr>
            <w:tcW w:w="14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-976630</wp:posOffset>
            </wp:positionV>
            <wp:extent cx="68580" cy="163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-659130</wp:posOffset>
            </wp:positionV>
            <wp:extent cx="68580" cy="162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firstLine="509"/>
        <w:spacing w:after="0" w:line="258" w:lineRule="auto"/>
        <w:rPr>
          <w:sz w:val="20"/>
          <w:szCs w:val="20"/>
          <w:color w:val="auto"/>
        </w:rPr>
      </w:pPr>
      <w:r>
        <w:rPr>
          <w:rFonts w:ascii="Calibri" w:cs="Calibri" w:eastAsia="Calibri" w:hAnsi="Calibri"/>
          <w:sz w:val="17"/>
          <w:szCs w:val="17"/>
          <w:color w:val="231F20"/>
        </w:rPr>
        <w:t>Based upon the Company’s history of operatng losses, the Company is unable to conclude that it is more likely than not that the beneft of its deferred tax assets will be realized. Accordingly, the Company has provided a full valuaton allowance for its deferred tax assets as of December 31, 2022 and 2021.</w:t>
      </w:r>
    </w:p>
    <w:p>
      <w:pPr>
        <w:spacing w:after="0" w:line="161"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231F20"/>
        </w:rPr>
        <w:t>As of December 31, 2022 and 2021, the Company had federal net operatng loss carryforwards of approximately $408.7 million and $290.1 million, respectvely, which are carried over indefnitely.</w:t>
      </w:r>
    </w:p>
    <w:p>
      <w:pPr>
        <w:spacing w:after="0" w:line="186" w:lineRule="exact"/>
        <w:rPr>
          <w:sz w:val="20"/>
          <w:szCs w:val="20"/>
          <w:color w:val="auto"/>
        </w:rPr>
      </w:pPr>
    </w:p>
    <w:p>
      <w:pPr>
        <w:ind w:left="520"/>
        <w:spacing w:after="0"/>
        <w:rPr>
          <w:sz w:val="20"/>
          <w:szCs w:val="20"/>
          <w:color w:val="auto"/>
        </w:rPr>
      </w:pPr>
      <w:r>
        <w:rPr>
          <w:rFonts w:ascii="Calibri" w:cs="Calibri" w:eastAsia="Calibri" w:hAnsi="Calibri"/>
          <w:sz w:val="18"/>
          <w:szCs w:val="18"/>
          <w:color w:val="231F20"/>
        </w:rPr>
        <w:t>As of December 31, 2022, the Company had approximately $1.7 million of state net operatng loss carryforwards that begins to expire in 2036.</w:t>
      </w:r>
    </w:p>
    <w:p>
      <w:pPr>
        <w:spacing w:after="0" w:line="177"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231F20"/>
        </w:rPr>
        <w:t>As of December 31, 2022, the Company has available federal research and development credits of $10.5 million which begin to expire in 2038. The Company has $0.9 million of state research and development credits, some of which, begin to expire in 2025.</w:t>
      </w:r>
    </w:p>
    <w:p>
      <w:pPr>
        <w:spacing w:after="0" w:line="177" w:lineRule="exact"/>
        <w:rPr>
          <w:sz w:val="20"/>
          <w:szCs w:val="20"/>
          <w:color w:val="auto"/>
        </w:rPr>
      </w:pPr>
    </w:p>
    <w:p>
      <w:pPr>
        <w:ind w:right="60" w:firstLine="509"/>
        <w:spacing w:after="0" w:line="254" w:lineRule="auto"/>
        <w:rPr>
          <w:sz w:val="20"/>
          <w:szCs w:val="20"/>
          <w:color w:val="auto"/>
        </w:rPr>
      </w:pPr>
      <w:r>
        <w:rPr>
          <w:rFonts w:ascii="Calibri" w:cs="Calibri" w:eastAsia="Calibri" w:hAnsi="Calibri"/>
          <w:sz w:val="17"/>
          <w:szCs w:val="17"/>
          <w:color w:val="231F20"/>
        </w:rPr>
        <w:t>The Company has not completed a formal analysis of the potental impact of Secton 382 on its deferred tax assets as of December 31, 2022. Untl this analysis has been completed, the Company has not adjusted any of its deferred tax assets, including net operatng losses or research and development credits. The Company will reassess the amount of net operatng losses and credits subject to limitaton under Secton 382 when a study is complete.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90" w:name="page191"/>
    <w:bookmarkEnd w:id="190"/>
    <w:p>
      <w:pPr>
        <w:ind w:right="500"/>
        <w:spacing w:after="0" w:line="235" w:lineRule="auto"/>
        <w:rPr>
          <w:sz w:val="20"/>
          <w:szCs w:val="20"/>
          <w:color w:val="auto"/>
        </w:rPr>
      </w:pPr>
      <w:r>
        <w:rPr>
          <w:rFonts w:ascii="Calibri" w:cs="Calibri" w:eastAsia="Calibri" w:hAnsi="Calibri"/>
          <w:sz w:val="18"/>
          <w:szCs w:val="18"/>
          <w:color w:val="231F20"/>
        </w:rPr>
        <w:t>Due to the existence of the valuaton allowance, future changes in the deferred tax assets related to these tax atributes will not impact the Company’s efectve tax rate.</w:t>
      </w:r>
    </w:p>
    <w:p>
      <w:pPr>
        <w:spacing w:after="0" w:line="19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231F20"/>
        </w:rPr>
        <w:t>The Company recognizes liabilites for uncertain tax positons based on a two-step process. The frst step is to evaluate the tax positon for recogniton by determining if the weight of available evidence indicates that it is more likely than not that the positon will be sustained on audit, including resoluton of related appeals or litgaton processes, if any. The second step is to measure the tax beneft as the largest amount that is more than 50% likely of being realized upon setlement. While the Company believes that it has appropriate support for the positons taken on its tax returns, the Company regularly assesses the potental outcome of examinatons by tax authorites in determining the adequacy of its provision for income taxes.</w:t>
      </w:r>
    </w:p>
    <w:p>
      <w:pPr>
        <w:spacing w:after="0" w:line="175" w:lineRule="exact"/>
        <w:rPr>
          <w:sz w:val="20"/>
          <w:szCs w:val="20"/>
          <w:color w:val="auto"/>
        </w:rPr>
      </w:pPr>
    </w:p>
    <w:p>
      <w:pPr>
        <w:ind w:left="520"/>
        <w:spacing w:after="0"/>
        <w:rPr>
          <w:sz w:val="20"/>
          <w:szCs w:val="20"/>
          <w:color w:val="auto"/>
        </w:rPr>
      </w:pPr>
      <w:r>
        <w:rPr>
          <w:rFonts w:ascii="Calibri" w:cs="Calibri" w:eastAsia="Calibri" w:hAnsi="Calibri"/>
          <w:sz w:val="18"/>
          <w:szCs w:val="18"/>
          <w:color w:val="231F20"/>
        </w:rPr>
        <w:t>The following table summarizes the actvity related to the Company's gross unrecognized tax benefts:</w:t>
      </w:r>
    </w:p>
    <w:p>
      <w:pPr>
        <w:spacing w:after="0" w:line="200" w:lineRule="exact"/>
        <w:rPr>
          <w:sz w:val="20"/>
          <w:szCs w:val="20"/>
          <w:color w:val="auto"/>
        </w:rPr>
      </w:pPr>
    </w:p>
    <w:p>
      <w:pPr>
        <w:spacing w:after="0" w:line="213" w:lineRule="exact"/>
        <w:rPr>
          <w:sz w:val="20"/>
          <w:szCs w:val="20"/>
          <w:color w:val="auto"/>
        </w:rPr>
      </w:pPr>
    </w:p>
    <w:p>
      <w:pPr>
        <w:jc w:val="center"/>
        <w:ind w:left="5220"/>
        <w:spacing w:after="0"/>
        <w:rPr>
          <w:sz w:val="20"/>
          <w:szCs w:val="20"/>
          <w:color w:val="auto"/>
        </w:rPr>
      </w:pPr>
      <w:r>
        <w:rPr>
          <w:rFonts w:ascii="Calibri" w:cs="Calibri" w:eastAsia="Calibri" w:hAnsi="Calibri"/>
          <w:sz w:val="14"/>
          <w:szCs w:val="14"/>
          <w:b w:val="1"/>
          <w:bCs w:val="1"/>
          <w:color w:val="auto"/>
        </w:rPr>
        <w:t>Years Ended</w:t>
      </w:r>
    </w:p>
    <w:p>
      <w:pPr>
        <w:spacing w:after="0" w:line="5" w:lineRule="exact"/>
        <w:rPr>
          <w:sz w:val="20"/>
          <w:szCs w:val="20"/>
          <w:color w:val="auto"/>
        </w:rPr>
      </w:pPr>
    </w:p>
    <w:p>
      <w:pPr>
        <w:jc w:val="center"/>
        <w:ind w:left="5220"/>
        <w:spacing w:after="0"/>
        <w:rPr>
          <w:sz w:val="20"/>
          <w:szCs w:val="20"/>
          <w:color w:val="auto"/>
        </w:rPr>
      </w:pPr>
      <w:r>
        <w:rPr>
          <w:rFonts w:ascii="Calibri" w:cs="Calibri" w:eastAsia="Calibri" w:hAnsi="Calibri"/>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20955</wp:posOffset>
            </wp:positionV>
            <wp:extent cx="16198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2022</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Calibri" w:cs="Calibri" w:eastAsia="Calibri" w:hAnsi="Calibri"/>
                <w:sz w:val="14"/>
                <w:szCs w:val="14"/>
                <w:b w:val="1"/>
                <w:bCs w:val="1"/>
                <w:color w:val="auto"/>
              </w:rPr>
              <w:t>2021</w:t>
            </w:r>
          </w:p>
        </w:tc>
      </w:tr>
      <w:tr>
        <w:trPr>
          <w:trHeight w:val="33"/>
        </w:trPr>
        <w:tc>
          <w:tcPr>
            <w:tcW w:w="5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3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Beginning balance</w:t>
            </w:r>
          </w:p>
        </w:tc>
        <w:tc>
          <w:tcPr>
            <w:tcW w:w="720" w:type="dxa"/>
            <w:vAlign w:val="bottom"/>
            <w:tcBorders>
              <w:bottom w:val="single" w:sz="8" w:color="CFF0FC"/>
            </w:tcBorders>
            <w:shd w:val="clear" w:color="auto" w:fill="CFF0FC"/>
          </w:tcPr>
          <w:p>
            <w:pPr>
              <w:jc w:val="right"/>
              <w:ind w:right="536"/>
              <w:spacing w:after="0" w:line="208" w:lineRule="exact"/>
              <w:rPr>
                <w:sz w:val="20"/>
                <w:szCs w:val="20"/>
                <w:color w:val="auto"/>
              </w:rPr>
            </w:pPr>
            <w:r>
              <w:rPr>
                <w:rFonts w:ascii="Calibri" w:cs="Calibri" w:eastAsia="Calibri" w:hAnsi="Calibri"/>
                <w:sz w:val="18"/>
                <w:szCs w:val="18"/>
                <w:color w:val="auto"/>
                <w:w w:val="87"/>
              </w:rPr>
              <w:t>$</w:t>
            </w:r>
          </w:p>
        </w:tc>
        <w:tc>
          <w:tcPr>
            <w:tcW w:w="5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7"/>
              </w:rPr>
              <w:t>1,704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938</w:t>
            </w:r>
          </w:p>
        </w:tc>
      </w:tr>
      <w:tr>
        <w:trPr>
          <w:trHeight w:val="215"/>
        </w:trPr>
        <w:tc>
          <w:tcPr>
            <w:tcW w:w="5300" w:type="dxa"/>
            <w:vAlign w:val="bottom"/>
          </w:tcPr>
          <w:p>
            <w:pPr>
              <w:ind w:left="180"/>
              <w:spacing w:after="0" w:line="215" w:lineRule="exact"/>
              <w:rPr>
                <w:sz w:val="20"/>
                <w:szCs w:val="20"/>
                <w:color w:val="auto"/>
              </w:rPr>
            </w:pPr>
            <w:r>
              <w:rPr>
                <w:rFonts w:ascii="Calibri" w:cs="Calibri" w:eastAsia="Calibri" w:hAnsi="Calibri"/>
                <w:sz w:val="18"/>
                <w:szCs w:val="18"/>
                <w:color w:val="auto"/>
              </w:rPr>
              <w:t>Increases related to prior year tax positons</w:t>
            </w:r>
          </w:p>
        </w:tc>
        <w:tc>
          <w:tcPr>
            <w:tcW w:w="72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64</w:t>
            </w:r>
          </w:p>
        </w:tc>
      </w:tr>
      <w:tr>
        <w:trPr>
          <w:trHeight w:val="28"/>
        </w:trPr>
        <w:tc>
          <w:tcPr>
            <w:tcW w:w="5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53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Increases related to current year tax positons</w:t>
            </w:r>
          </w:p>
        </w:tc>
        <w:tc>
          <w:tcPr>
            <w:tcW w:w="7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702</w:t>
            </w:r>
          </w:p>
        </w:tc>
      </w:tr>
      <w:tr>
        <w:trPr>
          <w:trHeight w:val="208"/>
        </w:trPr>
        <w:tc>
          <w:tcPr>
            <w:tcW w:w="53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Ending balance</w:t>
            </w:r>
          </w:p>
        </w:tc>
        <w:tc>
          <w:tcPr>
            <w:tcW w:w="720" w:type="dxa"/>
            <w:vAlign w:val="bottom"/>
            <w:tcBorders>
              <w:top w:val="single" w:sz="8" w:color="auto"/>
            </w:tcBorders>
          </w:tcPr>
          <w:p>
            <w:pPr>
              <w:jc w:val="right"/>
              <w:ind w:right="536"/>
              <w:spacing w:after="0" w:line="208" w:lineRule="exact"/>
              <w:rPr>
                <w:sz w:val="20"/>
                <w:szCs w:val="20"/>
                <w:color w:val="auto"/>
              </w:rPr>
            </w:pPr>
            <w:r>
              <w:rPr>
                <w:rFonts w:ascii="Calibri" w:cs="Calibri" w:eastAsia="Calibri" w:hAnsi="Calibri"/>
                <w:sz w:val="18"/>
                <w:szCs w:val="18"/>
                <w:color w:val="auto"/>
                <w:w w:val="87"/>
              </w:rPr>
              <w:t>$</w:t>
            </w:r>
          </w:p>
        </w:tc>
        <w:tc>
          <w:tcPr>
            <w:tcW w:w="5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97"/>
              </w:rPr>
              <w:t>2,327</w:t>
            </w: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1,704</w:t>
            </w:r>
          </w:p>
        </w:tc>
      </w:tr>
      <w:tr>
        <w:trPr>
          <w:trHeight w:val="28"/>
        </w:trPr>
        <w:tc>
          <w:tcPr>
            <w:tcW w:w="5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-187960</wp:posOffset>
            </wp:positionV>
            <wp:extent cx="7747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4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231F20"/>
        </w:rPr>
        <w:t>As of December 31, 2022, the Company has gross unrecognized tax benefts of $2,327, none of which would afect the efectve tax rate due to a full valuaton allowance. The Company does not antcipate any signifcant changes in its unrecognized tax benefts over the next 12 months. The Company's policy is to recognize the interest expense and/or penaltes related to income tax maters as a component of income tax expense. The Company has no accrual for interest or penaltes on its balance sheet at December 31, 2022, and has not recognized interest and/or penaltes in its statement of operatons for the year ended December 31, 2022.</w:t>
      </w:r>
    </w:p>
    <w:p>
      <w:pPr>
        <w:spacing w:after="0" w:line="180" w:lineRule="exact"/>
        <w:rPr>
          <w:sz w:val="20"/>
          <w:szCs w:val="20"/>
          <w:color w:val="auto"/>
        </w:rPr>
      </w:pPr>
    </w:p>
    <w:p>
      <w:pPr>
        <w:ind w:left="520"/>
        <w:spacing w:after="0"/>
        <w:rPr>
          <w:sz w:val="20"/>
          <w:szCs w:val="20"/>
          <w:color w:val="auto"/>
        </w:rPr>
      </w:pPr>
      <w:r>
        <w:rPr>
          <w:rFonts w:ascii="Calibri" w:cs="Calibri" w:eastAsia="Calibri" w:hAnsi="Calibri"/>
          <w:sz w:val="17"/>
          <w:szCs w:val="17"/>
          <w:color w:val="231F20"/>
        </w:rPr>
        <w:t>The Company is subject to taxaton in the United States and various states. The Company is not currently under examinaton by any taxing authorites.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231F20"/>
        </w:rPr>
        <w:t>Due to the carryover of tax atributes, the statute of limitatons is currently open for tax years since incepton.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Subsequent Events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212121"/>
        </w:rPr>
        <w:t>At-The-Market Ofering</w:t>
      </w:r>
    </w:p>
    <w:p>
      <w:pPr>
        <w:spacing w:after="0" w:line="190" w:lineRule="exact"/>
        <w:rPr>
          <w:sz w:val="20"/>
          <w:szCs w:val="20"/>
          <w:color w:val="auto"/>
        </w:rPr>
      </w:pPr>
    </w:p>
    <w:p>
      <w:pPr>
        <w:ind w:right="580" w:firstLine="509"/>
        <w:spacing w:after="0" w:line="235" w:lineRule="auto"/>
        <w:rPr>
          <w:sz w:val="20"/>
          <w:szCs w:val="20"/>
          <w:color w:val="auto"/>
        </w:rPr>
      </w:pPr>
      <w:r>
        <w:rPr>
          <w:rFonts w:ascii="Calibri" w:cs="Calibri" w:eastAsia="Calibri" w:hAnsi="Calibri"/>
          <w:sz w:val="18"/>
          <w:szCs w:val="18"/>
          <w:color w:val="212121"/>
        </w:rPr>
        <w:t>From January 1, 2023 through February 27, 2023, the Company issued 1,514,219 shares of common stock in a single trade under the ATM Sale Agreement generatng gross proceeds of $14.5 million and net proceeds of $14.1 million, afer ofering expenses.</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91" w:name="page192"/>
    <w:bookmarkEnd w:id="191"/>
    <w:p>
      <w:pPr>
        <w:ind w:left="5080"/>
        <w:spacing w:after="0"/>
        <w:rPr>
          <w:sz w:val="20"/>
          <w:szCs w:val="20"/>
          <w:color w:val="auto"/>
        </w:rPr>
      </w:pPr>
      <w:r>
        <w:rPr>
          <w:rFonts w:ascii="Calibri" w:cs="Calibri" w:eastAsia="Calibri" w:hAnsi="Calibri"/>
          <w:sz w:val="18"/>
          <w:szCs w:val="18"/>
          <w:b w:val="1"/>
          <w:bCs w:val="1"/>
          <w:color w:val="auto"/>
        </w:rPr>
        <w:t>EXHIBIT INDEX</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ind w:left="300"/>
              <w:spacing w:after="0"/>
              <w:rPr>
                <w:sz w:val="20"/>
                <w:szCs w:val="20"/>
                <w:color w:val="auto"/>
              </w:rPr>
            </w:pPr>
            <w:r>
              <w:rPr>
                <w:rFonts w:ascii="Calibri" w:cs="Calibri" w:eastAsia="Calibri" w:hAnsi="Calibri"/>
                <w:sz w:val="14"/>
                <w:szCs w:val="14"/>
                <w:b w:val="1"/>
                <w:bCs w:val="1"/>
                <w:color w:val="auto"/>
              </w:rPr>
              <w:t>Exhibit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020" w:type="dxa"/>
            <w:vAlign w:val="bottom"/>
          </w:tcPr>
          <w:p>
            <w:pPr>
              <w:ind w:left="260"/>
              <w:spacing w:after="0"/>
              <w:rPr>
                <w:sz w:val="20"/>
                <w:szCs w:val="20"/>
                <w:color w:val="auto"/>
              </w:rPr>
            </w:pPr>
            <w:r>
              <w:rPr>
                <w:rFonts w:ascii="Calibri" w:cs="Calibri" w:eastAsia="Calibri" w:hAnsi="Calibri"/>
                <w:sz w:val="14"/>
                <w:szCs w:val="14"/>
                <w:b w:val="1"/>
                <w:bCs w:val="1"/>
                <w:color w:val="auto"/>
              </w:rPr>
              <w:t>Number</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26"/>
          </w:tcPr>
          <w:p>
            <w:pPr>
              <w:spacing w:after="0"/>
              <w:rPr>
                <w:sz w:val="20"/>
                <w:szCs w:val="20"/>
                <w:color w:val="auto"/>
              </w:rPr>
            </w:pPr>
            <w:r>
              <w:rPr>
                <w:rFonts w:ascii="Calibri" w:cs="Calibri" w:eastAsia="Calibri" w:hAnsi="Calibri"/>
                <w:sz w:val="14"/>
                <w:szCs w:val="14"/>
                <w:b w:val="1"/>
                <w:bCs w:val="1"/>
                <w:color w:val="auto"/>
              </w:rPr>
              <w:t>Exhibit Descripton</w:t>
            </w:r>
          </w:p>
        </w:tc>
      </w:tr>
      <w:tr>
        <w:trPr>
          <w:trHeight w:val="33"/>
        </w:trPr>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9"/>
        </w:trPr>
        <w:tc>
          <w:tcPr>
            <w:tcW w:w="1020" w:type="dxa"/>
            <w:vAlign w:val="bottom"/>
          </w:tcPr>
          <w:p>
            <w:pPr>
              <w:ind w:left="20"/>
              <w:spacing w:after="0" w:line="169" w:lineRule="exact"/>
              <w:rPr>
                <w:sz w:val="20"/>
                <w:szCs w:val="20"/>
                <w:color w:val="auto"/>
              </w:rPr>
            </w:pPr>
            <w:r>
              <w:rPr>
                <w:rFonts w:ascii="Calibri" w:cs="Calibri" w:eastAsia="Calibri" w:hAnsi="Calibri"/>
                <w:sz w:val="18"/>
                <w:szCs w:val="18"/>
                <w:color w:val="auto"/>
              </w:rPr>
              <w:t>3.1</w:t>
            </w:r>
          </w:p>
        </w:tc>
        <w:tc>
          <w:tcPr>
            <w:tcW w:w="140" w:type="dxa"/>
            <w:vAlign w:val="bottom"/>
          </w:tcPr>
          <w:p>
            <w:pPr>
              <w:spacing w:after="0"/>
              <w:rPr>
                <w:sz w:val="14"/>
                <w:szCs w:val="14"/>
                <w:color w:val="auto"/>
              </w:rPr>
            </w:pPr>
          </w:p>
        </w:tc>
        <w:tc>
          <w:tcPr>
            <w:tcW w:w="5240" w:type="dxa"/>
            <w:vAlign w:val="bottom"/>
            <w:gridSpan w:val="31"/>
          </w:tcPr>
          <w:p>
            <w:pPr>
              <w:spacing w:after="0" w:line="169" w:lineRule="exact"/>
              <w:rPr>
                <w:rFonts w:ascii="Calibri" w:cs="Calibri" w:eastAsia="Calibri" w:hAnsi="Calibri"/>
                <w:sz w:val="18"/>
                <w:szCs w:val="18"/>
                <w:color w:val="0000FF"/>
              </w:rPr>
            </w:pPr>
            <w:hyperlink r:id="rId311">
              <w:r>
                <w:rPr>
                  <w:rFonts w:ascii="Calibri" w:cs="Calibri" w:eastAsia="Calibri" w:hAnsi="Calibri"/>
                  <w:sz w:val="18"/>
                  <w:szCs w:val="18"/>
                  <w:color w:val="0000FF"/>
                </w:rPr>
                <w:t>Amended and Restated Certfcate of Incorporaton</w:t>
              </w:r>
            </w:hyperlink>
          </w:p>
        </w:tc>
      </w:tr>
      <w:tr>
        <w:trPr>
          <w:trHeight w:val="439"/>
        </w:trPr>
        <w:tc>
          <w:tcPr>
            <w:tcW w:w="102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140" w:type="dxa"/>
            <w:vAlign w:val="bottom"/>
          </w:tcPr>
          <w:p>
            <w:pPr>
              <w:spacing w:after="0"/>
              <w:rPr>
                <w:sz w:val="24"/>
                <w:szCs w:val="24"/>
                <w:color w:val="auto"/>
              </w:rPr>
            </w:pPr>
          </w:p>
        </w:tc>
        <w:tc>
          <w:tcPr>
            <w:tcW w:w="3620" w:type="dxa"/>
            <w:vAlign w:val="bottom"/>
            <w:tcBorders>
              <w:top w:val="single" w:sz="8" w:color="0000FF"/>
            </w:tcBorders>
            <w:gridSpan w:val="13"/>
          </w:tcPr>
          <w:p>
            <w:pPr>
              <w:spacing w:after="0"/>
              <w:rPr>
                <w:rFonts w:ascii="Calibri" w:cs="Calibri" w:eastAsia="Calibri" w:hAnsi="Calibri"/>
                <w:sz w:val="18"/>
                <w:szCs w:val="18"/>
                <w:color w:val="0000FF"/>
              </w:rPr>
            </w:pPr>
            <w:hyperlink r:id="rId312">
              <w:r>
                <w:rPr>
                  <w:rFonts w:ascii="Calibri" w:cs="Calibri" w:eastAsia="Calibri" w:hAnsi="Calibri"/>
                  <w:sz w:val="18"/>
                  <w:szCs w:val="18"/>
                  <w:color w:val="0000FF"/>
                </w:rPr>
                <w:t>Amended and Restated Bylaws</w:t>
              </w:r>
            </w:hyperlink>
          </w:p>
        </w:tc>
        <w:tc>
          <w:tcPr>
            <w:tcW w:w="1620" w:type="dxa"/>
            <w:vAlign w:val="bottom"/>
            <w:gridSpan w:val="18"/>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2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140" w:type="dxa"/>
            <w:vAlign w:val="bottom"/>
          </w:tcPr>
          <w:p>
            <w:pPr>
              <w:spacing w:after="0"/>
              <w:rPr>
                <w:sz w:val="24"/>
                <w:szCs w:val="24"/>
                <w:color w:val="auto"/>
              </w:rPr>
            </w:pPr>
          </w:p>
        </w:tc>
        <w:tc>
          <w:tcPr>
            <w:tcW w:w="5240" w:type="dxa"/>
            <w:vAlign w:val="bottom"/>
            <w:gridSpan w:val="31"/>
          </w:tcPr>
          <w:p>
            <w:pPr>
              <w:spacing w:after="0"/>
              <w:rPr>
                <w:rFonts w:ascii="Calibri" w:cs="Calibri" w:eastAsia="Calibri" w:hAnsi="Calibri"/>
                <w:sz w:val="18"/>
                <w:szCs w:val="18"/>
                <w:color w:val="0000FF"/>
              </w:rPr>
            </w:pPr>
            <w:hyperlink r:id="rId313">
              <w:r>
                <w:rPr>
                  <w:rFonts w:ascii="Calibri" w:cs="Calibri" w:eastAsia="Calibri" w:hAnsi="Calibri"/>
                  <w:sz w:val="18"/>
                  <w:szCs w:val="18"/>
                  <w:color w:val="0000FF"/>
                </w:rPr>
                <w:t>Form of Common Stock Certfcate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2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140" w:type="dxa"/>
            <w:vAlign w:val="bottom"/>
          </w:tcPr>
          <w:p>
            <w:pPr>
              <w:spacing w:after="0"/>
              <w:rPr>
                <w:sz w:val="24"/>
                <w:szCs w:val="24"/>
                <w:color w:val="auto"/>
              </w:rPr>
            </w:pPr>
          </w:p>
        </w:tc>
        <w:tc>
          <w:tcPr>
            <w:tcW w:w="5180" w:type="dxa"/>
            <w:vAlign w:val="bottom"/>
            <w:tcBorders>
              <w:bottom w:val="single" w:sz="8" w:color="0000FF"/>
            </w:tcBorders>
            <w:gridSpan w:val="29"/>
          </w:tcPr>
          <w:p>
            <w:pPr>
              <w:spacing w:after="0"/>
              <w:rPr>
                <w:rFonts w:ascii="Calibri" w:cs="Calibri" w:eastAsia="Calibri" w:hAnsi="Calibri"/>
                <w:sz w:val="18"/>
                <w:szCs w:val="18"/>
                <w:color w:val="0000FF"/>
                <w:w w:val="96"/>
              </w:rPr>
            </w:pPr>
            <w:hyperlink r:id="rId314">
              <w:r>
                <w:rPr>
                  <w:rFonts w:ascii="Calibri" w:cs="Calibri" w:eastAsia="Calibri" w:hAnsi="Calibri"/>
                  <w:sz w:val="18"/>
                  <w:szCs w:val="18"/>
                  <w:color w:val="0000FF"/>
                  <w:w w:val="96"/>
                </w:rPr>
                <w:t>Warrant to purchase shares of common stock issued to Takeda Company</w:t>
              </w:r>
            </w:hyperlink>
          </w:p>
        </w:tc>
        <w:tc>
          <w:tcPr>
            <w:tcW w:w="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14">
              <w:r>
                <w:rPr>
                  <w:rFonts w:ascii="Calibri" w:cs="Calibri" w:eastAsia="Calibri" w:hAnsi="Calibri"/>
                  <w:sz w:val="18"/>
                  <w:szCs w:val="18"/>
                  <w:color w:val="0000FF"/>
                </w:rPr>
                <w:t>Limited, dated May 7, 2019</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140" w:type="dxa"/>
            <w:vAlign w:val="bottom"/>
          </w:tcPr>
          <w:p>
            <w:pPr>
              <w:spacing w:after="0"/>
              <w:rPr>
                <w:sz w:val="19"/>
                <w:szCs w:val="19"/>
                <w:color w:val="auto"/>
              </w:rPr>
            </w:pPr>
          </w:p>
        </w:tc>
        <w:tc>
          <w:tcPr>
            <w:tcW w:w="5080" w:type="dxa"/>
            <w:vAlign w:val="bottom"/>
            <w:tcBorders>
              <w:bottom w:val="single" w:sz="8" w:color="0000FF"/>
            </w:tcBorders>
            <w:gridSpan w:val="27"/>
          </w:tcPr>
          <w:p>
            <w:pPr>
              <w:spacing w:after="0"/>
              <w:rPr>
                <w:rFonts w:ascii="Calibri" w:cs="Calibri" w:eastAsia="Calibri" w:hAnsi="Calibri"/>
                <w:sz w:val="18"/>
                <w:szCs w:val="18"/>
                <w:color w:val="0000FF"/>
                <w:w w:val="97"/>
              </w:rPr>
            </w:pPr>
            <w:hyperlink r:id="rId315">
              <w:r>
                <w:rPr>
                  <w:rFonts w:ascii="Calibri" w:cs="Calibri" w:eastAsia="Calibri" w:hAnsi="Calibri"/>
                  <w:sz w:val="18"/>
                  <w:szCs w:val="18"/>
                  <w:color w:val="0000FF"/>
                  <w:w w:val="97"/>
                </w:rPr>
                <w:t>Warrant to purchase stock issued to Silicon Valley Bank, dated May 14,</w:t>
              </w:r>
            </w:hyperlink>
          </w:p>
        </w:tc>
        <w:tc>
          <w:tcPr>
            <w:tcW w:w="160" w:type="dxa"/>
            <w:vAlign w:val="bottom"/>
            <w:gridSpan w:val="4"/>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Calibri" w:cs="Calibri" w:eastAsia="Calibri" w:hAnsi="Calibri"/>
                <w:sz w:val="18"/>
                <w:szCs w:val="18"/>
                <w:color w:val="0000FF"/>
                <w:w w:val="92"/>
              </w:rPr>
            </w:pPr>
            <w:hyperlink r:id="rId315">
              <w:r>
                <w:rPr>
                  <w:rFonts w:ascii="Calibri" w:cs="Calibri" w:eastAsia="Calibri" w:hAnsi="Calibri"/>
                  <w:sz w:val="18"/>
                  <w:szCs w:val="18"/>
                  <w:color w:val="0000FF"/>
                  <w:w w:val="92"/>
                </w:rPr>
                <w:t>2019</w:t>
              </w:r>
            </w:hyperlink>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4.4</w:t>
            </w:r>
          </w:p>
        </w:tc>
        <w:tc>
          <w:tcPr>
            <w:tcW w:w="140" w:type="dxa"/>
            <w:vAlign w:val="bottom"/>
          </w:tcPr>
          <w:p>
            <w:pPr>
              <w:spacing w:after="0"/>
              <w:rPr>
                <w:sz w:val="19"/>
                <w:szCs w:val="19"/>
                <w:color w:val="auto"/>
              </w:rPr>
            </w:pPr>
          </w:p>
        </w:tc>
        <w:tc>
          <w:tcPr>
            <w:tcW w:w="5140" w:type="dxa"/>
            <w:vAlign w:val="bottom"/>
            <w:tcBorders>
              <w:bottom w:val="single" w:sz="8" w:color="0000FF"/>
            </w:tcBorders>
            <w:gridSpan w:val="28"/>
          </w:tcPr>
          <w:p>
            <w:pPr>
              <w:spacing w:after="0"/>
              <w:rPr>
                <w:rFonts w:ascii="Calibri" w:cs="Calibri" w:eastAsia="Calibri" w:hAnsi="Calibri"/>
                <w:sz w:val="18"/>
                <w:szCs w:val="18"/>
                <w:color w:val="0000FF"/>
                <w:w w:val="97"/>
              </w:rPr>
            </w:pPr>
            <w:hyperlink r:id="rId316">
              <w:r>
                <w:rPr>
                  <w:rFonts w:ascii="Calibri" w:cs="Calibri" w:eastAsia="Calibri" w:hAnsi="Calibri"/>
                  <w:sz w:val="18"/>
                  <w:szCs w:val="18"/>
                  <w:color w:val="0000FF"/>
                  <w:w w:val="97"/>
                </w:rPr>
                <w:t>Warrant to purchase stock issued to WestRiver Innovaton Lending Fund</w:t>
              </w:r>
            </w:hyperlink>
          </w:p>
        </w:tc>
        <w:tc>
          <w:tcPr>
            <w:tcW w:w="100" w:type="dxa"/>
            <w:vAlign w:val="bottom"/>
            <w:gridSpan w:val="3"/>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16">
              <w:r>
                <w:rPr>
                  <w:rFonts w:ascii="Calibri" w:cs="Calibri" w:eastAsia="Calibri" w:hAnsi="Calibri"/>
                  <w:sz w:val="18"/>
                  <w:szCs w:val="18"/>
                  <w:color w:val="0000FF"/>
                </w:rPr>
                <w:t>VIII, L.P., dated May 14, 2019</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4.5</w:t>
            </w:r>
          </w:p>
        </w:tc>
        <w:tc>
          <w:tcPr>
            <w:tcW w:w="140" w:type="dxa"/>
            <w:vAlign w:val="bottom"/>
          </w:tcPr>
          <w:p>
            <w:pPr>
              <w:spacing w:after="0"/>
              <w:rPr>
                <w:sz w:val="19"/>
                <w:szCs w:val="19"/>
                <w:color w:val="auto"/>
              </w:rPr>
            </w:pPr>
          </w:p>
        </w:tc>
        <w:tc>
          <w:tcPr>
            <w:tcW w:w="4700" w:type="dxa"/>
            <w:vAlign w:val="bottom"/>
            <w:tcBorders>
              <w:bottom w:val="single" w:sz="8" w:color="0000FF"/>
            </w:tcBorders>
            <w:gridSpan w:val="21"/>
          </w:tcPr>
          <w:p>
            <w:pPr>
              <w:spacing w:after="0"/>
              <w:rPr>
                <w:rFonts w:ascii="Calibri" w:cs="Calibri" w:eastAsia="Calibri" w:hAnsi="Calibri"/>
                <w:sz w:val="18"/>
                <w:szCs w:val="18"/>
                <w:color w:val="0000FF"/>
                <w:w w:val="97"/>
              </w:rPr>
            </w:pPr>
            <w:hyperlink r:id="rId317">
              <w:r>
                <w:rPr>
                  <w:rFonts w:ascii="Calibri" w:cs="Calibri" w:eastAsia="Calibri" w:hAnsi="Calibri"/>
                  <w:sz w:val="18"/>
                  <w:szCs w:val="18"/>
                  <w:color w:val="0000FF"/>
                  <w:w w:val="97"/>
                </w:rPr>
                <w:t>Note Purchase Agreement, dated May 7, 2019, by and among the</w:t>
              </w:r>
            </w:hyperlink>
          </w:p>
        </w:tc>
        <w:tc>
          <w:tcPr>
            <w:tcW w:w="540" w:type="dxa"/>
            <w:vAlign w:val="bottom"/>
            <w:gridSpan w:val="10"/>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17">
              <w:r>
                <w:rPr>
                  <w:rFonts w:ascii="Calibri" w:cs="Calibri" w:eastAsia="Calibri" w:hAnsi="Calibri"/>
                  <w:sz w:val="18"/>
                  <w:szCs w:val="18"/>
                  <w:color w:val="0000FF"/>
                </w:rPr>
                <w:t>Registrant and the other partes party thereto, as amended</w:t>
              </w:r>
            </w:hyperlink>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4.6</w:t>
            </w:r>
          </w:p>
        </w:tc>
        <w:tc>
          <w:tcPr>
            <w:tcW w:w="140" w:type="dxa"/>
            <w:vAlign w:val="bottom"/>
          </w:tcPr>
          <w:p>
            <w:pPr>
              <w:spacing w:after="0"/>
              <w:rPr>
                <w:sz w:val="19"/>
                <w:szCs w:val="19"/>
                <w:color w:val="auto"/>
              </w:rPr>
            </w:pPr>
          </w:p>
        </w:tc>
        <w:tc>
          <w:tcPr>
            <w:tcW w:w="2520" w:type="dxa"/>
            <w:vAlign w:val="bottom"/>
            <w:tcBorders>
              <w:top w:val="single" w:sz="8" w:color="0000FF"/>
              <w:bottom w:val="single" w:sz="8" w:color="0000FF"/>
            </w:tcBorders>
            <w:gridSpan w:val="8"/>
          </w:tcPr>
          <w:p>
            <w:pPr>
              <w:spacing w:after="0"/>
              <w:rPr>
                <w:sz w:val="20"/>
                <w:szCs w:val="20"/>
                <w:color w:val="auto"/>
              </w:rPr>
            </w:pPr>
            <w:r>
              <w:rPr>
                <w:rFonts w:ascii="Calibri" w:cs="Calibri" w:eastAsia="Calibri" w:hAnsi="Calibri"/>
                <w:sz w:val="18"/>
                <w:szCs w:val="18"/>
                <w:color w:val="0000FF"/>
                <w:w w:val="99"/>
              </w:rPr>
              <w:t>Descripton of Registered Securites</w:t>
            </w:r>
          </w:p>
        </w:tc>
        <w:tc>
          <w:tcPr>
            <w:tcW w:w="20" w:type="dxa"/>
            <w:vAlign w:val="bottom"/>
            <w:tcBorders>
              <w:top w:val="single" w:sz="8" w:color="0000FF"/>
              <w:bottom w:val="single" w:sz="8" w:color="0000EE"/>
            </w:tcBorders>
          </w:tcPr>
          <w:p>
            <w:pPr>
              <w:spacing w:after="0"/>
              <w:rPr>
                <w:sz w:val="19"/>
                <w:szCs w:val="19"/>
                <w:color w:val="auto"/>
              </w:rPr>
            </w:pPr>
          </w:p>
        </w:tc>
        <w:tc>
          <w:tcPr>
            <w:tcW w:w="1660" w:type="dxa"/>
            <w:vAlign w:val="bottom"/>
            <w:tcBorders>
              <w:top w:val="single" w:sz="8" w:color="0000FF"/>
            </w:tcBorders>
            <w:gridSpan w:val="7"/>
          </w:tcPr>
          <w:p>
            <w:pPr>
              <w:spacing w:after="0"/>
              <w:rPr>
                <w:sz w:val="19"/>
                <w:szCs w:val="19"/>
                <w:color w:val="auto"/>
              </w:rPr>
            </w:pPr>
          </w:p>
        </w:tc>
        <w:tc>
          <w:tcPr>
            <w:tcW w:w="1040" w:type="dxa"/>
            <w:vAlign w:val="bottom"/>
            <w:gridSpan w:val="15"/>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9"/>
                <w:szCs w:val="19"/>
                <w:color w:val="auto"/>
              </w:rPr>
            </w:pPr>
          </w:p>
        </w:tc>
        <w:tc>
          <w:tcPr>
            <w:tcW w:w="4120" w:type="dxa"/>
            <w:vAlign w:val="bottom"/>
            <w:tcBorders>
              <w:bottom w:val="single" w:sz="8" w:color="0000FF"/>
            </w:tcBorders>
            <w:gridSpan w:val="14"/>
          </w:tcPr>
          <w:p>
            <w:pPr>
              <w:spacing w:after="0"/>
              <w:rPr>
                <w:rFonts w:ascii="Calibri" w:cs="Calibri" w:eastAsia="Calibri" w:hAnsi="Calibri"/>
                <w:sz w:val="18"/>
                <w:szCs w:val="18"/>
                <w:color w:val="0000FF"/>
                <w:w w:val="98"/>
              </w:rPr>
            </w:pPr>
            <w:hyperlink r:id="rId318">
              <w:r>
                <w:rPr>
                  <w:rFonts w:ascii="Calibri" w:cs="Calibri" w:eastAsia="Calibri" w:hAnsi="Calibri"/>
                  <w:sz w:val="18"/>
                  <w:szCs w:val="18"/>
                  <w:color w:val="0000FF"/>
                  <w:w w:val="98"/>
                </w:rPr>
                <w:t>Phathom Pharmaceutcals, Inc. 2019 Equity Incentve Plan</w:t>
              </w:r>
            </w:hyperlink>
          </w:p>
        </w:tc>
        <w:tc>
          <w:tcPr>
            <w:tcW w:w="20" w:type="dxa"/>
            <w:vAlign w:val="bottom"/>
            <w:tcBorders>
              <w:bottom w:val="single" w:sz="8" w:color="0000EE"/>
            </w:tcBorders>
          </w:tcPr>
          <w:p>
            <w:pPr>
              <w:spacing w:after="0"/>
              <w:rPr>
                <w:sz w:val="19"/>
                <w:szCs w:val="19"/>
                <w:color w:val="auto"/>
              </w:rPr>
            </w:pPr>
          </w:p>
        </w:tc>
        <w:tc>
          <w:tcPr>
            <w:tcW w:w="1100" w:type="dxa"/>
            <w:vAlign w:val="bottom"/>
            <w:gridSpan w:val="16"/>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10.2#</w:t>
            </w:r>
          </w:p>
        </w:tc>
        <w:tc>
          <w:tcPr>
            <w:tcW w:w="140" w:type="dxa"/>
            <w:vAlign w:val="bottom"/>
          </w:tcPr>
          <w:p>
            <w:pPr>
              <w:spacing w:after="0"/>
              <w:rPr>
                <w:sz w:val="19"/>
                <w:szCs w:val="19"/>
                <w:color w:val="auto"/>
              </w:rPr>
            </w:pPr>
          </w:p>
        </w:tc>
        <w:tc>
          <w:tcPr>
            <w:tcW w:w="5080" w:type="dxa"/>
            <w:vAlign w:val="bottom"/>
            <w:tcBorders>
              <w:bottom w:val="single" w:sz="8" w:color="0000FF"/>
            </w:tcBorders>
            <w:gridSpan w:val="27"/>
          </w:tcPr>
          <w:p>
            <w:pPr>
              <w:spacing w:after="0"/>
              <w:rPr>
                <w:rFonts w:ascii="Calibri" w:cs="Calibri" w:eastAsia="Calibri" w:hAnsi="Calibri"/>
                <w:sz w:val="18"/>
                <w:szCs w:val="18"/>
                <w:color w:val="0000FF"/>
              </w:rPr>
            </w:pPr>
            <w:hyperlink r:id="rId319">
              <w:r>
                <w:rPr>
                  <w:rFonts w:ascii="Calibri" w:cs="Calibri" w:eastAsia="Calibri" w:hAnsi="Calibri"/>
                  <w:sz w:val="18"/>
                  <w:szCs w:val="18"/>
                  <w:color w:val="0000FF"/>
                </w:rPr>
                <w:t>Form of Stock Opton Grant Notce and Stock Opton Agreement under</w:t>
              </w:r>
            </w:hyperlink>
          </w:p>
        </w:tc>
        <w:tc>
          <w:tcPr>
            <w:tcW w:w="160" w:type="dxa"/>
            <w:vAlign w:val="bottom"/>
            <w:gridSpan w:val="4"/>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19">
              <w:r>
                <w:rPr>
                  <w:rFonts w:ascii="Calibri" w:cs="Calibri" w:eastAsia="Calibri" w:hAnsi="Calibri"/>
                  <w:sz w:val="18"/>
                  <w:szCs w:val="18"/>
                  <w:color w:val="0000FF"/>
                </w:rPr>
                <w:t>the Phathom Pharmaceutcals, Inc. 2019 Equity Incentve Plan</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10.3#</w:t>
            </w:r>
          </w:p>
        </w:tc>
        <w:tc>
          <w:tcPr>
            <w:tcW w:w="140" w:type="dxa"/>
            <w:vAlign w:val="bottom"/>
          </w:tcPr>
          <w:p>
            <w:pPr>
              <w:spacing w:after="0"/>
              <w:rPr>
                <w:sz w:val="19"/>
                <w:szCs w:val="19"/>
                <w:color w:val="auto"/>
              </w:rPr>
            </w:pPr>
          </w:p>
        </w:tc>
        <w:tc>
          <w:tcPr>
            <w:tcW w:w="5060" w:type="dxa"/>
            <w:vAlign w:val="bottom"/>
            <w:tcBorders>
              <w:bottom w:val="single" w:sz="8" w:color="0000FF"/>
            </w:tcBorders>
            <w:gridSpan w:val="26"/>
          </w:tcPr>
          <w:p>
            <w:pPr>
              <w:spacing w:after="0"/>
              <w:rPr>
                <w:rFonts w:ascii="Calibri" w:cs="Calibri" w:eastAsia="Calibri" w:hAnsi="Calibri"/>
                <w:sz w:val="18"/>
                <w:szCs w:val="18"/>
                <w:color w:val="0000FF"/>
                <w:w w:val="98"/>
              </w:rPr>
            </w:pPr>
            <w:hyperlink r:id="rId320">
              <w:r>
                <w:rPr>
                  <w:rFonts w:ascii="Calibri" w:cs="Calibri" w:eastAsia="Calibri" w:hAnsi="Calibri"/>
                  <w:sz w:val="18"/>
                  <w:szCs w:val="18"/>
                  <w:color w:val="0000FF"/>
                  <w:w w:val="98"/>
                </w:rPr>
                <w:t>Form of Restricted Stock Grant Notce and Restricted Stock Agreement</w:t>
              </w:r>
            </w:hyperlink>
          </w:p>
        </w:tc>
        <w:tc>
          <w:tcPr>
            <w:tcW w:w="180" w:type="dxa"/>
            <w:vAlign w:val="bottom"/>
            <w:gridSpan w:val="5"/>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80" w:type="dxa"/>
            <w:vAlign w:val="bottom"/>
            <w:tcBorders>
              <w:bottom w:val="single" w:sz="8" w:color="0000FF"/>
            </w:tcBorders>
            <w:gridSpan w:val="18"/>
          </w:tcPr>
          <w:p>
            <w:pPr>
              <w:spacing w:after="0" w:line="196" w:lineRule="exact"/>
              <w:rPr>
                <w:rFonts w:ascii="Calibri" w:cs="Calibri" w:eastAsia="Calibri" w:hAnsi="Calibri"/>
                <w:sz w:val="18"/>
                <w:szCs w:val="18"/>
                <w:color w:val="0000FF"/>
                <w:w w:val="98"/>
              </w:rPr>
            </w:pPr>
            <w:hyperlink r:id="rId320">
              <w:r>
                <w:rPr>
                  <w:rFonts w:ascii="Calibri" w:cs="Calibri" w:eastAsia="Calibri" w:hAnsi="Calibri"/>
                  <w:sz w:val="18"/>
                  <w:szCs w:val="18"/>
                  <w:color w:val="0000FF"/>
                  <w:w w:val="98"/>
                </w:rPr>
                <w:t>under Phathom Pharmaceutcals, Inc. 2019 Equity Incentve Plan</w:t>
              </w:r>
            </w:hyperlink>
          </w:p>
        </w:tc>
        <w:tc>
          <w:tcPr>
            <w:tcW w:w="20" w:type="dxa"/>
            <w:vAlign w:val="bottom"/>
            <w:tcBorders>
              <w:bottom w:val="single" w:sz="8" w:color="0000EE"/>
            </w:tcBorders>
          </w:tcPr>
          <w:p>
            <w:pPr>
              <w:spacing w:after="0"/>
              <w:rPr>
                <w:sz w:val="17"/>
                <w:szCs w:val="17"/>
                <w:color w:val="auto"/>
              </w:rPr>
            </w:pPr>
          </w:p>
        </w:tc>
        <w:tc>
          <w:tcPr>
            <w:tcW w:w="640" w:type="dxa"/>
            <w:vAlign w:val="bottom"/>
            <w:gridSpan w:val="12"/>
          </w:tcPr>
          <w:p>
            <w:pPr>
              <w:spacing w:after="0"/>
              <w:rPr>
                <w:sz w:val="17"/>
                <w:szCs w:val="17"/>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10.4#</w:t>
            </w:r>
          </w:p>
        </w:tc>
        <w:tc>
          <w:tcPr>
            <w:tcW w:w="140" w:type="dxa"/>
            <w:vAlign w:val="bottom"/>
          </w:tcPr>
          <w:p>
            <w:pPr>
              <w:spacing w:after="0"/>
              <w:rPr>
                <w:sz w:val="19"/>
                <w:szCs w:val="19"/>
                <w:color w:val="auto"/>
              </w:rPr>
            </w:pPr>
          </w:p>
        </w:tc>
        <w:tc>
          <w:tcPr>
            <w:tcW w:w="5040" w:type="dxa"/>
            <w:vAlign w:val="bottom"/>
            <w:tcBorders>
              <w:bottom w:val="single" w:sz="8" w:color="0000FF"/>
            </w:tcBorders>
            <w:gridSpan w:val="25"/>
          </w:tcPr>
          <w:p>
            <w:pPr>
              <w:spacing w:after="0"/>
              <w:rPr>
                <w:rFonts w:ascii="Calibri" w:cs="Calibri" w:eastAsia="Calibri" w:hAnsi="Calibri"/>
                <w:sz w:val="18"/>
                <w:szCs w:val="18"/>
                <w:color w:val="0000FF"/>
                <w:w w:val="98"/>
              </w:rPr>
            </w:pPr>
            <w:hyperlink r:id="rId321">
              <w:r>
                <w:rPr>
                  <w:rFonts w:ascii="Calibri" w:cs="Calibri" w:eastAsia="Calibri" w:hAnsi="Calibri"/>
                  <w:sz w:val="18"/>
                  <w:szCs w:val="18"/>
                  <w:color w:val="0000FF"/>
                  <w:w w:val="98"/>
                </w:rPr>
                <w:t>Phathom Pharmaceutcals, Inc. 2019 Incentve Award Plan and form of</w:t>
              </w:r>
            </w:hyperlink>
          </w:p>
        </w:tc>
        <w:tc>
          <w:tcPr>
            <w:tcW w:w="200" w:type="dxa"/>
            <w:vAlign w:val="bottom"/>
            <w:gridSpan w:val="6"/>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21">
              <w:r>
                <w:rPr>
                  <w:rFonts w:ascii="Calibri" w:cs="Calibri" w:eastAsia="Calibri" w:hAnsi="Calibri"/>
                  <w:sz w:val="18"/>
                  <w:szCs w:val="18"/>
                  <w:color w:val="0000FF"/>
                </w:rPr>
                <w:t>stock opton grant notce and stock opton agreement thereunder</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10.5#</w:t>
            </w:r>
          </w:p>
        </w:tc>
        <w:tc>
          <w:tcPr>
            <w:tcW w:w="140" w:type="dxa"/>
            <w:vAlign w:val="bottom"/>
          </w:tcPr>
          <w:p>
            <w:pPr>
              <w:spacing w:after="0"/>
              <w:rPr>
                <w:sz w:val="19"/>
                <w:szCs w:val="19"/>
                <w:color w:val="auto"/>
              </w:rPr>
            </w:pPr>
          </w:p>
        </w:tc>
        <w:tc>
          <w:tcPr>
            <w:tcW w:w="5080" w:type="dxa"/>
            <w:vAlign w:val="bottom"/>
            <w:tcBorders>
              <w:bottom w:val="single" w:sz="8" w:color="0000FF"/>
            </w:tcBorders>
            <w:gridSpan w:val="27"/>
          </w:tcPr>
          <w:p>
            <w:pPr>
              <w:spacing w:after="0"/>
              <w:rPr>
                <w:rFonts w:ascii="Calibri" w:cs="Calibri" w:eastAsia="Calibri" w:hAnsi="Calibri"/>
                <w:sz w:val="18"/>
                <w:szCs w:val="18"/>
                <w:color w:val="0000FF"/>
              </w:rPr>
            </w:pPr>
            <w:hyperlink r:id="rId322">
              <w:r>
                <w:rPr>
                  <w:rFonts w:ascii="Calibri" w:cs="Calibri" w:eastAsia="Calibri" w:hAnsi="Calibri"/>
                  <w:sz w:val="18"/>
                  <w:szCs w:val="18"/>
                  <w:color w:val="0000FF"/>
                </w:rPr>
                <w:t>Form of Stock Opton Grant Notce and Stock Opton Agreement under</w:t>
              </w:r>
            </w:hyperlink>
          </w:p>
        </w:tc>
        <w:tc>
          <w:tcPr>
            <w:tcW w:w="160" w:type="dxa"/>
            <w:vAlign w:val="bottom"/>
            <w:gridSpan w:val="4"/>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22">
              <w:r>
                <w:rPr>
                  <w:rFonts w:ascii="Calibri" w:cs="Calibri" w:eastAsia="Calibri" w:hAnsi="Calibri"/>
                  <w:sz w:val="18"/>
                  <w:szCs w:val="18"/>
                  <w:color w:val="0000FF"/>
                </w:rPr>
                <w:t>the Phathom Pharmaceutcals, Inc. 2019 Incentve Award Plan</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tcBorders>
              <w:left w:val="single" w:sz="8" w:color="0000EE"/>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10.6#</w:t>
            </w:r>
          </w:p>
        </w:tc>
        <w:tc>
          <w:tcPr>
            <w:tcW w:w="140" w:type="dxa"/>
            <w:vAlign w:val="bottom"/>
          </w:tcPr>
          <w:p>
            <w:pPr>
              <w:spacing w:after="0"/>
              <w:rPr>
                <w:sz w:val="19"/>
                <w:szCs w:val="19"/>
                <w:color w:val="auto"/>
              </w:rPr>
            </w:pPr>
          </w:p>
        </w:tc>
        <w:tc>
          <w:tcPr>
            <w:tcW w:w="4980" w:type="dxa"/>
            <w:vAlign w:val="bottom"/>
            <w:tcBorders>
              <w:bottom w:val="single" w:sz="8" w:color="0000FF"/>
            </w:tcBorders>
            <w:gridSpan w:val="24"/>
          </w:tcPr>
          <w:p>
            <w:pPr>
              <w:spacing w:after="0"/>
              <w:rPr>
                <w:rFonts w:ascii="Calibri" w:cs="Calibri" w:eastAsia="Calibri" w:hAnsi="Calibri"/>
                <w:sz w:val="18"/>
                <w:szCs w:val="18"/>
                <w:color w:val="0000FF"/>
                <w:w w:val="97"/>
              </w:rPr>
            </w:pPr>
            <w:hyperlink r:id="rId323">
              <w:r>
                <w:rPr>
                  <w:rFonts w:ascii="Calibri" w:cs="Calibri" w:eastAsia="Calibri" w:hAnsi="Calibri"/>
                  <w:sz w:val="18"/>
                  <w:szCs w:val="18"/>
                  <w:color w:val="0000FF"/>
                  <w:w w:val="97"/>
                </w:rPr>
                <w:t>Form of Performance Share Unit Grant Notce and Performance Share</w:t>
              </w:r>
            </w:hyperlink>
          </w:p>
        </w:tc>
        <w:tc>
          <w:tcPr>
            <w:tcW w:w="260" w:type="dxa"/>
            <w:vAlign w:val="bottom"/>
            <w:gridSpan w:val="7"/>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Borders>
              <w:bottom w:val="single" w:sz="8" w:color="0000FF"/>
            </w:tcBorders>
            <w:gridSpan w:val="23"/>
          </w:tcPr>
          <w:p>
            <w:pPr>
              <w:spacing w:after="0" w:line="196" w:lineRule="exact"/>
              <w:rPr>
                <w:rFonts w:ascii="Calibri" w:cs="Calibri" w:eastAsia="Calibri" w:hAnsi="Calibri"/>
                <w:sz w:val="18"/>
                <w:szCs w:val="18"/>
                <w:color w:val="0000FF"/>
                <w:w w:val="99"/>
              </w:rPr>
            </w:pPr>
            <w:hyperlink r:id="rId323">
              <w:r>
                <w:rPr>
                  <w:rFonts w:ascii="Calibri" w:cs="Calibri" w:eastAsia="Calibri" w:hAnsi="Calibri"/>
                  <w:sz w:val="18"/>
                  <w:szCs w:val="18"/>
                  <w:color w:val="0000FF"/>
                  <w:w w:val="99"/>
                </w:rPr>
                <w:t>Unit Agreement under Phathom Pharmaceutcals, Inc. 2019 Incentve</w:t>
              </w:r>
            </w:hyperlink>
          </w:p>
        </w:tc>
        <w:tc>
          <w:tcPr>
            <w:tcW w:w="28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23">
              <w:r>
                <w:rPr>
                  <w:rFonts w:ascii="Calibri" w:cs="Calibri" w:eastAsia="Calibri" w:hAnsi="Calibri"/>
                  <w:sz w:val="18"/>
                  <w:szCs w:val="18"/>
                  <w:color w:val="0000FF"/>
                </w:rPr>
                <w:t>Award Plan</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10.7#</w:t>
            </w:r>
          </w:p>
        </w:tc>
        <w:tc>
          <w:tcPr>
            <w:tcW w:w="140" w:type="dxa"/>
            <w:vAlign w:val="bottom"/>
          </w:tcPr>
          <w:p>
            <w:pPr>
              <w:spacing w:after="0"/>
              <w:rPr>
                <w:sz w:val="19"/>
                <w:szCs w:val="19"/>
                <w:color w:val="auto"/>
              </w:rPr>
            </w:pPr>
          </w:p>
        </w:tc>
        <w:tc>
          <w:tcPr>
            <w:tcW w:w="5240" w:type="dxa"/>
            <w:vAlign w:val="bottom"/>
            <w:gridSpan w:val="31"/>
          </w:tcPr>
          <w:p>
            <w:pPr>
              <w:spacing w:after="0"/>
              <w:rPr>
                <w:rFonts w:ascii="Calibri" w:cs="Calibri" w:eastAsia="Calibri" w:hAnsi="Calibri"/>
                <w:sz w:val="18"/>
                <w:szCs w:val="18"/>
                <w:color w:val="0000FF"/>
              </w:rPr>
            </w:pPr>
            <w:hyperlink r:id="rId324">
              <w:r>
                <w:rPr>
                  <w:rFonts w:ascii="Calibri" w:cs="Calibri" w:eastAsia="Calibri" w:hAnsi="Calibri"/>
                  <w:sz w:val="18"/>
                  <w:szCs w:val="18"/>
                  <w:color w:val="0000FF"/>
                </w:rPr>
                <w:t>Phathom Pharmaceutcals, Inc. 2019 Employee Stock Purchase Plan</w:t>
              </w:r>
            </w:hyperlink>
          </w:p>
        </w:tc>
      </w:tr>
      <w:tr>
        <w:trPr>
          <w:trHeight w:val="439"/>
        </w:trPr>
        <w:tc>
          <w:tcPr>
            <w:tcW w:w="1020" w:type="dxa"/>
            <w:vAlign w:val="bottom"/>
          </w:tcPr>
          <w:p>
            <w:pPr>
              <w:ind w:left="20"/>
              <w:spacing w:after="0"/>
              <w:rPr>
                <w:sz w:val="20"/>
                <w:szCs w:val="20"/>
                <w:color w:val="auto"/>
              </w:rPr>
            </w:pPr>
            <w:r>
              <w:rPr>
                <w:rFonts w:ascii="Calibri" w:cs="Calibri" w:eastAsia="Calibri" w:hAnsi="Calibri"/>
                <w:sz w:val="18"/>
                <w:szCs w:val="18"/>
                <w:color w:val="auto"/>
              </w:rPr>
              <w:t>10.8#</w:t>
            </w:r>
          </w:p>
        </w:tc>
        <w:tc>
          <w:tcPr>
            <w:tcW w:w="140" w:type="dxa"/>
            <w:vAlign w:val="bottom"/>
          </w:tcPr>
          <w:p>
            <w:pPr>
              <w:spacing w:after="0"/>
              <w:rPr>
                <w:sz w:val="24"/>
                <w:szCs w:val="24"/>
                <w:color w:val="auto"/>
              </w:rPr>
            </w:pPr>
          </w:p>
        </w:tc>
        <w:tc>
          <w:tcPr>
            <w:tcW w:w="3200" w:type="dxa"/>
            <w:vAlign w:val="bottom"/>
            <w:tcBorders>
              <w:top w:val="single" w:sz="8" w:color="0000FF"/>
              <w:bottom w:val="single" w:sz="8" w:color="0000FF"/>
            </w:tcBorders>
            <w:gridSpan w:val="12"/>
          </w:tcPr>
          <w:p>
            <w:pPr>
              <w:spacing w:after="0"/>
              <w:rPr>
                <w:rFonts w:ascii="Calibri" w:cs="Calibri" w:eastAsia="Calibri" w:hAnsi="Calibri"/>
                <w:sz w:val="18"/>
                <w:szCs w:val="18"/>
                <w:color w:val="0000FF"/>
                <w:w w:val="97"/>
              </w:rPr>
            </w:pPr>
            <w:hyperlink r:id="rId325">
              <w:r>
                <w:rPr>
                  <w:rFonts w:ascii="Calibri" w:cs="Calibri" w:eastAsia="Calibri" w:hAnsi="Calibri"/>
                  <w:sz w:val="18"/>
                  <w:szCs w:val="18"/>
                  <w:color w:val="0000FF"/>
                  <w:w w:val="97"/>
                </w:rPr>
                <w:t>Non-Employee Director Compensaton Policy</w:t>
              </w:r>
            </w:hyperlink>
          </w:p>
        </w:tc>
        <w:tc>
          <w:tcPr>
            <w:tcW w:w="1580" w:type="dxa"/>
            <w:vAlign w:val="bottom"/>
            <w:tcBorders>
              <w:top w:val="single" w:sz="8" w:color="0000FF"/>
            </w:tcBorders>
            <w:gridSpan w:val="10"/>
          </w:tcPr>
          <w:p>
            <w:pPr>
              <w:spacing w:after="0"/>
              <w:rPr>
                <w:sz w:val="24"/>
                <w:szCs w:val="24"/>
                <w:color w:val="auto"/>
              </w:rPr>
            </w:pPr>
          </w:p>
        </w:tc>
        <w:tc>
          <w:tcPr>
            <w:tcW w:w="460" w:type="dxa"/>
            <w:vAlign w:val="bottom"/>
            <w:gridSpan w:val="9"/>
          </w:tcPr>
          <w:p>
            <w:pPr>
              <w:spacing w:after="0"/>
              <w:rPr>
                <w:sz w:val="24"/>
                <w:szCs w:val="24"/>
                <w:color w:val="auto"/>
              </w:rPr>
            </w:pPr>
          </w:p>
        </w:tc>
      </w:tr>
      <w:tr>
        <w:trPr>
          <w:trHeight w:val="439"/>
        </w:trPr>
        <w:tc>
          <w:tcPr>
            <w:tcW w:w="1020" w:type="dxa"/>
            <w:vAlign w:val="bottom"/>
          </w:tcPr>
          <w:p>
            <w:pPr>
              <w:ind w:left="20"/>
              <w:spacing w:after="0"/>
              <w:rPr>
                <w:sz w:val="20"/>
                <w:szCs w:val="20"/>
                <w:color w:val="auto"/>
              </w:rPr>
            </w:pPr>
            <w:r>
              <w:rPr>
                <w:rFonts w:ascii="Calibri" w:cs="Calibri" w:eastAsia="Calibri" w:hAnsi="Calibri"/>
                <w:sz w:val="18"/>
                <w:szCs w:val="18"/>
                <w:color w:val="auto"/>
              </w:rPr>
              <w:t>10.9#</w:t>
            </w:r>
          </w:p>
        </w:tc>
        <w:tc>
          <w:tcPr>
            <w:tcW w:w="140" w:type="dxa"/>
            <w:vAlign w:val="bottom"/>
          </w:tcPr>
          <w:p>
            <w:pPr>
              <w:spacing w:after="0"/>
              <w:rPr>
                <w:sz w:val="24"/>
                <w:szCs w:val="24"/>
                <w:color w:val="auto"/>
              </w:rPr>
            </w:pPr>
          </w:p>
        </w:tc>
        <w:tc>
          <w:tcPr>
            <w:tcW w:w="3080" w:type="dxa"/>
            <w:vAlign w:val="bottom"/>
            <w:tcBorders>
              <w:bottom w:val="single" w:sz="8" w:color="0000FF"/>
            </w:tcBorders>
            <w:gridSpan w:val="10"/>
          </w:tcPr>
          <w:p>
            <w:pPr>
              <w:spacing w:after="0"/>
              <w:rPr>
                <w:rFonts w:ascii="Calibri" w:cs="Calibri" w:eastAsia="Calibri" w:hAnsi="Calibri"/>
                <w:sz w:val="18"/>
                <w:szCs w:val="18"/>
                <w:color w:val="0000FF"/>
                <w:w w:val="97"/>
              </w:rPr>
            </w:pPr>
            <w:hyperlink r:id="rId326">
              <w:r>
                <w:rPr>
                  <w:rFonts w:ascii="Calibri" w:cs="Calibri" w:eastAsia="Calibri" w:hAnsi="Calibri"/>
                  <w:sz w:val="18"/>
                  <w:szCs w:val="18"/>
                  <w:color w:val="0000FF"/>
                  <w:w w:val="97"/>
                </w:rPr>
                <w:t>Phathom Pharmaceutcals 2020 Bonus Plan</w:t>
              </w:r>
            </w:hyperlink>
          </w:p>
        </w:tc>
        <w:tc>
          <w:tcPr>
            <w:tcW w:w="20" w:type="dxa"/>
            <w:vAlign w:val="bottom"/>
            <w:tcBorders>
              <w:bottom w:val="single" w:sz="8" w:color="0000EE"/>
            </w:tcBorders>
          </w:tcPr>
          <w:p>
            <w:pPr>
              <w:spacing w:after="0"/>
              <w:rPr>
                <w:sz w:val="24"/>
                <w:szCs w:val="24"/>
                <w:color w:val="auto"/>
              </w:rPr>
            </w:pPr>
          </w:p>
        </w:tc>
        <w:tc>
          <w:tcPr>
            <w:tcW w:w="2140" w:type="dxa"/>
            <w:vAlign w:val="bottom"/>
            <w:gridSpan w:val="20"/>
          </w:tcPr>
          <w:p>
            <w:pPr>
              <w:spacing w:after="0"/>
              <w:rPr>
                <w:sz w:val="24"/>
                <w:szCs w:val="24"/>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10.10#</w:t>
            </w:r>
          </w:p>
        </w:tc>
        <w:tc>
          <w:tcPr>
            <w:tcW w:w="140" w:type="dxa"/>
            <w:vAlign w:val="bottom"/>
          </w:tcPr>
          <w:p>
            <w:pPr>
              <w:spacing w:after="0"/>
              <w:rPr>
                <w:sz w:val="19"/>
                <w:szCs w:val="19"/>
                <w:color w:val="auto"/>
              </w:rPr>
            </w:pPr>
          </w:p>
        </w:tc>
        <w:tc>
          <w:tcPr>
            <w:tcW w:w="5220" w:type="dxa"/>
            <w:vAlign w:val="bottom"/>
            <w:tcBorders>
              <w:bottom w:val="single" w:sz="8" w:color="0000FF"/>
            </w:tcBorders>
            <w:gridSpan w:val="30"/>
          </w:tcPr>
          <w:p>
            <w:pPr>
              <w:spacing w:after="0"/>
              <w:rPr>
                <w:rFonts w:ascii="Calibri" w:cs="Calibri" w:eastAsia="Calibri" w:hAnsi="Calibri"/>
                <w:sz w:val="18"/>
                <w:szCs w:val="18"/>
                <w:color w:val="0000FF"/>
                <w:w w:val="97"/>
              </w:rPr>
            </w:pPr>
            <w:hyperlink r:id="rId327">
              <w:r>
                <w:rPr>
                  <w:rFonts w:ascii="Calibri" w:cs="Calibri" w:eastAsia="Calibri" w:hAnsi="Calibri"/>
                  <w:sz w:val="18"/>
                  <w:szCs w:val="18"/>
                  <w:color w:val="0000FF"/>
                  <w:w w:val="97"/>
                </w:rPr>
                <w:t>Leter Agreement, dated May 7, 2019, by and between Tadataka Yamada,</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31"/>
          </w:tcPr>
          <w:p>
            <w:pPr>
              <w:spacing w:after="0" w:line="196" w:lineRule="exact"/>
              <w:rPr>
                <w:rFonts w:ascii="Calibri" w:cs="Calibri" w:eastAsia="Calibri" w:hAnsi="Calibri"/>
                <w:sz w:val="18"/>
                <w:szCs w:val="18"/>
                <w:color w:val="0000FF"/>
              </w:rPr>
            </w:pPr>
            <w:hyperlink r:id="rId327">
              <w:r>
                <w:rPr>
                  <w:rFonts w:ascii="Calibri" w:cs="Calibri" w:eastAsia="Calibri" w:hAnsi="Calibri"/>
                  <w:sz w:val="18"/>
                  <w:szCs w:val="18"/>
                  <w:color w:val="0000FF"/>
                </w:rPr>
                <w:t>M.D. and the Registrant</w:t>
              </w:r>
            </w:hyperlink>
          </w:p>
        </w:tc>
      </w:tr>
      <w:tr>
        <w:trPr>
          <w:trHeight w:val="48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top w:val="single" w:sz="8" w:color="0000FF"/>
            </w:tcBorders>
            <w:gridSpan w:val="3"/>
          </w:tcPr>
          <w:p>
            <w:pPr>
              <w:spacing w:after="0"/>
              <w:rPr>
                <w:sz w:val="24"/>
                <w:szCs w:val="24"/>
                <w:color w:val="auto"/>
              </w:rPr>
            </w:pPr>
          </w:p>
        </w:tc>
        <w:tc>
          <w:tcPr>
            <w:tcW w:w="3000" w:type="dxa"/>
            <w:vAlign w:val="bottom"/>
            <w:gridSpan w:val="17"/>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Calibri" w:cs="Calibri" w:eastAsia="Calibri" w:hAnsi="Calibri"/>
                <w:sz w:val="14"/>
                <w:szCs w:val="14"/>
                <w:b w:val="1"/>
                <w:bCs w:val="1"/>
                <w:color w:val="auto"/>
              </w:rPr>
              <w:t>Incorporated by Reference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Filed</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Form</w:t>
            </w:r>
          </w:p>
        </w:tc>
        <w:tc>
          <w:tcPr>
            <w:tcW w:w="100" w:type="dxa"/>
            <w:vAlign w:val="bottom"/>
          </w:tcPr>
          <w:p>
            <w:pPr>
              <w:spacing w:after="0"/>
              <w:rPr>
                <w:sz w:val="15"/>
                <w:szCs w:val="15"/>
                <w:color w:val="auto"/>
              </w:rPr>
            </w:pPr>
          </w:p>
        </w:tc>
        <w:tc>
          <w:tcPr>
            <w:tcW w:w="1560" w:type="dxa"/>
            <w:vAlign w:val="bottom"/>
            <w:gridSpan w:val="3"/>
          </w:tcPr>
          <w:p>
            <w:pPr>
              <w:ind w:left="440"/>
              <w:spacing w:after="0"/>
              <w:rPr>
                <w:sz w:val="20"/>
                <w:szCs w:val="20"/>
                <w:color w:val="auto"/>
              </w:rPr>
            </w:pPr>
            <w:r>
              <w:rPr>
                <w:rFonts w:ascii="Calibri" w:cs="Calibri" w:eastAsia="Calibri" w:hAnsi="Calibri"/>
                <w:sz w:val="14"/>
                <w:szCs w:val="14"/>
                <w:b w:val="1"/>
                <w:bCs w:val="1"/>
                <w:color w:val="auto"/>
              </w:rPr>
              <w:t>Date</w:t>
            </w:r>
          </w:p>
        </w:tc>
        <w:tc>
          <w:tcPr>
            <w:tcW w:w="860" w:type="dxa"/>
            <w:vAlign w:val="bottom"/>
          </w:tcPr>
          <w:p>
            <w:pPr>
              <w:jc w:val="right"/>
              <w:ind w:right="231"/>
              <w:spacing w:after="0"/>
              <w:rPr>
                <w:sz w:val="20"/>
                <w:szCs w:val="20"/>
                <w:color w:val="auto"/>
              </w:rPr>
            </w:pPr>
            <w:r>
              <w:rPr>
                <w:rFonts w:ascii="Calibri" w:cs="Calibri" w:eastAsia="Calibri" w:hAnsi="Calibri"/>
                <w:sz w:val="14"/>
                <w:szCs w:val="14"/>
                <w:b w:val="1"/>
                <w:bCs w:val="1"/>
                <w:color w:val="auto"/>
              </w:rPr>
              <w:t>Number</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Herewith</w:t>
            </w: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60" w:type="dxa"/>
            <w:vAlign w:val="bottom"/>
          </w:tcPr>
          <w:p>
            <w:pPr>
              <w:jc w:val="right"/>
              <w:spacing w:after="0" w:line="208" w:lineRule="exact"/>
              <w:rPr>
                <w:sz w:val="20"/>
                <w:szCs w:val="20"/>
                <w:color w:val="auto"/>
              </w:rPr>
            </w:pPr>
            <w:r>
              <w:rPr>
                <w:rFonts w:ascii="Calibri" w:cs="Calibri" w:eastAsia="Calibri" w:hAnsi="Calibri"/>
                <w:sz w:val="18"/>
                <w:szCs w:val="18"/>
                <w:color w:val="auto"/>
              </w:rPr>
              <w:t>8-K</w:t>
            </w:r>
          </w:p>
        </w:tc>
        <w:tc>
          <w:tcPr>
            <w:tcW w:w="100" w:type="dxa"/>
            <w:vAlign w:val="bottom"/>
          </w:tcPr>
          <w:p>
            <w:pPr>
              <w:spacing w:after="0"/>
              <w:rPr>
                <w:sz w:val="18"/>
                <w:szCs w:val="18"/>
                <w:color w:val="auto"/>
              </w:rPr>
            </w:pPr>
          </w:p>
        </w:tc>
        <w:tc>
          <w:tcPr>
            <w:tcW w:w="1180" w:type="dxa"/>
            <w:vAlign w:val="bottom"/>
          </w:tcPr>
          <w:p>
            <w:pPr>
              <w:jc w:val="right"/>
              <w:spacing w:after="0" w:line="208" w:lineRule="exact"/>
              <w:rPr>
                <w:sz w:val="20"/>
                <w:szCs w:val="20"/>
                <w:color w:val="auto"/>
              </w:rPr>
            </w:pPr>
            <w:r>
              <w:rPr>
                <w:rFonts w:ascii="Calibri" w:cs="Calibri" w:eastAsia="Calibri" w:hAnsi="Calibri"/>
                <w:sz w:val="18"/>
                <w:szCs w:val="18"/>
                <w:color w:val="auto"/>
              </w:rPr>
              <w:t>10-29-19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line="208" w:lineRule="exact"/>
              <w:rPr>
                <w:sz w:val="20"/>
                <w:szCs w:val="20"/>
                <w:color w:val="auto"/>
              </w:rPr>
            </w:pPr>
            <w:r>
              <w:rPr>
                <w:rFonts w:ascii="Calibri" w:cs="Calibri" w:eastAsia="Calibri" w:hAnsi="Calibri"/>
                <w:sz w:val="18"/>
                <w:szCs w:val="18"/>
                <w:color w:val="auto"/>
              </w:rPr>
              <w:t>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860" w:type="dxa"/>
            <w:vAlign w:val="bottom"/>
          </w:tcPr>
          <w:p>
            <w:pPr>
              <w:jc w:val="right"/>
              <w:spacing w:after="0"/>
              <w:rPr>
                <w:sz w:val="20"/>
                <w:szCs w:val="20"/>
                <w:color w:val="auto"/>
              </w:rPr>
            </w:pPr>
            <w:r>
              <w:rPr>
                <w:rFonts w:ascii="Calibri" w:cs="Calibri" w:eastAsia="Calibri" w:hAnsi="Calibri"/>
                <w:sz w:val="18"/>
                <w:szCs w:val="18"/>
                <w:color w:val="auto"/>
              </w:rPr>
              <w:t>8-K</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9-25-2020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980"/>
              <w:spacing w:after="0"/>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10.1</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10.2</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8-6-2020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8-6-2020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5-12-2020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10.7</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2">
            <w:col w:w="6400" w:space="100"/>
            <w:col w:w="4740"/>
          </w:cols>
          <w:pgMar w:left="320" w:top="328" w:right="33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Calibri" w:cs="Calibri" w:eastAsia="Calibri" w:hAnsi="Calibri"/>
                <w:sz w:val="18"/>
                <w:szCs w:val="18"/>
                <w:color w:val="auto"/>
              </w:rPr>
              <w:t>10.11#</w:t>
            </w:r>
          </w:p>
        </w:tc>
        <w:tc>
          <w:tcPr>
            <w:tcW w:w="5180" w:type="dxa"/>
            <w:vAlign w:val="bottom"/>
            <w:gridSpan w:val="24"/>
          </w:tcPr>
          <w:p>
            <w:pPr>
              <w:spacing w:after="0"/>
              <w:rPr>
                <w:rFonts w:ascii="Calibri" w:cs="Calibri" w:eastAsia="Calibri" w:hAnsi="Calibri"/>
                <w:sz w:val="18"/>
                <w:szCs w:val="18"/>
                <w:color w:val="0000FF"/>
              </w:rPr>
            </w:pPr>
            <w:hyperlink r:id="rId329">
              <w:r>
                <w:rPr>
                  <w:rFonts w:ascii="Calibri" w:cs="Calibri" w:eastAsia="Calibri" w:hAnsi="Calibri"/>
                  <w:sz w:val="18"/>
                  <w:szCs w:val="18"/>
                  <w:color w:val="0000FF"/>
                </w:rPr>
                <w:t>Employment Leter Agreement, dated July 21, 2019, by and between</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29">
              <w:r>
                <w:rPr>
                  <w:rFonts w:ascii="Calibri" w:cs="Calibri" w:eastAsia="Calibri" w:hAnsi="Calibri"/>
                  <w:sz w:val="18"/>
                  <w:szCs w:val="18"/>
                  <w:color w:val="0000FF"/>
                </w:rPr>
                <w:t>David Socks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10.12#</w:t>
            </w:r>
          </w:p>
        </w:tc>
        <w:tc>
          <w:tcPr>
            <w:tcW w:w="5180" w:type="dxa"/>
            <w:vAlign w:val="bottom"/>
            <w:gridSpan w:val="24"/>
          </w:tcPr>
          <w:p>
            <w:pPr>
              <w:spacing w:after="0"/>
              <w:rPr>
                <w:rFonts w:ascii="Calibri" w:cs="Calibri" w:eastAsia="Calibri" w:hAnsi="Calibri"/>
                <w:sz w:val="18"/>
                <w:szCs w:val="18"/>
                <w:color w:val="0000FF"/>
              </w:rPr>
            </w:pPr>
            <w:hyperlink r:id="rId330">
              <w:r>
                <w:rPr>
                  <w:rFonts w:ascii="Calibri" w:cs="Calibri" w:eastAsia="Calibri" w:hAnsi="Calibri"/>
                  <w:sz w:val="18"/>
                  <w:szCs w:val="18"/>
                  <w:color w:val="0000FF"/>
                </w:rPr>
                <w:t>Amended and Restated Employment Leter Agreement, dated</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w w:val="96"/>
              </w:rPr>
            </w:pPr>
            <w:hyperlink r:id="rId330">
              <w:r>
                <w:rPr>
                  <w:rFonts w:ascii="Calibri" w:cs="Calibri" w:eastAsia="Calibri" w:hAnsi="Calibri"/>
                  <w:sz w:val="18"/>
                  <w:szCs w:val="18"/>
                  <w:color w:val="0000FF"/>
                  <w:w w:val="96"/>
                </w:rPr>
                <w:t>September 25, 2019, by and between Azmi Nabulsi, M.D., M.P.H. and the</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0">
              <w:r>
                <w:rPr>
                  <w:rFonts w:ascii="Calibri" w:cs="Calibri" w:eastAsia="Calibri" w:hAnsi="Calibri"/>
                  <w:sz w:val="18"/>
                  <w:szCs w:val="18"/>
                  <w:color w:val="0000FF"/>
                </w:rPr>
                <w:t>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10.13#</w:t>
            </w:r>
          </w:p>
        </w:tc>
        <w:tc>
          <w:tcPr>
            <w:tcW w:w="5180" w:type="dxa"/>
            <w:vAlign w:val="bottom"/>
            <w:gridSpan w:val="24"/>
          </w:tcPr>
          <w:p>
            <w:pPr>
              <w:spacing w:after="0"/>
              <w:rPr>
                <w:rFonts w:ascii="Calibri" w:cs="Calibri" w:eastAsia="Calibri" w:hAnsi="Calibri"/>
                <w:sz w:val="18"/>
                <w:szCs w:val="18"/>
                <w:color w:val="0000FF"/>
              </w:rPr>
            </w:pPr>
            <w:hyperlink r:id="rId331">
              <w:r>
                <w:rPr>
                  <w:rFonts w:ascii="Calibri" w:cs="Calibri" w:eastAsia="Calibri" w:hAnsi="Calibri"/>
                  <w:sz w:val="18"/>
                  <w:szCs w:val="18"/>
                  <w:color w:val="0000FF"/>
                </w:rPr>
                <w:t>Employment Leter Agreement, dated June 25, 2020, by and between</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1">
              <w:r>
                <w:rPr>
                  <w:rFonts w:ascii="Calibri" w:cs="Calibri" w:eastAsia="Calibri" w:hAnsi="Calibri"/>
                  <w:sz w:val="18"/>
                  <w:szCs w:val="18"/>
                  <w:color w:val="0000FF"/>
                </w:rPr>
                <w:t>Todd Branning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10.14#</w:t>
            </w:r>
          </w:p>
        </w:tc>
        <w:tc>
          <w:tcPr>
            <w:tcW w:w="5180" w:type="dxa"/>
            <w:vAlign w:val="bottom"/>
            <w:gridSpan w:val="24"/>
          </w:tcPr>
          <w:p>
            <w:pPr>
              <w:spacing w:after="0"/>
              <w:rPr>
                <w:rFonts w:ascii="Calibri" w:cs="Calibri" w:eastAsia="Calibri" w:hAnsi="Calibri"/>
                <w:sz w:val="18"/>
                <w:szCs w:val="18"/>
                <w:color w:val="0000FF"/>
              </w:rPr>
            </w:pPr>
            <w:hyperlink r:id="rId332">
              <w:r>
                <w:rPr>
                  <w:rFonts w:ascii="Calibri" w:cs="Calibri" w:eastAsia="Calibri" w:hAnsi="Calibri"/>
                  <w:sz w:val="18"/>
                  <w:szCs w:val="18"/>
                  <w:color w:val="0000FF"/>
                </w:rPr>
                <w:t>Form of Indemnifcaton Agreement for Directors and Ofcers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Calibri" w:cs="Calibri" w:eastAsia="Calibri" w:hAnsi="Calibri"/>
                <w:sz w:val="18"/>
                <w:szCs w:val="18"/>
                <w:color w:val="auto"/>
              </w:rPr>
              <w:t>10.15†</w:t>
            </w:r>
          </w:p>
        </w:tc>
        <w:tc>
          <w:tcPr>
            <w:tcW w:w="5180" w:type="dxa"/>
            <w:vAlign w:val="bottom"/>
            <w:gridSpan w:val="24"/>
          </w:tcPr>
          <w:p>
            <w:pPr>
              <w:spacing w:after="0"/>
              <w:rPr>
                <w:rFonts w:ascii="Calibri" w:cs="Calibri" w:eastAsia="Calibri" w:hAnsi="Calibri"/>
                <w:sz w:val="18"/>
                <w:szCs w:val="18"/>
                <w:color w:val="0000FF"/>
              </w:rPr>
            </w:pPr>
            <w:hyperlink r:id="rId333">
              <w:r>
                <w:rPr>
                  <w:rFonts w:ascii="Calibri" w:cs="Calibri" w:eastAsia="Calibri" w:hAnsi="Calibri"/>
                  <w:sz w:val="18"/>
                  <w:szCs w:val="18"/>
                  <w:color w:val="0000FF"/>
                </w:rPr>
                <w:t>License Agreement, dated May 7, 2019, by and between Takeda</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3">
              <w:r>
                <w:rPr>
                  <w:rFonts w:ascii="Calibri" w:cs="Calibri" w:eastAsia="Calibri" w:hAnsi="Calibri"/>
                  <w:sz w:val="18"/>
                  <w:szCs w:val="18"/>
                  <w:color w:val="0000FF"/>
                </w:rPr>
                <w:t>Pharmaceutcals Company Limited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10.16</w:t>
            </w:r>
          </w:p>
        </w:tc>
        <w:tc>
          <w:tcPr>
            <w:tcW w:w="5180" w:type="dxa"/>
            <w:vAlign w:val="bottom"/>
            <w:gridSpan w:val="24"/>
          </w:tcPr>
          <w:p>
            <w:pPr>
              <w:spacing w:after="0"/>
              <w:rPr>
                <w:rFonts w:ascii="Calibri" w:cs="Calibri" w:eastAsia="Calibri" w:hAnsi="Calibri"/>
                <w:sz w:val="18"/>
                <w:szCs w:val="18"/>
                <w:color w:val="0000FF"/>
                <w:w w:val="96"/>
              </w:rPr>
            </w:pPr>
            <w:hyperlink r:id="rId334">
              <w:r>
                <w:rPr>
                  <w:rFonts w:ascii="Calibri" w:cs="Calibri" w:eastAsia="Calibri" w:hAnsi="Calibri"/>
                  <w:sz w:val="18"/>
                  <w:szCs w:val="18"/>
                  <w:color w:val="0000FF"/>
                  <w:w w:val="96"/>
                </w:rPr>
                <w:t>Loan and Security Agreement, dated May 14, 2019, by and among Silicon</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4">
              <w:r>
                <w:rPr>
                  <w:rFonts w:ascii="Calibri" w:cs="Calibri" w:eastAsia="Calibri" w:hAnsi="Calibri"/>
                  <w:sz w:val="18"/>
                  <w:szCs w:val="18"/>
                  <w:color w:val="0000FF"/>
                </w:rPr>
                <w:t>Valley Bank, WestRiver Innovaton Lending Fund VIII, L.P. and the</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4">
              <w:r>
                <w:rPr>
                  <w:rFonts w:ascii="Calibri" w:cs="Calibri" w:eastAsia="Calibri" w:hAnsi="Calibri"/>
                  <w:sz w:val="18"/>
                  <w:szCs w:val="18"/>
                  <w:color w:val="0000FF"/>
                </w:rPr>
                <w:t>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10.17</w:t>
            </w:r>
          </w:p>
        </w:tc>
        <w:tc>
          <w:tcPr>
            <w:tcW w:w="5180" w:type="dxa"/>
            <w:vAlign w:val="bottom"/>
            <w:gridSpan w:val="24"/>
          </w:tcPr>
          <w:p>
            <w:pPr>
              <w:spacing w:after="0"/>
              <w:rPr>
                <w:rFonts w:ascii="Calibri" w:cs="Calibri" w:eastAsia="Calibri" w:hAnsi="Calibri"/>
                <w:sz w:val="18"/>
                <w:szCs w:val="18"/>
                <w:color w:val="0000FF"/>
                <w:w w:val="96"/>
              </w:rPr>
            </w:pPr>
            <w:hyperlink r:id="rId335">
              <w:r>
                <w:rPr>
                  <w:rFonts w:ascii="Calibri" w:cs="Calibri" w:eastAsia="Calibri" w:hAnsi="Calibri"/>
                  <w:sz w:val="18"/>
                  <w:szCs w:val="18"/>
                  <w:color w:val="0000FF"/>
                  <w:w w:val="96"/>
                </w:rPr>
                <w:t>Amendment to the Loan and Security Agreement, dated March 11, 2020,</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5">
              <w:r>
                <w:rPr>
                  <w:rFonts w:ascii="Calibri" w:cs="Calibri" w:eastAsia="Calibri" w:hAnsi="Calibri"/>
                  <w:sz w:val="18"/>
                  <w:szCs w:val="18"/>
                  <w:color w:val="0000FF"/>
                </w:rPr>
                <w:t>by and among Silicon Valley Bank, WestRiver Innovaton Lending Fund</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5">
              <w:r>
                <w:rPr>
                  <w:rFonts w:ascii="Calibri" w:cs="Calibri" w:eastAsia="Calibri" w:hAnsi="Calibri"/>
                  <w:sz w:val="18"/>
                  <w:szCs w:val="18"/>
                  <w:color w:val="0000FF"/>
                </w:rPr>
                <w:t>VIII, L.P.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10.18#</w:t>
            </w:r>
          </w:p>
        </w:tc>
        <w:tc>
          <w:tcPr>
            <w:tcW w:w="5180" w:type="dxa"/>
            <w:vAlign w:val="bottom"/>
            <w:gridSpan w:val="24"/>
          </w:tcPr>
          <w:p>
            <w:pPr>
              <w:spacing w:after="0"/>
              <w:rPr>
                <w:rFonts w:ascii="Calibri" w:cs="Calibri" w:eastAsia="Calibri" w:hAnsi="Calibri"/>
                <w:sz w:val="18"/>
                <w:szCs w:val="18"/>
                <w:color w:val="0000FF"/>
                <w:w w:val="99"/>
              </w:rPr>
            </w:pPr>
            <w:hyperlink r:id="rId336">
              <w:r>
                <w:rPr>
                  <w:rFonts w:ascii="Calibri" w:cs="Calibri" w:eastAsia="Calibri" w:hAnsi="Calibri"/>
                  <w:sz w:val="18"/>
                  <w:szCs w:val="18"/>
                  <w:color w:val="0000FF"/>
                  <w:w w:val="99"/>
                </w:rPr>
                <w:t>Employment Leter Agreement, dated August 29, 2019, by and between</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6">
              <w:r>
                <w:rPr>
                  <w:rFonts w:ascii="Calibri" w:cs="Calibri" w:eastAsia="Calibri" w:hAnsi="Calibri"/>
                  <w:sz w:val="18"/>
                  <w:szCs w:val="18"/>
                  <w:color w:val="0000FF"/>
                </w:rPr>
                <w:t>Terrie Curran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10.19†</w:t>
            </w:r>
          </w:p>
        </w:tc>
        <w:tc>
          <w:tcPr>
            <w:tcW w:w="5180" w:type="dxa"/>
            <w:vAlign w:val="bottom"/>
            <w:gridSpan w:val="24"/>
          </w:tcPr>
          <w:p>
            <w:pPr>
              <w:spacing w:after="0"/>
              <w:rPr>
                <w:rFonts w:ascii="Calibri" w:cs="Calibri" w:eastAsia="Calibri" w:hAnsi="Calibri"/>
                <w:sz w:val="18"/>
                <w:szCs w:val="18"/>
                <w:color w:val="0000FF"/>
                <w:w w:val="97"/>
              </w:rPr>
            </w:pPr>
            <w:hyperlink r:id="rId337">
              <w:r>
                <w:rPr>
                  <w:rFonts w:ascii="Calibri" w:cs="Calibri" w:eastAsia="Calibri" w:hAnsi="Calibri"/>
                  <w:sz w:val="18"/>
                  <w:szCs w:val="18"/>
                  <w:color w:val="0000FF"/>
                  <w:w w:val="97"/>
                </w:rPr>
                <w:t>Commercial Supply Agreement, by and between Takeda Pharmaceutcals</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7">
              <w:r>
                <w:rPr>
                  <w:rFonts w:ascii="Calibri" w:cs="Calibri" w:eastAsia="Calibri" w:hAnsi="Calibri"/>
                  <w:sz w:val="18"/>
                  <w:szCs w:val="18"/>
                  <w:color w:val="0000FF"/>
                </w:rPr>
                <w:t>Company Limited and the Registrant, dated as of April 30,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10.20†</w:t>
            </w:r>
          </w:p>
        </w:tc>
        <w:tc>
          <w:tcPr>
            <w:tcW w:w="5180" w:type="dxa"/>
            <w:vAlign w:val="bottom"/>
            <w:gridSpan w:val="24"/>
          </w:tcPr>
          <w:p>
            <w:pPr>
              <w:spacing w:after="0"/>
              <w:rPr>
                <w:rFonts w:ascii="Calibri" w:cs="Calibri" w:eastAsia="Calibri" w:hAnsi="Calibri"/>
                <w:sz w:val="18"/>
                <w:szCs w:val="18"/>
                <w:color w:val="0000FF"/>
                <w:w w:val="99"/>
              </w:rPr>
            </w:pPr>
            <w:hyperlink r:id="rId338">
              <w:r>
                <w:rPr>
                  <w:rFonts w:ascii="Calibri" w:cs="Calibri" w:eastAsia="Calibri" w:hAnsi="Calibri"/>
                  <w:sz w:val="18"/>
                  <w:szCs w:val="18"/>
                  <w:color w:val="0000FF"/>
                  <w:w w:val="99"/>
                </w:rPr>
                <w:t>Amendment No. 1 to Takeda License Agreement, dated September 21,</w:t>
              </w:r>
            </w:hyperlink>
          </w:p>
        </w:tc>
      </w:tr>
      <w:tr>
        <w:trPr>
          <w:trHeight w:val="20"/>
        </w:trPr>
        <w:tc>
          <w:tcPr>
            <w:tcW w:w="11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60" w:type="dxa"/>
            <w:vAlign w:val="bottom"/>
          </w:tcPr>
          <w:p>
            <w:pPr>
              <w:spacing w:after="0" w:line="196" w:lineRule="exact"/>
              <w:rPr>
                <w:rFonts w:ascii="Calibri" w:cs="Calibri" w:eastAsia="Calibri" w:hAnsi="Calibri"/>
                <w:sz w:val="18"/>
                <w:szCs w:val="18"/>
                <w:color w:val="0000FF"/>
                <w:w w:val="87"/>
              </w:rPr>
            </w:pPr>
            <w:hyperlink r:id="rId338">
              <w:r>
                <w:rPr>
                  <w:rFonts w:ascii="Calibri" w:cs="Calibri" w:eastAsia="Calibri" w:hAnsi="Calibri"/>
                  <w:sz w:val="18"/>
                  <w:szCs w:val="18"/>
                  <w:color w:val="0000FF"/>
                  <w:w w:val="87"/>
                </w:rPr>
                <w:t>2020</w:t>
              </w:r>
            </w:hyperlink>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10.21†</w:t>
            </w:r>
          </w:p>
        </w:tc>
        <w:tc>
          <w:tcPr>
            <w:tcW w:w="5180" w:type="dxa"/>
            <w:vAlign w:val="bottom"/>
            <w:gridSpan w:val="24"/>
          </w:tcPr>
          <w:p>
            <w:pPr>
              <w:spacing w:after="0"/>
              <w:rPr>
                <w:rFonts w:ascii="Calibri" w:cs="Calibri" w:eastAsia="Calibri" w:hAnsi="Calibri"/>
                <w:sz w:val="18"/>
                <w:szCs w:val="18"/>
                <w:color w:val="0000FF"/>
              </w:rPr>
            </w:pPr>
            <w:hyperlink r:id="rId339">
              <w:r>
                <w:rPr>
                  <w:rFonts w:ascii="Calibri" w:cs="Calibri" w:eastAsia="Calibri" w:hAnsi="Calibri"/>
                  <w:sz w:val="18"/>
                  <w:szCs w:val="18"/>
                  <w:color w:val="0000FF"/>
                </w:rPr>
                <w:t>Supply and Packaging Services Agreement, by and between Sandoz</w:t>
              </w:r>
            </w:hyperlink>
          </w:p>
        </w:tc>
      </w:tr>
      <w:tr>
        <w:trPr>
          <w:trHeight w:val="20"/>
        </w:trPr>
        <w:tc>
          <w:tcPr>
            <w:tcW w:w="116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39">
              <w:r>
                <w:rPr>
                  <w:rFonts w:ascii="Calibri" w:cs="Calibri" w:eastAsia="Calibri" w:hAnsi="Calibri"/>
                  <w:sz w:val="18"/>
                  <w:szCs w:val="18"/>
                  <w:color w:val="0000FF"/>
                </w:rPr>
                <w:t>GmbH and the Registrant, dated December 30,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10.22</w:t>
            </w:r>
          </w:p>
        </w:tc>
        <w:tc>
          <w:tcPr>
            <w:tcW w:w="5180" w:type="dxa"/>
            <w:vAlign w:val="bottom"/>
            <w:gridSpan w:val="24"/>
          </w:tcPr>
          <w:p>
            <w:pPr>
              <w:spacing w:after="0"/>
              <w:rPr>
                <w:rFonts w:ascii="Calibri" w:cs="Calibri" w:eastAsia="Calibri" w:hAnsi="Calibri"/>
                <w:sz w:val="18"/>
                <w:szCs w:val="18"/>
                <w:color w:val="0000FF"/>
              </w:rPr>
            </w:pPr>
            <w:hyperlink r:id="rId340">
              <w:r>
                <w:rPr>
                  <w:rFonts w:ascii="Calibri" w:cs="Calibri" w:eastAsia="Calibri" w:hAnsi="Calibri"/>
                  <w:sz w:val="18"/>
                  <w:szCs w:val="18"/>
                  <w:color w:val="0000FF"/>
                </w:rPr>
                <w:t>Amendment No. 1 to Commercial Supply Agreement by and between</w:t>
              </w:r>
            </w:hyperlink>
          </w:p>
        </w:tc>
      </w:tr>
      <w:tr>
        <w:trPr>
          <w:trHeight w:val="20"/>
        </w:trPr>
        <w:tc>
          <w:tcPr>
            <w:tcW w:w="116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w w:val="96"/>
              </w:rPr>
            </w:pPr>
            <w:hyperlink r:id="rId340">
              <w:r>
                <w:rPr>
                  <w:rFonts w:ascii="Calibri" w:cs="Calibri" w:eastAsia="Calibri" w:hAnsi="Calibri"/>
                  <w:sz w:val="18"/>
                  <w:szCs w:val="18"/>
                  <w:color w:val="0000FF"/>
                  <w:w w:val="96"/>
                </w:rPr>
                <w:t>Takeda Pharmaceutcals Company Limited and the Registrant, dated as of</w:t>
              </w:r>
            </w:hyperlink>
          </w:p>
        </w:tc>
      </w:tr>
      <w:tr>
        <w:trPr>
          <w:trHeight w:val="20"/>
        </w:trPr>
        <w:tc>
          <w:tcPr>
            <w:tcW w:w="116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40">
              <w:r>
                <w:rPr>
                  <w:rFonts w:ascii="Calibri" w:cs="Calibri" w:eastAsia="Calibri" w:hAnsi="Calibri"/>
                  <w:sz w:val="18"/>
                  <w:szCs w:val="18"/>
                  <w:color w:val="0000FF"/>
                </w:rPr>
                <w:t>December 1,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10.23</w:t>
            </w:r>
          </w:p>
        </w:tc>
        <w:tc>
          <w:tcPr>
            <w:tcW w:w="5180" w:type="dxa"/>
            <w:vAlign w:val="bottom"/>
            <w:gridSpan w:val="24"/>
          </w:tcPr>
          <w:p>
            <w:pPr>
              <w:spacing w:after="0"/>
              <w:rPr>
                <w:rFonts w:ascii="Calibri" w:cs="Calibri" w:eastAsia="Calibri" w:hAnsi="Calibri"/>
                <w:sz w:val="18"/>
                <w:szCs w:val="18"/>
                <w:color w:val="0000FF"/>
                <w:w w:val="99"/>
              </w:rPr>
            </w:pPr>
            <w:hyperlink r:id="rId341">
              <w:r>
                <w:rPr>
                  <w:rFonts w:ascii="Calibri" w:cs="Calibri" w:eastAsia="Calibri" w:hAnsi="Calibri"/>
                  <w:sz w:val="18"/>
                  <w:szCs w:val="18"/>
                  <w:color w:val="0000FF"/>
                  <w:w w:val="99"/>
                </w:rPr>
                <w:t>Second Amendment to the Loan and Security Agreement, dated March</w:t>
              </w:r>
            </w:hyperlink>
          </w:p>
        </w:tc>
      </w:tr>
      <w:tr>
        <w:trPr>
          <w:trHeight w:val="20"/>
        </w:trPr>
        <w:tc>
          <w:tcPr>
            <w:tcW w:w="116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w w:val="99"/>
              </w:rPr>
            </w:pPr>
            <w:hyperlink r:id="rId341">
              <w:r>
                <w:rPr>
                  <w:rFonts w:ascii="Calibri" w:cs="Calibri" w:eastAsia="Calibri" w:hAnsi="Calibri"/>
                  <w:sz w:val="18"/>
                  <w:szCs w:val="18"/>
                  <w:color w:val="0000FF"/>
                  <w:w w:val="99"/>
                </w:rPr>
                <w:t>11, 2021, by and among Silicon Valley Bank, SVB Innovaton Credit Fund</w:t>
              </w:r>
            </w:hyperlink>
          </w:p>
        </w:tc>
      </w:tr>
      <w:tr>
        <w:trPr>
          <w:trHeight w:val="20"/>
        </w:trPr>
        <w:tc>
          <w:tcPr>
            <w:tcW w:w="116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41">
              <w:r>
                <w:rPr>
                  <w:rFonts w:ascii="Calibri" w:cs="Calibri" w:eastAsia="Calibri" w:hAnsi="Calibri"/>
                  <w:sz w:val="18"/>
                  <w:szCs w:val="18"/>
                  <w:color w:val="0000FF"/>
                </w:rPr>
                <w:t>VIII, L.P.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10.24</w:t>
            </w:r>
          </w:p>
        </w:tc>
        <w:tc>
          <w:tcPr>
            <w:tcW w:w="5180" w:type="dxa"/>
            <w:vAlign w:val="bottom"/>
            <w:gridSpan w:val="24"/>
          </w:tcPr>
          <w:p>
            <w:pPr>
              <w:spacing w:after="0"/>
              <w:rPr>
                <w:rFonts w:ascii="Calibri" w:cs="Calibri" w:eastAsia="Calibri" w:hAnsi="Calibri"/>
                <w:sz w:val="18"/>
                <w:szCs w:val="18"/>
                <w:color w:val="0000FF"/>
              </w:rPr>
            </w:pPr>
            <w:hyperlink r:id="rId342">
              <w:r>
                <w:rPr>
                  <w:rFonts w:ascii="Calibri" w:cs="Calibri" w:eastAsia="Calibri" w:hAnsi="Calibri"/>
                  <w:sz w:val="18"/>
                  <w:szCs w:val="18"/>
                  <w:color w:val="0000FF"/>
                </w:rPr>
                <w:t>Third Amendment to the Loan and Security Agreement, dated May 26,</w:t>
              </w:r>
            </w:hyperlink>
          </w:p>
        </w:tc>
      </w:tr>
      <w:tr>
        <w:trPr>
          <w:trHeight w:val="20"/>
        </w:trPr>
        <w:tc>
          <w:tcPr>
            <w:tcW w:w="116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w w:val="98"/>
              </w:rPr>
            </w:pPr>
            <w:hyperlink r:id="rId342">
              <w:r>
                <w:rPr>
                  <w:rFonts w:ascii="Calibri" w:cs="Calibri" w:eastAsia="Calibri" w:hAnsi="Calibri"/>
                  <w:sz w:val="18"/>
                  <w:szCs w:val="18"/>
                  <w:color w:val="0000FF"/>
                  <w:w w:val="98"/>
                </w:rPr>
                <w:t>2021, by and among Silicon Valley Bank, SVB Innovaton Credit Fund VIII,</w:t>
              </w:r>
            </w:hyperlink>
          </w:p>
        </w:tc>
      </w:tr>
      <w:tr>
        <w:trPr>
          <w:trHeight w:val="20"/>
        </w:trPr>
        <w:tc>
          <w:tcPr>
            <w:tcW w:w="116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42">
              <w:r>
                <w:rPr>
                  <w:rFonts w:ascii="Calibri" w:cs="Calibri" w:eastAsia="Calibri" w:hAnsi="Calibri"/>
                  <w:sz w:val="18"/>
                  <w:szCs w:val="18"/>
                  <w:color w:val="0000FF"/>
                </w:rPr>
                <w:t>L.P.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EE"/>
            </w:tcBorders>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10.25#</w:t>
            </w:r>
          </w:p>
        </w:tc>
        <w:tc>
          <w:tcPr>
            <w:tcW w:w="5180" w:type="dxa"/>
            <w:vAlign w:val="bottom"/>
            <w:gridSpan w:val="24"/>
          </w:tcPr>
          <w:p>
            <w:pPr>
              <w:spacing w:after="0"/>
              <w:rPr>
                <w:rFonts w:ascii="Calibri" w:cs="Calibri" w:eastAsia="Calibri" w:hAnsi="Calibri"/>
                <w:sz w:val="18"/>
                <w:szCs w:val="18"/>
                <w:color w:val="0000FF"/>
              </w:rPr>
            </w:pPr>
            <w:hyperlink r:id="rId343">
              <w:r>
                <w:rPr>
                  <w:rFonts w:ascii="Calibri" w:cs="Calibri" w:eastAsia="Calibri" w:hAnsi="Calibri"/>
                  <w:sz w:val="18"/>
                  <w:szCs w:val="18"/>
                  <w:color w:val="0000FF"/>
                </w:rPr>
                <w:t>Separaton and Release Agreement dated June 4, 2021, between the</w:t>
              </w:r>
            </w:hyperlink>
          </w:p>
        </w:tc>
      </w:tr>
      <w:tr>
        <w:trPr>
          <w:trHeight w:val="20"/>
        </w:trPr>
        <w:tc>
          <w:tcPr>
            <w:tcW w:w="1160" w:type="dxa"/>
            <w:vAlign w:val="bottom"/>
          </w:tcPr>
          <w:p>
            <w:pPr>
              <w:spacing w:after="0" w:line="20" w:lineRule="exact"/>
              <w:rPr>
                <w:sz w:val="1"/>
                <w:szCs w:val="1"/>
                <w:color w:val="auto"/>
              </w:rPr>
            </w:pPr>
          </w:p>
        </w:tc>
        <w:tc>
          <w:tcPr>
            <w:tcW w:w="198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43">
              <w:r>
                <w:rPr>
                  <w:rFonts w:ascii="Calibri" w:cs="Calibri" w:eastAsia="Calibri" w:hAnsi="Calibri"/>
                  <w:sz w:val="18"/>
                  <w:szCs w:val="18"/>
                  <w:color w:val="0000FF"/>
                </w:rPr>
                <w:t>Registrant and Todd Branning</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10.26†</w:t>
            </w:r>
          </w:p>
        </w:tc>
        <w:tc>
          <w:tcPr>
            <w:tcW w:w="5180" w:type="dxa"/>
            <w:vAlign w:val="bottom"/>
            <w:gridSpan w:val="24"/>
          </w:tcPr>
          <w:p>
            <w:pPr>
              <w:spacing w:after="0"/>
              <w:rPr>
                <w:rFonts w:ascii="Calibri" w:cs="Calibri" w:eastAsia="Calibri" w:hAnsi="Calibri"/>
                <w:sz w:val="18"/>
                <w:szCs w:val="18"/>
                <w:color w:val="0000FF"/>
              </w:rPr>
            </w:pPr>
            <w:hyperlink r:id="rId344">
              <w:r>
                <w:rPr>
                  <w:rFonts w:ascii="Calibri" w:cs="Calibri" w:eastAsia="Calibri" w:hAnsi="Calibri"/>
                  <w:sz w:val="18"/>
                  <w:szCs w:val="18"/>
                  <w:color w:val="0000FF"/>
                </w:rPr>
                <w:t>Commercial Supply Agreement with Catalent Pharma Solutons, LLC</w:t>
              </w:r>
            </w:hyperlink>
          </w:p>
        </w:tc>
      </w:tr>
      <w:tr>
        <w:trPr>
          <w:trHeight w:val="20"/>
        </w:trPr>
        <w:tc>
          <w:tcPr>
            <w:tcW w:w="1160" w:type="dxa"/>
            <w:vAlign w:val="bottom"/>
          </w:tcPr>
          <w:p>
            <w:pPr>
              <w:spacing w:after="0" w:line="20" w:lineRule="exact"/>
              <w:rPr>
                <w:sz w:val="1"/>
                <w:szCs w:val="1"/>
                <w:color w:val="auto"/>
              </w:rPr>
            </w:pPr>
          </w:p>
        </w:tc>
        <w:tc>
          <w:tcPr>
            <w:tcW w:w="198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44">
              <w:r>
                <w:rPr>
                  <w:rFonts w:ascii="Calibri" w:cs="Calibri" w:eastAsia="Calibri" w:hAnsi="Calibri"/>
                  <w:sz w:val="18"/>
                  <w:szCs w:val="18"/>
                  <w:color w:val="0000FF"/>
                </w:rPr>
                <w:t>entered into on July 2,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gridSpan w:val="6"/>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10.27#</w:t>
            </w:r>
          </w:p>
        </w:tc>
        <w:tc>
          <w:tcPr>
            <w:tcW w:w="5180" w:type="dxa"/>
            <w:vAlign w:val="bottom"/>
            <w:gridSpan w:val="24"/>
          </w:tcPr>
          <w:p>
            <w:pPr>
              <w:spacing w:after="0"/>
              <w:rPr>
                <w:rFonts w:ascii="Calibri" w:cs="Calibri" w:eastAsia="Calibri" w:hAnsi="Calibri"/>
                <w:sz w:val="18"/>
                <w:szCs w:val="18"/>
                <w:color w:val="0000FF"/>
              </w:rPr>
            </w:pPr>
            <w:hyperlink r:id="rId345">
              <w:r>
                <w:rPr>
                  <w:rFonts w:ascii="Calibri" w:cs="Calibri" w:eastAsia="Calibri" w:hAnsi="Calibri"/>
                  <w:sz w:val="18"/>
                  <w:szCs w:val="18"/>
                  <w:color w:val="0000FF"/>
                </w:rPr>
                <w:t>Amended and Restated Non-Employee Director Compensaton Policy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60" w:type="dxa"/>
            <w:vAlign w:val="bottom"/>
            <w:gridSpan w:val="11"/>
            <w:shd w:val="clear" w:color="auto" w:fill="0000FF"/>
          </w:tcPr>
          <w:p>
            <w:pPr>
              <w:spacing w:after="0" w:line="20" w:lineRule="exact"/>
              <w:rPr>
                <w:sz w:val="1"/>
                <w:szCs w:val="1"/>
                <w:color w:val="auto"/>
              </w:rPr>
            </w:pPr>
          </w:p>
        </w:tc>
        <w:tc>
          <w:tcPr>
            <w:tcW w:w="2440" w:type="dxa"/>
            <w:vAlign w:val="bottom"/>
            <w:tcBorders>
              <w:right w:val="single" w:sz="8" w:color="0000EE"/>
            </w:tcBorders>
            <w:gridSpan w:val="8"/>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77"/>
        </w:trPr>
        <w:tc>
          <w:tcPr>
            <w:tcW w:w="1160" w:type="dxa"/>
            <w:vAlign w:val="bottom"/>
          </w:tcPr>
          <w:p>
            <w:pPr>
              <w:spacing w:after="0"/>
              <w:rPr>
                <w:sz w:val="20"/>
                <w:szCs w:val="20"/>
                <w:color w:val="auto"/>
              </w:rPr>
            </w:pPr>
            <w:r>
              <w:rPr>
                <w:rFonts w:ascii="Calibri" w:cs="Calibri" w:eastAsia="Calibri" w:hAnsi="Calibri"/>
                <w:sz w:val="18"/>
                <w:szCs w:val="18"/>
                <w:color w:val="auto"/>
              </w:rPr>
              <w:t>10.28</w:t>
            </w:r>
          </w:p>
        </w:tc>
        <w:tc>
          <w:tcPr>
            <w:tcW w:w="5180" w:type="dxa"/>
            <w:vAlign w:val="bottom"/>
            <w:gridSpan w:val="24"/>
          </w:tcPr>
          <w:p>
            <w:pPr>
              <w:spacing w:after="0"/>
              <w:rPr>
                <w:rFonts w:ascii="Calibri" w:cs="Calibri" w:eastAsia="Calibri" w:hAnsi="Calibri"/>
                <w:sz w:val="18"/>
                <w:szCs w:val="18"/>
                <w:color w:val="0000FF"/>
                <w:w w:val="97"/>
              </w:rPr>
            </w:pPr>
            <w:hyperlink r:id="rId346">
              <w:r>
                <w:rPr>
                  <w:rFonts w:ascii="Calibri" w:cs="Calibri" w:eastAsia="Calibri" w:hAnsi="Calibri"/>
                  <w:sz w:val="18"/>
                  <w:szCs w:val="18"/>
                  <w:color w:val="0000FF"/>
                  <w:w w:val="97"/>
                </w:rPr>
                <w:t>Loan and Security Agreement, dated September 17, 2021, by and among</w:t>
              </w:r>
            </w:hyperlink>
          </w:p>
        </w:tc>
      </w:tr>
      <w:tr>
        <w:trPr>
          <w:trHeight w:val="20"/>
        </w:trPr>
        <w:tc>
          <w:tcPr>
            <w:tcW w:w="1160" w:type="dxa"/>
            <w:vAlign w:val="bottom"/>
          </w:tcPr>
          <w:p>
            <w:pPr>
              <w:spacing w:after="0" w:line="20" w:lineRule="exact"/>
              <w:rPr>
                <w:sz w:val="1"/>
                <w:szCs w:val="1"/>
                <w:color w:val="auto"/>
              </w:rPr>
            </w:pPr>
          </w:p>
        </w:tc>
        <w:tc>
          <w:tcPr>
            <w:tcW w:w="2460" w:type="dxa"/>
            <w:vAlign w:val="bottom"/>
            <w:gridSpan w:val="11"/>
            <w:shd w:val="clear" w:color="auto" w:fill="0000FF"/>
          </w:tcPr>
          <w:p>
            <w:pPr>
              <w:spacing w:after="0" w:line="20" w:lineRule="exact"/>
              <w:rPr>
                <w:sz w:val="1"/>
                <w:szCs w:val="1"/>
                <w:color w:val="auto"/>
              </w:rPr>
            </w:pPr>
          </w:p>
        </w:tc>
        <w:tc>
          <w:tcPr>
            <w:tcW w:w="2720" w:type="dxa"/>
            <w:vAlign w:val="bottom"/>
            <w:gridSpan w:val="13"/>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24"/>
          </w:tcPr>
          <w:p>
            <w:pPr>
              <w:spacing w:after="0" w:line="196" w:lineRule="exact"/>
              <w:rPr>
                <w:rFonts w:ascii="Calibri" w:cs="Calibri" w:eastAsia="Calibri" w:hAnsi="Calibri"/>
                <w:sz w:val="18"/>
                <w:szCs w:val="18"/>
                <w:color w:val="0000FF"/>
              </w:rPr>
            </w:pPr>
            <w:hyperlink r:id="rId346">
              <w:r>
                <w:rPr>
                  <w:rFonts w:ascii="Calibri" w:cs="Calibri" w:eastAsia="Calibri" w:hAnsi="Calibri"/>
                  <w:sz w:val="18"/>
                  <w:szCs w:val="18"/>
                  <w:color w:val="0000FF"/>
                </w:rPr>
                <w:t>Hercules Capital and the Registrant</w:t>
              </w:r>
            </w:hyperlink>
          </w:p>
        </w:tc>
      </w:tr>
      <w:tr>
        <w:trPr>
          <w:trHeight w:val="480"/>
        </w:trPr>
        <w:tc>
          <w:tcPr>
            <w:tcW w:w="1160" w:type="dxa"/>
            <w:vAlign w:val="bottom"/>
          </w:tcPr>
          <w:p>
            <w:pPr>
              <w:spacing w:after="0"/>
              <w:rPr>
                <w:sz w:val="24"/>
                <w:szCs w:val="24"/>
                <w:color w:val="auto"/>
              </w:rPr>
            </w:pPr>
          </w:p>
        </w:tc>
        <w:tc>
          <w:tcPr>
            <w:tcW w:w="2460" w:type="dxa"/>
            <w:vAlign w:val="bottom"/>
            <w:tcBorders>
              <w:top w:val="single" w:sz="8" w:color="0000FF"/>
            </w:tcBorders>
            <w:gridSpan w:val="11"/>
          </w:tcPr>
          <w:p>
            <w:pPr>
              <w:spacing w:after="0"/>
              <w:rPr>
                <w:sz w:val="24"/>
                <w:szCs w:val="24"/>
                <w:color w:val="auto"/>
              </w:rPr>
            </w:pPr>
          </w:p>
        </w:tc>
        <w:tc>
          <w:tcPr>
            <w:tcW w:w="2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10.8</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10.9</w:t>
            </w:r>
          </w:p>
        </w:tc>
      </w:tr>
      <w:tr>
        <w:trPr>
          <w:trHeight w:val="675"/>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8-K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7-13-2020</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10.11</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10.12</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10.13</w:t>
            </w:r>
          </w:p>
        </w:tc>
      </w:tr>
      <w:tr>
        <w:trPr>
          <w:trHeight w:val="675"/>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5-12-2020</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675"/>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10.14</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8-6-2020</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3-30-2021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10.20</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3-30-2021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10.21</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3-30-2021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10.22</w:t>
            </w:r>
          </w:p>
        </w:tc>
      </w:tr>
      <w:tr>
        <w:trPr>
          <w:trHeight w:val="675"/>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5-11-2021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675"/>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675"/>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10.3</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10.4</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10.5</w:t>
            </w:r>
          </w:p>
        </w:tc>
      </w:tr>
      <w:tr>
        <w:trPr>
          <w:trHeight w:val="297"/>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11-8-2021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bl>
    <w:p>
      <w:pPr>
        <w:sectPr>
          <w:pgSz w:w="11900" w:h="16838" w:orient="portrait"/>
          <w:cols w:equalWidth="0" w:num="2">
            <w:col w:w="6340" w:space="620"/>
            <w:col w:w="3159"/>
          </w:cols>
          <w:pgMar w:left="340" w:top="311" w:right="1440"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Calibri" w:cs="Calibri" w:eastAsia="Calibri" w:hAnsi="Calibri"/>
                <w:sz w:val="18"/>
                <w:szCs w:val="18"/>
                <w:color w:val="auto"/>
              </w:rPr>
              <w:t>10.29</w:t>
            </w:r>
          </w:p>
        </w:tc>
        <w:tc>
          <w:tcPr>
            <w:tcW w:w="5180" w:type="dxa"/>
            <w:vAlign w:val="bottom"/>
            <w:gridSpan w:val="16"/>
          </w:tcPr>
          <w:p>
            <w:pPr>
              <w:spacing w:after="0"/>
              <w:rPr>
                <w:rFonts w:ascii="Calibri" w:cs="Calibri" w:eastAsia="Calibri" w:hAnsi="Calibri"/>
                <w:sz w:val="18"/>
                <w:szCs w:val="18"/>
                <w:color w:val="0000FF"/>
                <w:w w:val="98"/>
              </w:rPr>
            </w:pPr>
            <w:hyperlink r:id="rId348">
              <w:r>
                <w:rPr>
                  <w:rFonts w:ascii="Calibri" w:cs="Calibri" w:eastAsia="Calibri" w:hAnsi="Calibri"/>
                  <w:sz w:val="18"/>
                  <w:szCs w:val="18"/>
                  <w:color w:val="0000FF"/>
                  <w:w w:val="98"/>
                </w:rPr>
                <w:t>Warrant to purchase stock issued to Hercules Capital, dated September</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20" w:type="dxa"/>
            <w:vAlign w:val="bottom"/>
          </w:tcPr>
          <w:p>
            <w:pPr>
              <w:spacing w:after="0" w:line="196" w:lineRule="exact"/>
              <w:rPr>
                <w:rFonts w:ascii="Calibri" w:cs="Calibri" w:eastAsia="Calibri" w:hAnsi="Calibri"/>
                <w:sz w:val="18"/>
                <w:szCs w:val="18"/>
                <w:color w:val="0000FF"/>
                <w:w w:val="91"/>
              </w:rPr>
            </w:pPr>
            <w:hyperlink r:id="rId348">
              <w:r>
                <w:rPr>
                  <w:rFonts w:ascii="Calibri" w:cs="Calibri" w:eastAsia="Calibri" w:hAnsi="Calibri"/>
                  <w:sz w:val="18"/>
                  <w:szCs w:val="18"/>
                  <w:color w:val="0000FF"/>
                  <w:w w:val="91"/>
                </w:rPr>
                <w:t>17, 2021</w:t>
              </w:r>
            </w:hyperlink>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10.30†</w:t>
            </w:r>
          </w:p>
        </w:tc>
        <w:tc>
          <w:tcPr>
            <w:tcW w:w="5180" w:type="dxa"/>
            <w:vAlign w:val="bottom"/>
            <w:gridSpan w:val="16"/>
          </w:tcPr>
          <w:p>
            <w:pPr>
              <w:spacing w:after="0"/>
              <w:rPr>
                <w:rFonts w:ascii="Calibri" w:cs="Calibri" w:eastAsia="Calibri" w:hAnsi="Calibri"/>
                <w:sz w:val="18"/>
                <w:szCs w:val="18"/>
                <w:color w:val="0000FF"/>
              </w:rPr>
            </w:pPr>
            <w:hyperlink r:id="rId349">
              <w:r>
                <w:rPr>
                  <w:rFonts w:ascii="Calibri" w:cs="Calibri" w:eastAsia="Calibri" w:hAnsi="Calibri"/>
                  <w:sz w:val="18"/>
                  <w:szCs w:val="18"/>
                  <w:color w:val="0000FF"/>
                </w:rPr>
                <w:t>First Amendment to the Supply and Packaging Services Agreement, by</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w w:val="97"/>
              </w:rPr>
            </w:pPr>
            <w:hyperlink r:id="rId349">
              <w:r>
                <w:rPr>
                  <w:rFonts w:ascii="Calibri" w:cs="Calibri" w:eastAsia="Calibri" w:hAnsi="Calibri"/>
                  <w:sz w:val="18"/>
                  <w:szCs w:val="18"/>
                  <w:color w:val="0000FF"/>
                  <w:w w:val="97"/>
                </w:rPr>
                <w:t>and between Sandoz GmbH and the Registrant, dated December 4,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10.31#</w:t>
            </w:r>
          </w:p>
        </w:tc>
        <w:tc>
          <w:tcPr>
            <w:tcW w:w="5180" w:type="dxa"/>
            <w:vAlign w:val="bottom"/>
            <w:gridSpan w:val="16"/>
          </w:tcPr>
          <w:p>
            <w:pPr>
              <w:spacing w:after="0"/>
              <w:rPr>
                <w:rFonts w:ascii="Calibri" w:cs="Calibri" w:eastAsia="Calibri" w:hAnsi="Calibri"/>
                <w:sz w:val="18"/>
                <w:szCs w:val="18"/>
                <w:color w:val="0000FF"/>
                <w:w w:val="99"/>
              </w:rPr>
            </w:pPr>
            <w:hyperlink r:id="rId350">
              <w:r>
                <w:rPr>
                  <w:rFonts w:ascii="Calibri" w:cs="Calibri" w:eastAsia="Calibri" w:hAnsi="Calibri"/>
                  <w:sz w:val="18"/>
                  <w:szCs w:val="18"/>
                  <w:color w:val="0000FF"/>
                  <w:w w:val="99"/>
                </w:rPr>
                <w:t>Employment Leter Agreement, dated March 22, 2022, by and between</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rPr>
            </w:pPr>
            <w:hyperlink r:id="rId350">
              <w:r>
                <w:rPr>
                  <w:rFonts w:ascii="Calibri" w:cs="Calibri" w:eastAsia="Calibri" w:hAnsi="Calibri"/>
                  <w:sz w:val="18"/>
                  <w:szCs w:val="18"/>
                  <w:color w:val="0000FF"/>
                </w:rPr>
                <w:t>Molly Henderson and the Company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10.32</w:t>
            </w:r>
          </w:p>
        </w:tc>
        <w:tc>
          <w:tcPr>
            <w:tcW w:w="5180" w:type="dxa"/>
            <w:vAlign w:val="bottom"/>
            <w:gridSpan w:val="16"/>
          </w:tcPr>
          <w:p>
            <w:pPr>
              <w:spacing w:after="0"/>
              <w:rPr>
                <w:rFonts w:ascii="Calibri" w:cs="Calibri" w:eastAsia="Calibri" w:hAnsi="Calibri"/>
                <w:sz w:val="18"/>
                <w:szCs w:val="18"/>
                <w:color w:val="0000FF"/>
              </w:rPr>
            </w:pPr>
            <w:hyperlink r:id="rId351">
              <w:r>
                <w:rPr>
                  <w:rFonts w:ascii="Calibri" w:cs="Calibri" w:eastAsia="Calibri" w:hAnsi="Calibri"/>
                  <w:sz w:val="18"/>
                  <w:szCs w:val="18"/>
                  <w:color w:val="0000FF"/>
                </w:rPr>
                <w:t>Form of Restricted Stock Grant Notce and Restricted Stock Agreement</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rPr>
            </w:pPr>
            <w:hyperlink r:id="rId351">
              <w:r>
                <w:rPr>
                  <w:rFonts w:ascii="Calibri" w:cs="Calibri" w:eastAsia="Calibri" w:hAnsi="Calibri"/>
                  <w:sz w:val="18"/>
                  <w:szCs w:val="18"/>
                  <w:color w:val="0000FF"/>
                </w:rPr>
                <w:t>under Phathom Pharmaceutcals, Inc. 2019 Equity Incentve Plan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10.31†</w:t>
            </w:r>
          </w:p>
        </w:tc>
        <w:tc>
          <w:tcPr>
            <w:tcW w:w="5180" w:type="dxa"/>
            <w:vAlign w:val="bottom"/>
            <w:gridSpan w:val="16"/>
          </w:tcPr>
          <w:p>
            <w:pPr>
              <w:spacing w:after="0"/>
              <w:rPr>
                <w:rFonts w:ascii="Calibri" w:cs="Calibri" w:eastAsia="Calibri" w:hAnsi="Calibri"/>
                <w:sz w:val="18"/>
                <w:szCs w:val="18"/>
                <w:color w:val="0000FF"/>
              </w:rPr>
            </w:pPr>
            <w:hyperlink r:id="rId352">
              <w:r>
                <w:rPr>
                  <w:rFonts w:ascii="Calibri" w:cs="Calibri" w:eastAsia="Calibri" w:hAnsi="Calibri"/>
                  <w:sz w:val="18"/>
                  <w:szCs w:val="18"/>
                  <w:color w:val="0000FF"/>
                </w:rPr>
                <w:t>Revenue Interest Financing Agreement, dated May 3, 2022, by and</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rPr>
            </w:pPr>
            <w:hyperlink r:id="rId352">
              <w:r>
                <w:rPr>
                  <w:rFonts w:ascii="Calibri" w:cs="Calibri" w:eastAsia="Calibri" w:hAnsi="Calibri"/>
                  <w:sz w:val="18"/>
                  <w:szCs w:val="18"/>
                  <w:color w:val="0000FF"/>
                </w:rPr>
                <w:t>among NovaQuest Capital Management, Sagard Holding Manager,</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rPr>
            </w:pPr>
            <w:hyperlink r:id="rId352">
              <w:r>
                <w:rPr>
                  <w:rFonts w:ascii="Calibri" w:cs="Calibri" w:eastAsia="Calibri" w:hAnsi="Calibri"/>
                  <w:sz w:val="18"/>
                  <w:szCs w:val="18"/>
                  <w:color w:val="0000FF"/>
                </w:rPr>
                <w:t>Hercules Capital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10.32</w:t>
            </w:r>
          </w:p>
        </w:tc>
        <w:tc>
          <w:tcPr>
            <w:tcW w:w="5180" w:type="dxa"/>
            <w:vAlign w:val="bottom"/>
            <w:gridSpan w:val="16"/>
          </w:tcPr>
          <w:p>
            <w:pPr>
              <w:spacing w:after="0"/>
              <w:rPr>
                <w:rFonts w:ascii="Calibri" w:cs="Calibri" w:eastAsia="Calibri" w:hAnsi="Calibri"/>
                <w:sz w:val="18"/>
                <w:szCs w:val="18"/>
                <w:color w:val="0000FF"/>
                <w:w w:val="98"/>
              </w:rPr>
            </w:pPr>
            <w:hyperlink r:id="rId353">
              <w:r>
                <w:rPr>
                  <w:rFonts w:ascii="Calibri" w:cs="Calibri" w:eastAsia="Calibri" w:hAnsi="Calibri"/>
                  <w:sz w:val="18"/>
                  <w:szCs w:val="18"/>
                  <w:color w:val="0000FF"/>
                  <w:w w:val="98"/>
                </w:rPr>
                <w:t>Amendment to the Loan and Security Agreement, dated September 17,</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rPr>
            </w:pPr>
            <w:hyperlink r:id="rId353">
              <w:r>
                <w:rPr>
                  <w:rFonts w:ascii="Calibri" w:cs="Calibri" w:eastAsia="Calibri" w:hAnsi="Calibri"/>
                  <w:sz w:val="18"/>
                  <w:szCs w:val="18"/>
                  <w:color w:val="0000FF"/>
                </w:rPr>
                <w:t>2021, by and among Hercules Capital and the Registrant</w:t>
              </w:r>
              <w:r>
                <w:rPr>
                  <w:rFonts w:ascii="Calibri" w:cs="Calibri" w:eastAsia="Calibri" w:hAnsi="Calibri"/>
                  <w:sz w:val="18"/>
                  <w:szCs w:val="18"/>
                  <w:color w:val="000000"/>
                </w:rPr>
                <w: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10.33#</w:t>
            </w:r>
          </w:p>
        </w:tc>
        <w:tc>
          <w:tcPr>
            <w:tcW w:w="5180" w:type="dxa"/>
            <w:vAlign w:val="bottom"/>
            <w:gridSpan w:val="16"/>
          </w:tcPr>
          <w:p>
            <w:pPr>
              <w:spacing w:after="0"/>
              <w:rPr>
                <w:rFonts w:ascii="Calibri" w:cs="Calibri" w:eastAsia="Calibri" w:hAnsi="Calibri"/>
                <w:sz w:val="18"/>
                <w:szCs w:val="18"/>
                <w:color w:val="0000FF"/>
              </w:rPr>
            </w:pPr>
            <w:hyperlink r:id="rId354">
              <w:r>
                <w:rPr>
                  <w:rFonts w:ascii="Calibri" w:cs="Calibri" w:eastAsia="Calibri" w:hAnsi="Calibri"/>
                  <w:sz w:val="18"/>
                  <w:szCs w:val="18"/>
                  <w:color w:val="0000FF"/>
                </w:rPr>
                <w:t>Amended and Restated Non-Employee Director Compensaton Policy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10.34#</w:t>
            </w:r>
          </w:p>
        </w:tc>
        <w:tc>
          <w:tcPr>
            <w:tcW w:w="5180" w:type="dxa"/>
            <w:vAlign w:val="bottom"/>
            <w:gridSpan w:val="16"/>
          </w:tcPr>
          <w:p>
            <w:pPr>
              <w:spacing w:after="0"/>
              <w:rPr>
                <w:rFonts w:ascii="Calibri" w:cs="Calibri" w:eastAsia="Calibri" w:hAnsi="Calibri"/>
                <w:sz w:val="18"/>
                <w:szCs w:val="18"/>
                <w:color w:val="0000FF"/>
                <w:w w:val="99"/>
              </w:rPr>
            </w:pPr>
            <w:hyperlink r:id="rId355">
              <w:r>
                <w:rPr>
                  <w:rFonts w:ascii="Calibri" w:cs="Calibri" w:eastAsia="Calibri" w:hAnsi="Calibri"/>
                  <w:sz w:val="18"/>
                  <w:szCs w:val="18"/>
                  <w:color w:val="0000FF"/>
                  <w:w w:val="99"/>
                </w:rPr>
                <w:t>Transiton and Separaton Agreement and Release of Claims, dated April</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rPr>
            </w:pPr>
            <w:hyperlink r:id="rId355">
              <w:r>
                <w:rPr>
                  <w:rFonts w:ascii="Calibri" w:cs="Calibri" w:eastAsia="Calibri" w:hAnsi="Calibri"/>
                  <w:sz w:val="18"/>
                  <w:szCs w:val="18"/>
                  <w:color w:val="0000FF"/>
                </w:rPr>
                <w:t>5, 2022, by and between the Registrant and Anthony Guzzo</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10.35†</w:t>
            </w:r>
          </w:p>
        </w:tc>
        <w:tc>
          <w:tcPr>
            <w:tcW w:w="5180" w:type="dxa"/>
            <w:vAlign w:val="bottom"/>
            <w:gridSpan w:val="16"/>
          </w:tcPr>
          <w:p>
            <w:pPr>
              <w:spacing w:after="0"/>
              <w:rPr>
                <w:rFonts w:ascii="Calibri" w:cs="Calibri" w:eastAsia="Calibri" w:hAnsi="Calibri"/>
                <w:sz w:val="18"/>
                <w:szCs w:val="18"/>
                <w:color w:val="0000FF"/>
              </w:rPr>
            </w:pPr>
            <w:hyperlink r:id="rId356">
              <w:r>
                <w:rPr>
                  <w:rFonts w:ascii="Calibri" w:cs="Calibri" w:eastAsia="Calibri" w:hAnsi="Calibri"/>
                  <w:sz w:val="18"/>
                  <w:szCs w:val="18"/>
                  <w:color w:val="0000FF"/>
                </w:rPr>
                <w:t>Commercial Supply Agreement with Evonik Operatons GmbH entered</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rPr>
            </w:pPr>
            <w:hyperlink r:id="rId356">
              <w:r>
                <w:rPr>
                  <w:rFonts w:ascii="Calibri" w:cs="Calibri" w:eastAsia="Calibri" w:hAnsi="Calibri"/>
                  <w:sz w:val="18"/>
                  <w:szCs w:val="18"/>
                  <w:color w:val="0000FF"/>
                </w:rPr>
                <w:t>into on August 1,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10.36</w:t>
            </w:r>
          </w:p>
        </w:tc>
        <w:tc>
          <w:tcPr>
            <w:tcW w:w="5180" w:type="dxa"/>
            <w:vAlign w:val="bottom"/>
            <w:gridSpan w:val="16"/>
          </w:tcPr>
          <w:p>
            <w:pPr>
              <w:spacing w:after="0"/>
              <w:rPr>
                <w:rFonts w:ascii="Calibri" w:cs="Calibri" w:eastAsia="Calibri" w:hAnsi="Calibri"/>
                <w:sz w:val="18"/>
                <w:szCs w:val="18"/>
                <w:color w:val="0000FF"/>
              </w:rPr>
            </w:pPr>
            <w:hyperlink r:id="rId357">
              <w:r>
                <w:rPr>
                  <w:rFonts w:ascii="Calibri" w:cs="Calibri" w:eastAsia="Calibri" w:hAnsi="Calibri"/>
                  <w:sz w:val="18"/>
                  <w:szCs w:val="18"/>
                  <w:color w:val="0000FF"/>
                </w:rPr>
                <w:t>Second Amendment to the Loan and Security Agreement, dated</w:t>
              </w:r>
            </w:hyperlink>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rFonts w:ascii="Calibri" w:cs="Calibri" w:eastAsia="Calibri" w:hAnsi="Calibri"/>
                <w:sz w:val="18"/>
                <w:szCs w:val="18"/>
                <w:color w:val="0000FF"/>
                <w:w w:val="98"/>
              </w:rPr>
            </w:pPr>
            <w:hyperlink r:id="rId357">
              <w:r>
                <w:rPr>
                  <w:rFonts w:ascii="Calibri" w:cs="Calibri" w:eastAsia="Calibri" w:hAnsi="Calibri"/>
                  <w:sz w:val="18"/>
                  <w:szCs w:val="18"/>
                  <w:color w:val="0000FF"/>
                  <w:w w:val="98"/>
                </w:rPr>
                <w:t>September 17, 2021, by and among Hercules Capital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10.37†</w:t>
            </w:r>
          </w:p>
        </w:tc>
        <w:tc>
          <w:tcPr>
            <w:tcW w:w="5180" w:type="dxa"/>
            <w:vAlign w:val="bottom"/>
            <w:gridSpan w:val="16"/>
          </w:tcPr>
          <w:p>
            <w:pPr>
              <w:spacing w:after="0"/>
              <w:rPr>
                <w:sz w:val="20"/>
                <w:szCs w:val="20"/>
                <w:color w:val="auto"/>
              </w:rPr>
            </w:pPr>
            <w:r>
              <w:rPr>
                <w:rFonts w:ascii="Calibri" w:cs="Calibri" w:eastAsia="Calibri" w:hAnsi="Calibri"/>
                <w:sz w:val="18"/>
                <w:szCs w:val="18"/>
                <w:color w:val="0000FF"/>
              </w:rPr>
              <w:t>Joinder and Waiver agreement dated October 31, 2022 by and among</w:t>
            </w:r>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sz w:val="20"/>
                <w:szCs w:val="20"/>
                <w:color w:val="auto"/>
              </w:rPr>
            </w:pPr>
            <w:r>
              <w:rPr>
                <w:rFonts w:ascii="Calibri" w:cs="Calibri" w:eastAsia="Calibri" w:hAnsi="Calibri"/>
                <w:sz w:val="18"/>
                <w:szCs w:val="18"/>
                <w:color w:val="0000FF"/>
              </w:rPr>
              <w:t>Hercules Capital, CO Finance LVS XXXVII LLC and the Registrant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23.1</w:t>
            </w:r>
          </w:p>
        </w:tc>
        <w:tc>
          <w:tcPr>
            <w:tcW w:w="5180" w:type="dxa"/>
            <w:vAlign w:val="bottom"/>
            <w:gridSpan w:val="16"/>
          </w:tcPr>
          <w:p>
            <w:pPr>
              <w:spacing w:after="0"/>
              <w:rPr>
                <w:sz w:val="20"/>
                <w:szCs w:val="20"/>
                <w:color w:val="auto"/>
              </w:rPr>
            </w:pPr>
            <w:r>
              <w:rPr>
                <w:rFonts w:ascii="Calibri" w:cs="Calibri" w:eastAsia="Calibri" w:hAnsi="Calibri"/>
                <w:sz w:val="18"/>
                <w:szCs w:val="18"/>
                <w:color w:val="0000FF"/>
              </w:rPr>
              <w:t>Consent of independent registered public accountng frm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24.1</w:t>
            </w:r>
          </w:p>
        </w:tc>
        <w:tc>
          <w:tcPr>
            <w:tcW w:w="5180" w:type="dxa"/>
            <w:vAlign w:val="bottom"/>
            <w:gridSpan w:val="16"/>
          </w:tcPr>
          <w:p>
            <w:pPr>
              <w:spacing w:after="0"/>
              <w:rPr>
                <w:sz w:val="20"/>
                <w:szCs w:val="20"/>
                <w:color w:val="auto"/>
              </w:rPr>
            </w:pPr>
            <w:r>
              <w:rPr>
                <w:rFonts w:ascii="Calibri" w:cs="Calibri" w:eastAsia="Calibri" w:hAnsi="Calibri"/>
                <w:sz w:val="18"/>
                <w:szCs w:val="18"/>
                <w:color w:val="0000FF"/>
              </w:rPr>
              <w:t>Power of Atorney</w:t>
            </w: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31.1</w:t>
            </w:r>
          </w:p>
        </w:tc>
        <w:tc>
          <w:tcPr>
            <w:tcW w:w="5180" w:type="dxa"/>
            <w:vAlign w:val="bottom"/>
            <w:gridSpan w:val="16"/>
          </w:tcPr>
          <w:p>
            <w:pPr>
              <w:spacing w:after="0"/>
              <w:rPr>
                <w:sz w:val="20"/>
                <w:szCs w:val="20"/>
                <w:color w:val="auto"/>
              </w:rPr>
            </w:pPr>
            <w:r>
              <w:rPr>
                <w:rFonts w:ascii="Calibri" w:cs="Calibri" w:eastAsia="Calibri" w:hAnsi="Calibri"/>
                <w:sz w:val="18"/>
                <w:szCs w:val="18"/>
                <w:color w:val="0000FF"/>
              </w:rPr>
              <w:t>Certfcaton of Chief Executve Ofcer of Phathom Pharmaceutcals, Inc.,</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sz w:val="20"/>
                <w:szCs w:val="20"/>
                <w:color w:val="auto"/>
              </w:rPr>
            </w:pPr>
            <w:r>
              <w:rPr>
                <w:rFonts w:ascii="Calibri" w:cs="Calibri" w:eastAsia="Calibri" w:hAnsi="Calibri"/>
                <w:sz w:val="18"/>
                <w:szCs w:val="18"/>
                <w:color w:val="0000FF"/>
              </w:rPr>
              <w:t>as required by Rule 13a-14(a) or Rule 15d-14(a) under the Securites</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sz w:val="20"/>
                <w:szCs w:val="20"/>
                <w:color w:val="auto"/>
              </w:rPr>
            </w:pPr>
            <w:r>
              <w:rPr>
                <w:rFonts w:ascii="Calibri" w:cs="Calibri" w:eastAsia="Calibri" w:hAnsi="Calibri"/>
                <w:sz w:val="18"/>
                <w:szCs w:val="18"/>
                <w:color w:val="0000FF"/>
              </w:rPr>
              <w:t>Exchange Act of 1934, as amended</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31.2</w:t>
            </w:r>
          </w:p>
        </w:tc>
        <w:tc>
          <w:tcPr>
            <w:tcW w:w="5180" w:type="dxa"/>
            <w:vAlign w:val="bottom"/>
            <w:gridSpan w:val="16"/>
          </w:tcPr>
          <w:p>
            <w:pPr>
              <w:spacing w:after="0"/>
              <w:rPr>
                <w:sz w:val="20"/>
                <w:szCs w:val="20"/>
                <w:color w:val="auto"/>
              </w:rPr>
            </w:pPr>
            <w:r>
              <w:rPr>
                <w:rFonts w:ascii="Calibri" w:cs="Calibri" w:eastAsia="Calibri" w:hAnsi="Calibri"/>
                <w:sz w:val="18"/>
                <w:szCs w:val="18"/>
                <w:color w:val="0000FF"/>
              </w:rPr>
              <w:t>Certfcaton of Principal Financial Ofcer of Phathom Pharmaceutcals,</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sz w:val="20"/>
                <w:szCs w:val="20"/>
                <w:color w:val="auto"/>
              </w:rPr>
            </w:pPr>
            <w:r>
              <w:rPr>
                <w:rFonts w:ascii="Calibri" w:cs="Calibri" w:eastAsia="Calibri" w:hAnsi="Calibri"/>
                <w:sz w:val="18"/>
                <w:szCs w:val="18"/>
                <w:color w:val="0000FF"/>
                <w:w w:val="97"/>
              </w:rPr>
              <w:t>Inc., as required by Rule 13a-14(a) or Rule 15d-14(a) under the Securites</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sz w:val="20"/>
                <w:szCs w:val="20"/>
                <w:color w:val="auto"/>
              </w:rPr>
            </w:pPr>
            <w:r>
              <w:rPr>
                <w:rFonts w:ascii="Calibri" w:cs="Calibri" w:eastAsia="Calibri" w:hAnsi="Calibri"/>
                <w:sz w:val="18"/>
                <w:szCs w:val="18"/>
                <w:color w:val="0000FF"/>
              </w:rPr>
              <w:t>Exchange Act of 1934, as amended</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32.1*</w:t>
            </w:r>
          </w:p>
        </w:tc>
        <w:tc>
          <w:tcPr>
            <w:tcW w:w="5180" w:type="dxa"/>
            <w:vAlign w:val="bottom"/>
            <w:gridSpan w:val="16"/>
          </w:tcPr>
          <w:p>
            <w:pPr>
              <w:spacing w:after="0"/>
              <w:rPr>
                <w:sz w:val="20"/>
                <w:szCs w:val="20"/>
                <w:color w:val="auto"/>
              </w:rPr>
            </w:pPr>
            <w:r>
              <w:rPr>
                <w:rFonts w:ascii="Calibri" w:cs="Calibri" w:eastAsia="Calibri" w:hAnsi="Calibri"/>
                <w:sz w:val="18"/>
                <w:szCs w:val="18"/>
                <w:color w:val="0000FF"/>
              </w:rPr>
              <w:t>Certfcaton of Chief Executve Ofcer pursuant to Secton 906 of the</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4"/>
            <w:shd w:val="clear" w:color="auto" w:fill="0000FF"/>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sz w:val="20"/>
                <w:szCs w:val="20"/>
                <w:color w:val="auto"/>
              </w:rPr>
            </w:pPr>
            <w:r>
              <w:rPr>
                <w:rFonts w:ascii="Calibri" w:cs="Calibri" w:eastAsia="Calibri" w:hAnsi="Calibri"/>
                <w:sz w:val="18"/>
                <w:szCs w:val="18"/>
                <w:color w:val="0000FF"/>
              </w:rPr>
              <w:t>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gridSpan w:val="4"/>
            <w:shd w:val="clear" w:color="auto" w:fill="0000FF"/>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32.2*</w:t>
            </w:r>
          </w:p>
        </w:tc>
        <w:tc>
          <w:tcPr>
            <w:tcW w:w="5180" w:type="dxa"/>
            <w:vAlign w:val="bottom"/>
            <w:gridSpan w:val="16"/>
          </w:tcPr>
          <w:p>
            <w:pPr>
              <w:spacing w:after="0"/>
              <w:rPr>
                <w:sz w:val="20"/>
                <w:szCs w:val="20"/>
                <w:color w:val="auto"/>
              </w:rPr>
            </w:pPr>
            <w:r>
              <w:rPr>
                <w:rFonts w:ascii="Calibri" w:cs="Calibri" w:eastAsia="Calibri" w:hAnsi="Calibri"/>
                <w:sz w:val="18"/>
                <w:szCs w:val="18"/>
                <w:color w:val="0000FF"/>
              </w:rPr>
              <w:t>Certfcaton of Principal Financial Ofcer pursuant to Secton 906 of the</w:t>
            </w:r>
          </w:p>
        </w:tc>
      </w:tr>
      <w:tr>
        <w:trPr>
          <w:trHeight w:val="20"/>
        </w:trPr>
        <w:tc>
          <w:tcPr>
            <w:tcW w:w="1160" w:type="dxa"/>
            <w:vAlign w:val="bottom"/>
          </w:tcPr>
          <w:p>
            <w:pPr>
              <w:spacing w:after="0" w:line="20" w:lineRule="exact"/>
              <w:rPr>
                <w:sz w:val="1"/>
                <w:szCs w:val="1"/>
                <w:color w:val="auto"/>
              </w:rPr>
            </w:pPr>
          </w:p>
        </w:tc>
        <w:tc>
          <w:tcPr>
            <w:tcW w:w="5120" w:type="dxa"/>
            <w:vAlign w:val="bottom"/>
            <w:gridSpan w:val="1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180" w:type="dxa"/>
            <w:vAlign w:val="bottom"/>
            <w:gridSpan w:val="16"/>
          </w:tcPr>
          <w:p>
            <w:pPr>
              <w:spacing w:after="0" w:line="196" w:lineRule="exact"/>
              <w:rPr>
                <w:sz w:val="20"/>
                <w:szCs w:val="20"/>
                <w:color w:val="auto"/>
              </w:rPr>
            </w:pPr>
            <w:r>
              <w:rPr>
                <w:rFonts w:ascii="Calibri" w:cs="Calibri" w:eastAsia="Calibri" w:hAnsi="Calibri"/>
                <w:sz w:val="18"/>
                <w:szCs w:val="18"/>
                <w:color w:val="0000FF"/>
              </w:rPr>
              <w:t>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gridSpan w:val="4"/>
            <w:shd w:val="clear" w:color="auto" w:fill="0000FF"/>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r>
              <w:rPr>
                <w:rFonts w:ascii="Calibri" w:cs="Calibri" w:eastAsia="Calibri" w:hAnsi="Calibri"/>
                <w:sz w:val="16"/>
                <w:szCs w:val="16"/>
                <w:color w:val="auto"/>
              </w:rPr>
              <w:t>101.INS</w:t>
            </w:r>
          </w:p>
        </w:tc>
        <w:tc>
          <w:tcPr>
            <w:tcW w:w="5180" w:type="dxa"/>
            <w:vAlign w:val="bottom"/>
            <w:gridSpan w:val="16"/>
          </w:tcPr>
          <w:p>
            <w:pPr>
              <w:spacing w:after="0"/>
              <w:rPr>
                <w:sz w:val="20"/>
                <w:szCs w:val="20"/>
                <w:color w:val="auto"/>
              </w:rPr>
            </w:pPr>
            <w:r>
              <w:rPr>
                <w:rFonts w:ascii="Calibri" w:cs="Calibri" w:eastAsia="Calibri" w:hAnsi="Calibri"/>
                <w:sz w:val="16"/>
                <w:szCs w:val="16"/>
                <w:color w:val="auto"/>
              </w:rPr>
              <w:t>Inline XBRL Instance Document – the instance document does not appear in</w:t>
            </w:r>
          </w:p>
        </w:tc>
      </w:tr>
      <w:tr>
        <w:trPr>
          <w:trHeight w:val="203"/>
        </w:trPr>
        <w:tc>
          <w:tcPr>
            <w:tcW w:w="1160" w:type="dxa"/>
            <w:vAlign w:val="bottom"/>
          </w:tcPr>
          <w:p>
            <w:pPr>
              <w:spacing w:after="0"/>
              <w:rPr>
                <w:sz w:val="17"/>
                <w:szCs w:val="17"/>
                <w:color w:val="auto"/>
              </w:rPr>
            </w:pPr>
          </w:p>
        </w:tc>
        <w:tc>
          <w:tcPr>
            <w:tcW w:w="5180" w:type="dxa"/>
            <w:vAlign w:val="bottom"/>
            <w:gridSpan w:val="16"/>
          </w:tcPr>
          <w:p>
            <w:pPr>
              <w:spacing w:after="0"/>
              <w:rPr>
                <w:sz w:val="20"/>
                <w:szCs w:val="20"/>
                <w:color w:val="auto"/>
              </w:rPr>
            </w:pPr>
            <w:r>
              <w:rPr>
                <w:rFonts w:ascii="Calibri" w:cs="Calibri" w:eastAsia="Calibri" w:hAnsi="Calibri"/>
                <w:sz w:val="16"/>
                <w:szCs w:val="16"/>
                <w:color w:val="auto"/>
              </w:rPr>
              <w:t>the Interactve Data File because XBRL tags are embedded within the Inline</w:t>
            </w:r>
          </w:p>
        </w:tc>
      </w:tr>
      <w:tr>
        <w:trPr>
          <w:trHeight w:val="203"/>
        </w:trPr>
        <w:tc>
          <w:tcPr>
            <w:tcW w:w="1160" w:type="dxa"/>
            <w:vAlign w:val="bottom"/>
          </w:tcPr>
          <w:p>
            <w:pPr>
              <w:spacing w:after="0"/>
              <w:rPr>
                <w:sz w:val="17"/>
                <w:szCs w:val="17"/>
                <w:color w:val="auto"/>
              </w:rPr>
            </w:pPr>
          </w:p>
        </w:tc>
        <w:tc>
          <w:tcPr>
            <w:tcW w:w="5180" w:type="dxa"/>
            <w:vAlign w:val="bottom"/>
            <w:gridSpan w:val="16"/>
          </w:tcPr>
          <w:p>
            <w:pPr>
              <w:spacing w:after="0"/>
              <w:rPr>
                <w:sz w:val="20"/>
                <w:szCs w:val="20"/>
                <w:color w:val="auto"/>
              </w:rPr>
            </w:pPr>
            <w:r>
              <w:rPr>
                <w:rFonts w:ascii="Calibri" w:cs="Calibri" w:eastAsia="Calibri" w:hAnsi="Calibri"/>
                <w:sz w:val="16"/>
                <w:szCs w:val="16"/>
                <w:color w:val="auto"/>
              </w:rPr>
              <w:t>XBRL document.</w:t>
            </w:r>
          </w:p>
        </w:tc>
      </w:tr>
      <w:tr>
        <w:trPr>
          <w:trHeight w:val="230"/>
        </w:trPr>
        <w:tc>
          <w:tcPr>
            <w:tcW w:w="1160" w:type="dxa"/>
            <w:vAlign w:val="bottom"/>
          </w:tcPr>
          <w:p>
            <w:pPr>
              <w:spacing w:after="0"/>
              <w:rPr>
                <w:sz w:val="20"/>
                <w:szCs w:val="20"/>
                <w:color w:val="auto"/>
              </w:rPr>
            </w:pPr>
            <w:r>
              <w:rPr>
                <w:rFonts w:ascii="Calibri" w:cs="Calibri" w:eastAsia="Calibri" w:hAnsi="Calibri"/>
                <w:sz w:val="16"/>
                <w:szCs w:val="16"/>
                <w:color w:val="auto"/>
              </w:rPr>
              <w:t>101.SCH</w:t>
            </w:r>
          </w:p>
        </w:tc>
        <w:tc>
          <w:tcPr>
            <w:tcW w:w="5180" w:type="dxa"/>
            <w:vAlign w:val="bottom"/>
            <w:gridSpan w:val="16"/>
          </w:tcPr>
          <w:p>
            <w:pPr>
              <w:spacing w:after="0"/>
              <w:rPr>
                <w:sz w:val="20"/>
                <w:szCs w:val="20"/>
                <w:color w:val="auto"/>
              </w:rPr>
            </w:pPr>
            <w:r>
              <w:rPr>
                <w:rFonts w:ascii="Calibri" w:cs="Calibri" w:eastAsia="Calibri" w:hAnsi="Calibri"/>
                <w:sz w:val="16"/>
                <w:szCs w:val="16"/>
                <w:color w:val="auto"/>
              </w:rPr>
              <w:t>Inline XBRL Taxonomy Extension Schema Document</w:t>
            </w:r>
          </w:p>
        </w:tc>
      </w:tr>
      <w:tr>
        <w:trPr>
          <w:trHeight w:val="432"/>
        </w:trPr>
        <w:tc>
          <w:tcPr>
            <w:tcW w:w="1160" w:type="dxa"/>
            <w:vAlign w:val="bottom"/>
          </w:tcPr>
          <w:p>
            <w:pPr>
              <w:spacing w:after="0"/>
              <w:rPr>
                <w:sz w:val="20"/>
                <w:szCs w:val="20"/>
                <w:color w:val="auto"/>
              </w:rPr>
            </w:pPr>
            <w:r>
              <w:rPr>
                <w:rFonts w:ascii="Calibri" w:cs="Calibri" w:eastAsia="Calibri" w:hAnsi="Calibri"/>
                <w:sz w:val="16"/>
                <w:szCs w:val="16"/>
                <w:color w:val="auto"/>
              </w:rPr>
              <w:t>101.CAL</w:t>
            </w:r>
          </w:p>
        </w:tc>
        <w:tc>
          <w:tcPr>
            <w:tcW w:w="5180" w:type="dxa"/>
            <w:vAlign w:val="bottom"/>
            <w:gridSpan w:val="16"/>
          </w:tcPr>
          <w:p>
            <w:pPr>
              <w:spacing w:after="0"/>
              <w:rPr>
                <w:sz w:val="20"/>
                <w:szCs w:val="20"/>
                <w:color w:val="auto"/>
              </w:rPr>
            </w:pPr>
            <w:r>
              <w:rPr>
                <w:rFonts w:ascii="Calibri" w:cs="Calibri" w:eastAsia="Calibri" w:hAnsi="Calibri"/>
                <w:sz w:val="16"/>
                <w:szCs w:val="16"/>
                <w:color w:val="auto"/>
              </w:rPr>
              <w:t>Inline XBRL Taxonomy Calculaton Linkbase Document.</w:t>
            </w:r>
          </w:p>
        </w:tc>
      </w:tr>
      <w:tr>
        <w:trPr>
          <w:trHeight w:val="432"/>
        </w:trPr>
        <w:tc>
          <w:tcPr>
            <w:tcW w:w="1160" w:type="dxa"/>
            <w:vAlign w:val="bottom"/>
          </w:tcPr>
          <w:p>
            <w:pPr>
              <w:spacing w:after="0"/>
              <w:rPr>
                <w:sz w:val="20"/>
                <w:szCs w:val="20"/>
                <w:color w:val="auto"/>
              </w:rPr>
            </w:pPr>
            <w:r>
              <w:rPr>
                <w:rFonts w:ascii="Calibri" w:cs="Calibri" w:eastAsia="Calibri" w:hAnsi="Calibri"/>
                <w:sz w:val="16"/>
                <w:szCs w:val="16"/>
                <w:color w:val="auto"/>
              </w:rPr>
              <w:t>101.DEF</w:t>
            </w:r>
          </w:p>
        </w:tc>
        <w:tc>
          <w:tcPr>
            <w:tcW w:w="5180" w:type="dxa"/>
            <w:vAlign w:val="bottom"/>
            <w:gridSpan w:val="16"/>
          </w:tcPr>
          <w:p>
            <w:pPr>
              <w:spacing w:after="0"/>
              <w:rPr>
                <w:sz w:val="20"/>
                <w:szCs w:val="20"/>
                <w:color w:val="auto"/>
              </w:rPr>
            </w:pPr>
            <w:r>
              <w:rPr>
                <w:rFonts w:ascii="Calibri" w:cs="Calibri" w:eastAsia="Calibri" w:hAnsi="Calibri"/>
                <w:sz w:val="16"/>
                <w:szCs w:val="16"/>
                <w:color w:val="auto"/>
              </w:rPr>
              <w:t>Inline XBRL Taxonomy Extension Defniton Linkbase Document</w:t>
            </w:r>
          </w:p>
        </w:tc>
      </w:tr>
      <w:tr>
        <w:trPr>
          <w:trHeight w:val="676"/>
        </w:trPr>
        <w:tc>
          <w:tcPr>
            <w:tcW w:w="1160" w:type="dxa"/>
            <w:vAlign w:val="bottom"/>
          </w:tcPr>
          <w:p>
            <w:pPr>
              <w:spacing w:after="0"/>
              <w:rPr>
                <w:sz w:val="24"/>
                <w:szCs w:val="24"/>
                <w:color w:val="auto"/>
              </w:rPr>
            </w:pPr>
          </w:p>
        </w:tc>
        <w:tc>
          <w:tcPr>
            <w:tcW w:w="4720" w:type="dxa"/>
            <w:vAlign w:val="bottom"/>
            <w:gridSpan w:val="11"/>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11-8-2021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3-1-2022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10.30</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5-10-2022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10.3</w:t>
            </w:r>
          </w:p>
        </w:tc>
      </w:tr>
      <w:tr>
        <w:trPr>
          <w:trHeight w:val="675"/>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10.4</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10.5</w:t>
            </w:r>
          </w:p>
        </w:tc>
      </w:tr>
      <w:tr>
        <w:trPr>
          <w:trHeight w:val="243"/>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10.6</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11-9-2022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40" w:type="dxa"/>
            <w:vAlign w:val="bottom"/>
          </w:tcPr>
          <w:p>
            <w:pPr>
              <w:jc w:val="right"/>
              <w:ind w:right="190"/>
              <w:spacing w:after="0"/>
              <w:rPr>
                <w:sz w:val="20"/>
                <w:szCs w:val="20"/>
                <w:color w:val="auto"/>
              </w:rPr>
            </w:pPr>
            <w:r>
              <w:rPr>
                <w:rFonts w:ascii="Calibri" w:cs="Calibri" w:eastAsia="Calibri" w:hAnsi="Calibri"/>
                <w:sz w:val="18"/>
                <w:szCs w:val="18"/>
                <w:color w:val="auto"/>
                <w:w w:val="94"/>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11-9-2022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w:t>
            </w:r>
          </w:p>
        </w:tc>
      </w:tr>
    </w:tbl>
    <w:p>
      <w:pPr>
        <w:spacing w:after="0" w:line="239"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39"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3"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3"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39"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48" w:lineRule="exact"/>
        <w:rPr>
          <w:sz w:val="20"/>
          <w:szCs w:val="20"/>
          <w:color w:val="auto"/>
        </w:rPr>
      </w:pPr>
    </w:p>
    <w:p>
      <w:pPr>
        <w:ind w:left="4100"/>
        <w:spacing w:after="0"/>
        <w:rPr>
          <w:sz w:val="20"/>
          <w:szCs w:val="20"/>
          <w:color w:val="auto"/>
        </w:rPr>
      </w:pPr>
      <w:r>
        <w:rPr>
          <w:rFonts w:ascii="Calibri" w:cs="Calibri" w:eastAsia="Calibri" w:hAnsi="Calibri"/>
          <w:sz w:val="15"/>
          <w:szCs w:val="15"/>
          <w:color w:val="auto"/>
        </w:rPr>
        <w:t>X</w:t>
      </w:r>
    </w:p>
    <w:p>
      <w:pPr>
        <w:spacing w:after="0" w:line="200" w:lineRule="exact"/>
        <w:rPr>
          <w:sz w:val="20"/>
          <w:szCs w:val="20"/>
          <w:color w:val="auto"/>
        </w:rPr>
      </w:pPr>
    </w:p>
    <w:p>
      <w:pPr>
        <w:spacing w:after="0" w:line="251" w:lineRule="exact"/>
        <w:rPr>
          <w:sz w:val="20"/>
          <w:szCs w:val="20"/>
          <w:color w:val="auto"/>
        </w:rPr>
      </w:pPr>
    </w:p>
    <w:p>
      <w:pPr>
        <w:ind w:left="4100"/>
        <w:spacing w:after="0"/>
        <w:rPr>
          <w:sz w:val="20"/>
          <w:szCs w:val="20"/>
          <w:color w:val="auto"/>
        </w:rPr>
      </w:pPr>
      <w:r>
        <w:rPr>
          <w:rFonts w:ascii="Calibri" w:cs="Calibri" w:eastAsia="Calibri" w:hAnsi="Calibri"/>
          <w:sz w:val="15"/>
          <w:szCs w:val="15"/>
          <w:color w:val="auto"/>
        </w:rPr>
        <w:t>X</w:t>
      </w:r>
    </w:p>
    <w:p>
      <w:pPr>
        <w:spacing w:after="0" w:line="249" w:lineRule="exact"/>
        <w:rPr>
          <w:sz w:val="20"/>
          <w:szCs w:val="20"/>
          <w:color w:val="auto"/>
        </w:rPr>
      </w:pPr>
    </w:p>
    <w:p>
      <w:pPr>
        <w:ind w:left="4100"/>
        <w:spacing w:after="0"/>
        <w:rPr>
          <w:sz w:val="20"/>
          <w:szCs w:val="20"/>
          <w:color w:val="auto"/>
        </w:rPr>
      </w:pPr>
      <w:r>
        <w:rPr>
          <w:rFonts w:ascii="Calibri" w:cs="Calibri" w:eastAsia="Calibri" w:hAnsi="Calibri"/>
          <w:sz w:val="15"/>
          <w:szCs w:val="15"/>
          <w:color w:val="auto"/>
        </w:rPr>
        <w:t>X</w:t>
      </w:r>
    </w:p>
    <w:p>
      <w:pPr>
        <w:spacing w:after="0" w:line="249" w:lineRule="exact"/>
        <w:rPr>
          <w:sz w:val="20"/>
          <w:szCs w:val="20"/>
          <w:color w:val="auto"/>
        </w:rPr>
      </w:pPr>
    </w:p>
    <w:p>
      <w:pPr>
        <w:ind w:left="4100"/>
        <w:spacing w:after="0"/>
        <w:rPr>
          <w:sz w:val="20"/>
          <w:szCs w:val="20"/>
          <w:color w:val="auto"/>
        </w:rPr>
      </w:pPr>
      <w:r>
        <w:rPr>
          <w:rFonts w:ascii="Calibri" w:cs="Calibri" w:eastAsia="Calibri" w:hAnsi="Calibri"/>
          <w:sz w:val="15"/>
          <w:szCs w:val="15"/>
          <w:color w:val="auto"/>
        </w:rPr>
        <w:t>X</w:t>
      </w:r>
    </w:p>
    <w:p>
      <w:pPr>
        <w:sectPr>
          <w:pgSz w:w="11900" w:h="16838" w:orient="portrait"/>
          <w:cols w:equalWidth="0" w:num="2">
            <w:col w:w="6340" w:space="620"/>
            <w:col w:w="4180"/>
          </w:cols>
          <w:pgMar w:left="340" w:top="311" w:right="419" w:bottom="1440" w:gutter="0" w:footer="0" w:header="0"/>
        </w:sectPr>
      </w:pPr>
    </w:p>
    <w:bookmarkStart w:id="194" w:name="page195"/>
    <w:bookmarkEnd w:id="194"/>
    <w:tbl>
      <w:tblPr>
        <w:tblLayout w:type="fixed"/>
        <w:tblInd w:w="2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Calibri" w:cs="Calibri" w:eastAsia="Calibri" w:hAnsi="Calibri"/>
                <w:sz w:val="16"/>
                <w:szCs w:val="16"/>
                <w:color w:val="auto"/>
              </w:rPr>
              <w:t>101.LAB</w:t>
            </w:r>
          </w:p>
        </w:tc>
        <w:tc>
          <w:tcPr>
            <w:tcW w:w="7800" w:type="dxa"/>
            <w:vAlign w:val="bottom"/>
          </w:tcPr>
          <w:p>
            <w:pPr>
              <w:ind w:left="300"/>
              <w:spacing w:after="0"/>
              <w:rPr>
                <w:sz w:val="20"/>
                <w:szCs w:val="20"/>
                <w:color w:val="auto"/>
              </w:rPr>
            </w:pPr>
            <w:r>
              <w:rPr>
                <w:rFonts w:ascii="Calibri" w:cs="Calibri" w:eastAsia="Calibri" w:hAnsi="Calibri"/>
                <w:sz w:val="16"/>
                <w:szCs w:val="16"/>
                <w:color w:val="auto"/>
              </w:rPr>
              <w:t>Inline XBRL Taxonomy Label Linkbase Document</w:t>
            </w:r>
          </w:p>
        </w:tc>
        <w:tc>
          <w:tcPr>
            <w:tcW w:w="2500" w:type="dxa"/>
            <w:vAlign w:val="bottom"/>
          </w:tcPr>
          <w:p>
            <w:pPr>
              <w:ind w:left="2420"/>
              <w:spacing w:after="0"/>
              <w:rPr>
                <w:sz w:val="20"/>
                <w:szCs w:val="20"/>
                <w:color w:val="auto"/>
              </w:rPr>
            </w:pPr>
            <w:r>
              <w:rPr>
                <w:rFonts w:ascii="Calibri" w:cs="Calibri" w:eastAsia="Calibri" w:hAnsi="Calibri"/>
                <w:sz w:val="16"/>
                <w:szCs w:val="16"/>
                <w:color w:val="auto"/>
                <w:w w:val="71"/>
              </w:rPr>
              <w:t>X</w:t>
            </w:r>
          </w:p>
        </w:tc>
      </w:tr>
      <w:tr>
        <w:trPr>
          <w:trHeight w:val="432"/>
        </w:trPr>
        <w:tc>
          <w:tcPr>
            <w:tcW w:w="840" w:type="dxa"/>
            <w:vAlign w:val="bottom"/>
          </w:tcPr>
          <w:p>
            <w:pPr>
              <w:spacing w:after="0"/>
              <w:rPr>
                <w:sz w:val="20"/>
                <w:szCs w:val="20"/>
                <w:color w:val="auto"/>
              </w:rPr>
            </w:pPr>
            <w:r>
              <w:rPr>
                <w:rFonts w:ascii="Calibri" w:cs="Calibri" w:eastAsia="Calibri" w:hAnsi="Calibri"/>
                <w:sz w:val="16"/>
                <w:szCs w:val="16"/>
                <w:color w:val="auto"/>
              </w:rPr>
              <w:t>101.PRE</w:t>
            </w:r>
          </w:p>
        </w:tc>
        <w:tc>
          <w:tcPr>
            <w:tcW w:w="7800" w:type="dxa"/>
            <w:vAlign w:val="bottom"/>
          </w:tcPr>
          <w:p>
            <w:pPr>
              <w:ind w:left="300"/>
              <w:spacing w:after="0"/>
              <w:rPr>
                <w:sz w:val="20"/>
                <w:szCs w:val="20"/>
                <w:color w:val="auto"/>
              </w:rPr>
            </w:pPr>
            <w:r>
              <w:rPr>
                <w:rFonts w:ascii="Calibri" w:cs="Calibri" w:eastAsia="Calibri" w:hAnsi="Calibri"/>
                <w:sz w:val="16"/>
                <w:szCs w:val="16"/>
                <w:color w:val="auto"/>
              </w:rPr>
              <w:t>Inline XBRL Presentaton Linkbase Document</w:t>
            </w:r>
          </w:p>
        </w:tc>
        <w:tc>
          <w:tcPr>
            <w:tcW w:w="2500" w:type="dxa"/>
            <w:vAlign w:val="bottom"/>
          </w:tcPr>
          <w:p>
            <w:pPr>
              <w:ind w:left="2420"/>
              <w:spacing w:after="0"/>
              <w:rPr>
                <w:sz w:val="20"/>
                <w:szCs w:val="20"/>
                <w:color w:val="auto"/>
              </w:rPr>
            </w:pPr>
            <w:r>
              <w:rPr>
                <w:rFonts w:ascii="Calibri" w:cs="Calibri" w:eastAsia="Calibri" w:hAnsi="Calibri"/>
                <w:sz w:val="16"/>
                <w:szCs w:val="16"/>
                <w:color w:val="auto"/>
                <w:w w:val="71"/>
              </w:rPr>
              <w:t>X</w:t>
            </w:r>
          </w:p>
        </w:tc>
      </w:tr>
      <w:tr>
        <w:trPr>
          <w:trHeight w:val="432"/>
        </w:trPr>
        <w:tc>
          <w:tcPr>
            <w:tcW w:w="840" w:type="dxa"/>
            <w:vAlign w:val="bottom"/>
          </w:tcPr>
          <w:p>
            <w:pPr>
              <w:spacing w:after="0"/>
              <w:rPr>
                <w:sz w:val="20"/>
                <w:szCs w:val="20"/>
                <w:color w:val="auto"/>
              </w:rPr>
            </w:pPr>
            <w:r>
              <w:rPr>
                <w:rFonts w:ascii="Calibri" w:cs="Calibri" w:eastAsia="Calibri" w:hAnsi="Calibri"/>
                <w:sz w:val="16"/>
                <w:szCs w:val="16"/>
                <w:color w:val="auto"/>
              </w:rPr>
              <w:t>104</w:t>
            </w:r>
          </w:p>
        </w:tc>
        <w:tc>
          <w:tcPr>
            <w:tcW w:w="7800" w:type="dxa"/>
            <w:vAlign w:val="bottom"/>
          </w:tcPr>
          <w:p>
            <w:pPr>
              <w:ind w:left="300"/>
              <w:spacing w:after="0"/>
              <w:rPr>
                <w:sz w:val="20"/>
                <w:szCs w:val="20"/>
                <w:color w:val="auto"/>
              </w:rPr>
            </w:pPr>
            <w:r>
              <w:rPr>
                <w:rFonts w:ascii="Calibri" w:cs="Calibri" w:eastAsia="Calibri" w:hAnsi="Calibri"/>
                <w:sz w:val="16"/>
                <w:szCs w:val="16"/>
                <w:color w:val="auto"/>
              </w:rPr>
              <w:t>Cover Page Interactve Data File (embedded within the Inline XBRL document)</w:t>
            </w:r>
          </w:p>
        </w:tc>
        <w:tc>
          <w:tcPr>
            <w:tcW w:w="2500" w:type="dxa"/>
            <w:vAlign w:val="bottom"/>
          </w:tcPr>
          <w:p>
            <w:pPr>
              <w:ind w:left="2420"/>
              <w:spacing w:after="0"/>
              <w:rPr>
                <w:sz w:val="20"/>
                <w:szCs w:val="20"/>
                <w:color w:val="auto"/>
              </w:rPr>
            </w:pPr>
            <w:r>
              <w:rPr>
                <w:rFonts w:ascii="Calibri" w:cs="Calibri" w:eastAsia="Calibri" w:hAnsi="Calibri"/>
                <w:sz w:val="16"/>
                <w:szCs w:val="16"/>
                <w:color w:val="auto"/>
                <w:w w:val="71"/>
              </w:rPr>
              <w:t>X</w:t>
            </w:r>
          </w:p>
        </w:tc>
      </w:tr>
    </w:tbl>
    <w:p>
      <w:pPr>
        <w:spacing w:after="0" w:line="68" w:lineRule="exact"/>
        <w:rPr>
          <w:sz w:val="20"/>
          <w:szCs w:val="20"/>
          <w:color w:val="auto"/>
        </w:rPr>
      </w:pPr>
    </w:p>
    <w:p>
      <w:pPr>
        <w:spacing w:after="0"/>
        <w:rPr>
          <w:sz w:val="20"/>
          <w:szCs w:val="20"/>
          <w:color w:val="auto"/>
        </w:rPr>
      </w:pPr>
      <w:r>
        <w:rPr>
          <w:rFonts w:ascii="Calibri" w:cs="Calibri" w:eastAsia="Calibri" w:hAnsi="Calibri"/>
          <w:sz w:val="11"/>
          <w:szCs w:val="11"/>
          <w:color w:val="auto"/>
        </w:rPr>
        <w:t># Indicates management contract or compensatory plan.</w:t>
      </w:r>
    </w:p>
    <w:p>
      <w:pPr>
        <w:spacing w:after="0" w:line="55" w:lineRule="exact"/>
        <w:rPr>
          <w:sz w:val="20"/>
          <w:szCs w:val="20"/>
          <w:color w:val="auto"/>
        </w:rPr>
      </w:pPr>
    </w:p>
    <w:p>
      <w:pPr>
        <w:spacing w:after="0"/>
        <w:rPr>
          <w:sz w:val="20"/>
          <w:szCs w:val="20"/>
          <w:color w:val="auto"/>
        </w:rPr>
      </w:pPr>
      <w:r>
        <w:rPr>
          <w:rFonts w:ascii="Calibri" w:cs="Calibri" w:eastAsia="Calibri" w:hAnsi="Calibri"/>
          <w:sz w:val="11"/>
          <w:szCs w:val="11"/>
          <w:color w:val="auto"/>
        </w:rPr>
        <w:t>† Portons of this exhibit have been omited for confdentality purposes.</w:t>
      </w:r>
    </w:p>
    <w:p>
      <w:pPr>
        <w:spacing w:after="0" w:line="49" w:lineRule="exact"/>
        <w:rPr>
          <w:sz w:val="20"/>
          <w:szCs w:val="20"/>
          <w:color w:val="auto"/>
        </w:rPr>
      </w:pPr>
    </w:p>
    <w:p>
      <w:pPr>
        <w:ind w:right="40" w:firstLine="8"/>
        <w:spacing w:after="0" w:line="234" w:lineRule="auto"/>
        <w:tabs>
          <w:tab w:leader="none" w:pos="78" w:val="left"/>
        </w:tabs>
        <w:numPr>
          <w:ilvl w:val="0"/>
          <w:numId w:val="55"/>
        </w:numPr>
        <w:rPr>
          <w:rFonts w:ascii="Calibri" w:cs="Calibri" w:eastAsia="Calibri" w:hAnsi="Calibri"/>
          <w:sz w:val="11"/>
          <w:szCs w:val="11"/>
          <w:color w:val="auto"/>
        </w:rPr>
      </w:pPr>
      <w:r>
        <w:rPr>
          <w:rFonts w:ascii="Calibri" w:cs="Calibri" w:eastAsia="Calibri" w:hAnsi="Calibri"/>
          <w:sz w:val="11"/>
          <w:szCs w:val="11"/>
          <w:color w:val="auto"/>
        </w:rPr>
        <w:t>These certfcatons are being furnished solely to accompany this annual report pursuant to 18 U.S.C. Secton 1350, and are not being fled for purposes of Secton 18 of the Securites Exchange Act of 1934 and are not to be incorporated by reference into any fling of the Registrant, whether made before or afer the date hereof, regardless of any general incorporaton language in such fling.</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9" w:right="419"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83"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Terrie Curran</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19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69" w:lineRule="exact"/>
        <w:rPr>
          <w:sz w:val="20"/>
          <w:szCs w:val="20"/>
          <w:color w:val="auto"/>
        </w:rPr>
      </w:pPr>
    </w:p>
    <w:p>
      <w:pPr>
        <w:ind w:left="1360"/>
        <w:spacing w:after="0"/>
        <w:tabs>
          <w:tab w:leader="none" w:pos="5480" w:val="left"/>
          <w:tab w:leader="none" w:pos="94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p>
      <w:pPr>
        <w:spacing w:after="0" w:line="2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Terrie Curran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Molly Henderson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F. Cola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Frank Karbe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Heidi Kunz</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Asit Parikh, M.D., Ph.D.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Socks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Stenhouse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James Topper, M.D., Ph.D.</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234"/>
        </w:trPr>
        <w:tc>
          <w:tcPr>
            <w:tcW w:w="40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2160" w:type="dxa"/>
            <w:vAlign w:val="bottom"/>
          </w:tcPr>
          <w:p>
            <w:pPr>
              <w:spacing w:after="0"/>
              <w:rPr>
                <w:sz w:val="20"/>
                <w:szCs w:val="20"/>
                <w:color w:val="auto"/>
              </w:rPr>
            </w:pPr>
          </w:p>
        </w:tc>
      </w:tr>
      <w:tr>
        <w:trPr>
          <w:trHeight w:val="495"/>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and Business Officer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234"/>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60" w:type="dxa"/>
            <w:vAlign w:val="bottom"/>
          </w:tcPr>
          <w:p>
            <w:pPr>
              <w:spacing w:after="0"/>
              <w:rPr>
                <w:sz w:val="20"/>
                <w:szCs w:val="20"/>
                <w:color w:val="auto"/>
              </w:rPr>
            </w:pPr>
          </w:p>
        </w:tc>
      </w:tr>
      <w:tr>
        <w:trPr>
          <w:trHeight w:val="513"/>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850"/>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608"/>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729"/>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715"/>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715"/>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r>
        <w:trPr>
          <w:trHeight w:val="715"/>
        </w:trPr>
        <w:tc>
          <w:tcPr>
            <w:tcW w:w="40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February 28, 2023</w:t>
            </w:r>
          </w:p>
        </w:tc>
      </w:tr>
    </w:tbl>
    <w:p>
      <w:pPr>
        <w:spacing w:after="0" w:line="395" w:lineRule="exact"/>
        <w:rPr>
          <w:sz w:val="20"/>
          <w:szCs w:val="20"/>
          <w:color w:val="auto"/>
        </w:rPr>
      </w:pPr>
    </w:p>
    <w:p>
      <w:pPr>
        <w:sectPr>
          <w:pgSz w:w="11900" w:h="16838" w:orient="portrait"/>
          <w:cols w:equalWidth="0" w:num="2">
            <w:col w:w="3300" w:space="720"/>
            <w:col w:w="7200"/>
          </w:cols>
          <w:pgMar w:left="320" w:top="333" w:right="35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Terrie Curran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Terrie Curran, Attorney-in-fact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96" w:name="page197"/>
    <w:bookmarkEnd w:id="196"/>
    <w:p>
      <w:pPr>
        <w:ind w:left="10320"/>
        <w:spacing w:after="0"/>
        <w:rPr>
          <w:sz w:val="20"/>
          <w:szCs w:val="20"/>
          <w:color w:val="auto"/>
        </w:rPr>
      </w:pPr>
      <w:r>
        <w:rPr>
          <w:rFonts w:ascii="Times New Roman" w:cs="Times New Roman" w:eastAsia="Times New Roman" w:hAnsi="Times New Roman"/>
          <w:sz w:val="19"/>
          <w:szCs w:val="19"/>
          <w:b w:val="1"/>
          <w:bCs w:val="1"/>
          <w:color w:val="auto"/>
        </w:rPr>
        <w:t>Exhibit 4.6</w:t>
      </w:r>
    </w:p>
    <w:p>
      <w:pPr>
        <w:spacing w:after="0" w:line="294" w:lineRule="exact"/>
        <w:rPr>
          <w:sz w:val="20"/>
          <w:szCs w:val="20"/>
          <w:color w:val="auto"/>
        </w:rPr>
      </w:pPr>
    </w:p>
    <w:p>
      <w:pPr>
        <w:jc w:val="center"/>
        <w:ind w:right="6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DESCRIPTION OF THE REGISTRANT’S SECURITIES REGISTERED PURSUANT TO SECTION 12 OF THE SECURITIES EXCHANGE ACT OF 1934</w:t>
      </w:r>
    </w:p>
    <w:p>
      <w:pPr>
        <w:spacing w:after="0" w:line="4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of December 31, 2022, Phathom Pharmaceuticals, Inc. (“we,” “us” and “our”) had one class of securities registered pursuant to Section 12 of the Securities Exchange Act of 1934, as amended: our common stock.</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(“bylaws”), which are filed as exhibits to our most recent Annual Report on Form 10-K and are incorporated by reference herein. We encourage you to read our certificate of incorporation and our bylaws for additional information.</w:t>
      </w:r>
    </w:p>
    <w:p>
      <w:pPr>
        <w:spacing w:after="0" w:line="7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As of December 31, 2022, our authorized capital stock consisted of 400,000,000 shares of common stock, $0.0001 par value per share, and 40,000,000 shares of preferred stock, $0.0001 par value per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1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Rights</w:t>
      </w:r>
    </w:p>
    <w:p>
      <w:pPr>
        <w:spacing w:after="0" w:line="1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Liquidation Rights</w:t>
      </w:r>
    </w:p>
    <w:p>
      <w:pPr>
        <w:spacing w:after="0" w:line="112"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Rights and Preferences</w:t>
      </w:r>
    </w:p>
    <w:p>
      <w:pPr>
        <w:spacing w:after="0" w:line="11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Holders of common stock have no preemptive or conversion rights or other subscription rights and there are no redemption or sinking funds provisions applicable to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964565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i w:val="1"/>
          <w:iCs w:val="1"/>
          <w:color w:val="auto"/>
        </w:rPr>
        <w:t>Fully paid and nonassessable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outstanding shares of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 Agent and Registrar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Computershare Trust Company, N.A.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Nasdaq Global Market Listing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and traded on the Nasdaq Global Select Market under the ticker symbol “PHAT.”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 and Our Certificate of Incorporation and Bylaws</w:t>
      </w:r>
    </w:p>
    <w:p>
      <w:pPr>
        <w:spacing w:after="0" w:line="1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summarized below, are intended to discourage coercive takeover practices and inadequate takeover bids.</w:t>
      </w:r>
    </w:p>
    <w:p>
      <w:pPr>
        <w:spacing w:after="0" w:line="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Undesignated Preferred Stock</w:t>
      </w:r>
    </w:p>
    <w:p>
      <w:pPr>
        <w:spacing w:after="0" w:line="11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ability of our board of directors, without action by the stockholders, to issue up to 40,000,000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 Meetings</w:t>
      </w:r>
    </w:p>
    <w:p>
      <w:pPr>
        <w:spacing w:after="0" w:line="112"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Requirements for Advance Notification of Stockholder Nominations and Proposals</w:t>
      </w:r>
    </w:p>
    <w:p>
      <w:pPr>
        <w:spacing w:after="0" w:line="112"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Elimination of Stockholder Action by Written Consent</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eliminate the right of stockholders to act by written consent without a meeting.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Staggered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0"/>
          <w:szCs w:val="20"/>
          <w:i w:val="1"/>
          <w:iCs w:val="1"/>
          <w:color w:val="auto"/>
        </w:rPr>
        <w:t>Removal of Directors</w:t>
      </w:r>
    </w:p>
    <w:p>
      <w:pPr>
        <w:spacing w:after="0" w:line="11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Stockholders Not Entitled to Cumulative Voting</w:t>
      </w:r>
    </w:p>
    <w:p>
      <w:pPr>
        <w:spacing w:after="0" w:line="1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Delaware Anti-Takeover Statute</w:t>
      </w:r>
    </w:p>
    <w:p>
      <w:pPr>
        <w:spacing w:after="0" w:line="1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Choice of Forum</w:t>
      </w:r>
    </w:p>
    <w:p>
      <w:pPr>
        <w:spacing w:after="0" w:line="11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the selection of an alternative form, the Court of Chancery of the State of Delaware will be the sole and exclusive forum under Delaware statutory or common law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provision would not apply to suits brought to enforce a duty or liability created by the Securities Exchange Act of 1934 (the “Exchange Act”), or any other claim for which the federal courts have exclusive jurisdiction.</w:t>
      </w:r>
    </w:p>
    <w:p>
      <w:pPr>
        <w:spacing w:after="0" w:line="7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 addition, our bylaws provide that unless we consent in writing to the selection of an alternative forum, the federal district courts of the United States shall be the exclusive forum for the resolution of any complaint asserting a cause of action arising under the Securities Act of 1933, as amended (the “Securities Act”). Our certificate of incorporation and bylaws each provide that any person or entity purchasing or otherwise acquiring any interest in shares of our capital stock will be deemed to have notice of and to have consented to this choice of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of Charter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9" w:name="page200"/>
    <w:bookmarkEnd w:id="199"/>
    <w:p>
      <w:pPr>
        <w:spacing w:after="0" w:line="268" w:lineRule="auto"/>
        <w:rPr>
          <w:sz w:val="20"/>
          <w:szCs w:val="20"/>
          <w:color w:val="auto"/>
        </w:rPr>
      </w:pPr>
      <w:r>
        <w:rPr>
          <w:rFonts w:ascii="Times New Roman" w:cs="Times New Roman" w:eastAsia="Times New Roman" w:hAnsi="Times New Roman"/>
          <w:sz w:val="20"/>
          <w:szCs w:val="20"/>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53"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0" w:name="page201"/>
    <w:bookmarkEnd w:id="200"/>
    <w:p>
      <w:pPr>
        <w:ind w:left="1016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NOT MATERIAL AND WOULD LIKELY CAUSE COMPETITIVE HARM TO THE REGISTRANT IF PUBLICLY DISCLOSED. THE OMISSIONS HAVE BEEN INDICATED BY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JOINDER AND WAIVER AGREEMENT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JOINDER AND WAIVER AGREEMENT, dated as of October 31, 2022 (this “</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is entered into by and among Phathom Pharmaceuticals,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Hercules Capital, Inc. in its capacity as administrative agent and collateral agent for itself and the Lenders (as defined in the Hercules Loan Agreement)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the Required Lenders (as defined in the Hercules Loan Agreement), CO Finance LVS XXXVII LLC, a Delaware limited liability company (the “</w:t>
      </w:r>
      <w:r>
        <w:rPr>
          <w:rFonts w:ascii="Times New Roman" w:cs="Times New Roman" w:eastAsia="Times New Roman" w:hAnsi="Times New Roman"/>
          <w:sz w:val="22"/>
          <w:szCs w:val="22"/>
          <w:u w:val="single" w:color="auto"/>
          <w:color w:val="auto"/>
        </w:rPr>
        <w:t>Additional Investor</w:t>
      </w:r>
      <w:r>
        <w:rPr>
          <w:rFonts w:ascii="Times New Roman" w:cs="Times New Roman" w:eastAsia="Times New Roman" w:hAnsi="Times New Roman"/>
          <w:sz w:val="22"/>
          <w:szCs w:val="22"/>
          <w:color w:val="auto"/>
        </w:rPr>
        <w:t>”), and the other entities set forth on the signature pages hereto (the “</w:t>
      </w:r>
      <w:r>
        <w:rPr>
          <w:rFonts w:ascii="Times New Roman" w:cs="Times New Roman" w:eastAsia="Times New Roman" w:hAnsi="Times New Roman"/>
          <w:sz w:val="22"/>
          <w:szCs w:val="22"/>
          <w:u w:val="single" w:color="auto"/>
          <w:color w:val="auto"/>
        </w:rPr>
        <w:t>Initial Investors</w:t>
      </w:r>
      <w:r>
        <w:rPr>
          <w:rFonts w:ascii="Times New Roman" w:cs="Times New Roman" w:eastAsia="Times New Roman" w:hAnsi="Times New Roman"/>
          <w:sz w:val="22"/>
          <w:szCs w:val="22"/>
          <w:color w:val="auto"/>
        </w:rPr>
        <w:t>”). All capitalized terms used but not defined herein shall have the respective meanings ascribed to them in the Financing Agreement (as defined below).</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and the Initial Investors are parties to that certain Revenue Interest Financing Agreement, dated as of May 3, 2022 (as may be amended, supplemented or otherwise modified from time to time, the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WHEREAS, the Company, the Initial Investors and the Agent entered into that certain Subordination Agreement, dated as of May 3, 2022 (as may be amended, supplemented or otherwise modified from time to time, the “</w:t>
      </w:r>
      <w:r>
        <w:rPr>
          <w:rFonts w:ascii="Times New Roman" w:cs="Times New Roman" w:eastAsia="Times New Roman" w:hAnsi="Times New Roman"/>
          <w:sz w:val="21"/>
          <w:szCs w:val="21"/>
          <w:u w:val="single" w:color="auto"/>
          <w:color w:val="auto"/>
        </w:rPr>
        <w:t>Subordination Agreement</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pursuant to Sections 2.1(b)(ii) and 2.1(c) of the Financing Agreement, the Company has the right to seek written commitments from a third party for an Additional Regulatory Milestone Payment in an amount up to $15,000,000 and a Sales Milestone Payment in an amount up to $25,000,000;</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Additional Investor desires to commit to provide an Additional Regulatory Milestone Payment in an amount equal to $15,000,000 and a Sales Milestone Payment in an amount equal to $25,000,000, each payable in accordance with the terms and conditions set forth in the Financing Agreement;</w:t>
      </w:r>
    </w:p>
    <w:p>
      <w:pPr>
        <w:spacing w:after="0" w:line="20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WHEREAS, Section 2.1(b)(ii) of the Financing Agreement provides that before obtaining a written commitment from a third party for an Additional Regulatory Milestone Payment, the Company shall first grant the Initial Investors the right to extend commitments for the Additional Regulatory Milestone Payment (the “</w:t>
      </w:r>
      <w:r>
        <w:rPr>
          <w:rFonts w:ascii="Times New Roman" w:cs="Times New Roman" w:eastAsia="Times New Roman" w:hAnsi="Times New Roman"/>
          <w:sz w:val="21"/>
          <w:szCs w:val="21"/>
          <w:u w:val="single" w:color="auto"/>
          <w:color w:val="auto"/>
        </w:rPr>
        <w:t>Regulatory Milestone Payment Option</w:t>
      </w:r>
      <w:r>
        <w:rPr>
          <w:rFonts w:ascii="Times New Roman" w:cs="Times New Roman" w:eastAsia="Times New Roman" w:hAnsi="Times New Roman"/>
          <w:sz w:val="21"/>
          <w:szCs w:val="21"/>
          <w:color w:val="auto"/>
        </w:rPr>
        <w:t>”) by delivering to the Initial Investors a written notice of such intended transaction with the Additional Regulatory Milestone Investor;</w:t>
      </w:r>
    </w:p>
    <w:p>
      <w:pPr>
        <w:spacing w:after="0" w:line="16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Section 2.1(c) of the Financing Agreement provides that before obtaining a written commitment from a third party for an Additional Sales Milestone Payment, the Company shall first grant the Initial Investors the right to extend commitments for the Sales Milestone Payment (the “</w:t>
      </w:r>
      <w:r>
        <w:rPr>
          <w:rFonts w:ascii="Times New Roman" w:cs="Times New Roman" w:eastAsia="Times New Roman" w:hAnsi="Times New Roman"/>
          <w:sz w:val="22"/>
          <w:szCs w:val="22"/>
          <w:u w:val="single" w:color="auto"/>
          <w:color w:val="auto"/>
        </w:rPr>
        <w:t>Sales Milestone Payment Option</w:t>
      </w:r>
      <w:r>
        <w:rPr>
          <w:rFonts w:ascii="Times New Roman" w:cs="Times New Roman" w:eastAsia="Times New Roman" w:hAnsi="Times New Roman"/>
          <w:sz w:val="22"/>
          <w:szCs w:val="22"/>
          <w:color w:val="auto"/>
        </w:rPr>
        <w:t>”) by delivering to the Initial Investors a written notice of such intended transaction with the Additional Sales Milestone Investor;</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Initial Investors wish to waive their rights in connection with the Regulatory Milestone Payment Option and the Sales Milestone Payment Option; and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01" w:name="page202"/>
    <w:bookmarkEnd w:id="201"/>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WHEREAS, the Additional Investor is willing to subordinate (i) all of Company’s indebtedness and obligations to the Additional Investor under the Financing Agreement, whether presently existing or arising in the future, to all of Company’s indebtedness and obligations to Agent and the Lenders (as defined in the Hercules Loan Agreement), and (ii) all of Additional Investor’s security interests, if any were to arise, in Company’s property (other than the Revenue Interest Collateral), to all of the Agent’s security interests in the same, in each case in the circumstances and on the terms set forth in the Subordination Agreement.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are hereby acknowledged, the Company, the Additional Investor and the Initial Investors agree as follows:</w:t>
      </w:r>
    </w:p>
    <w:p>
      <w:pPr>
        <w:spacing w:after="0" w:line="158" w:lineRule="exact"/>
        <w:rPr>
          <w:sz w:val="20"/>
          <w:szCs w:val="20"/>
          <w:color w:val="auto"/>
        </w:rPr>
      </w:pPr>
    </w:p>
    <w:p>
      <w:pPr>
        <w:jc w:val="both"/>
        <w:ind w:firstLine="757"/>
        <w:spacing w:after="0" w:line="244" w:lineRule="auto"/>
        <w:tabs>
          <w:tab w:leader="none" w:pos="118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Each Initial Investor hereby waives its Regulatory Milestone Payment Option and its Sales Milestone Payment Option and all other rights of such Initial Investor set forth in Section 2.1(b)(ii) and Section 2.1(c) of the Financing Agreement with respect thereto (including without limitation all notice and election periods set forth therein).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Upon execution and delivery of this Joinder Agreement, the Additional Investor hereby becomes: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jc w:val="both"/>
        <w:ind w:left="1500" w:hanging="369"/>
        <w:spacing w:after="0" w:line="235" w:lineRule="auto"/>
        <w:tabs>
          <w:tab w:leader="none" w:pos="15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party to the Financing Agreement as an Investor for all purposes thereunder as if originally named in the Financing Agreement as an Investor and (ii) assumes, as an Additional Regulatory Milestone Investor and Additional Sales Milestone Investor, all obligations with respect to the Additional Regulatory Milestone Payment and the Sales Milestone Payment as set forth in the Financing Agreement. Notwithstanding the foregoing, the representations and warranties set forth in Sections 4.2 and 4.3 of the Financing Agreement are hereby made to the Company by the Additional Investor as of the date hereof rather than as of the Effective Date; and</w:t>
      </w:r>
    </w:p>
    <w:p>
      <w:pPr>
        <w:spacing w:after="0" w:line="183"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 to the Subordination Agreement as a Creditor for all purposes thereunder and assumes all rights and obligations of a Creditor thereunder as of the date of this Joinder Agreement as if it were originally named in the Subordination Agreement as a Creditor.</w:t>
      </w:r>
    </w:p>
    <w:p>
      <w:pPr>
        <w:spacing w:after="0" w:line="20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 Deliverables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80" w:firstLine="751"/>
        <w:spacing w:after="0" w:line="236" w:lineRule="auto"/>
        <w:tabs>
          <w:tab w:leader="none" w:pos="158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this Joinder Agreement, the Company shall deliver to the Additional Investor a certificate of an officer of the Company, dated as of the date hereof, (i) certifying as to the Company’s organizational documents and the attached resolutions adopted by the board of directors of the Company authorizing the Financing Agreement and the transactions contemplated thereby and (ii) setting forth the incumbency of the officer or officers of the Company who have executed and delivered the Financing Agreement and this Joinder Agreement, including therein a signature specimen of each such officer.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2" w:name="page203"/>
    <w:bookmarkEnd w:id="202"/>
    <w:p>
      <w:pPr>
        <w:ind w:left="380" w:firstLine="751"/>
        <w:spacing w:after="0" w:line="259" w:lineRule="auto"/>
        <w:tabs>
          <w:tab w:leader="none" w:pos="1581"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this Joinder Agreement, the Additional Investor shall deliver to the Company its (i) Applicable Withholding Certificate and (ii) Investor Account Information Document.</w:t>
      </w:r>
    </w:p>
    <w:p>
      <w:pPr>
        <w:spacing w:after="0" w:line="15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Representations, Warranties, Covenants and Other Agreements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80" w:hanging="449"/>
        <w:spacing w:after="0"/>
        <w:tabs>
          <w:tab w:leader="none" w:pos="1580"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represents and warrants to the Additional Investor that as of the date of this Joinder Agreement</w:t>
      </w:r>
    </w:p>
    <w:p>
      <w:pPr>
        <w:spacing w:after="0" w:line="25" w:lineRule="exact"/>
        <w:rPr>
          <w:rFonts w:ascii="Times New Roman" w:cs="Times New Roman" w:eastAsia="Times New Roman" w:hAnsi="Times New Roman"/>
          <w:sz w:val="21"/>
          <w:szCs w:val="21"/>
          <w:color w:val="auto"/>
        </w:rPr>
      </w:pPr>
    </w:p>
    <w:p>
      <w:pPr>
        <w:jc w:val="both"/>
        <w:ind w:left="480" w:hanging="8"/>
        <w:spacing w:after="0" w:line="242" w:lineRule="auto"/>
        <w:tabs>
          <w:tab w:leader="none" w:pos="74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the Company in the Financing Agreement are true and correct (except to the extent that such representations and warranties relate specifically to an earlier date, in which case they are true and correct as of such earlier date), (ii) no Default or Event of Default has occurred and is continuing, (iii) none of the Company, any of its Subsidiaries, or, to the Knowledge of the Company, any of the Company’s or its Subsidiaries’ Affiliates or any of their respective agents acting or benefiting in any capacity in connection with the transactions contemplated by the Financing Agreement is (x) in violation of any Anti-Terrorism Law, Anti-Corruption Law or Sanctions, (y) engaging in or conspiring to engage in any transaction that evades or avoids, or has the purpose of evading or avoiding or attempts to violate, any of the prohibitions set forth in any Anti-Terrorism Law, Anti-Corruption Law or Sanction, or (z) is a Blocked Person and (iv) none of the Company, any of its Subsidiaries, or to the Knowledge of the Company,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Anti-Corruption Law or Sanction.</w:t>
      </w:r>
    </w:p>
    <w:p>
      <w:pPr>
        <w:spacing w:after="0" w:line="185" w:lineRule="exact"/>
        <w:rPr>
          <w:rFonts w:ascii="Times New Roman" w:cs="Times New Roman" w:eastAsia="Times New Roman" w:hAnsi="Times New Roman"/>
          <w:sz w:val="21"/>
          <w:szCs w:val="21"/>
          <w:color w:val="auto"/>
        </w:rPr>
      </w:pPr>
    </w:p>
    <w:p>
      <w:pPr>
        <w:jc w:val="both"/>
        <w:ind w:left="480" w:firstLine="651"/>
        <w:spacing w:after="0" w:line="233" w:lineRule="auto"/>
        <w:tabs>
          <w:tab w:leader="none" w:pos="1587"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Blocked Person</w:t>
      </w:r>
      <w:r>
        <w:rPr>
          <w:rFonts w:ascii="Times New Roman" w:cs="Times New Roman" w:eastAsia="Times New Roman" w:hAnsi="Times New Roman"/>
          <w:sz w:val="22"/>
          <w:szCs w:val="22"/>
          <w:color w:val="auto"/>
        </w:rPr>
        <w:t>” means, for purposes of this Joinder Agreement and the Financing Agreement,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“specially designated national” or “blocked person” on the most current list published by OFAC or other similar list of sanctioned entities maintained by the United Nations, the United Kingdom, the United States, or the European Union, and any other relevant jurisdiction including but not limited to the following lists: the U.S. Denied Persons List, the U.S. Entity List, and the U.S. Unverified List, all administered by the U.S. Department of Commerce; the Chinese Military-industrial Complex Companies; the consolidated list of Persons, Groups and Entities Subject to EU Financial Sanctions, as implemented by the EU Common Foreign &amp; Security Policy; and similar lists of restricted parties maintained by other relevant governmental authorities.</w:t>
      </w:r>
    </w:p>
    <w:p>
      <w:pPr>
        <w:spacing w:after="0" w:line="184" w:lineRule="exact"/>
        <w:rPr>
          <w:rFonts w:ascii="Times New Roman" w:cs="Times New Roman" w:eastAsia="Times New Roman" w:hAnsi="Times New Roman"/>
          <w:sz w:val="22"/>
          <w:szCs w:val="22"/>
          <w:color w:val="auto"/>
        </w:rPr>
      </w:pPr>
    </w:p>
    <w:p>
      <w:pPr>
        <w:jc w:val="both"/>
        <w:ind w:left="480" w:firstLine="651"/>
        <w:spacing w:after="0" w:line="244" w:lineRule="auto"/>
        <w:tabs>
          <w:tab w:leader="none" w:pos="1587"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to the Agent that as of the date of this Joinder Agreement (i) the representations and warranties of the Company in the Hercules Loan Agreement are true and correct in all material respects (except to the extent that such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3" w:name="page204"/>
    <w:bookmarkEnd w:id="203"/>
    <w:p>
      <w:pPr>
        <w:jc w:val="both"/>
        <w:ind w:left="480"/>
        <w:spacing w:after="0" w:line="238" w:lineRule="auto"/>
        <w:rPr>
          <w:sz w:val="20"/>
          <w:szCs w:val="20"/>
          <w:color w:val="auto"/>
        </w:rPr>
      </w:pPr>
      <w:r>
        <w:rPr>
          <w:rFonts w:ascii="Times New Roman" w:cs="Times New Roman" w:eastAsia="Times New Roman" w:hAnsi="Times New Roman"/>
          <w:sz w:val="22"/>
          <w:szCs w:val="22"/>
          <w:color w:val="auto"/>
        </w:rPr>
        <w:t>representations and warranties relate specifically to an earlier date, in which case they are true and correct in all material respects as of such earlier date, and except for such representations qualified by materiality or Material Adverse Effect (as defined in the Hercules Loan Agreement), which are true and correct in all respects), and (ii) no Default (as defined in the Hercules Loan Agreement) or Event of Default (as defined in the Hercules Loan Agreement) has occurred and is continuing.</w:t>
      </w:r>
    </w:p>
    <w:p>
      <w:pPr>
        <w:spacing w:after="0" w:line="177" w:lineRule="exact"/>
        <w:rPr>
          <w:sz w:val="20"/>
          <w:szCs w:val="20"/>
          <w:color w:val="auto"/>
        </w:rPr>
      </w:pPr>
    </w:p>
    <w:p>
      <w:pPr>
        <w:ind w:left="480" w:firstLine="651"/>
        <w:spacing w:after="0" w:line="258" w:lineRule="auto"/>
        <w:tabs>
          <w:tab w:leader="none" w:pos="158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file one or more financing statements in such manner and such jurisdictions as are necessary or appropriate to perfect the Additional Investor’s security interest in the Revenue Interest Collateral.</w:t>
      </w:r>
    </w:p>
    <w:p>
      <w:pPr>
        <w:spacing w:after="0" w:line="158" w:lineRule="exact"/>
        <w:rPr>
          <w:rFonts w:ascii="Times New Roman" w:cs="Times New Roman" w:eastAsia="Times New Roman" w:hAnsi="Times New Roman"/>
          <w:sz w:val="22"/>
          <w:szCs w:val="22"/>
          <w:color w:val="auto"/>
        </w:rPr>
      </w:pPr>
    </w:p>
    <w:p>
      <w:pPr>
        <w:ind w:left="480" w:firstLine="651"/>
        <w:spacing w:after="0" w:line="258" w:lineRule="auto"/>
        <w:tabs>
          <w:tab w:leader="none" w:pos="158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good faith and commercially reasonable efforts to assist the Additional Investor in complying with its or its Affiliates’ obligations under the Anti-Terrorism Laws, Anti-Corruption Laws and Sanctions.</w:t>
      </w:r>
    </w:p>
    <w:p>
      <w:pPr>
        <w:spacing w:after="0" w:line="158" w:lineRule="exact"/>
        <w:rPr>
          <w:sz w:val="20"/>
          <w:szCs w:val="20"/>
          <w:color w:val="auto"/>
        </w:rPr>
      </w:pPr>
    </w:p>
    <w:p>
      <w:pPr>
        <w:ind w:firstLine="757"/>
        <w:spacing w:after="0" w:line="258"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to be provided to the Additional Investor pursuant to Section 9.2 of the Financing Agreement shall be addressed as follows:</w:t>
      </w:r>
    </w:p>
    <w:p>
      <w:pPr>
        <w:spacing w:after="0" w:line="15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CO Finance LVS XXXVII LLC</w:t>
      </w:r>
    </w:p>
    <w:p>
      <w:pPr>
        <w:spacing w:after="0" w:line="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757"/>
        <w:spacing w:after="0" w:line="244" w:lineRule="auto"/>
        <w:tabs>
          <w:tab w:leader="none" w:pos="11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Joinder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57"/>
        <w:spacing w:after="0" w:line="258" w:lineRule="auto"/>
        <w:tabs>
          <w:tab w:leader="none" w:pos="121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9.2, 9.5, 9.9 and 9.12 of the Financing Agreement are hereby incorporated by reference herein as if set forth in full force herein, mutatis mutandis.</w:t>
      </w:r>
    </w:p>
    <w:p>
      <w:pPr>
        <w:spacing w:after="0" w:line="158" w:lineRule="exact"/>
        <w:rPr>
          <w:rFonts w:ascii="Times New Roman" w:cs="Times New Roman" w:eastAsia="Times New Roman" w:hAnsi="Times New Roman"/>
          <w:sz w:val="22"/>
          <w:szCs w:val="22"/>
          <w:color w:val="auto"/>
        </w:rPr>
      </w:pPr>
    </w:p>
    <w:p>
      <w:pPr>
        <w:ind w:left="1220" w:hanging="463"/>
        <w:spacing w:after="0"/>
        <w:tabs>
          <w:tab w:leader="none" w:pos="12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Joinder Agreement is a “Loan Document” for the purposes of the Hercules Loan Agreement.</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21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Investor shall do all acts and execute all such documents as the Agent may reasonably specify from time to time as necessary to give effect to the provisions of this Joinder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4" w:name="page205"/>
    <w:bookmarkEnd w:id="204"/>
    <w:p>
      <w:pPr>
        <w:ind w:left="1016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NOT MATERIAL AND WOULD LIKELY CAUSE COMPETITIVE HARM TO THE REGISTRANT IF PUBLICLY DISCLOSED. THE OMISSIONS HAVE BEEN INDICATED BY “[***].”</w:t>
      </w:r>
    </w:p>
    <w:p>
      <w:pPr>
        <w:spacing w:after="0" w:line="21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caused this Joinder Agreement to be duly executed and delivered as of the date first above written.</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0972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Terrie Curran</w:t>
      </w:r>
    </w:p>
    <w:p>
      <w:pPr>
        <w:ind w:left="494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05" w:name="page206"/>
    <w:bookmarkEnd w:id="205"/>
    <w:p>
      <w:pPr>
        <w:ind w:left="1016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NOT MATERIAL AND WOULD LIKELY CAUSE COMPETITIVE HARM TO THE REGISTRANT IF PUBLICLY DISCLOSED. THE OMISSIONS HAVE BEEN INDICATED BY “[***].”</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ADDITIONAL INVESTOR:</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CO FINANCE LVS XXXVII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ind w:left="494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06" w:name="page207"/>
    <w:bookmarkEnd w:id="206"/>
    <w:p>
      <w:pPr>
        <w:ind w:left="1016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NOT MATERIAL AND WOULD LIKELY CAUSE COMPETITIVE HARM TO THE REGISTRANT IF PUBLICLY DISCLOSED. THE OMISSIONS HAVE BEEN INDICATED BY “[***].”</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INITIAL INVESTORS:</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NQ PROJECT PHARAOH, L.P.</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NQ POF V GP, Ltd., its general partner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940"/>
        <w:spacing w:after="0"/>
        <w:tabs>
          <w:tab w:leader="none" w:pos="620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07" w:name="page208"/>
    <w:bookmarkEnd w:id="207"/>
    <w:p>
      <w:pPr>
        <w:ind w:left="1016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NOT MATERIAL AND WOULD LIKELY CAUSE COMPETITIVE HARM TO THE REGISTRANT IF PUBLICLY DISCLOSED. THE OMISSIONS HAVE BEEN INDICATED BY “[***].”</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INITIAL INVESTORS:</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SAGARD HEALTHCARE PARTNERS (DELAWARE), LP</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Sagard Healthcare Royalty Partners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940"/>
        <w:spacing w:after="0"/>
        <w:tabs>
          <w:tab w:leader="none" w:pos="6200" w:val="left"/>
        </w:tabs>
        <w:rPr>
          <w:sz w:val="20"/>
          <w:szCs w:val="20"/>
          <w:color w:val="auto"/>
        </w:rPr>
      </w:pPr>
      <w:r>
        <w:rPr>
          <w:rFonts w:ascii="Times New Roman" w:cs="Times New Roman" w:eastAsia="Times New Roman" w:hAnsi="Times New Roman"/>
          <w:sz w:val="22"/>
          <w:szCs w:val="22"/>
          <w:color w:val="auto"/>
        </w:rPr>
        <w:t>Name: [***]</w:t>
      </w:r>
      <w:r>
        <w:rPr>
          <w:sz w:val="20"/>
          <w:szCs w:val="20"/>
          <w:color w:val="auto"/>
        </w:rPr>
        <w:tab/>
      </w:r>
      <w:r>
        <w:rPr>
          <w:rFonts w:ascii="Times New Roman" w:cs="Times New Roman" w:eastAsia="Times New Roman" w:hAnsi="Times New Roman"/>
          <w:sz w:val="21"/>
          <w:szCs w:val="21"/>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08" w:name="page209"/>
    <w:bookmarkEnd w:id="208"/>
    <w:p>
      <w:pPr>
        <w:ind w:left="1016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NOT MATERIAL AND WOULD LIKELY CAUSE COMPETITIVE HARM TO THE REGISTRANT IF PUBLICLY DISCLOSED. THE OMISSIONS HAVE BEEN INDICATED BY “[***].”</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INITIAL INVESTORS:</w:t>
      </w:r>
    </w:p>
    <w:p>
      <w:pPr>
        <w:spacing w:after="0" w:line="21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ind w:left="49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HERCULES PRIVATE GLOBAL VENTURE GROWTH FUND I L.P.</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ind w:left="49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09" w:name="page210"/>
    <w:bookmarkEnd w:id="209"/>
    <w:p>
      <w:pPr>
        <w:ind w:left="4500"/>
        <w:spacing w:after="0"/>
        <w:rPr>
          <w:sz w:val="20"/>
          <w:szCs w:val="20"/>
          <w:color w:val="auto"/>
        </w:rPr>
      </w:pPr>
      <w:r>
        <w:rPr>
          <w:rFonts w:ascii="Times New Roman" w:cs="Times New Roman" w:eastAsia="Times New Roman" w:hAnsi="Times New Roman"/>
          <w:sz w:val="22"/>
          <w:szCs w:val="22"/>
          <w:b w:val="1"/>
          <w:bCs w:val="1"/>
          <w:color w:val="auto"/>
        </w:rPr>
        <w:t>AGENT:</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jc w:val="right"/>
        <w:ind w:right="2679"/>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210" w:name="page211"/>
    <w:bookmarkEnd w:id="210"/>
    <w:p>
      <w:pPr>
        <w:ind w:left="4500"/>
        <w:spacing w:after="0"/>
        <w:rPr>
          <w:sz w:val="20"/>
          <w:szCs w:val="20"/>
          <w:color w:val="auto"/>
        </w:rPr>
      </w:pPr>
      <w:r>
        <w:rPr>
          <w:rFonts w:ascii="Times New Roman" w:cs="Times New Roman" w:eastAsia="Times New Roman" w:hAnsi="Times New Roman"/>
          <w:sz w:val="22"/>
          <w:szCs w:val="22"/>
          <w:b w:val="1"/>
          <w:bCs w:val="1"/>
          <w:color w:val="auto"/>
        </w:rPr>
        <w:t>REQUIRED LENDERS:</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HERCULES FUNDING IV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ind w:left="49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HERCULES CAPITAL IV, L.P.</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Hercules Technology SBIC Management, LLC, its General Partner</w:t>
      </w:r>
    </w:p>
    <w:p>
      <w:pPr>
        <w:ind w:left="4500"/>
        <w:spacing w:after="0"/>
        <w:rPr>
          <w:sz w:val="20"/>
          <w:szCs w:val="20"/>
          <w:color w:val="auto"/>
        </w:rPr>
      </w:pPr>
      <w:r>
        <w:rPr>
          <w:rFonts w:ascii="Times New Roman" w:cs="Times New Roman" w:eastAsia="Times New Roman" w:hAnsi="Times New Roman"/>
          <w:sz w:val="22"/>
          <w:szCs w:val="22"/>
          <w:color w:val="auto"/>
        </w:rPr>
        <w:t>By: Hercules Capital, Inc., its Manager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ind w:left="49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HERCULES PRIVATE CREDIT FUND 1 L.P.</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ind w:left="49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52" w:lineRule="exact"/>
        <w:rPr>
          <w:sz w:val="20"/>
          <w:szCs w:val="20"/>
          <w:color w:val="auto"/>
        </w:rPr>
      </w:pPr>
    </w:p>
    <w:p>
      <w:pPr>
        <w:ind w:left="4500"/>
        <w:spacing w:after="0" w:line="238" w:lineRule="auto"/>
        <w:rPr>
          <w:sz w:val="20"/>
          <w:szCs w:val="20"/>
          <w:color w:val="auto"/>
        </w:rPr>
      </w:pPr>
      <w:r>
        <w:rPr>
          <w:rFonts w:ascii="Times New Roman" w:cs="Times New Roman" w:eastAsia="Times New Roman" w:hAnsi="Times New Roman"/>
          <w:sz w:val="22"/>
          <w:szCs w:val="22"/>
          <w:color w:val="auto"/>
        </w:rPr>
        <w:t>HERCULES PRIVATE GLOBAL VENTURE GROWTH FUND I L.P. By: Hercules Private Global Venture Growth Fund GP I LLC, its general partner</w:t>
      </w:r>
    </w:p>
    <w:p>
      <w:pPr>
        <w:ind w:left="4500"/>
        <w:spacing w:after="0"/>
        <w:rPr>
          <w:sz w:val="20"/>
          <w:szCs w:val="20"/>
          <w:color w:val="auto"/>
        </w:rPr>
      </w:pPr>
      <w:r>
        <w:rPr>
          <w:rFonts w:ascii="Times New Roman" w:cs="Times New Roman" w:eastAsia="Times New Roman" w:hAnsi="Times New Roman"/>
          <w:sz w:val="22"/>
          <w:szCs w:val="22"/>
          <w:color w:val="auto"/>
        </w:rPr>
        <w:t>By: Hercules Adviser LLC, its sole member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274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w:t>
      </w:r>
    </w:p>
    <w:p>
      <w:pPr>
        <w:ind w:left="49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8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11</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DB1/ 132849063.6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8" w:right="77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333333"/>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333" w:lineRule="exact"/>
        <w:rPr>
          <w:sz w:val="20"/>
          <w:szCs w:val="20"/>
          <w:color w:val="auto"/>
        </w:rPr>
      </w:pPr>
    </w:p>
    <w:p>
      <w:pPr>
        <w:ind w:left="1020" w:right="460" w:hanging="503"/>
        <w:spacing w:after="0" w:line="282" w:lineRule="auto"/>
        <w:tabs>
          <w:tab w:leader="none" w:pos="10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333-234357) pertaining to the 2019 Equity Incentive Plan, 2019 Incentive Award Plan, and 2019 Employee Stock Purchase Plan of Phathom Pharmaceuticals, Inc.,</w:t>
      </w:r>
    </w:p>
    <w:p>
      <w:pPr>
        <w:spacing w:after="0" w:line="269" w:lineRule="exact"/>
        <w:rPr>
          <w:rFonts w:ascii="Times New Roman" w:cs="Times New Roman" w:eastAsia="Times New Roman" w:hAnsi="Times New Roman"/>
          <w:sz w:val="18"/>
          <w:szCs w:val="18"/>
          <w:color w:val="333333"/>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333-250014) of Phathom Pharmaceuticals, Inc., and</w:t>
      </w:r>
    </w:p>
    <w:p>
      <w:pPr>
        <w:spacing w:after="0" w:line="333" w:lineRule="exact"/>
        <w:rPr>
          <w:rFonts w:ascii="Times New Roman" w:cs="Times New Roman" w:eastAsia="Times New Roman" w:hAnsi="Times New Roman"/>
          <w:sz w:val="18"/>
          <w:szCs w:val="18"/>
          <w:color w:val="333333"/>
        </w:rPr>
      </w:pPr>
    </w:p>
    <w:p>
      <w:pPr>
        <w:ind w:left="1020" w:right="80" w:hanging="503"/>
        <w:spacing w:after="0" w:line="282" w:lineRule="auto"/>
        <w:tabs>
          <w:tab w:leader="none" w:pos="10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333-263420) pertaining to the 2019 Incentive Award Plan and 2019 Employee Stock Purchase Plan of Phathom Pharmaceuticals, Inc.;</w:t>
      </w:r>
    </w:p>
    <w:p>
      <w:pPr>
        <w:spacing w:after="0" w:line="3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of our report dated February 28, 2023, with respect to the financial statements of Phathom Pharmaceuticals, Inc. included in this Annual Report (Form 10-K) of Phathom Pharmaceuticals, Inc. for the year ended December 31, 2022.</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2"/>
          <w:szCs w:val="22"/>
          <w:color w:val="auto"/>
        </w:rPr>
        <w:t>Exhibit 24.1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LIMITED POWER OF ATTORNEY</w:t>
      </w:r>
    </w:p>
    <w:p>
      <w:pPr>
        <w:spacing w:after="0" w:line="209"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KNOW ALL PERSONS BY THESE PRESENTS, that each person or entity whose signature appears below constitutes, designates and appoints each of Terrie Curran and Larry Miller, each of whom are officers of Phathom Pharmaceuticals, Inc. (the “Company”), as its true and lawful attorneys-in-fact and agent, each with power of substitution, with full power to act without the other and on behalf of and as attorney for me, for the purpose of executing and filing with the Securities and Exchange Commission the Company’s Annual Report on Form 10-K for the year ended December 31, 2022,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98"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703"/>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Michael Cola</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6"/>
              </w:rPr>
              <w:t>February 27, 2023</w:t>
            </w:r>
          </w:p>
        </w:tc>
      </w:tr>
      <w:tr>
        <w:trPr>
          <w:trHeight w:val="276"/>
        </w:trPr>
        <w:tc>
          <w:tcPr>
            <w:tcW w:w="14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Michael Cola</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703"/>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Frank Karbe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6"/>
              </w:rPr>
              <w:t>February 27, 2023</w:t>
            </w:r>
          </w:p>
        </w:tc>
      </w:tr>
      <w:tr>
        <w:trPr>
          <w:trHeight w:val="276"/>
        </w:trPr>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Frank Karbe</w:t>
            </w:r>
          </w:p>
        </w:tc>
        <w:tc>
          <w:tcPr>
            <w:tcW w:w="2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703"/>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Heidi Kunz</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6"/>
              </w:rPr>
              <w:t>February 24, 2023</w:t>
            </w:r>
          </w:p>
        </w:tc>
      </w:tr>
      <w:tr>
        <w:trPr>
          <w:trHeight w:val="276"/>
        </w:trPr>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Heidi Kunz</w:t>
            </w:r>
          </w:p>
        </w:tc>
        <w:tc>
          <w:tcPr>
            <w:tcW w:w="10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703"/>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Asit Parikh</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6"/>
              </w:rPr>
              <w:t>February 24, 2023</w:t>
            </w:r>
          </w:p>
        </w:tc>
      </w:tr>
      <w:tr>
        <w:trPr>
          <w:trHeight w:val="276"/>
        </w:trPr>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Asit Parikh</w:t>
            </w:r>
          </w:p>
        </w:tc>
        <w:tc>
          <w:tcPr>
            <w:tcW w:w="120" w:type="dxa"/>
            <w:vAlign w:val="bottom"/>
            <w:gridSpan w:val="3"/>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703"/>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David Socks</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6"/>
              </w:rPr>
              <w:t>February 27, 2023</w:t>
            </w:r>
          </w:p>
        </w:tc>
      </w:tr>
      <w:tr>
        <w:trPr>
          <w:trHeight w:val="276"/>
        </w:trPr>
        <w:tc>
          <w:tcPr>
            <w:tcW w:w="13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David Socks</w:t>
            </w: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703"/>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Mark Stenhouse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6"/>
              </w:rPr>
              <w:t>February 24, 2023</w:t>
            </w:r>
          </w:p>
        </w:tc>
      </w:tr>
      <w:tr>
        <w:trPr>
          <w:trHeight w:val="276"/>
        </w:trPr>
        <w:tc>
          <w:tcPr>
            <w:tcW w:w="16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Mark Stenhouse</w:t>
            </w: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703"/>
        </w:trPr>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James Topper</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6"/>
              </w:rPr>
              <w:t>February 24, 2023</w:t>
            </w:r>
          </w:p>
        </w:tc>
      </w:tr>
      <w:tr>
        <w:trPr>
          <w:trHeight w:val="276"/>
        </w:trPr>
        <w:tc>
          <w:tcPr>
            <w:tcW w:w="14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James Topper</w:t>
            </w:r>
          </w:p>
        </w:tc>
        <w:tc>
          <w:tcPr>
            <w:tcW w:w="1260" w:type="dxa"/>
            <w:vAlign w:val="bottom"/>
            <w:gridSpan w:val="2"/>
          </w:tcPr>
          <w:p>
            <w:pPr>
              <w:spacing w:after="0"/>
              <w:rPr>
                <w:sz w:val="23"/>
                <w:szCs w:val="23"/>
                <w:color w:val="auto"/>
              </w:rPr>
            </w:pPr>
          </w:p>
        </w:tc>
        <w:tc>
          <w:tcPr>
            <w:tcW w:w="478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3" w:name="page214"/>
    <w:bookmarkEnd w:id="21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Terrie Curran, certify that:</w:t>
      </w:r>
    </w:p>
    <w:p>
      <w:pPr>
        <w:spacing w:after="0" w:line="239" w:lineRule="exact"/>
        <w:rPr>
          <w:sz w:val="20"/>
          <w:szCs w:val="20"/>
          <w:color w:val="auto"/>
        </w:rPr>
      </w:pPr>
    </w:p>
    <w:p>
      <w:pPr>
        <w:ind w:left="840" w:hanging="832"/>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Phathom Pharmaceuticals, Inc.</w:t>
      </w:r>
    </w:p>
    <w:p>
      <w:pPr>
        <w:spacing w:after="0" w:line="198" w:lineRule="exact"/>
        <w:rPr>
          <w:rFonts w:ascii="Times New Roman" w:cs="Times New Roman" w:eastAsia="Times New Roman" w:hAnsi="Times New Roman"/>
          <w:sz w:val="18"/>
          <w:szCs w:val="18"/>
          <w:color w:val="auto"/>
        </w:rPr>
      </w:pPr>
    </w:p>
    <w:p>
      <w:pPr>
        <w:ind w:left="840" w:hanging="832"/>
        <w:spacing w:after="0" w:line="266" w:lineRule="auto"/>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40" w:right="180" w:hanging="832"/>
        <w:spacing w:after="0" w:line="282" w:lineRule="auto"/>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840" w:right="80" w:hanging="832"/>
        <w:spacing w:after="0" w:line="266" w:lineRule="auto"/>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660" w:right="200" w:hanging="829"/>
        <w:spacing w:after="0" w:line="266" w:lineRule="auto"/>
        <w:tabs>
          <w:tab w:leader="none" w:pos="1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60" w:hanging="829"/>
        <w:spacing w:after="0"/>
        <w:tabs>
          <w:tab w:leader="none" w:pos="1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84" w:lineRule="exact"/>
        <w:rPr>
          <w:rFonts w:ascii="Times New Roman" w:cs="Times New Roman" w:eastAsia="Times New Roman" w:hAnsi="Times New Roman"/>
          <w:sz w:val="18"/>
          <w:szCs w:val="18"/>
          <w:color w:val="auto"/>
        </w:rPr>
      </w:pPr>
    </w:p>
    <w:p>
      <w:pPr>
        <w:ind w:left="1660" w:right="140" w:hanging="829"/>
        <w:spacing w:after="0" w:line="266" w:lineRule="auto"/>
        <w:tabs>
          <w:tab w:leader="none" w:pos="1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60" w:right="260" w:hanging="829"/>
        <w:spacing w:after="0" w:line="266" w:lineRule="auto"/>
        <w:tabs>
          <w:tab w:leader="none" w:pos="1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840" w:right="100" w:hanging="832"/>
        <w:spacing w:after="0" w:line="282" w:lineRule="auto"/>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660" w:right="100" w:hanging="829"/>
        <w:spacing w:after="0" w:line="282" w:lineRule="auto"/>
        <w:tabs>
          <w:tab w:leader="none" w:pos="1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660" w:right="380" w:hanging="829"/>
        <w:spacing w:after="0" w:line="282" w:lineRule="auto"/>
        <w:tabs>
          <w:tab w:leader="none" w:pos="1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26746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Terrie Curran</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4" w:name="page215"/>
    <w:bookmarkEnd w:id="21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Molly Henderson, certify that:</w:t>
      </w:r>
    </w:p>
    <w:p>
      <w:pPr>
        <w:spacing w:after="0" w:line="239" w:lineRule="exact"/>
        <w:rPr>
          <w:sz w:val="20"/>
          <w:szCs w:val="20"/>
          <w:color w:val="auto"/>
        </w:rPr>
      </w:pPr>
    </w:p>
    <w:p>
      <w:pPr>
        <w:ind w:left="840" w:hanging="832"/>
        <w:spacing w:after="0"/>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Phathom Pharmaceuticals, Inc.</w:t>
      </w:r>
    </w:p>
    <w:p>
      <w:pPr>
        <w:spacing w:after="0" w:line="198" w:lineRule="exact"/>
        <w:rPr>
          <w:rFonts w:ascii="Times New Roman" w:cs="Times New Roman" w:eastAsia="Times New Roman" w:hAnsi="Times New Roman"/>
          <w:sz w:val="18"/>
          <w:szCs w:val="18"/>
          <w:color w:val="auto"/>
        </w:rPr>
      </w:pPr>
    </w:p>
    <w:p>
      <w:pPr>
        <w:ind w:left="840" w:hanging="832"/>
        <w:spacing w:after="0" w:line="266" w:lineRule="auto"/>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40" w:right="180" w:hanging="832"/>
        <w:spacing w:after="0" w:line="282" w:lineRule="auto"/>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840" w:right="80" w:hanging="832"/>
        <w:spacing w:after="0" w:line="266" w:lineRule="auto"/>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660" w:right="200" w:hanging="829"/>
        <w:spacing w:after="0" w:line="266" w:lineRule="auto"/>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60" w:hanging="829"/>
        <w:spacing w:after="0"/>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84" w:lineRule="exact"/>
        <w:rPr>
          <w:rFonts w:ascii="Times New Roman" w:cs="Times New Roman" w:eastAsia="Times New Roman" w:hAnsi="Times New Roman"/>
          <w:sz w:val="18"/>
          <w:szCs w:val="18"/>
          <w:color w:val="auto"/>
        </w:rPr>
      </w:pPr>
    </w:p>
    <w:p>
      <w:pPr>
        <w:ind w:left="1660" w:right="140" w:hanging="829"/>
        <w:spacing w:after="0" w:line="266" w:lineRule="auto"/>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60" w:right="260" w:hanging="829"/>
        <w:spacing w:after="0" w:line="266" w:lineRule="auto"/>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840" w:right="100" w:hanging="832"/>
        <w:spacing w:after="0" w:line="282" w:lineRule="auto"/>
        <w:tabs>
          <w:tab w:leader="none" w:pos="8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660" w:right="100" w:hanging="829"/>
        <w:spacing w:after="0" w:line="282" w:lineRule="auto"/>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660" w:right="380" w:hanging="829"/>
        <w:spacing w:after="0" w:line="282" w:lineRule="auto"/>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1200"/>
        <w:spacing w:after="0"/>
        <w:tabs>
          <w:tab w:leader="none" w:pos="526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26035</wp:posOffset>
            </wp:positionV>
            <wp:extent cx="30435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5" w:name="page216"/>
    <w:bookmarkEnd w:id="21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2022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20"/>
        <w:spacing w:after="0"/>
        <w:tabs>
          <w:tab w:leader="none" w:pos="546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26035</wp:posOffset>
            </wp:positionV>
            <wp:extent cx="27686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Terrie Curran</w:t>
      </w:r>
    </w:p>
    <w:p>
      <w:pPr>
        <w:spacing w:after="0" w:line="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8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8" w:right="359" w:bottom="1440" w:gutter="0" w:footer="0" w:header="0"/>
        </w:sectPr>
      </w:pPr>
    </w:p>
    <w:bookmarkStart w:id="216" w:name="page217"/>
    <w:bookmarkEnd w:id="216"/>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2022 as filed with the Securities and Exchange Commission on the date hereof (the “Report”), I, Molly Henderson, as Principal Financial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40"/>
        <w:spacing w:after="0"/>
        <w:tabs>
          <w:tab w:leader="none" w:pos="506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2746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3"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7" w:name="page218"/>
    <w:bookmarkEnd w:id="2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0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1)"/>
      <w:numFmt w:val="lowerRoman"/>
      <w:start w:val="2"/>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2"/>
    </w:lvl>
  </w:abstractNum>
  <w:abstractNum w:abstractNumId="53">
    <w:nsid w:val="10233C99"/>
    <w:multiLevelType w:val="hybridMultilevel"/>
    <w:lvl w:ilvl="0">
      <w:lvlJc w:val="left"/>
      <w:lvlText w:val="%1."/>
      <w:numFmt w:val="decimal"/>
      <w:start w:val="3"/>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1"/>
    </w:lvl>
    <w:lvl w:ilvl="1">
      <w:lvlJc w:val="left"/>
      <w:lvlText w:val="(%2)"/>
      <w:numFmt w:val="lowerLetter"/>
      <w:start w:val="1"/>
    </w:lvl>
  </w:abstractNum>
  <w:abstractNum w:abstractNumId="56">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7">
    <w:nsid w:val="77AE35E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8">
    <w:nsid w:val="579BE4F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9">
    <w:nsid w:val="310C50B3"/>
    <w:multiLevelType w:val="hybridMultilevel"/>
    <w:lvl w:ilvl="0">
      <w:lvlJc w:val="left"/>
      <w:lvlText w:val="(%1)"/>
      <w:numFmt w:val="lowerLetter"/>
      <w:start w:val="4"/>
    </w:lvl>
  </w:abstractNum>
  <w:abstractNum w:abstractNumId="60">
    <w:nsid w:val="5FF87E05"/>
    <w:multiLevelType w:val="hybridMultilevel"/>
    <w:lvl w:ilvl="0">
      <w:lvlJc w:val="left"/>
      <w:lvlText w:val="%1."/>
      <w:numFmt w:val="decimal"/>
      <w:start w:val="5"/>
    </w:lvl>
  </w:abstractNum>
  <w:abstractNum w:abstractNumId="61">
    <w:nsid w:val="2F305DEF"/>
    <w:multiLevelType w:val="hybridMultilevel"/>
    <w:lvl w:ilvl="0">
      <w:lvlJc w:val="left"/>
      <w:lvlText w:val="%1."/>
      <w:numFmt w:val="decimal"/>
      <w:start w:val="6"/>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28" Type="http://schemas.openxmlformats.org/officeDocument/2006/relationships/image" Target="media/image304.png"/><Relationship Id="rId34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311" Type="http://schemas.openxmlformats.org/officeDocument/2006/relationships/hyperlink" Target="https://www.sec.gov/Archives/edgar/data/1783183/000119312519277761/d795888dex31.htm" TargetMode="External"/><Relationship Id="rId312" Type="http://schemas.openxmlformats.org/officeDocument/2006/relationships/hyperlink" Target="https://www.sec.gov/Archives/edgar/data/1783183/000119312520254563/d10693dex31.htm" TargetMode="External"/><Relationship Id="rId313" Type="http://schemas.openxmlformats.org/officeDocument/2006/relationships/hyperlink" Target="https://www.sec.gov/Archives/edgar/data/1783183/000119312519267053/d63338dex41.htm" TargetMode="External"/><Relationship Id="rId314" Type="http://schemas.openxmlformats.org/officeDocument/2006/relationships/hyperlink" Target="https://www.sec.gov/Archives/edgar/data/1783183/000119312519258922/d63338dex42.htm" TargetMode="External"/><Relationship Id="rId315" Type="http://schemas.openxmlformats.org/officeDocument/2006/relationships/hyperlink" Target="https://www.sec.gov/Archives/edgar/data/1783183/000119312519258922/d63338dex43.htm" TargetMode="External"/><Relationship Id="rId316" Type="http://schemas.openxmlformats.org/officeDocument/2006/relationships/hyperlink" Target="https://www.sec.gov/Archives/edgar/data/1783183/000119312519258922/d63338dex44.htm" TargetMode="External"/><Relationship Id="rId317" Type="http://schemas.openxmlformats.org/officeDocument/2006/relationships/hyperlink" Target="https://www.sec.gov/Archives/edgar/data/1783183/000119312519267053/d63338dex45.htm" TargetMode="External"/><Relationship Id="rId318" Type="http://schemas.openxmlformats.org/officeDocument/2006/relationships/hyperlink" Target="https://www.sec.gov/Archives/edgar/data/1783183/000119312519258922/d63338dex101.htm" TargetMode="External"/><Relationship Id="rId319" Type="http://schemas.openxmlformats.org/officeDocument/2006/relationships/hyperlink" Target="https://www.sec.gov/Archives/edgar/data/1783183/000119312519258922/d63338dex102.htm" TargetMode="External"/><Relationship Id="rId320" Type="http://schemas.openxmlformats.org/officeDocument/2006/relationships/hyperlink" Target="https://www.sec.gov/Archives/edgar/data/1783183/000119312519258922/d63338dex103.htm" TargetMode="External"/><Relationship Id="rId321" Type="http://schemas.openxmlformats.org/officeDocument/2006/relationships/hyperlink" Target="https://www.sec.gov/Archives/edgar/data/1783183/000119312519267053/d63338dex104.htm" TargetMode="External"/><Relationship Id="rId322" Type="http://schemas.openxmlformats.org/officeDocument/2006/relationships/hyperlink" Target="https://www.sec.gov/Archives/edgar/data/1783183/000156459020037296/phat-ex103_248.htm" TargetMode="External"/><Relationship Id="rId323" Type="http://schemas.openxmlformats.org/officeDocument/2006/relationships/hyperlink" Target="https://www.sec.gov/Archives/edgar/data/1783183/000156459020037296/phat-ex104_77.htm" TargetMode="External"/><Relationship Id="rId324" Type="http://schemas.openxmlformats.org/officeDocument/2006/relationships/hyperlink" Target="https://www.sec.gov/Archives/edgar/data/1783183/000119312519267053/d63338dex105.htm" TargetMode="External"/><Relationship Id="rId325" Type="http://schemas.openxmlformats.org/officeDocument/2006/relationships/hyperlink" Target="https://www.sec.gov/Archives/edgar/data/1783183/000119312519267053/d63338dex106.htm" TargetMode="External"/><Relationship Id="rId326" Type="http://schemas.openxmlformats.org/officeDocument/2006/relationships/hyperlink" Target="https://www.sec.gov/Archives/edgar/data/1783183/000156459020024514/phat-ex101_133.htm" TargetMode="External"/><Relationship Id="rId327" Type="http://schemas.openxmlformats.org/officeDocument/2006/relationships/hyperlink" Target="https://www.sec.gov/Archives/edgar/data/1783183/000119312519258922/d63338dex107.htm" TargetMode="External"/><Relationship Id="rId329" Type="http://schemas.openxmlformats.org/officeDocument/2006/relationships/hyperlink" Target="https://www.sec.gov/Archives/edgar/data/1783183/000119312519258922/d63338dex108.htm" TargetMode="External"/><Relationship Id="rId330" Type="http://schemas.openxmlformats.org/officeDocument/2006/relationships/hyperlink" Target="https://www.sec.gov/Archives/edgar/data/1783183/000119312519258922/d63338dex109.htm" TargetMode="External"/><Relationship Id="rId331" Type="http://schemas.openxmlformats.org/officeDocument/2006/relationships/hyperlink" Target="https://www.sec.gov/Archives/edgar/data/1783183/000119312520191565/d54915dex101.htm" TargetMode="External"/><Relationship Id="rId332" Type="http://schemas.openxmlformats.org/officeDocument/2006/relationships/hyperlink" Target="https://www.sec.gov/Archives/edgar/data/1783183/000119312519258922/d63338dex1011.htm" TargetMode="External"/><Relationship Id="rId333" Type="http://schemas.openxmlformats.org/officeDocument/2006/relationships/hyperlink" Target="https://www.sec.gov/Archives/edgar/data/1783183/000119312519258922/d63338dex1012.htm" TargetMode="External"/><Relationship Id="rId334" Type="http://schemas.openxmlformats.org/officeDocument/2006/relationships/hyperlink" Target="https://www.sec.gov/Archives/edgar/data/1783183/000119312519258922/d63338dex1013.htm" TargetMode="External"/><Relationship Id="rId335" Type="http://schemas.openxmlformats.org/officeDocument/2006/relationships/hyperlink" Target="https://www.sec.gov/Archives/edgar/data/1783183/000156459020024514/phat-ex102_134.htm" TargetMode="External"/><Relationship Id="rId336" Type="http://schemas.openxmlformats.org/officeDocument/2006/relationships/hyperlink" Target="https://www.sec.gov/Archives/edgar/data/1783183/000119312519258922/d63338dex1014.htm" TargetMode="External"/><Relationship Id="rId337" Type="http://schemas.openxmlformats.org/officeDocument/2006/relationships/hyperlink" Target="https://www.sec.gov/Archives/edgar/data/1783183/000156459020037296/phat-ex101_79.htm" TargetMode="External"/><Relationship Id="rId338" Type="http://schemas.openxmlformats.org/officeDocument/2006/relationships/hyperlink" Target="https://www.sec.gov/Archives/edgar/data/1783183/000156459021016682/phat-ex1020_1409.htm" TargetMode="External"/><Relationship Id="rId339" Type="http://schemas.openxmlformats.org/officeDocument/2006/relationships/hyperlink" Target="https://www.sec.gov/Archives/edgar/data/1783183/000156459021016682/phat-ex1021_1410.htm" TargetMode="External"/><Relationship Id="rId340" Type="http://schemas.openxmlformats.org/officeDocument/2006/relationships/hyperlink" Target="https://www.sec.gov/Archives/edgar/data/1783183/000156459021016682/phat-ex1022_2100.htm" TargetMode="External"/><Relationship Id="rId341" Type="http://schemas.openxmlformats.org/officeDocument/2006/relationships/hyperlink" Target="https://www.sec.gov/Archives/edgar/data/1783183/000156459021026309/phat-ex101_241.htm" TargetMode="External"/><Relationship Id="rId342" Type="http://schemas.openxmlformats.org/officeDocument/2006/relationships/hyperlink" Target="https://www.sec.gov/Archives/edgar/data/1783183/000156459021042895/phat-ex102_106.htm" TargetMode="External"/><Relationship Id="rId343" Type="http://schemas.openxmlformats.org/officeDocument/2006/relationships/hyperlink" Target="https://www.sec.gov/Archives/edgar/data/1783183/000156459021042895/phat-ex103_174.htm" TargetMode="External"/><Relationship Id="rId344" Type="http://schemas.openxmlformats.org/officeDocument/2006/relationships/hyperlink" Target="https://www.sec.gov/Archives/edgar/data/1783183/000156459021042895/phat-ex104_267.htm" TargetMode="External"/><Relationship Id="rId345" Type="http://schemas.openxmlformats.org/officeDocument/2006/relationships/hyperlink" Target="https://www.sec.gov/Archives/edgar/data/1783183/000156459021042895/phat-ex105_416.htm" TargetMode="External"/><Relationship Id="rId346" Type="http://schemas.openxmlformats.org/officeDocument/2006/relationships/hyperlink" Target="https://www.sec.gov/Archives/edgar/data/1783183/000156459021055073/phat-ex101_211.htm" TargetMode="External"/><Relationship Id="rId348" Type="http://schemas.openxmlformats.org/officeDocument/2006/relationships/hyperlink" Target="https://www.sec.gov/Archives/edgar/data/1783183/000156459021055073/phat-ex102_212.htm" TargetMode="External"/><Relationship Id="rId349" Type="http://schemas.openxmlformats.org/officeDocument/2006/relationships/hyperlink" Target="https://www.sec.gov/Archives/edgar/data/1783183/000095017022002536/phat-ex10_30.htm" TargetMode="External"/><Relationship Id="rId350" Type="http://schemas.openxmlformats.org/officeDocument/2006/relationships/hyperlink" Target="https://www.sec.gov/Archives/edgar/data/1783183/000095017022008741/phat-ex10_1.htm" TargetMode="External"/><Relationship Id="rId351" Type="http://schemas.openxmlformats.org/officeDocument/2006/relationships/hyperlink" Target="https://www.sec.gov/Archives/edgar/data/1783183/000095017022013743/phat-ex10_2.htm" TargetMode="External"/><Relationship Id="rId352" Type="http://schemas.openxmlformats.org/officeDocument/2006/relationships/hyperlink" Target="https://www.sec.gov/Archives/edgar/data/1783183/000095017022013743/phat-ex10_3.htm" TargetMode="External"/><Relationship Id="rId353" Type="http://schemas.openxmlformats.org/officeDocument/2006/relationships/hyperlink" Target="https://www.sec.gov/Archives/edgar/data/1783183/000095017022013743/phat-ex10_4.htm" TargetMode="External"/><Relationship Id="rId354" Type="http://schemas.openxmlformats.org/officeDocument/2006/relationships/hyperlink" Target="https://www.sec.gov/Archives/edgar/data/1783183/000095017022013743/phat-ex10_5.htm" TargetMode="External"/><Relationship Id="rId355" Type="http://schemas.openxmlformats.org/officeDocument/2006/relationships/hyperlink" Target="https://www.sec.gov/Archives/edgar/data/1783183/000095017022013743/phat-ex10_6.htm" TargetMode="External"/><Relationship Id="rId356" Type="http://schemas.openxmlformats.org/officeDocument/2006/relationships/hyperlink" Target="https://www.sec.gov/Archives/edgar/data/1783183/000095017022023372/phat-ex10_1.htm" TargetMode="External"/><Relationship Id="rId357" Type="http://schemas.openxmlformats.org/officeDocument/2006/relationships/hyperlink" Target="https://www.sec.gov/Archives/edgar/data/1783183/000095017022023372/pha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2023-02-28T08:13:55Z</dcterms:created>
  <dcterms:modified xsi:type="dcterms:W3CDTF">2023-02-28T08:13:55Z</dcterms:modified>
</cp:coreProperties>
</file>