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96520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95" w:lineRule="exact"/>
        <w:rPr>
          <w:sz w:val="24"/>
          <w:szCs w:val="24"/>
          <w:color w:val="auto"/>
        </w:rPr>
      </w:pPr>
    </w:p>
    <w:p>
      <w:pPr>
        <w:ind w:left="520" w:right="260" w:hanging="512"/>
        <w:spacing w:after="0" w:line="262" w:lineRule="auto"/>
        <w:tabs>
          <w:tab w:leader="none" w:pos="44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480"/>
        <w:spacing w:after="0"/>
        <w:tabs>
          <w:tab w:leader="none" w:pos="6700" w:val="left"/>
          <w:tab w:leader="none" w:pos="7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3720465</wp:posOffset>
            </wp:positionH>
            <wp:positionV relativeFrom="paragraph">
              <wp:posOffset>-5080</wp:posOffset>
            </wp:positionV>
            <wp:extent cx="1180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001-39094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82-4151574</w:t>
            </w:r>
          </w:p>
        </w:tc>
      </w:tr>
      <w:tr>
        <w:trPr>
          <w:trHeight w:val="148"/>
        </w:trPr>
        <w:tc>
          <w:tcPr>
            <w:tcW w:w="436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100 Campus Drive, Suite 102</w:t>
            </w:r>
          </w:p>
        </w:tc>
        <w:tc>
          <w:tcPr>
            <w:tcW w:w="3120" w:type="dxa"/>
            <w:vAlign w:val="bottom"/>
          </w:tcPr>
          <w:p>
            <w:pPr>
              <w:spacing w:after="0"/>
              <w:rPr>
                <w:sz w:val="24"/>
                <w:szCs w:val="24"/>
                <w:color w:val="auto"/>
              </w:rPr>
            </w:pPr>
          </w:p>
        </w:tc>
      </w:tr>
      <w:tr>
        <w:trPr>
          <w:trHeight w:val="214"/>
        </w:trPr>
        <w:tc>
          <w:tcPr>
            <w:tcW w:w="436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9"/>
              </w:rPr>
              <w:t>Florham Park, New Jersey</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07932</w:t>
            </w:r>
          </w:p>
        </w:tc>
      </w:tr>
      <w:tr>
        <w:trPr>
          <w:trHeight w:val="190"/>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742-8466</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PHAT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29, 2025, the registrant had 69,814,121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60" w:type="dxa"/>
            <w:vAlign w:val="bottom"/>
            <w:gridSpan w:val="6"/>
          </w:tcPr>
          <w:p>
            <w:pPr>
              <w:ind w:left="100"/>
              <w:spacing w:after="0"/>
              <w:rPr>
                <w:sz w:val="20"/>
                <w:szCs w:val="20"/>
                <w:color w:val="auto"/>
              </w:rPr>
            </w:pPr>
            <w:r>
              <w:rPr>
                <w:rFonts w:ascii="Arial" w:cs="Arial" w:eastAsia="Arial" w:hAnsi="Arial"/>
                <w:sz w:val="18"/>
                <w:szCs w:val="18"/>
                <w:b w:val="1"/>
                <w:bCs w:val="1"/>
                <w:color w:val="231F20"/>
              </w:rPr>
              <w:t>TABLE OF CONTENTS</w:t>
            </w:r>
          </w:p>
        </w:tc>
        <w:tc>
          <w:tcPr>
            <w:tcW w:w="2520" w:type="dxa"/>
            <w:vAlign w:val="bottom"/>
          </w:tcPr>
          <w:p>
            <w:pPr>
              <w:spacing w:after="0"/>
              <w:rPr>
                <w:sz w:val="21"/>
                <w:szCs w:val="21"/>
                <w:color w:val="auto"/>
              </w:rPr>
            </w:pPr>
          </w:p>
        </w:tc>
      </w:tr>
      <w:tr>
        <w:trPr>
          <w:trHeight w:val="380"/>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 FINANCIAL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708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Condensed Balance Sheets</w:t>
            </w:r>
          </w:p>
        </w:tc>
        <w:tc>
          <w:tcPr>
            <w:tcW w:w="40" w:type="dxa"/>
            <w:vAlign w:val="bottom"/>
            <w:tcBorders>
              <w:top w:val="single" w:sz="8" w:color="0000FF"/>
              <w:bottom w:val="single" w:sz="8" w:color="0000EE"/>
            </w:tcBorders>
          </w:tcPr>
          <w:p>
            <w:pPr>
              <w:spacing w:after="0"/>
              <w:rPr>
                <w:sz w:val="20"/>
                <w:szCs w:val="20"/>
                <w:color w:val="auto"/>
              </w:rPr>
            </w:pPr>
          </w:p>
        </w:tc>
        <w:tc>
          <w:tcPr>
            <w:tcW w:w="360" w:type="dxa"/>
            <w:vAlign w:val="bottom"/>
            <w:tcBorders>
              <w:top w:val="single" w:sz="8" w:color="0000FF"/>
            </w:tcBorders>
            <w:gridSpan w:val="2"/>
          </w:tcPr>
          <w:p>
            <w:pPr>
              <w:spacing w:after="0"/>
              <w:rPr>
                <w:sz w:val="20"/>
                <w:szCs w:val="20"/>
                <w:color w:val="auto"/>
              </w:rPr>
            </w:pPr>
          </w:p>
        </w:tc>
        <w:tc>
          <w:tcPr>
            <w:tcW w:w="4440" w:type="dxa"/>
            <w:vAlign w:val="bottom"/>
            <w:gridSpan w:val="8"/>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1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rPr>
              <w:t>Condensed Statements of Operations and Comprehensive Loss</w:t>
            </w:r>
          </w:p>
        </w:tc>
        <w:tc>
          <w:tcPr>
            <w:tcW w:w="19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Condensed Statements of Stockholders’ Deficit</w:t>
            </w:r>
          </w:p>
        </w:tc>
        <w:tc>
          <w:tcPr>
            <w:tcW w:w="2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Statements of Cash Flows</w:t>
            </w:r>
          </w:p>
        </w:tc>
        <w:tc>
          <w:tcPr>
            <w:tcW w:w="40" w:type="dxa"/>
            <w:vAlign w:val="bottom"/>
            <w:tcBorders>
              <w:top w:val="single" w:sz="8" w:color="0000FF"/>
              <w:bottom w:val="single" w:sz="8" w:color="0000EE"/>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3320" w:type="dxa"/>
            <w:vAlign w:val="bottom"/>
            <w:gridSpan w:val="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Notes to Condensed Unaudited Financial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1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87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PART II. OTHER INFORMATION</w:t>
            </w:r>
          </w:p>
        </w:tc>
        <w:tc>
          <w:tcPr>
            <w:tcW w:w="25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558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1A</w:t>
            </w:r>
          </w:p>
        </w:tc>
        <w:tc>
          <w:tcPr>
            <w:tcW w:w="708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220" w:type="dxa"/>
            <w:vAlign w:val="bottom"/>
            <w:gridSpan w:val="2"/>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4520" w:type="dxa"/>
            <w:vAlign w:val="bottom"/>
            <w:gridSpan w:val="9"/>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5140" w:type="dxa"/>
            <w:vAlign w:val="bottom"/>
            <w:gridSpan w:val="13"/>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5</w:t>
            </w:r>
          </w:p>
        </w:tc>
        <w:tc>
          <w:tcPr>
            <w:tcW w:w="708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6"/>
        </w:trPr>
        <w:tc>
          <w:tcPr>
            <w:tcW w:w="40" w:type="dxa"/>
            <w:vAlign w:val="bottom"/>
          </w:tcPr>
          <w:p>
            <w:pPr>
              <w:spacing w:after="0"/>
              <w:rPr>
                <w:sz w:val="20"/>
                <w:szCs w:val="20"/>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20"/>
                <w:szCs w:val="20"/>
                <w:color w:val="auto"/>
              </w:rPr>
            </w:pPr>
          </w:p>
        </w:tc>
        <w:tc>
          <w:tcPr>
            <w:tcW w:w="740" w:type="dxa"/>
            <w:vAlign w:val="bottom"/>
            <w:tcBorders>
              <w:top w:val="single" w:sz="8" w:color="0000FF"/>
            </w:tcBorders>
            <w:gridSpan w:val="3"/>
          </w:tcPr>
          <w:p>
            <w:pPr>
              <w:spacing w:after="0"/>
              <w:rPr>
                <w:sz w:val="20"/>
                <w:szCs w:val="20"/>
                <w:color w:val="auto"/>
              </w:rPr>
            </w:pPr>
          </w:p>
        </w:tc>
        <w:tc>
          <w:tcPr>
            <w:tcW w:w="5680" w:type="dxa"/>
            <w:vAlign w:val="bottom"/>
            <w:gridSpan w:val="15"/>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6"/>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432"/>
        </w:trPr>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PHATHOM PHARMACEUTICALS, INC.</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Balance Sheets</w:t>
      </w:r>
    </w:p>
    <w:p>
      <w:pPr>
        <w:jc w:val="center"/>
        <w:spacing w:after="0" w:line="23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212,315</w:t>
            </w:r>
          </w:p>
        </w:tc>
        <w:tc>
          <w:tcPr>
            <w:tcW w:w="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297,263</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13,055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20,866</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36,364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38,797</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Inventory</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3,166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3,208</w:t>
            </w: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264,900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360,134</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1,476</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613</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2,862</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Inventory, non-current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23,011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11,540</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1,693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1,693</w:t>
            </w:r>
          </w:p>
        </w:tc>
      </w:tr>
      <w:tr>
        <w:trPr>
          <w:trHeight w:val="23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294,208</w:t>
            </w:r>
          </w:p>
        </w:tc>
        <w:tc>
          <w:tcPr>
            <w:tcW w:w="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378,318</w:t>
            </w:r>
          </w:p>
        </w:tc>
      </w:tr>
      <w:tr>
        <w:trPr>
          <w:trHeight w:val="183"/>
        </w:trPr>
        <w:tc>
          <w:tcPr>
            <w:tcW w:w="78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11,617</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10,507</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43,028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53,232</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1,711</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Operating lease liabilities, current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501</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revenue interest financing liability</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17,268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19,777</w:t>
            </w:r>
          </w:p>
        </w:tc>
      </w:tr>
      <w:tr>
        <w:trPr>
          <w:trHeight w:val="196"/>
        </w:trPr>
        <w:tc>
          <w:tcPr>
            <w:tcW w:w="7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74,032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85,728</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Long-term debt, net of discount</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203,245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201,409</w:t>
            </w: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 interest financing liability</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343,807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333,261</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11,500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11,500</w:t>
            </w:r>
          </w:p>
        </w:tc>
      </w:tr>
      <w:tr>
        <w:trPr>
          <w:trHeight w:val="196"/>
        </w:trPr>
        <w:tc>
          <w:tcPr>
            <w:tcW w:w="7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632,584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631,898</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3)</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184"/>
        </w:trPr>
        <w:tc>
          <w:tcPr>
            <w:tcW w:w="7860" w:type="dxa"/>
            <w:vAlign w:val="bottom"/>
          </w:tcPr>
          <w:p>
            <w:pPr>
              <w:ind w:left="160"/>
              <w:spacing w:after="0" w:line="183" w:lineRule="exact"/>
              <w:rPr>
                <w:sz w:val="20"/>
                <w:szCs w:val="20"/>
                <w:color w:val="auto"/>
              </w:rPr>
            </w:pPr>
            <w:r>
              <w:rPr>
                <w:rFonts w:ascii="Arial" w:cs="Arial" w:eastAsia="Arial" w:hAnsi="Arial"/>
                <w:sz w:val="18"/>
                <w:szCs w:val="18"/>
                <w:color w:val="auto"/>
              </w:rPr>
              <w:t>Preferred stock, $0.0001 par value; authorized shares — 40,000,000 at March 31, 2025 and</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December 31, 2024; no shares issued and outstanding at March 31, 2025 and December 31,</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1"/>
        </w:trPr>
        <w:tc>
          <w:tcPr>
            <w:tcW w:w="7860" w:type="dxa"/>
            <w:vAlign w:val="bottom"/>
          </w:tcPr>
          <w:p>
            <w:pPr>
              <w:ind w:left="16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184"/>
        </w:trPr>
        <w:tc>
          <w:tcPr>
            <w:tcW w:w="7860" w:type="dxa"/>
            <w:vAlign w:val="bottom"/>
            <w:shd w:val="clear" w:color="auto" w:fill="CFF0FC"/>
          </w:tcPr>
          <w:p>
            <w:pPr>
              <w:ind w:left="160"/>
              <w:spacing w:after="0" w:line="183" w:lineRule="exact"/>
              <w:rPr>
                <w:sz w:val="20"/>
                <w:szCs w:val="20"/>
                <w:color w:val="auto"/>
              </w:rPr>
            </w:pPr>
            <w:r>
              <w:rPr>
                <w:rFonts w:ascii="Arial" w:cs="Arial" w:eastAsia="Arial" w:hAnsi="Arial"/>
                <w:sz w:val="18"/>
                <w:szCs w:val="18"/>
                <w:color w:val="auto"/>
              </w:rPr>
              <w:t>Common stock, $0.0001 par value; authorized shares — 400,000,000 at March 31, 2025 and</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December 31, 2024; issued and outstanding shares — 69,638,070 and 68,518,238 at March</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21"/>
        </w:trPr>
        <w:tc>
          <w:tcPr>
            <w:tcW w:w="78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31, 2025 and December 31, 2024, respectively</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Treasury stock — 19 shares at March 31, 2025 and December 31, 2024</w:t>
            </w:r>
          </w:p>
        </w:tc>
        <w:tc>
          <w:tcPr>
            <w:tcW w:w="20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78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1,018,945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1,009,425</w:t>
            </w:r>
          </w:p>
        </w:tc>
      </w:tr>
      <w:tr>
        <w:trPr>
          <w:trHeight w:val="203"/>
        </w:trPr>
        <w:tc>
          <w:tcPr>
            <w:tcW w:w="7860" w:type="dxa"/>
            <w:vAlign w:val="bottom"/>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(1,357,327)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(1,263,011)</w:t>
            </w:r>
          </w:p>
        </w:tc>
      </w:tr>
      <w:tr>
        <w:trPr>
          <w:trHeight w:val="196"/>
        </w:trPr>
        <w:tc>
          <w:tcPr>
            <w:tcW w:w="7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(338,376)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(253,580)</w:t>
            </w:r>
          </w:p>
        </w:tc>
      </w:tr>
      <w:tr>
        <w:trPr>
          <w:trHeight w:val="196"/>
        </w:trPr>
        <w:tc>
          <w:tcPr>
            <w:tcW w:w="786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294,208</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378,318</w:t>
            </w:r>
          </w:p>
        </w:tc>
      </w:tr>
      <w:tr>
        <w:trPr>
          <w:trHeight w:val="20"/>
        </w:trPr>
        <w:tc>
          <w:tcPr>
            <w:tcW w:w="7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-3308350</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-3291205</wp:posOffset>
            </wp:positionV>
            <wp:extent cx="102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-1722120</wp:posOffset>
            </wp:positionV>
            <wp:extent cx="102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-161925</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19"/>
                <w:szCs w:val="19"/>
                <w:color w:val="auto"/>
              </w:rPr>
            </w:pPr>
          </w:p>
        </w:tc>
      </w:tr>
      <w:tr>
        <w:trPr>
          <w:trHeight w:val="196"/>
        </w:trPr>
        <w:tc>
          <w:tcPr>
            <w:tcW w:w="6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12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28,519</w:t>
            </w:r>
          </w:p>
        </w:tc>
        <w:tc>
          <w:tcPr>
            <w:tcW w:w="58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1,912</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3,724</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426</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24,795</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1,486</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9,184</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9,430</w:t>
            </w:r>
          </w:p>
        </w:tc>
      </w:tr>
      <w:tr>
        <w:trPr>
          <w:trHeight w:val="203"/>
        </w:trPr>
        <w:tc>
          <w:tcPr>
            <w:tcW w:w="6820" w:type="dxa"/>
            <w:vAlign w:val="bottom"/>
          </w:tcPr>
          <w:p>
            <w:pPr>
              <w:ind w:left="80"/>
              <w:spacing w:after="0" w:line="202" w:lineRule="exact"/>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94,474</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62,010</w:t>
            </w:r>
          </w:p>
        </w:tc>
      </w:tr>
      <w:tr>
        <w:trPr>
          <w:trHeight w:val="196"/>
        </w:trPr>
        <w:tc>
          <w:tcPr>
            <w:tcW w:w="6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103,658</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71,440</w:t>
            </w: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(78,863)</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(69,954)</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(expense) income:</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6820" w:type="dxa"/>
            <w:vAlign w:val="bottom"/>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2,640</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4,313</w:t>
            </w:r>
          </w:p>
        </w:tc>
      </w:tr>
      <w:tr>
        <w:trPr>
          <w:trHeight w:val="203"/>
        </w:trPr>
        <w:tc>
          <w:tcPr>
            <w:tcW w:w="68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(18,071)</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(17,168)</w:t>
            </w:r>
          </w:p>
        </w:tc>
      </w:tr>
      <w:tr>
        <w:trPr>
          <w:trHeight w:val="203"/>
        </w:trPr>
        <w:tc>
          <w:tcPr>
            <w:tcW w:w="6820" w:type="dxa"/>
            <w:vAlign w:val="bottom"/>
          </w:tcPr>
          <w:p>
            <w:pPr>
              <w:ind w:left="80"/>
              <w:spacing w:after="0" w:line="202" w:lineRule="exact"/>
              <w:rPr>
                <w:sz w:val="20"/>
                <w:szCs w:val="20"/>
                <w:color w:val="auto"/>
              </w:rPr>
            </w:pPr>
            <w:r>
              <w:rPr>
                <w:rFonts w:ascii="Arial" w:cs="Arial" w:eastAsia="Arial" w:hAnsi="Arial"/>
                <w:sz w:val="18"/>
                <w:szCs w:val="18"/>
                <w:color w:val="auto"/>
              </w:rPr>
              <w:t>Other expense, net</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r>
      <w:tr>
        <w:trPr>
          <w:trHeight w:val="196"/>
        </w:trPr>
        <w:tc>
          <w:tcPr>
            <w:tcW w:w="6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9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(15,453)</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(12,898)</w:t>
            </w: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12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(94,316)</w:t>
            </w:r>
          </w:p>
        </w:tc>
        <w:tc>
          <w:tcPr>
            <w:tcW w:w="5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(82,852)</w:t>
            </w: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2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(1.31)</w:t>
            </w:r>
          </w:p>
        </w:tc>
        <w:tc>
          <w:tcPr>
            <w:tcW w:w="580" w:type="dxa"/>
            <w:vAlign w:val="bottom"/>
            <w:gridSpan w:val="2"/>
            <w:shd w:val="clear" w:color="auto" w:fill="CFF0FC"/>
          </w:tcPr>
          <w:p>
            <w:pPr>
              <w:jc w:val="right"/>
              <w:ind w:right="320"/>
              <w:spacing w:after="0" w:line="183"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(1.42)</w:t>
            </w:r>
          </w:p>
        </w:tc>
      </w:tr>
      <w:tr>
        <w:trPr>
          <w:trHeight w:val="183"/>
        </w:trPr>
        <w:tc>
          <w:tcPr>
            <w:tcW w:w="68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Weighted-average shares of common stock outstanding, basic and diluted</w:t>
            </w:r>
          </w:p>
        </w:tc>
        <w:tc>
          <w:tcPr>
            <w:tcW w:w="90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rPr>
              <w:t>71,969,411</w:t>
            </w:r>
          </w:p>
        </w:tc>
        <w:tc>
          <w:tcPr>
            <w:tcW w:w="16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58,371,480</w:t>
            </w: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-1268095</wp:posOffset>
            </wp:positionV>
            <wp:extent cx="1117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111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111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center"/>
              <w:ind w:left="75"/>
              <w:spacing w:after="0"/>
              <w:rPr>
                <w:sz w:val="20"/>
                <w:szCs w:val="20"/>
                <w:color w:val="auto"/>
              </w:rPr>
            </w:pPr>
            <w:r>
              <w:rPr>
                <w:rFonts w:ascii="Arial" w:cs="Arial" w:eastAsia="Arial" w:hAnsi="Arial"/>
                <w:sz w:val="18"/>
                <w:szCs w:val="18"/>
                <w:b w:val="1"/>
                <w:bCs w:val="1"/>
                <w:color w:val="auto"/>
                <w:w w:val="99"/>
              </w:rPr>
              <w:t>Treasury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99"/>
              </w:rPr>
              <w:t>Additional</w:t>
            </w:r>
          </w:p>
        </w:tc>
        <w:tc>
          <w:tcPr>
            <w:tcW w:w="140" w:type="dxa"/>
            <w:vAlign w:val="bottom"/>
          </w:tcPr>
          <w:p>
            <w:pPr>
              <w:spacing w:after="0"/>
              <w:rPr>
                <w:sz w:val="16"/>
                <w:szCs w:val="16"/>
                <w:color w:val="auto"/>
              </w:rPr>
            </w:pPr>
          </w:p>
        </w:tc>
        <w:tc>
          <w:tcPr>
            <w:tcW w:w="124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9"/>
              </w:rPr>
              <w:t>Accumulate</w:t>
            </w:r>
          </w:p>
        </w:tc>
        <w:tc>
          <w:tcPr>
            <w:tcW w:w="140" w:type="dxa"/>
            <w:vAlign w:val="bottom"/>
          </w:tcPr>
          <w:p>
            <w:pPr>
              <w:spacing w:after="0"/>
              <w:rPr>
                <w:sz w:val="16"/>
                <w:szCs w:val="16"/>
                <w:color w:val="auto"/>
              </w:rPr>
            </w:pPr>
          </w:p>
        </w:tc>
        <w:tc>
          <w:tcPr>
            <w:tcW w:w="1240" w:type="dxa"/>
            <w:vAlign w:val="bottom"/>
            <w:gridSpan w:val="3"/>
          </w:tcPr>
          <w:p>
            <w:pPr>
              <w:jc w:val="center"/>
              <w:ind w:right="120"/>
              <w:spacing w:after="0" w:line="189" w:lineRule="exact"/>
              <w:rPr>
                <w:sz w:val="20"/>
                <w:szCs w:val="20"/>
                <w:color w:val="auto"/>
              </w:rPr>
            </w:pPr>
            <w:r>
              <w:rPr>
                <w:rFonts w:ascii="Arial" w:cs="Arial" w:eastAsia="Arial" w:hAnsi="Arial"/>
                <w:sz w:val="18"/>
                <w:szCs w:val="18"/>
                <w:b w:val="1"/>
                <w:bCs w:val="1"/>
                <w:color w:val="auto"/>
                <w:w w:val="99"/>
              </w:rPr>
              <w:t>Stockholder</w:t>
            </w:r>
          </w:p>
        </w:tc>
        <w:tc>
          <w:tcPr>
            <w:tcW w:w="0" w:type="dxa"/>
            <w:vAlign w:val="bottom"/>
          </w:tcPr>
          <w:p>
            <w:pPr>
              <w:spacing w:after="0"/>
              <w:rPr>
                <w:sz w:val="1"/>
                <w:szCs w:val="1"/>
                <w:color w:val="auto"/>
              </w:rPr>
            </w:pPr>
          </w:p>
        </w:tc>
      </w:tr>
      <w:tr>
        <w:trPr>
          <w:trHeight w:val="221"/>
        </w:trPr>
        <w:tc>
          <w:tcPr>
            <w:tcW w:w="3380" w:type="dxa"/>
            <w:vAlign w:val="bottom"/>
          </w:tcPr>
          <w:p>
            <w:pPr>
              <w:spacing w:after="0"/>
              <w:rPr>
                <w:sz w:val="19"/>
                <w:szCs w:val="19"/>
                <w:color w:val="auto"/>
              </w:rPr>
            </w:pPr>
          </w:p>
        </w:tc>
        <w:tc>
          <w:tcPr>
            <w:tcW w:w="19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ind w:left="135"/>
              <w:spacing w:after="0"/>
              <w:rPr>
                <w:sz w:val="20"/>
                <w:szCs w:val="20"/>
                <w:color w:val="auto"/>
              </w:rPr>
            </w:pPr>
            <w:r>
              <w:rPr>
                <w:rFonts w:ascii="Arial" w:cs="Arial" w:eastAsia="Arial" w:hAnsi="Arial"/>
                <w:sz w:val="18"/>
                <w:szCs w:val="18"/>
                <w:b w:val="1"/>
                <w:bCs w:val="1"/>
                <w:color w:val="auto"/>
              </w:rPr>
              <w:t>Stock</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Paid-in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s’</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320" w:type="dxa"/>
            <w:vAlign w:val="bottom"/>
            <w:tcBorders>
              <w:bottom w:val="single" w:sz="8" w:color="auto"/>
            </w:tcBorders>
            <w:gridSpan w:val="2"/>
          </w:tcPr>
          <w:p>
            <w:pPr>
              <w:ind w:left="300"/>
              <w:spacing w:after="0" w:line="196" w:lineRule="exact"/>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7"/>
                <w:szCs w:val="17"/>
                <w:color w:val="auto"/>
              </w:rPr>
            </w:pPr>
          </w:p>
        </w:tc>
        <w:tc>
          <w:tcPr>
            <w:tcW w:w="86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ind w:left="115"/>
              <w:spacing w:after="0" w:line="196" w:lineRule="exact"/>
              <w:rPr>
                <w:sz w:val="20"/>
                <w:szCs w:val="20"/>
                <w:color w:val="auto"/>
              </w:rPr>
            </w:pPr>
            <w:r>
              <w:rPr>
                <w:rFonts w:ascii="Arial" w:cs="Arial" w:eastAsia="Arial" w:hAnsi="Arial"/>
                <w:sz w:val="18"/>
                <w:szCs w:val="18"/>
                <w:b w:val="1"/>
                <w:bCs w:val="1"/>
                <w:color w:val="auto"/>
                <w:w w:val="99"/>
              </w:rPr>
              <w:t>Shares</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8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2024</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68,518,238</w:t>
            </w: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55"/>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1,009,425</w:t>
            </w:r>
          </w:p>
        </w:tc>
        <w:tc>
          <w:tcPr>
            <w:tcW w:w="1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(1,263,011)</w:t>
            </w:r>
          </w:p>
        </w:tc>
        <w:tc>
          <w:tcPr>
            <w:tcW w:w="320" w:type="dxa"/>
            <w:vAlign w:val="bottom"/>
            <w:gridSpan w:val="2"/>
            <w:shd w:val="clear" w:color="auto" w:fill="CFF0FC"/>
          </w:tcPr>
          <w:p>
            <w:pPr>
              <w:jc w:val="right"/>
              <w:ind w:right="15"/>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(253,580)</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200" w:type="dxa"/>
            <w:vAlign w:val="bottom"/>
          </w:tcPr>
          <w:p>
            <w:pPr>
              <w:jc w:val="right"/>
              <w:spacing w:after="0"/>
              <w:rPr>
                <w:sz w:val="20"/>
                <w:szCs w:val="20"/>
                <w:color w:val="auto"/>
              </w:rPr>
            </w:pPr>
            <w:r>
              <w:rPr>
                <w:rFonts w:ascii="Arial" w:cs="Arial" w:eastAsia="Arial" w:hAnsi="Arial"/>
                <w:sz w:val="16"/>
                <w:szCs w:val="16"/>
                <w:color w:val="auto"/>
              </w:rPr>
              <w:t>290,165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508,568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321,099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Net loss</w:t>
            </w: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(94,316)</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(94,316)</w:t>
            </w: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2025</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69,638,070</w:t>
            </w: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55"/>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1,018,945</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(1,357,327)</w:t>
            </w:r>
          </w:p>
        </w:tc>
        <w:tc>
          <w:tcPr>
            <w:tcW w:w="320" w:type="dxa"/>
            <w:vAlign w:val="bottom"/>
            <w:gridSpan w:val="2"/>
            <w:shd w:val="clear" w:color="auto" w:fill="CFF0FC"/>
          </w:tcPr>
          <w:p>
            <w:pPr>
              <w:jc w:val="right"/>
              <w:ind w:right="15"/>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(338,376)</w:t>
            </w:r>
          </w:p>
        </w:tc>
        <w:tc>
          <w:tcPr>
            <w:tcW w:w="0" w:type="dxa"/>
            <w:vAlign w:val="bottom"/>
          </w:tcPr>
          <w:p>
            <w:pPr>
              <w:spacing w:after="0"/>
              <w:rPr>
                <w:sz w:val="1"/>
                <w:szCs w:val="1"/>
                <w:color w:val="auto"/>
              </w:rPr>
            </w:pPr>
          </w:p>
        </w:tc>
      </w:tr>
      <w:tr>
        <w:trPr>
          <w:trHeight w:val="641"/>
        </w:trPr>
        <w:tc>
          <w:tcPr>
            <w:tcW w:w="338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jc w:val="center"/>
              <w:ind w:left="75"/>
              <w:spacing w:after="0"/>
              <w:rPr>
                <w:sz w:val="20"/>
                <w:szCs w:val="20"/>
                <w:color w:val="auto"/>
              </w:rPr>
            </w:pPr>
            <w:r>
              <w:rPr>
                <w:rFonts w:ascii="Arial" w:cs="Arial" w:eastAsia="Arial" w:hAnsi="Arial"/>
                <w:sz w:val="16"/>
                <w:szCs w:val="16"/>
                <w:b w:val="1"/>
                <w:bCs w:val="1"/>
                <w:color w:val="auto"/>
              </w:rPr>
              <w:t>Treasury</w:t>
            </w: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9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6"/>
                <w:szCs w:val="16"/>
                <w:b w:val="1"/>
                <w:bCs w:val="1"/>
                <w:color w:val="auto"/>
              </w:rPr>
              <w:t>Common Stock</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ind w:left="115"/>
              <w:spacing w:after="0"/>
              <w:rPr>
                <w:sz w:val="20"/>
                <w:szCs w:val="20"/>
                <w:color w:val="auto"/>
              </w:rPr>
            </w:pPr>
            <w:r>
              <w:rPr>
                <w:rFonts w:ascii="Arial" w:cs="Arial" w:eastAsia="Arial" w:hAnsi="Arial"/>
                <w:sz w:val="16"/>
                <w:szCs w:val="16"/>
                <w:b w:val="1"/>
                <w:bCs w:val="1"/>
                <w:color w:val="auto"/>
              </w:rPr>
              <w:t>Stock</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2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ind w:left="135"/>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w w:val="98"/>
              </w:rPr>
              <w:t>Deficit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7"/>
              <w:spacing w:after="0" w:line="196" w:lineRule="exact"/>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2023</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57,970,044</w:t>
            </w: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55"/>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855,921</w:t>
            </w:r>
          </w:p>
        </w:tc>
        <w:tc>
          <w:tcPr>
            <w:tcW w:w="1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(928,685)</w:t>
            </w:r>
          </w:p>
        </w:tc>
        <w:tc>
          <w:tcPr>
            <w:tcW w:w="320" w:type="dxa"/>
            <w:vAlign w:val="bottom"/>
            <w:gridSpan w:val="2"/>
            <w:shd w:val="clear" w:color="auto" w:fill="CFF0FC"/>
          </w:tcPr>
          <w:p>
            <w:pPr>
              <w:jc w:val="right"/>
              <w:ind w:right="15"/>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(72,759)</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401(k) matching contribution</w:t>
            </w:r>
          </w:p>
        </w:tc>
        <w:tc>
          <w:tcPr>
            <w:tcW w:w="1200" w:type="dxa"/>
            <w:vAlign w:val="bottom"/>
          </w:tcPr>
          <w:p>
            <w:pPr>
              <w:jc w:val="right"/>
              <w:spacing w:after="0"/>
              <w:rPr>
                <w:sz w:val="20"/>
                <w:szCs w:val="20"/>
                <w:color w:val="auto"/>
              </w:rPr>
            </w:pPr>
            <w:r>
              <w:rPr>
                <w:rFonts w:ascii="Arial" w:cs="Arial" w:eastAsia="Arial" w:hAnsi="Arial"/>
                <w:sz w:val="16"/>
                <w:szCs w:val="16"/>
                <w:color w:val="auto"/>
              </w:rPr>
              <w:t>93,736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340,542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ESPP shares issued</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119,779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Net loss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(82,852)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(82,852)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2024</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58,524,101</w:t>
            </w:r>
          </w:p>
        </w:tc>
        <w:tc>
          <w:tcPr>
            <w:tcW w:w="1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55"/>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863,029</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(1,011,537)</w:t>
            </w:r>
          </w:p>
        </w:tc>
        <w:tc>
          <w:tcPr>
            <w:tcW w:w="320" w:type="dxa"/>
            <w:vAlign w:val="bottom"/>
            <w:gridSpan w:val="2"/>
            <w:shd w:val="clear" w:color="auto" w:fill="CFF0FC"/>
          </w:tcPr>
          <w:p>
            <w:pPr>
              <w:jc w:val="right"/>
              <w:ind w:right="15"/>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(148,503)</w:t>
            </w: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-1593850</wp:posOffset>
            </wp:positionV>
            <wp:extent cx="94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-1576705</wp:posOffset>
            </wp:positionV>
            <wp:extent cx="94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-1593850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-1576705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-1593850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-1576705</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-1576705</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-1593850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-1576705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7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19"/>
                <w:szCs w:val="19"/>
                <w:color w:val="auto"/>
              </w:rPr>
            </w:pPr>
          </w:p>
        </w:tc>
      </w:tr>
      <w:tr>
        <w:trPr>
          <w:trHeight w:val="196"/>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(94,316)</w:t>
            </w: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(82,852)</w:t>
            </w: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177</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214</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5,540</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5,626</w:t>
            </w: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Issuance of PIK interest debt</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1,141</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806</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Accrued interest on revenue interest financing liability</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8,037</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12,079</w:t>
            </w: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474</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Inventory reserve</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899</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780" w:type="dxa"/>
            <w:vAlign w:val="bottom"/>
          </w:tcPr>
          <w:p>
            <w:pPr>
              <w:ind w:left="140"/>
              <w:spacing w:after="0" w:line="202"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1,654</w:t>
            </w:r>
          </w:p>
        </w:tc>
      </w:tr>
      <w:tr>
        <w:trPr>
          <w:trHeight w:val="203"/>
        </w:trPr>
        <w:tc>
          <w:tcPr>
            <w:tcW w:w="7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7,810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447</w:t>
            </w: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2,433</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(2,243)</w:t>
            </w: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(6,961)</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(5,015)</w:t>
            </w: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interest</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161</w:t>
            </w: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Operating right-of-use assets and lease liabilities</w:t>
            </w:r>
          </w:p>
        </w:tc>
        <w:tc>
          <w:tcPr>
            <w:tcW w:w="32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w:t>
            </w: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Inventory</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(12,328)</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(416)</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(84,930)</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(69,020)</w:t>
            </w: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Cash paid for property and equipment</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r>
      <w:tr>
        <w:trPr>
          <w:trHeight w:val="196"/>
        </w:trPr>
        <w:tc>
          <w:tcPr>
            <w:tcW w:w="7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proceeds from issuance of debt</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9,900</w:t>
            </w: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9,900</w:t>
            </w: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 and cash equivalents and restricted cash</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(84,948)</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(59,160)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Cash and cash equivalents and restricted cash – beginning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300,125</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384,256</w:t>
            </w:r>
          </w:p>
        </w:tc>
      </w:tr>
      <w:tr>
        <w:trPr>
          <w:trHeight w:val="23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 and restricted cash – end of period</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215,177</w:t>
            </w:r>
          </w:p>
        </w:tc>
        <w:tc>
          <w:tcPr>
            <w:tcW w:w="58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325,096</w:t>
            </w:r>
          </w:p>
        </w:tc>
      </w:tr>
      <w:tr>
        <w:trPr>
          <w:trHeight w:val="183"/>
        </w:trPr>
        <w:tc>
          <w:tcPr>
            <w:tcW w:w="77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2"/>
        </w:trPr>
        <w:tc>
          <w:tcPr>
            <w:tcW w:w="7780" w:type="dxa"/>
            <w:vAlign w:val="bottom"/>
          </w:tcPr>
          <w:p>
            <w:pPr>
              <w:spacing w:after="0" w:line="202" w:lineRule="exact"/>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5,226</w:t>
            </w: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3,740</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7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Property and equipment purchases included in accounts payable and accrued expenses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w:t>
            </w: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Settlement of ESPP liability in common stock</w:t>
            </w:r>
          </w:p>
        </w:tc>
        <w:tc>
          <w:tcPr>
            <w:tcW w:w="32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1,853</w:t>
            </w:r>
          </w:p>
        </w:tc>
        <w:tc>
          <w:tcPr>
            <w:tcW w:w="58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770</w:t>
            </w: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7780" w:type="dxa"/>
            <w:vAlign w:val="bottom"/>
          </w:tcPr>
          <w:p>
            <w:pPr>
              <w:spacing w:after="0" w:line="183" w:lineRule="exact"/>
              <w:rPr>
                <w:sz w:val="20"/>
                <w:szCs w:val="20"/>
                <w:color w:val="auto"/>
              </w:rPr>
            </w:pPr>
            <w:r>
              <w:rPr>
                <w:rFonts w:ascii="Arial" w:cs="Arial" w:eastAsia="Arial" w:hAnsi="Arial"/>
                <w:sz w:val="18"/>
                <w:szCs w:val="18"/>
                <w:color w:val="auto"/>
              </w:rPr>
              <w:t>Settlement of 401(k) liability in common stock</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2,127</w:t>
            </w:r>
          </w:p>
        </w:tc>
        <w:tc>
          <w:tcPr>
            <w:tcW w:w="580" w:type="dxa"/>
            <w:vAlign w:val="bottom"/>
            <w:gridSpan w:val="2"/>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183" w:lineRule="exact"/>
              <w:rPr>
                <w:sz w:val="20"/>
                <w:szCs w:val="20"/>
                <w:color w:val="auto"/>
              </w:rPr>
            </w:pPr>
            <w:r>
              <w:rPr>
                <w:rFonts w:ascii="Arial" w:cs="Arial" w:eastAsia="Arial" w:hAnsi="Arial"/>
                <w:sz w:val="18"/>
                <w:szCs w:val="18"/>
                <w:color w:val="auto"/>
              </w:rPr>
              <w:t>712</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-2386330</wp:posOffset>
            </wp:positionV>
            <wp:extent cx="136525" cy="170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6525" cy="1708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-1833880</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-1580515</wp:posOffset>
            </wp:positionV>
            <wp:extent cx="13652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65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-1028065</wp:posOffset>
            </wp:positionV>
            <wp:extent cx="111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-1010920</wp:posOffset>
            </wp:positionV>
            <wp:extent cx="111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-161925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Unaudited Financial Statements</w:t>
      </w:r>
    </w:p>
    <w:p>
      <w:pPr>
        <w:spacing w:after="0" w:line="153" w:lineRule="exact"/>
        <w:rPr>
          <w:sz w:val="20"/>
          <w:szCs w:val="20"/>
          <w:color w:val="auto"/>
        </w:rPr>
      </w:pPr>
    </w:p>
    <w:p>
      <w:pPr>
        <w:ind w:right="3780"/>
        <w:spacing w:after="0" w:line="446" w:lineRule="auto"/>
        <w:rPr>
          <w:sz w:val="20"/>
          <w:szCs w:val="20"/>
          <w:color w:val="auto"/>
        </w:rPr>
      </w:pPr>
      <w:r>
        <w:rPr>
          <w:rFonts w:ascii="Arial" w:cs="Arial" w:eastAsia="Arial" w:hAnsi="Arial"/>
          <w:sz w:val="18"/>
          <w:szCs w:val="18"/>
          <w:b w:val="1"/>
          <w:bCs w:val="1"/>
          <w:color w:val="auto"/>
        </w:rPr>
        <w:t xml:space="preserve">1. Organization, Basis of Presentation and Summary of Significant Accounting Policies </w:t>
      </w:r>
      <w:r>
        <w:rPr>
          <w:rFonts w:ascii="Arial" w:cs="Arial" w:eastAsia="Arial" w:hAnsi="Arial"/>
          <w:sz w:val="18"/>
          <w:szCs w:val="18"/>
          <w:b w:val="1"/>
          <w:bCs w:val="1"/>
          <w:i w:val="1"/>
          <w:iCs w:val="1"/>
          <w:color w:val="auto"/>
        </w:rPr>
        <w:t>Organization</w:t>
      </w:r>
    </w:p>
    <w:p>
      <w:pPr>
        <w:ind w:right="580" w:firstLine="509"/>
        <w:spacing w:after="0" w:line="301" w:lineRule="auto"/>
        <w:rPr>
          <w:sz w:val="20"/>
          <w:szCs w:val="20"/>
          <w:color w:val="auto"/>
        </w:rPr>
      </w:pPr>
      <w:r>
        <w:rPr>
          <w:rFonts w:ascii="Arial" w:cs="Arial" w:eastAsia="Arial" w:hAnsi="Arial"/>
          <w:sz w:val="17"/>
          <w:szCs w:val="17"/>
          <w:color w:val="auto"/>
        </w:rPr>
        <w:t>Phathom Pharmaceuticals, Inc., or the Company or Phathom, was incorporated in the state of Delaware in January 2018. The Company is a biopharmaceutical company focused on developing and commercializing novel treatments for gastrointestinal diseases.</w:t>
      </w:r>
    </w:p>
    <w:p>
      <w:pPr>
        <w:spacing w:after="0" w:line="90"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 xml:space="preserve">On October 27, 2023, the U.S. Food and Drug Administration, or FDA, approved the prior approval supplements to the Company's new drug applications, or NDAs, for VOQUEZNA TRIPLE PAK and VOQUEZNA DUAL PAK. Additionally, on November 1, 2023, the FDA approved the Company's NDA for VOQUEZNA tablets. The Company initiated commercial launch for VOQUEZNA for both the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indications, and VOQUEZNA TRIPLE PAK and VOQUEZNA DUAL PAK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Additionally, on July 17, 2024, the FDA approved VOQUEZNA 10 mg tablets for the relief of heartburn associated with Non-Erosive GERD.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From inception to March 31, 2025, the Company has devoted substantially all of its efforts to organizing and staffing the Company, business planning, raising capital, in-licensing its initial and approved product candidate, vonoprazan, meeting with regulatory authorities, managing the clinical trials of vonoprazan, preparing for commercialization of its initial products containing vonoprazan, commercially launching its approved products, and providing other selling, general and administrative support for these operations. The Company has a limited operating history as a commercial company, has generated limited product revenue to date, and the sales and income potential of its business remains uncertain. The Company has incurred net losses and negative cash flows from operating activities since its inception and expects to continue to incur additional net losses in the future. The Company has funded its operations primarily through commercial bank debt, the revenue interest financing debt and various equity offerings, including the Company's at-the-market, or ATM, offerings. From inception through March 31, 2025, the Company sold 34,737,032 shares of common stock and 2,608,922 pre-funded warrants, generating net proceeds of approximately $543.3 million, after deducting underwriting discounts, commissions and offering costs.</w:t>
      </w:r>
    </w:p>
    <w:p>
      <w:pPr>
        <w:spacing w:after="0" w:line="13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accompanying unaudited condensed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U.S. generally accepted accounting principles, or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5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unaudited condensed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unaudited condensed financial statements included herein have been prepared by the Company in accordance with GAAP, and pursuant to the rules and regulations of the Securities and Exchange Commission, or the SEC. In the opinion of management, the accompanying unaudited interim condensed financial statements include all adjustments, consisting of normal recurring adjustments, which are necessary to present fairly the Company’s financial position, results of operations, and cash flows. The interim results of operations are not necessarily indicative of the results that may occur for the full fiscal year. Certain information in the footnote disclosures of the financial statements has been condensed or omitted where it substantially duplicates information provided in the Company’s latest audited financial statements, in accordance with the rules and regulations of the SEC. These unaudited condensed financial statements should be read in conjunction with the Company’s audited financial statements and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 w:name="page8"/>
    <w:bookmarkEnd w:id="7"/>
    <w:p>
      <w:pPr>
        <w:ind w:right="400"/>
        <w:spacing w:after="0" w:line="271" w:lineRule="auto"/>
        <w:rPr>
          <w:sz w:val="20"/>
          <w:szCs w:val="20"/>
          <w:color w:val="auto"/>
        </w:rPr>
      </w:pPr>
      <w:r>
        <w:rPr>
          <w:rFonts w:ascii="Arial" w:cs="Arial" w:eastAsia="Arial" w:hAnsi="Arial"/>
          <w:sz w:val="18"/>
          <w:szCs w:val="18"/>
          <w:color w:val="auto"/>
        </w:rPr>
        <w:t>footnotes included in its Annual Report on Form 10-K for the fiscal year ended December 31, 2024, or the 2024 Form 10-K, filed with the SEC on March 7, 2025.</w:t>
      </w:r>
    </w:p>
    <w:p>
      <w:pPr>
        <w:spacing w:after="0" w:line="12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During the three months ended March 31, 2025, there were no significant changes to the Company’s summary of significant accounting policies contained in the Company’s 2024 Form 10-K. The Company’s complete listing of significant accounting policies is set forth in Note 1 of the notes to the audited financial statements in the Company's 2024 Form 10-K. Selected significant accounting policies are discussed in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the Company’s unaudited condensed interim financial statements requires management to make estimates and assumptions that impact the reported amounts of assets, liabilities, revenues and expenses, and the disclosure of contingent assets and liabilities in the Company’s unaudited condensed interim financial statements and accompanying notes. The most significant estimates in the Company’s unaudited condensed interim financial statements relate to accruals for net product revenues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71" w:lineRule="exact"/>
        <w:rPr>
          <w:sz w:val="20"/>
          <w:szCs w:val="20"/>
          <w:color w:val="auto"/>
        </w:rPr>
      </w:pPr>
    </w:p>
    <w:p>
      <w:pPr>
        <w:ind w:right="1040" w:firstLine="509"/>
        <w:spacing w:after="0" w:line="271" w:lineRule="auto"/>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13"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 maturities.</w:t>
      </w:r>
    </w:p>
    <w:p>
      <w:pPr>
        <w:spacing w:after="0" w:line="142" w:lineRule="exact"/>
        <w:rPr>
          <w:sz w:val="20"/>
          <w:szCs w:val="20"/>
          <w:color w:val="auto"/>
        </w:rPr>
      </w:pPr>
    </w:p>
    <w:p>
      <w:pPr>
        <w:ind w:right="440" w:firstLine="509"/>
        <w:spacing w:after="0" w:line="301"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90"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As of March 31, 2025 and December 31, 2024,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3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Company is also subject to credit risk from our accounts receivable related to our product sales. The Company monitors exposure within accounts receivable and records an allowance for credit losses as necessary. The Company extends credit primarily to wholesale distributors. Customer creditworthiness is monitored and collateral is not required. The allowance for credit losses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8" w:name="page9"/>
    <w:bookmarkEnd w:id="8"/>
    <w:p>
      <w:pPr>
        <w:ind w:right="40"/>
        <w:spacing w:after="0"/>
        <w:rPr>
          <w:sz w:val="20"/>
          <w:szCs w:val="20"/>
          <w:color w:val="auto"/>
        </w:rPr>
      </w:pPr>
      <w:r>
        <w:rPr>
          <w:rFonts w:ascii="Arial" w:cs="Arial" w:eastAsia="Arial" w:hAnsi="Arial"/>
          <w:sz w:val="18"/>
          <w:szCs w:val="18"/>
          <w:color w:val="auto"/>
        </w:rPr>
        <w:t>reflects the best estimate of expected credit losses of the accounts receivable portfolio determined on the basis of historical experience, current information, and forecasts of future economic conditions. The Company determines its allowance methodology by pooling receivable balances at the customer level. The Company considers various factors, including its previous loss history, individual credit risk associated to each customer, and the current and future conditions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p>
    <w:p>
      <w:pPr>
        <w:spacing w:after="0" w:line="153" w:lineRule="exact"/>
        <w:rPr>
          <w:sz w:val="20"/>
          <w:szCs w:val="20"/>
          <w:color w:val="auto"/>
        </w:rPr>
      </w:pPr>
    </w:p>
    <w:p>
      <w:pPr>
        <w:ind w:right="160" w:firstLine="749"/>
        <w:spacing w:after="0" w:line="244" w:lineRule="auto"/>
        <w:rPr>
          <w:sz w:val="20"/>
          <w:szCs w:val="20"/>
          <w:color w:val="auto"/>
        </w:rPr>
      </w:pPr>
      <w:r>
        <w:rPr>
          <w:rFonts w:ascii="Arial" w:cs="Arial" w:eastAsia="Arial" w:hAnsi="Arial"/>
          <w:sz w:val="18"/>
          <w:szCs w:val="18"/>
          <w:color w:val="auto"/>
        </w:rPr>
        <w:t>As of March 31, 2025, three customers accounted for 87% of the accounts receivable balance, with each of these individual customers ranging from 27% to 30% of the accounts receivable balance. As of December 31, 2024, three customers accounted for 81% of the accounts receivable balance, with each of these individual customers ranging from 25% to 31% of the accounts receivable balance. For the three months ended March 31, 2025 and 2024, three customers accounted for 76% and 70% of the product sales in each period, with each of these individual customers ranging from 24% to 27% and 20% to 25% of the product revenues,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and pre-funded warrants for the period, without consideration for other potentially dilutive securities. For the three months ended March 31, 2025, basic shares outstanding includes the weighted average effect of the Company’s outstanding pre-funded warrants, the exercise of which requires little or no consideration for the delivery of shares of common stock. For the three months ended March 31, 2025 and 2024, the Company had no weighted-average unvested shares to exclude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restricted stock units)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1"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In December 2023, the FASB issued ASU 2023-09 – Income Taxes (Topic 740) – Improvements to Income Tax Disclosures, which improves income tax disclosures primarily relating to the rate reconciliation and income taxes paid information. This includes a tabular reconciliation using both percentages and reporting currency amounts, covering various tax and reconciling items, and disaggregated summaries of income taxes paid during the period. For public business entities, the guidance is effective for annual periods beginning after December 15, 2024, with early adoption permitted. T</w:t>
      </w:r>
      <w:r>
        <w:rPr>
          <w:rFonts w:ascii="Arial" w:cs="Arial" w:eastAsia="Arial" w:hAnsi="Arial"/>
          <w:sz w:val="16"/>
          <w:szCs w:val="16"/>
          <w:color w:val="auto"/>
        </w:rPr>
        <w:t>he update will be effective for the Company beginning with its 2025 annual financial statements.</w:t>
      </w:r>
      <w:r>
        <w:rPr>
          <w:rFonts w:ascii="Arial" w:cs="Arial" w:eastAsia="Arial" w:hAnsi="Arial"/>
          <w:sz w:val="18"/>
          <w:szCs w:val="18"/>
          <w:color w:val="auto"/>
        </w:rPr>
        <w:t xml:space="preserve"> </w:t>
      </w:r>
      <w:r>
        <w:rPr>
          <w:rFonts w:ascii="Arial" w:cs="Arial" w:eastAsia="Arial" w:hAnsi="Arial"/>
          <w:sz w:val="16"/>
          <w:szCs w:val="16"/>
          <w:color w:val="auto"/>
        </w:rPr>
        <w:t>The Company currently expects that this standard will not have a material impact on the footnote disclosures to its annual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2024 Form 10-K. There were no new material accounting standards issued in the first quarter of 2025 that impacted the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7"/>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 Balance Sheet Details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Accrued expenses consist of the following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compensation expenses</w:t>
            </w:r>
          </w:p>
        </w:tc>
        <w:tc>
          <w:tcPr>
            <w:tcW w:w="3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8,949</w:t>
            </w:r>
          </w:p>
        </w:tc>
        <w:tc>
          <w:tcPr>
            <w:tcW w:w="360" w:type="dxa"/>
            <w:vAlign w:val="bottom"/>
            <w:gridSpan w:val="3"/>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16,659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professional &amp; consulting expenses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426</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Accrued revenue allowances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30,213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29,987</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Accrued other</w:t>
            </w:r>
          </w:p>
        </w:tc>
        <w:tc>
          <w:tcPr>
            <w:tcW w:w="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2,813</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tcPr>
          <w:p>
            <w:pPr>
              <w:spacing w:after="0" w:line="196" w:lineRule="exact"/>
              <w:rPr>
                <w:sz w:val="20"/>
                <w:szCs w:val="20"/>
                <w:color w:val="auto"/>
              </w:rPr>
            </w:pPr>
            <w:r>
              <w:rPr>
                <w:rFonts w:ascii="Arial" w:cs="Arial" w:eastAsia="Arial" w:hAnsi="Arial"/>
                <w:sz w:val="18"/>
                <w:szCs w:val="18"/>
                <w:color w:val="auto"/>
              </w:rPr>
              <w:t>Total accrued expenses</w:t>
            </w:r>
          </w:p>
        </w:tc>
        <w:tc>
          <w:tcPr>
            <w:tcW w:w="32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43,028</w:t>
            </w:r>
          </w:p>
        </w:tc>
        <w:tc>
          <w:tcPr>
            <w:tcW w:w="360" w:type="dxa"/>
            <w:vAlign w:val="bottom"/>
            <w:gridSpan w:val="3"/>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53,232</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Inventory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Inventory consist of the following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Finished goods</w:t>
            </w:r>
          </w:p>
        </w:tc>
        <w:tc>
          <w:tcPr>
            <w:tcW w:w="3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1,725</w:t>
            </w:r>
          </w:p>
        </w:tc>
        <w:tc>
          <w:tcPr>
            <w:tcW w:w="360" w:type="dxa"/>
            <w:vAlign w:val="bottom"/>
            <w:gridSpan w:val="3"/>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inventory, current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3,166</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Raw materials, non-current</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23,011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4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26,177</w:t>
            </w: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-1713865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Raw materials consist of materials, including active pharmaceutical ingredients, to be consumed in the production of inventory related to FDA-approved products. Inventory that is used for clinical development purposes is expensed to research and development expense when consumed. Inventory, noncurrent includes inventory expected to remain on-hand beyond one year from the balance sheet dates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4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consideration of the Takeda License, the Company (i) paid Takeda $25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 million in sales milestones upon the achievement of specified levels of product sales, and a low double-digit royalty rate on aggregate net sales of licensed products, subject to certain adjustments. The Takeda Warrant had an</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7" w:right="439" w:bottom="1440" w:gutter="0" w:footer="0" w:header="0"/>
        </w:sectPr>
      </w:pPr>
    </w:p>
    <w:bookmarkStart w:id="10" w:name="page11"/>
    <w:bookmarkEnd w:id="10"/>
    <w:p>
      <w:pPr>
        <w:ind w:right="60"/>
        <w:spacing w:after="0" w:line="271" w:lineRule="auto"/>
        <w:rPr>
          <w:sz w:val="20"/>
          <w:szCs w:val="20"/>
          <w:color w:val="auto"/>
        </w:rPr>
      </w:pPr>
      <w:r>
        <w:rPr>
          <w:rFonts w:ascii="Arial" w:cs="Arial" w:eastAsia="Arial" w:hAnsi="Arial"/>
          <w:sz w:val="18"/>
          <w:szCs w:val="18"/>
          <w:color w:val="auto"/>
        </w:rPr>
        <w:t>exercise price of $0.00004613 per share, and was to expire on May 7, 2029 and became exercisable upon the consummation of the IPO. All Takeda Warrants were exercised by March 2022.</w:t>
      </w:r>
    </w:p>
    <w:p>
      <w:pPr>
        <w:spacing w:after="0" w:line="12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During the three months ended March 31, 2025 and 2024, the Company recorded $2.9 million and $0.2 million, respectively, of royalty expense under the Takeda License, of which $2.9 million is included within accrued expenses as of March 31, 2025.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€2.9 million, or approximately $3.2 million, in the first 24-month period following the launch of the final product. The Company incurred $0.1 million and no expenses under the agreement during the three months ended March 31, 2025 and 2024, respectively. As of March 31, 2025, €1.7 million, or approximately $1.9 million, remains of the minimum purchase obligation and the Company has not recorded any liability related to the minimum purchase obligation.</w:t>
      </w:r>
    </w:p>
    <w:p>
      <w:pPr>
        <w:spacing w:after="0" w:line="179"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Sandoz has notified the Company of a potential disruption in the supply of VOQUEZNA TRIPLE PAKs. The Company has not experienced any commercial disruptions to date, nor does it anticipate any material impact to revenues or operations if a supply disruption to the VOQUEZNA TRIPLE PAK occurs. VOQUEZNA DUAL PAK is not impacted.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 Commitments</w:t>
      </w:r>
    </w:p>
    <w:p>
      <w:pPr>
        <w:spacing w:after="0" w:line="18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of March 31, 2025, the Company had operating leases for office space in both Buffalo Grove, Illinois and Florham Park, New Jersey, with weighted average remaining lease terms of 0.1 years and 0.4 years, respectively. All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33"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total rent expense for each of the three months ended March 31, 2025 and 2024 was $0.3 million. Total short-term lease costs relating to leased vehicles was approximately $1.8 million and $2.2 million for the three months ended March 31, 2025 and 2024, respectively.</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2025, the future minimum annual lease payments under the operating leases were as follows (in thousands):</w:t>
      </w:r>
    </w:p>
    <w:p>
      <w:pPr>
        <w:spacing w:after="0" w:line="199"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1100" w:type="dxa"/>
            <w:vAlign w:val="bottom"/>
            <w:tcBorders>
              <w:bottom w:val="single" w:sz="8" w:color="auto"/>
            </w:tcBorders>
          </w:tcPr>
          <w:p>
            <w:pPr>
              <w:jc w:val="right"/>
              <w:ind w:right="89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321</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1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321</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316</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Less: operating lease liabilities, current</w:t>
            </w:r>
          </w:p>
        </w:tc>
        <w:tc>
          <w:tcPr>
            <w:tcW w:w="1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(316)</w:t>
            </w:r>
          </w:p>
        </w:tc>
      </w:tr>
      <w:tr>
        <w:trPr>
          <w:trHeight w:val="236"/>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lease liabilities, non-current</w:t>
            </w:r>
          </w:p>
        </w:tc>
        <w:tc>
          <w:tcPr>
            <w:tcW w:w="1100" w:type="dxa"/>
            <w:vAlign w:val="bottom"/>
            <w:tcBorders>
              <w:bottom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r>
      <w:tr>
        <w:trPr>
          <w:trHeight w:val="183"/>
        </w:trPr>
        <w:tc>
          <w:tcPr>
            <w:tcW w:w="5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remaining lease term (in years)</w:t>
            </w:r>
          </w:p>
        </w:tc>
        <w:tc>
          <w:tcPr>
            <w:tcW w:w="1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0.39</w:t>
            </w:r>
          </w:p>
        </w:tc>
      </w:tr>
      <w:tr>
        <w:trPr>
          <w:trHeight w:val="239"/>
        </w:trPr>
        <w:tc>
          <w:tcPr>
            <w:tcW w:w="576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1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8.35%</w:t>
            </w:r>
          </w:p>
        </w:tc>
      </w:tr>
    </w:tbl>
    <w:p>
      <w:pPr>
        <w:spacing w:after="0" w:line="120"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Operating cash flows for each of the three months ended March 31, 2025 and 2024 included cash payments for operating leases of approximately $0.2 million.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3"/>
        </w:trPr>
        <w:tc>
          <w:tcPr>
            <w:tcW w:w="6020" w:type="dxa"/>
            <w:vAlign w:val="bottom"/>
            <w:gridSpan w:val="2"/>
          </w:tcPr>
          <w:p>
            <w:pPr>
              <w:spacing w:after="0"/>
              <w:rPr>
                <w:sz w:val="20"/>
                <w:szCs w:val="20"/>
                <w:color w:val="auto"/>
              </w:rPr>
            </w:pPr>
            <w:r>
              <w:rPr>
                <w:rFonts w:ascii="Arial" w:cs="Arial" w:eastAsia="Arial" w:hAnsi="Arial"/>
                <w:sz w:val="20"/>
                <w:szCs w:val="20"/>
                <w:b w:val="1"/>
                <w:bCs w:val="1"/>
                <w:color w:val="auto"/>
              </w:rPr>
              <w:t>5</w:t>
            </w:r>
            <w:r>
              <w:rPr>
                <w:rFonts w:ascii="Arial" w:cs="Arial" w:eastAsia="Arial" w:hAnsi="Arial"/>
                <w:sz w:val="17"/>
                <w:szCs w:val="17"/>
                <w:b w:val="1"/>
                <w:bCs w:val="1"/>
                <w:color w:val="auto"/>
              </w:rPr>
              <w:t>. Debt</w:t>
            </w: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75"/>
        </w:trPr>
        <w:tc>
          <w:tcPr>
            <w:tcW w:w="6020" w:type="dxa"/>
            <w:vAlign w:val="bottom"/>
            <w:gridSpan w:val="2"/>
          </w:tcPr>
          <w:p>
            <w:pPr>
              <w:ind w:left="520"/>
              <w:spacing w:after="0"/>
              <w:rPr>
                <w:sz w:val="20"/>
                <w:szCs w:val="20"/>
                <w:color w:val="auto"/>
              </w:rPr>
            </w:pPr>
            <w:r>
              <w:rPr>
                <w:rFonts w:ascii="Arial" w:cs="Arial" w:eastAsia="Arial" w:hAnsi="Arial"/>
                <w:sz w:val="18"/>
                <w:szCs w:val="18"/>
                <w:color w:val="auto"/>
              </w:rPr>
              <w:t>Total debt consists of the following (in thousands):</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2"/>
        </w:trPr>
        <w:tc>
          <w:tcPr>
            <w:tcW w:w="1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4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196"/>
        </w:trPr>
        <w:tc>
          <w:tcPr>
            <w:tcW w:w="1420" w:type="dxa"/>
            <w:vAlign w:val="bottom"/>
          </w:tcPr>
          <w:p>
            <w:pPr>
              <w:spacing w:after="0"/>
              <w:rPr>
                <w:sz w:val="17"/>
                <w:szCs w:val="17"/>
                <w:color w:val="auto"/>
              </w:rPr>
            </w:pPr>
          </w:p>
        </w:tc>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 current portion</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14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Long-term debt, non-current portion</w:t>
            </w:r>
          </w:p>
        </w:tc>
        <w:tc>
          <w:tcPr>
            <w:tcW w:w="2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212,972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211,831</w:t>
            </w:r>
          </w:p>
        </w:tc>
      </w:tr>
      <w:tr>
        <w:trPr>
          <w:trHeight w:val="203"/>
        </w:trPr>
        <w:tc>
          <w:tcPr>
            <w:tcW w:w="1420" w:type="dxa"/>
            <w:vAlign w:val="bottom"/>
          </w:tcPr>
          <w:p>
            <w:pPr>
              <w:spacing w:after="0"/>
              <w:rPr>
                <w:sz w:val="17"/>
                <w:szCs w:val="17"/>
                <w:color w:val="auto"/>
              </w:rPr>
            </w:pPr>
          </w:p>
        </w:tc>
        <w:tc>
          <w:tcPr>
            <w:tcW w:w="46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Unamortized debt discount</w:t>
            </w:r>
          </w:p>
        </w:tc>
        <w:tc>
          <w:tcPr>
            <w:tcW w:w="2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(9,727)</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(10,422)</w:t>
            </w:r>
          </w:p>
        </w:tc>
      </w:tr>
      <w:tr>
        <w:trPr>
          <w:trHeight w:val="209"/>
        </w:trPr>
        <w:tc>
          <w:tcPr>
            <w:tcW w:w="1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203,245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201,409</w:t>
            </w:r>
          </w:p>
        </w:tc>
      </w:tr>
      <w:tr>
        <w:trPr>
          <w:trHeight w:val="20"/>
        </w:trPr>
        <w:tc>
          <w:tcPr>
            <w:tcW w:w="14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939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September 17, 2021, or the Closing Date, the Company entered into a Loan and Security Agreement, or, the Loan Agreement, with Hercules Capital, Inc., in its capacity as administrative agent and collateral agent and as a lender, or, in such capacity, the Agent or Hercules, and the other financial institutions that from time to time become parties to the Loan Agreement as lenders, or, collectively, the Lenders.</w:t>
      </w:r>
    </w:p>
    <w:p>
      <w:pPr>
        <w:spacing w:after="0" w:line="14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in May 2022.</w:t>
      </w:r>
    </w:p>
    <w:p>
      <w:pPr>
        <w:spacing w:after="0" w:line="17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On September 27, 2022, the Company entered into an amendment to the Loan Agreement, or the Second Loan Amendment, pursuant to which the date the second tranche of funding of $50 million was available to the Company and has been moved until May 15, 2023, rather than December 15, 2022.</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May 9, 2023, the Company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 have been recorded as debt discount and are being amortized to interest expense using the effective interest method over the remaining term of the Term Loan.</w:t>
      </w:r>
    </w:p>
    <w:p>
      <w:pPr>
        <w:spacing w:after="0" w:line="180"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On December 14, 2023, the Company entered into a Fourth Amendment to Loan and Security Agreement, or the Fourth Loan Amendment, with the lenders, which, among other things, (i) increases the aggregate principal amount of the term loans from $200 million to $300 million; (ii) provides for the possibility of accessing the remaining $200 million commitment through five tranches referred to as the second through sixth tranches, which are available subject to certain milestones and conditions: (a) Second Tranche: $50 million, $40 million of which was funded on December 14, 2023, available through March 15, 2024, (b) Third Tranche: $25 million available through June 15, 2024, (c) Fourth Tranche: $25 million available through December 15, 2024, (d) Fifth Tranche: $50 million available, subject to the achievement of a specified revenue milestone, or the Fifth Tranche milestone, through June 30, 2025, and (e) Sixth Tranche: $50 million available, subject to the achievement of a specific revenue milestone, or the Sixth Tranche milestone, through December 31, 2025; (iii) extends the interest only period and the maturity date from October 2026 to December 2027, (iv) reduces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the Company achieving the Sixth Tranche milestone, the cash interest floating rated shall be decreased by 0.35% to</w:t>
      </w:r>
    </w:p>
    <w:p>
      <w:pPr>
        <w:spacing w:after="0" w:line="6" w:lineRule="exact"/>
        <w:rPr>
          <w:sz w:val="20"/>
          <w:szCs w:val="20"/>
          <w:color w:val="auto"/>
        </w:rPr>
      </w:pPr>
    </w:p>
    <w:p>
      <w:pPr>
        <w:jc w:val="both"/>
        <w:ind w:right="140"/>
        <w:spacing w:after="0" w:line="242" w:lineRule="auto"/>
        <w:rPr>
          <w:sz w:val="20"/>
          <w:szCs w:val="20"/>
          <w:color w:val="auto"/>
        </w:rPr>
      </w:pPr>
      <w:r>
        <w:rPr>
          <w:rFonts w:ascii="Arial" w:cs="Arial" w:eastAsia="Arial" w:hAnsi="Arial"/>
          <w:sz w:val="18"/>
          <w:szCs w:val="18"/>
          <w:color w:val="auto"/>
        </w:rPr>
        <w:t>9.50%, and (v) decreases the payment-in-kind interest rate from 3.35% per annum to 2.15% per annum. In connection with the Fourth Loan Amendment, an amendment fee of $250,000 was paid to the Agent and was recorded as a debt discount and is being amortized to interest expense using the effective interest method over the remaining term of the Term Loan.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2" w:name="page13"/>
    <w:bookmarkEnd w:id="12"/>
    <w:p>
      <w:pPr>
        <w:ind w:right="40" w:firstLine="509"/>
        <w:spacing w:after="0" w:line="253" w:lineRule="auto"/>
        <w:rPr>
          <w:sz w:val="20"/>
          <w:szCs w:val="20"/>
          <w:color w:val="auto"/>
        </w:rPr>
      </w:pPr>
      <w:r>
        <w:rPr>
          <w:rFonts w:ascii="Arial" w:cs="Arial" w:eastAsia="Arial" w:hAnsi="Arial"/>
          <w:sz w:val="18"/>
          <w:szCs w:val="18"/>
          <w:color w:val="auto"/>
        </w:rPr>
        <w:t>On March 15, 2024, the Company drew down on the remaining $10 million available under the Second Tranche. On June 14, 2024, the Company drew down the $25 million available under the Third Tranche. In addition, on December 14, 2024, the Company drew down the $25 million available under the Fourth Tranche.</w:t>
      </w:r>
    </w:p>
    <w:p>
      <w:pPr>
        <w:spacing w:after="0" w:line="142" w:lineRule="exact"/>
        <w:rPr>
          <w:sz w:val="20"/>
          <w:szCs w:val="20"/>
          <w:color w:val="auto"/>
        </w:rPr>
      </w:pPr>
    </w:p>
    <w:p>
      <w:pPr>
        <w:ind w:right="20" w:firstLine="509"/>
        <w:spacing w:after="0" w:line="266" w:lineRule="auto"/>
        <w:rPr>
          <w:sz w:val="20"/>
          <w:szCs w:val="20"/>
          <w:color w:val="auto"/>
        </w:rPr>
      </w:pPr>
      <w:r>
        <w:rPr>
          <w:rFonts w:ascii="Arial" w:cs="Arial" w:eastAsia="Arial" w:hAnsi="Arial"/>
          <w:sz w:val="17"/>
          <w:szCs w:val="17"/>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The Company may make payments of interest only through the Maturity Date. After the interest-only period, the principal balance and related interest will be required to be repaid in full on the Maturity Date.</w:t>
      </w:r>
    </w:p>
    <w:p>
      <w:pPr>
        <w:spacing w:after="0" w:line="11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addition, the Company is obligated to pay a final payment fee of 7.50% of the original principal amount of amounts actually advanced under the Term Loan, or each a Term Loan Advance and together, the Term Loan Advances. In connection with the Fourth Loan Amendment, the final payment fee was amended to be $1 million plus 3.00% of any future tranche drawdowns under the agreement, due upon final maturity. Additionally, the initial final payment fee for the first Term Loan Advance was amended to become payable on October 1, 2026. As of March 31, 2025, the aggregate $11.5 million of final payment fees includes the first Term Loan Advance of $7.5 million, $2.5 million for the second Term Loan Advance, $0.8 million for the third Term Loan Advance, and $0.7 million for the fourth Term Loan Advance have been recorded within other long-term liabilities.</w:t>
      </w:r>
    </w:p>
    <w:p>
      <w:pPr>
        <w:spacing w:after="0" w:line="144"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Under the Fourth Loan Amendment the Company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spacing w:after="0" w:line="147"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1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spacing w:after="0" w:line="61" w:lineRule="exact"/>
        <w:rPr>
          <w:sz w:val="20"/>
          <w:szCs w:val="20"/>
          <w:color w:val="auto"/>
        </w:rPr>
      </w:pPr>
    </w:p>
    <w:p>
      <w:pPr>
        <w:ind w:left="1020" w:right="80" w:hanging="503"/>
        <w:spacing w:after="0" w:line="245" w:lineRule="auto"/>
        <w:tabs>
          <w:tab w:leader="none" w:pos="1020" w:val="left"/>
        </w:tabs>
        <w:numPr>
          <w:ilvl w:val="0"/>
          <w:numId w:val="3"/>
        </w:numPr>
        <w:rPr>
          <w:rFonts w:ascii="Calibri" w:cs="Calibri" w:eastAsia="Calibri" w:hAnsi="Calibri"/>
          <w:sz w:val="18"/>
          <w:szCs w:val="18"/>
          <w:color w:val="auto"/>
        </w:rPr>
      </w:pPr>
      <w:r>
        <w:rPr>
          <w:rFonts w:ascii="Arial" w:cs="Arial" w:eastAsia="Arial" w:hAnsi="Arial"/>
          <w:sz w:val="18"/>
          <w:szCs w:val="18"/>
          <w:color w:val="auto"/>
        </w:rPr>
        <w:t>Minimum cash covenant - The Company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w:t>
      </w:r>
    </w:p>
    <w:p>
      <w:pPr>
        <w:spacing w:after="0" w:line="68" w:lineRule="exact"/>
        <w:rPr>
          <w:rFonts w:ascii="Calibri" w:cs="Calibri" w:eastAsia="Calibri" w:hAnsi="Calibri"/>
          <w:sz w:val="18"/>
          <w:szCs w:val="18"/>
          <w:color w:val="auto"/>
        </w:rPr>
      </w:pPr>
    </w:p>
    <w:p>
      <w:pPr>
        <w:ind w:left="1020" w:right="580" w:hanging="503"/>
        <w:spacing w:after="0" w:line="256" w:lineRule="auto"/>
        <w:tabs>
          <w:tab w:leader="none" w:pos="1020" w:val="left"/>
        </w:tabs>
        <w:numPr>
          <w:ilvl w:val="0"/>
          <w:numId w:val="3"/>
        </w:numPr>
        <w:rPr>
          <w:rFonts w:ascii="Calibri" w:cs="Calibri" w:eastAsia="Calibri" w:hAnsi="Calibri"/>
          <w:sz w:val="18"/>
          <w:szCs w:val="18"/>
          <w:color w:val="auto"/>
        </w:rPr>
      </w:pPr>
      <w:r>
        <w:rPr>
          <w:rFonts w:ascii="Arial" w:cs="Arial" w:eastAsia="Arial" w:hAnsi="Arial"/>
          <w:sz w:val="18"/>
          <w:szCs w:val="18"/>
          <w:color w:val="auto"/>
        </w:rPr>
        <w:t>Performance covenant - Beginning September 30, 2024 and all times thereafter the Company must satisfy any one of the following:</w:t>
      </w:r>
    </w:p>
    <w:p>
      <w:pPr>
        <w:spacing w:after="0" w:line="57" w:lineRule="exact"/>
        <w:rPr>
          <w:rFonts w:ascii="Calibri" w:cs="Calibri" w:eastAsia="Calibri" w:hAnsi="Calibri"/>
          <w:sz w:val="18"/>
          <w:szCs w:val="18"/>
          <w:color w:val="auto"/>
        </w:rPr>
      </w:pPr>
    </w:p>
    <w:p>
      <w:pPr>
        <w:ind w:left="1540" w:hanging="514"/>
        <w:spacing w:after="0"/>
        <w:tabs>
          <w:tab w:leader="none" w:pos="1540" w:val="left"/>
        </w:tabs>
        <w:numPr>
          <w:ilvl w:val="1"/>
          <w:numId w:val="3"/>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580" w:hanging="514"/>
        <w:spacing w:after="0" w:line="256" w:lineRule="auto"/>
        <w:tabs>
          <w:tab w:leader="none" w:pos="1540" w:val="left"/>
        </w:tabs>
        <w:numPr>
          <w:ilvl w:val="1"/>
          <w:numId w:val="3"/>
        </w:numPr>
        <w:rPr>
          <w:rFonts w:ascii="Calibri" w:cs="Calibri" w:eastAsia="Calibri" w:hAnsi="Calibri"/>
          <w:sz w:val="18"/>
          <w:szCs w:val="18"/>
          <w:color w:val="auto"/>
        </w:rPr>
      </w:pPr>
      <w:r>
        <w:rPr>
          <w:rFonts w:ascii="Arial" w:cs="Arial" w:eastAsia="Arial" w:hAnsi="Arial"/>
          <w:sz w:val="18"/>
          <w:szCs w:val="18"/>
          <w:color w:val="auto"/>
        </w:rPr>
        <w:t>Minimum cash balance exceeding (x) outstanding principal amount of term loans, multiplied by (y) (A) 50%, prior to achieving trailing three months net product revenue of greater than $35 million, and (B) 35% thereafter; or</w:t>
      </w:r>
    </w:p>
    <w:p>
      <w:pPr>
        <w:spacing w:after="0" w:line="57" w:lineRule="exact"/>
        <w:rPr>
          <w:rFonts w:ascii="Calibri" w:cs="Calibri" w:eastAsia="Calibri" w:hAnsi="Calibri"/>
          <w:sz w:val="18"/>
          <w:szCs w:val="18"/>
          <w:color w:val="auto"/>
        </w:rPr>
      </w:pPr>
    </w:p>
    <w:p>
      <w:pPr>
        <w:ind w:left="1540" w:right="340" w:hanging="514"/>
        <w:spacing w:after="0" w:line="256" w:lineRule="auto"/>
        <w:tabs>
          <w:tab w:leader="none" w:pos="1540" w:val="left"/>
        </w:tabs>
        <w:numPr>
          <w:ilvl w:val="1"/>
          <w:numId w:val="3"/>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of at least (x) 30% of agreed upon projected net revenues for periods in the calendar year 2024 and 25% for all periods thereafter or (y) $120 million.</w:t>
      </w:r>
    </w:p>
    <w:p>
      <w:pPr>
        <w:spacing w:after="0" w:line="125"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the Company may be declared immediately due and payable by Hercules, as collateral agent.</w:t>
      </w:r>
    </w:p>
    <w:p>
      <w:pPr>
        <w:spacing w:after="0" w:line="127"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As of March 31, 2025, the Company was in compliance with all applicable covenants under the Loan Agreement. Based on the Company’s current revenue projections, the Company does not expect to meet the revenue threshold to draw the Fifth Tranche or Sixth Tranche. The Company’s current operating plan does not anticipate a need to draw any additional amounts under the Loan Agreement.</w:t>
      </w:r>
    </w:p>
    <w:p>
      <w:pPr>
        <w:spacing w:after="0" w:line="128"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In connection with the entry into the Third Loan Amendment, the Company amended the form of warrants to be issued upon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3" w:name="page14"/>
    <w:bookmarkEnd w:id="13"/>
    <w:p>
      <w:pPr>
        <w:spacing w:after="0" w:line="244" w:lineRule="auto"/>
        <w:rPr>
          <w:sz w:val="20"/>
          <w:szCs w:val="20"/>
          <w:color w:val="auto"/>
        </w:rPr>
      </w:pPr>
      <w:r>
        <w:rPr>
          <w:rFonts w:ascii="Arial" w:cs="Arial" w:eastAsia="Arial" w:hAnsi="Arial"/>
          <w:sz w:val="18"/>
          <w:szCs w:val="18"/>
          <w:color w:val="auto"/>
        </w:rPr>
        <w:t>drawdowns of future tranches such that the exercise price of such warrants shall be equal to the lesser (i) of $11.6783, which was the trailing ten-day VWAP prior to entering into the Third Loan Amendment and (ii) the trailing ten-day VWAP preceding the date on which the Company drawdown future tranches. In connection with the entry into the Fourth Loan Amendment, the Company eliminated the warrant agreement for all future tranches. The Warrant issued with the initial tranche was not modified as part of this amendment. The exercise price and terms of the outstanding Warrant remain unchanged.</w:t>
      </w:r>
    </w:p>
    <w:p>
      <w:pPr>
        <w:spacing w:after="0" w:line="149" w:lineRule="exact"/>
        <w:rPr>
          <w:sz w:val="20"/>
          <w:szCs w:val="20"/>
          <w:color w:val="auto"/>
        </w:rPr>
      </w:pPr>
    </w:p>
    <w:p>
      <w:pPr>
        <w:jc w:val="both"/>
        <w:ind w:right="260" w:firstLine="509"/>
        <w:spacing w:after="0" w:line="253" w:lineRule="auto"/>
        <w:rPr>
          <w:sz w:val="20"/>
          <w:szCs w:val="20"/>
          <w:color w:val="auto"/>
        </w:rPr>
      </w:pPr>
      <w:r>
        <w:rPr>
          <w:rFonts w:ascii="Arial" w:cs="Arial" w:eastAsia="Arial" w:hAnsi="Arial"/>
          <w:sz w:val="18"/>
          <w:szCs w:val="18"/>
          <w:color w:val="auto"/>
        </w:rPr>
        <w:t>The initial $1.3 million fair value of the Warrant, the $11.5 million final interest payment fees and $4.6 million of debt issuance costs have been recorded as debt discount and are being amortized to interest expense using the effective interest method over the term of the Loan Agreement.</w:t>
      </w:r>
    </w:p>
    <w:p>
      <w:pPr>
        <w:spacing w:after="0" w:line="128"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Future minimum principal payments under the Term Loan, including the final payment fee, as of March 31, 2025 are as follows (in thousands):</w:t>
      </w:r>
    </w:p>
    <w:p>
      <w:pPr>
        <w:spacing w:after="0" w:line="12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496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21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2026</w:t>
            </w:r>
          </w:p>
        </w:tc>
        <w:tc>
          <w:tcPr>
            <w:tcW w:w="1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4960" w:type="dxa"/>
            <w:vAlign w:val="bottom"/>
            <w:tcBorders>
              <w:bottom w:val="single" w:sz="8" w:color="CFF0FC"/>
            </w:tcBorders>
          </w:tcPr>
          <w:p>
            <w:pPr>
              <w:ind w:left="100"/>
              <w:spacing w:after="0" w:line="202" w:lineRule="exact"/>
              <w:rPr>
                <w:sz w:val="20"/>
                <w:szCs w:val="20"/>
                <w:color w:val="auto"/>
              </w:rPr>
            </w:pPr>
            <w:r>
              <w:rPr>
                <w:rFonts w:ascii="Arial" w:cs="Arial" w:eastAsia="Arial" w:hAnsi="Arial"/>
                <w:sz w:val="18"/>
                <w:szCs w:val="18"/>
                <w:color w:val="auto"/>
              </w:rPr>
              <w:t>2027</w:t>
            </w:r>
          </w:p>
        </w:tc>
        <w:tc>
          <w:tcPr>
            <w:tcW w:w="142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229,706</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principal and interest payments</w:t>
            </w:r>
          </w:p>
        </w:tc>
        <w:tc>
          <w:tcPr>
            <w:tcW w:w="1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237,206</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Less: payment-in-kind and final payment fee</w:t>
            </w:r>
          </w:p>
        </w:tc>
        <w:tc>
          <w:tcPr>
            <w:tcW w:w="14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(37,206)</w:t>
            </w:r>
          </w:p>
        </w:tc>
      </w:tr>
      <w:tr>
        <w:trPr>
          <w:trHeight w:val="21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term loan borrowings</w:t>
            </w:r>
          </w:p>
        </w:tc>
        <w:tc>
          <w:tcPr>
            <w:tcW w:w="2120" w:type="dxa"/>
            <w:vAlign w:val="bottom"/>
            <w:gridSpan w:val="2"/>
            <w:shd w:val="clear" w:color="auto" w:fill="CFF0FC"/>
          </w:tcPr>
          <w:p>
            <w:pPr>
              <w:jc w:val="right"/>
              <w:ind w:right="60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200,000</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170"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During the three months ended March 31, 2025 and 2024, the Company recognized $7.1 million and $5.0 million, respectively, of interest expense, including amortization of the debt discount, in connection with the Loan Agreement. As of March 31, 2025, the Company had an outstanding loan balance of $213.0 million and accrued interest of $1.8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Interest Financing Liability</w:t>
      </w:r>
    </w:p>
    <w:p>
      <w:pPr>
        <w:spacing w:after="0" w:line="171"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On May 3, 2022, the Company entered into a Revenue Interest Financing Agreement with Initial Investors NQ, Sagard, and Hercules pursuant to which the Company will receive up to $260 million in funding from the Initial Investors. Under the terms of the Revenue Interest Financing Agreement, the Company received $100 million at the initial closing and received an additional $160 million upon FDA approval of VOQUEZNA for treatment of Erosive GERD during the fourth quarter of 2023.</w:t>
      </w:r>
    </w:p>
    <w:p>
      <w:pPr>
        <w:spacing w:after="0" w:line="147"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Additionally, on October 31, 2022, the Company entered into a Joinder Agreement with the Initial Investors and CO Finance LVS XXXVII LLC, or the Additional Investor, and Hercules, together as the investors. Under the terms of the Joinder Agreement, the Company received $15 million in additional funding upon FDA approval of vonoprazan for Erosive GERD, or Approval Additional Funding, during the fourth quarter of 2023, and provides for $ 25 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and joined the Revenue Interest Financing Agreement to extend commitments for the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March 31, 2025, no additional funding is available under the Revenue Interest Financing Agreement.</w:t>
      </w:r>
    </w:p>
    <w:p>
      <w:pPr>
        <w:spacing w:after="0" w:line="13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Under the Revenue Interest Financing Agreement, the investors are entitled to receive a 10% royalty on net sales of products containing vonoprazan. The royalty rate is subject to a step-down on net sales exceeding certain annual thresholds and when the Company received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the Company has the right to make a cap payment equal to 200% of the Investment Amount less any royalties already paid, at which time the agreement will terminate.</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w:t>
      </w:r>
    </w:p>
    <w:p>
      <w:pPr>
        <w:spacing w:after="0" w:line="14"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200% of the Investment Amount by December 31, 2037, each a Minimum Amount, then the Company will be obligated to make a cash payment to the investors in an amount sufficient to gross the investors up to the applicable Minimum Amount.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7" w:right="379" w:bottom="1440" w:gutter="0" w:footer="0" w:header="0"/>
        </w:sectPr>
      </w:pPr>
    </w:p>
    <w:bookmarkStart w:id="14" w:name="page15"/>
    <w:bookmarkEnd w:id="14"/>
    <w:p>
      <w:pPr>
        <w:jc w:val="both"/>
        <w:ind w:right="140" w:firstLine="509"/>
        <w:spacing w:after="0" w:line="253" w:lineRule="auto"/>
        <w:rPr>
          <w:sz w:val="20"/>
          <w:szCs w:val="20"/>
          <w:color w:val="auto"/>
        </w:rPr>
      </w:pPr>
      <w:r>
        <w:rPr>
          <w:rFonts w:ascii="Arial" w:cs="Arial" w:eastAsia="Arial" w:hAnsi="Arial"/>
          <w:sz w:val="18"/>
          <w:szCs w:val="18"/>
          <w:color w:val="auto"/>
        </w:rPr>
        <w:t>Upon the occurrence of an event of default taking place prior to April 1, 2025, between April 1, 2025 and April 1, 2028, and after April 1, 2028, the Company is obligated to pay 1.30 times Investment Amount, 1.65 times Investment Amount, and 2.0 times investment amount, respectively, less any amounts the Company previously paid pursuant to the agreement.</w:t>
      </w:r>
    </w:p>
    <w:p>
      <w:pPr>
        <w:spacing w:after="0" w:line="142"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As of March 31, 2025, the effective interest rate of the revenue interest financing liability was approximately</w:t>
      </w:r>
    </w:p>
    <w:p>
      <w:pPr>
        <w:spacing w:after="0" w:line="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12.18%. Changes in future payments from previous estimates are included in the current and future interest expense. The carrying value of the revenue interest financing liability was $361.1 million and $353.0 million as of March 31, 2025 and December 31, 2024, respectively.</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 interest financing liability consists of the following (in thousands):</w:t>
            </w:r>
          </w:p>
        </w:tc>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58"/>
        </w:trPr>
        <w:tc>
          <w:tcPr>
            <w:tcW w:w="90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2024</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306,927</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(2,627)</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48,738</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December 31, 2024</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353,038</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(19,777)</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December 31, 2024</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333,261</w:t>
            </w: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balance as of January 1, 2025</w:t>
            </w:r>
          </w:p>
        </w:tc>
        <w:tc>
          <w:tcPr>
            <w:tcW w:w="106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353,038</w:t>
            </w:r>
          </w:p>
        </w:tc>
      </w:tr>
      <w:tr>
        <w:trPr>
          <w:trHeight w:val="203"/>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the Revenue Interest Financing Agreement</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transaction costs</w:t>
            </w:r>
          </w:p>
        </w:tc>
        <w:tc>
          <w:tcPr>
            <w:tcW w:w="106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90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Less: royalty payments and payables</w:t>
            </w:r>
          </w:p>
        </w:tc>
        <w:tc>
          <w:tcPr>
            <w:tcW w:w="10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(2,966)</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Plus: interest expense</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11,003</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Ending liability balance as of March 31, 2025</w:t>
            </w:r>
          </w:p>
        </w:tc>
        <w:tc>
          <w:tcPr>
            <w:tcW w:w="10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361,075</w:t>
            </w:r>
          </w:p>
        </w:tc>
      </w:tr>
      <w:tr>
        <w:trPr>
          <w:trHeight w:val="203"/>
        </w:trPr>
        <w:tc>
          <w:tcPr>
            <w:tcW w:w="90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(17,268)</w:t>
            </w:r>
          </w:p>
        </w:tc>
      </w:tr>
      <w:tr>
        <w:trPr>
          <w:trHeight w:val="196"/>
        </w:trPr>
        <w:tc>
          <w:tcPr>
            <w:tcW w:w="90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Long-term liability balance as of March 31, 2025</w:t>
            </w:r>
          </w:p>
        </w:tc>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343,807</w:t>
            </w:r>
          </w:p>
        </w:tc>
      </w:tr>
      <w:tr>
        <w:trPr>
          <w:trHeight w:val="20"/>
        </w:trPr>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During the three months ended March 31, 2025 and 2024, the Company recognized $11.0 million and $12.1 million, respectively, of interest expense in connection with the revenue interest financing liability.</w:t>
      </w:r>
    </w:p>
    <w:p>
      <w:pPr>
        <w:spacing w:after="0" w:line="11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default events and achievement of the sales milestone.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Offerings</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August 2024, the Company sold 8,695,652 shares of common stock at a price of $11.50 per share and pre-funded warrants to purchase 2,608,922 shares of common stock at a price of $11.499 per pre-funded warrant for total gross proceeds of $130.0 million. The net purchase price after deducting the underwriting discounts and commissions and other offering expenses, was $10.77 per share, which generated net proceeds of $121.8 million. Certain affiliates of Frazier Life Sciences IX, L.P. (collectively, "Frazier"), a significant stockholder and Dr. James Topper, who currently serves on the Company's Board of Directors, shares voting and investment power of the securities held by Frazier. Frazier participated in the offering by purchasing pre-funded warrants on the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15" w:name="page16"/>
    <w:bookmarkEnd w:id="15"/>
    <w:p>
      <w:pPr>
        <w:ind w:right="160"/>
        <w:spacing w:after="0" w:line="247" w:lineRule="auto"/>
        <w:rPr>
          <w:sz w:val="20"/>
          <w:szCs w:val="20"/>
          <w:color w:val="auto"/>
        </w:rPr>
      </w:pPr>
      <w:r>
        <w:rPr>
          <w:rFonts w:ascii="Arial" w:cs="Arial" w:eastAsia="Arial" w:hAnsi="Arial"/>
          <w:sz w:val="18"/>
          <w:szCs w:val="18"/>
          <w:color w:val="auto"/>
        </w:rPr>
        <w:t>same terms as all other investors at a purchase price of $11.499, which represents the per share public offering price for the common stock less the $0.001 per share exercise price for each pre-funded warrant. Each pre-funded warrant became exercisable upon issuance and will not expire until exercised in full. The pre-funded warrants may not be exercised if the aggregate number of ordinary shares beneficially owned by the holders thereof immediately following such exercise would exceed a specified beneficial ownership limitation.</w:t>
      </w:r>
    </w:p>
    <w:p>
      <w:pPr>
        <w:spacing w:after="0" w:line="147"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pre-funded warrants were classified as a component of equity in the Company's balance sheets as they are freestanding financial instruments that are immediately exercisable, do not embody an obligation for the Company to repurchase its own shares and permit the holders to receive a fixed number of shares of common stock upon exercise. The Company valued the pre-funded warrants at issuance, concluding that their sales price approximated their fair value, and allocated net proceeds from the sale proportionately to the common stock and pre-funded warrants, of which $28.2 million was allocated to the pre-funded warrants and recorded as a component of additional paid-in capital. As of March 31, 2025, none of the pre-funded warrants have been exercised.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Offerings</w:t>
      </w:r>
    </w:p>
    <w:p>
      <w:pPr>
        <w:spacing w:after="0" w:line="175" w:lineRule="exact"/>
        <w:rPr>
          <w:sz w:val="20"/>
          <w:szCs w:val="20"/>
          <w:color w:val="auto"/>
        </w:rPr>
      </w:pPr>
    </w:p>
    <w:p>
      <w:pPr>
        <w:jc w:val="both"/>
        <w:ind w:right="140" w:firstLine="509"/>
        <w:spacing w:after="0" w:line="226" w:lineRule="auto"/>
        <w:rPr>
          <w:sz w:val="20"/>
          <w:szCs w:val="20"/>
          <w:color w:val="auto"/>
        </w:rPr>
      </w:pPr>
      <w:r>
        <w:rPr>
          <w:rFonts w:ascii="Arial" w:cs="Arial" w:eastAsia="Arial" w:hAnsi="Arial"/>
          <w:sz w:val="18"/>
          <w:szCs w:val="18"/>
          <w:color w:val="auto"/>
        </w:rPr>
        <w:t>In November 2020, the Company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the Company may, from time to time, sell shares of common stock having an aggregate offering price of up to an amount registered under an effective registration statement through the Sales Agent.</w:t>
      </w:r>
    </w:p>
    <w:p>
      <w:pPr>
        <w:spacing w:after="0" w:line="15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November 2023, the Company filed a shelf registration statement on Form S-3 which was declared effective by the SEC on November 17, 2023, which included an at-the-market prospectus pursuant to which the Company may, from time to time, sell up to an aggregate of $150 million of the Company's common stock through the Sales Agent, or the 2023 ATM Offering. The Company is not obligated to, and cannot provide any assurances that the Company will, make any sales of the shares under the Sales Agreement. The Sales Agreement may be terminated by the Sales Agent or the Company at any time. No shares were sold during the three months ended March 31, 2025 and 2024. As of March 31, 2025, all of the available $150 million under the 2023 ATM Offering remains available.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Common Stock Reserves</w:t>
            </w:r>
          </w:p>
        </w:tc>
        <w:tc>
          <w:tcPr>
            <w:tcW w:w="2240" w:type="dxa"/>
            <w:vAlign w:val="bottom"/>
          </w:tcPr>
          <w:p>
            <w:pPr>
              <w:spacing w:after="0"/>
              <w:rPr>
                <w:sz w:val="20"/>
                <w:szCs w:val="20"/>
                <w:color w:val="auto"/>
              </w:rPr>
            </w:pPr>
          </w:p>
        </w:tc>
      </w:tr>
      <w:tr>
        <w:trPr>
          <w:trHeight w:val="378"/>
        </w:trPr>
        <w:tc>
          <w:tcPr>
            <w:tcW w:w="7600" w:type="dxa"/>
            <w:vAlign w:val="bottom"/>
            <w:gridSpan w:val="2"/>
          </w:tcPr>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2240" w:type="dxa"/>
            <w:vAlign w:val="bottom"/>
          </w:tcPr>
          <w:p>
            <w:pPr>
              <w:spacing w:after="0"/>
              <w:rPr>
                <w:sz w:val="24"/>
                <w:szCs w:val="24"/>
                <w:color w:val="auto"/>
              </w:rPr>
            </w:pPr>
          </w:p>
        </w:tc>
      </w:tr>
      <w:tr>
        <w:trPr>
          <w:trHeight w:val="374"/>
        </w:trPr>
        <w:tc>
          <w:tcPr>
            <w:tcW w:w="14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March 31, 2025</w:t>
            </w:r>
          </w:p>
        </w:tc>
      </w:tr>
      <w:tr>
        <w:trPr>
          <w:trHeight w:val="196"/>
        </w:trPr>
        <w:tc>
          <w:tcPr>
            <w:tcW w:w="1420" w:type="dxa"/>
            <w:vAlign w:val="bottom"/>
          </w:tcPr>
          <w:p>
            <w:pPr>
              <w:spacing w:after="0"/>
              <w:rPr>
                <w:sz w:val="17"/>
                <w:szCs w:val="17"/>
                <w:color w:val="auto"/>
              </w:rPr>
            </w:pPr>
          </w:p>
        </w:tc>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warrants including pre-funded warrants</w:t>
            </w:r>
          </w:p>
        </w:tc>
        <w:tc>
          <w:tcPr>
            <w:tcW w:w="22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2,700,150</w:t>
            </w:r>
          </w:p>
        </w:tc>
      </w:tr>
      <w:tr>
        <w:trPr>
          <w:trHeight w:val="184"/>
        </w:trPr>
        <w:tc>
          <w:tcPr>
            <w:tcW w:w="1420" w:type="dxa"/>
            <w:vAlign w:val="bottom"/>
          </w:tcPr>
          <w:p>
            <w:pPr>
              <w:spacing w:after="0"/>
              <w:rPr>
                <w:sz w:val="15"/>
                <w:szCs w:val="15"/>
                <w:color w:val="auto"/>
              </w:rPr>
            </w:pPr>
          </w:p>
        </w:tc>
        <w:tc>
          <w:tcPr>
            <w:tcW w:w="6180" w:type="dxa"/>
            <w:vAlign w:val="bottom"/>
          </w:tcPr>
          <w:p>
            <w:pPr>
              <w:spacing w:after="0" w:line="183" w:lineRule="exact"/>
              <w:rPr>
                <w:sz w:val="20"/>
                <w:szCs w:val="20"/>
                <w:color w:val="auto"/>
              </w:rPr>
            </w:pPr>
            <w:r>
              <w:rPr>
                <w:rFonts w:ascii="Arial" w:cs="Arial" w:eastAsia="Arial" w:hAnsi="Arial"/>
                <w:sz w:val="18"/>
                <w:szCs w:val="18"/>
                <w:color w:val="auto"/>
              </w:rPr>
              <w:t>Stock options, performance stock units and restricted stock units</w:t>
            </w:r>
          </w:p>
        </w:tc>
        <w:tc>
          <w:tcPr>
            <w:tcW w:w="2240" w:type="dxa"/>
            <w:vAlign w:val="bottom"/>
          </w:tcPr>
          <w:p>
            <w:pPr>
              <w:spacing w:after="0"/>
              <w:rPr>
                <w:sz w:val="15"/>
                <w:szCs w:val="15"/>
                <w:color w:val="auto"/>
              </w:rPr>
            </w:pPr>
          </w:p>
        </w:tc>
      </w:tr>
      <w:tr>
        <w:trPr>
          <w:trHeight w:val="221"/>
        </w:trPr>
        <w:tc>
          <w:tcPr>
            <w:tcW w:w="14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outstanding</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10,944,804</w:t>
            </w:r>
          </w:p>
        </w:tc>
      </w:tr>
      <w:tr>
        <w:trPr>
          <w:trHeight w:val="203"/>
        </w:trPr>
        <w:tc>
          <w:tcPr>
            <w:tcW w:w="1420" w:type="dxa"/>
            <w:vAlign w:val="bottom"/>
          </w:tcPr>
          <w:p>
            <w:pPr>
              <w:spacing w:after="0"/>
              <w:rPr>
                <w:sz w:val="17"/>
                <w:szCs w:val="17"/>
                <w:color w:val="auto"/>
              </w:rPr>
            </w:pPr>
          </w:p>
        </w:tc>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2019 Incentive Plan</w:t>
            </w:r>
          </w:p>
        </w:tc>
        <w:tc>
          <w:tcPr>
            <w:tcW w:w="22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2,091,621</w:t>
            </w:r>
          </w:p>
        </w:tc>
      </w:tr>
      <w:tr>
        <w:trPr>
          <w:trHeight w:val="203"/>
        </w:trPr>
        <w:tc>
          <w:tcPr>
            <w:tcW w:w="14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Shares available for issuance under the ESPP Plan</w:t>
            </w:r>
          </w:p>
        </w:tc>
        <w:tc>
          <w:tcPr>
            <w:tcW w:w="2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1,541,702</w:t>
            </w:r>
          </w:p>
        </w:tc>
      </w:tr>
      <w:tr>
        <w:trPr>
          <w:trHeight w:val="203"/>
        </w:trPr>
        <w:tc>
          <w:tcPr>
            <w:tcW w:w="1420" w:type="dxa"/>
            <w:vAlign w:val="bottom"/>
          </w:tcPr>
          <w:p>
            <w:pPr>
              <w:spacing w:after="0"/>
              <w:rPr>
                <w:sz w:val="17"/>
                <w:szCs w:val="17"/>
                <w:color w:val="auto"/>
              </w:rPr>
            </w:pPr>
          </w:p>
        </w:tc>
        <w:tc>
          <w:tcPr>
            <w:tcW w:w="6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Inducement Plan</w:t>
            </w:r>
          </w:p>
        </w:tc>
        <w:tc>
          <w:tcPr>
            <w:tcW w:w="22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2,500,000</w:t>
            </w:r>
          </w:p>
        </w:tc>
      </w:tr>
      <w:tr>
        <w:trPr>
          <w:trHeight w:val="196"/>
        </w:trPr>
        <w:tc>
          <w:tcPr>
            <w:tcW w:w="1420" w:type="dxa"/>
            <w:vAlign w:val="bottom"/>
          </w:tcPr>
          <w:p>
            <w:pPr>
              <w:spacing w:after="0"/>
              <w:rPr>
                <w:sz w:val="17"/>
                <w:szCs w:val="17"/>
                <w:color w:val="auto"/>
              </w:rPr>
            </w:pPr>
          </w:p>
        </w:tc>
        <w:tc>
          <w:tcPr>
            <w:tcW w:w="6180" w:type="dxa"/>
            <w:vAlign w:val="bottom"/>
          </w:tcPr>
          <w:p>
            <w:pPr>
              <w:spacing w:after="0" w:line="196" w:lineRule="exact"/>
              <w:rPr>
                <w:sz w:val="20"/>
                <w:szCs w:val="20"/>
                <w:color w:val="auto"/>
              </w:rPr>
            </w:pPr>
            <w:r>
              <w:rPr>
                <w:rFonts w:ascii="Arial" w:cs="Arial" w:eastAsia="Arial" w:hAnsi="Arial"/>
                <w:sz w:val="18"/>
                <w:szCs w:val="18"/>
                <w:color w:val="auto"/>
              </w:rPr>
              <w:t>Balance at March 31, 2025</w:t>
            </w:r>
          </w:p>
        </w:tc>
        <w:tc>
          <w:tcPr>
            <w:tcW w:w="2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19,778,277</w:t>
            </w:r>
          </w:p>
        </w:tc>
      </w:tr>
      <w:tr>
        <w:trPr>
          <w:trHeight w:val="20"/>
        </w:trPr>
        <w:tc>
          <w:tcPr>
            <w:tcW w:w="14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9"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Company is authorized to issue up to 40 million shares of preferred stock. As of March 31, 2025 and December 31, 2024, there were no shares of preferred stock issued or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6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2019 Equity Incentive Plan, or the Existing Incentive Plan, provided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Incentive Award Plan, or the 2019 Plan, in October 2019, no further shares are available for issuance under the Existing Incentive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8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p>
    <w:p>
      <w:pPr>
        <w:spacing w:after="0" w:line="139" w:lineRule="exact"/>
        <w:rPr>
          <w:sz w:val="20"/>
          <w:szCs w:val="20"/>
          <w:color w:val="auto"/>
        </w:rPr>
      </w:pPr>
    </w:p>
    <w:p>
      <w:pPr>
        <w:jc w:val="both"/>
        <w:ind w:right="500" w:firstLine="509"/>
        <w:spacing w:after="0" w:line="253" w:lineRule="auto"/>
        <w:rPr>
          <w:sz w:val="20"/>
          <w:szCs w:val="20"/>
          <w:color w:val="auto"/>
        </w:rPr>
      </w:pPr>
      <w:r>
        <w:rPr>
          <w:rFonts w:ascii="Arial" w:cs="Arial" w:eastAsia="Arial" w:hAnsi="Arial"/>
          <w:sz w:val="18"/>
          <w:szCs w:val="18"/>
          <w:color w:val="auto"/>
        </w:rPr>
        <w:t>As of March 31, 2025, 2,091,621 shares remain available for issuance, which reflects 3,051,815 stock options, RSUs and PSUs granted, and 138,635 of awards cancelled or forfeited, during the three months ended March 31, 2025 as well as an annual increase of 3,425,913 shares authorized on January 1,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Employment Inducement Incentive Award Plan</w:t>
      </w:r>
    </w:p>
    <w:p>
      <w:pPr>
        <w:spacing w:after="0" w:line="18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On March 30, 2025, the Board of Directors adopted the 2025 Employment Inducement Incentive Award Plan, or the Inducement Plan, and reserved 2,500,000 shares of the Company’s common stock for issuance pursuant to equity awards granted under the Inducement Plan to individuals not previously employees or non-employee directors of the Company (or following such individuals’ bona fide period of non-employment with the Company) as an inducement to join the Company. The Inducement Plan provides for the grant of equity-based awards, including nonstatutory stock options, restricted stock units, restricted stock, stock appreciation rights, performance shares and performance stock units, and its terms are substantially similar to the Company’s 2019 Incentive Award Plan, but with such other terms and conditions intended to comply with the Nasdaq inducement award exception or to comply with the Nasdaq acquisition and merger exception. As of March 31, 2025, all of the 2,500,000 shares remain available for issuance.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169"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In February 2025, the Board of Directors approved a performance-based unit, or PSU, grant whereby vesting depends on certain revenue performance milestones each year and over the next three years.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As of March 31, 2025, the Company did not deem the achievement of any performance milestones to be probable.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PSU activity under the 2019 Plan during the three months ended March 31, 2025:</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Grant</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Date Fair</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1"/>
        </w:trPr>
        <w:tc>
          <w:tcPr>
            <w:tcW w:w="5680" w:type="dxa"/>
            <w:vAlign w:val="bottom"/>
            <w:vMerge w:val="restart"/>
          </w:tcPr>
          <w:p>
            <w:pPr>
              <w:spacing w:after="0"/>
              <w:rPr>
                <w:sz w:val="20"/>
                <w:szCs w:val="20"/>
                <w:color w:val="auto"/>
              </w:rPr>
            </w:pPr>
            <w:r>
              <w:rPr>
                <w:rFonts w:ascii="Arial" w:cs="Arial" w:eastAsia="Arial" w:hAnsi="Arial"/>
                <w:sz w:val="18"/>
                <w:szCs w:val="18"/>
                <w:color w:val="auto"/>
              </w:rPr>
              <w:t>Unvested balance at January 1, 2025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Stock Units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Per Share</w:t>
            </w:r>
          </w:p>
        </w:tc>
        <w:tc>
          <w:tcPr>
            <w:tcW w:w="0" w:type="dxa"/>
            <w:vAlign w:val="bottom"/>
          </w:tcPr>
          <w:p>
            <w:pPr>
              <w:spacing w:after="0"/>
              <w:rPr>
                <w:sz w:val="1"/>
                <w:szCs w:val="1"/>
                <w:color w:val="auto"/>
              </w:rPr>
            </w:pPr>
          </w:p>
        </w:tc>
      </w:tr>
      <w:tr>
        <w:trPr>
          <w:trHeight w:val="196"/>
        </w:trPr>
        <w:tc>
          <w:tcPr>
            <w:tcW w:w="5680" w:type="dxa"/>
            <w:vAlign w:val="bottom"/>
            <w:vMerge w:val="continue"/>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585,400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Vested</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Unvested balance at March 31, 2025</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583,800</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-162560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-162560</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Stock-based compensation expense is recorded based on the market price of the Company's common stock on the grant date and is recognized if and when the achievement of such performance milestones are determined to be probable by the Company. As of March 31, 2025, no expense has been recognized and there was approximately $3.3 million of related unrecognized stock-based compensation expense.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under the 2019 Plan during the three months ended March 31, 2025:</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Grant</w:t>
            </w:r>
          </w:p>
        </w:tc>
      </w:tr>
      <w:tr>
        <w:trPr>
          <w:trHeight w:val="203"/>
        </w:trPr>
        <w:tc>
          <w:tcPr>
            <w:tcW w:w="5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rPr>
              <w:t>Date Fair</w:t>
            </w:r>
          </w:p>
        </w:tc>
      </w:tr>
      <w:tr>
        <w:trPr>
          <w:trHeight w:val="203"/>
        </w:trPr>
        <w:tc>
          <w:tcPr>
            <w:tcW w:w="56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5680" w:type="dxa"/>
            <w:vAlign w:val="bottom"/>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 Share</w:t>
            </w: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January 1, 2025</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2,382,660</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10.32</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1,512,338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(508,568)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8.98</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(72,803)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10.81</w:t>
            </w:r>
          </w:p>
        </w:tc>
      </w:tr>
      <w:tr>
        <w:trPr>
          <w:trHeight w:val="21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balance at March 31, 2025</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3,313,627</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8.43</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-24765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As of March 31, 2025, the Company had $23.4 million of unrecognized stock-based compensation expense related to RSUs, which is expected to be recognized over a weighted-average period of 1.9 years. The total fair value of RSUs vested during the three months ended March 31, 2025, was approximately $4.6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were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March 31, 2025, 1,541,702 shares of common stock remain available for issuance, which includes the 321,099 shares sold to employees during the three months ended March 31, 2025 as well as an annual increase of 685,183 shares authorized on January 1, 2025.</w:t>
      </w:r>
    </w:p>
    <w:p>
      <w:pPr>
        <w:spacing w:after="0" w:line="13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ESPP is considered a compensatory plan, and for the three months ended March 31, 2025 and 2024, the Company recorded related stock-based compensation of $0.3 million and $0.5 million, respectively. The weighted-average assumptions used to estimate the fair value of ESPP awards using the Black-Scholes option valuation model were as follows:</w:t>
      </w:r>
    </w:p>
    <w:p>
      <w:pPr>
        <w:spacing w:after="0" w:line="142"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4440"/>
        <w:spacing w:after="0"/>
        <w:rPr>
          <w:sz w:val="20"/>
          <w:szCs w:val="20"/>
          <w:color w:val="auto"/>
        </w:rPr>
      </w:pPr>
      <w:r>
        <w:rPr>
          <w:rFonts w:ascii="Arial" w:cs="Arial" w:eastAsia="Arial" w:hAnsi="Arial"/>
          <w:sz w:val="18"/>
          <w:szCs w:val="18"/>
          <w:b w:val="1"/>
          <w:bCs w:val="1"/>
          <w:color w:val="auto"/>
        </w:rPr>
        <w:t>March 31,</w:t>
      </w:r>
    </w:p>
    <w:tbl>
      <w:tblPr>
        <w:tblLayout w:type="fixed"/>
        <w:tblInd w:w="142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7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0.49</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r>
      <w:tr>
        <w:trPr>
          <w:trHeight w:val="203"/>
        </w:trPr>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86.93%</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119.08%</w:t>
            </w:r>
          </w:p>
        </w:tc>
      </w:tr>
      <w:tr>
        <w:trPr>
          <w:trHeight w:val="203"/>
        </w:trPr>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4.26%</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r>
      <w:tr>
        <w:trPr>
          <w:trHeight w:val="203"/>
        </w:trPr>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jc w:val="both"/>
        <w:ind w:right="320" w:firstLine="509"/>
        <w:spacing w:after="0" w:line="261" w:lineRule="auto"/>
        <w:rPr>
          <w:sz w:val="20"/>
          <w:szCs w:val="20"/>
          <w:color w:val="auto"/>
        </w:rPr>
      </w:pPr>
      <w:r>
        <w:rPr>
          <w:rFonts w:ascii="Arial" w:cs="Arial" w:eastAsia="Arial" w:hAnsi="Arial"/>
          <w:sz w:val="18"/>
          <w:szCs w:val="18"/>
          <w:color w:val="auto"/>
        </w:rPr>
        <w:t>The estimated weighted-average fair value of ESPP awards for the three months ended March 31, 2025 and 2024, was $2.81 and $3.59, respectively. As of March 31, 2025, the total unrecognized compensation expense related to the ESPP was $0.5 million, which is expected to be recognized over a weighted-average period of approximately 0.3 years.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9"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8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During 2020, the Company established a 401(k) savings plan. The Company’s contributions to the plan are discretionary. During the three months ended March 31, 2025 and 2024, the Company incurred $1.8 million and $1.7 million, respectively, of expense related to estimated employer contribution liabilities, which was based on a 75% match of employees’ contributions during the periods. During the three months ended March 31, 2025 and 2024, the Board of Directors approved employer matching contributions settled by contributing 290,165 and 93,736, respectively, shares of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the Company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1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rPr>
              <w:t>Aggregate</w:t>
            </w:r>
          </w:p>
        </w:tc>
      </w:t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03"/>
        </w:trPr>
        <w:tc>
          <w:tcPr>
            <w:tcW w:w="4780" w:type="dxa"/>
            <w:vAlign w:val="bottom"/>
          </w:tcPr>
          <w:p>
            <w:pPr>
              <w:spacing w:after="0"/>
              <w:rPr>
                <w:sz w:val="17"/>
                <w:szCs w:val="17"/>
                <w:color w:val="auto"/>
              </w:rPr>
            </w:pP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Exercise</w:t>
            </w:r>
          </w:p>
        </w:tc>
        <w:tc>
          <w:tcPr>
            <w:tcW w:w="120" w:type="dxa"/>
            <w:vAlign w:val="bottom"/>
          </w:tcPr>
          <w:p>
            <w:pPr>
              <w:spacing w:after="0"/>
              <w:rPr>
                <w:sz w:val="17"/>
                <w:szCs w:val="17"/>
                <w:color w:val="auto"/>
              </w:rPr>
            </w:pPr>
          </w:p>
        </w:tc>
        <w:tc>
          <w:tcPr>
            <w:tcW w:w="13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21"/>
        </w:trPr>
        <w:tc>
          <w:tcPr>
            <w:tcW w:w="478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Price</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Term</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rPr>
              <w:t>thousands)</w:t>
            </w: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January 1, 2025</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6,157,532</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10.29</w:t>
            </w:r>
          </w:p>
        </w:tc>
        <w:tc>
          <w:tcPr>
            <w:tcW w:w="14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7.59</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2,133</w:t>
            </w: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granted</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954,077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5.77</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Options exercised</w:t>
            </w:r>
          </w:p>
        </w:tc>
        <w:tc>
          <w:tcPr>
            <w:tcW w:w="1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Options cancelled</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(64,232)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9.76</w:t>
            </w: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March 31, 2025</w:t>
            </w:r>
          </w:p>
        </w:tc>
        <w:tc>
          <w:tcPr>
            <w:tcW w:w="1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7,047,377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9.68</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7.66</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489</w:t>
            </w:r>
          </w:p>
        </w:tc>
      </w:tr>
      <w:tr>
        <w:trPr>
          <w:trHeight w:val="20"/>
        </w:trPr>
        <w:tc>
          <w:tcPr>
            <w:tcW w:w="47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96"/>
        </w:trPr>
        <w:tc>
          <w:tcPr>
            <w:tcW w:w="4780" w:type="dxa"/>
            <w:vAlign w:val="bottom"/>
          </w:tcPr>
          <w:p>
            <w:pPr>
              <w:spacing w:after="0" w:line="196" w:lineRule="exact"/>
              <w:rPr>
                <w:sz w:val="20"/>
                <w:szCs w:val="20"/>
                <w:color w:val="auto"/>
              </w:rPr>
            </w:pPr>
            <w:r>
              <w:rPr>
                <w:rFonts w:ascii="Arial" w:cs="Arial" w:eastAsia="Arial" w:hAnsi="Arial"/>
                <w:sz w:val="18"/>
                <w:szCs w:val="18"/>
                <w:color w:val="auto"/>
              </w:rPr>
              <w:t>Options exercisable as of March 31, 2025</w:t>
            </w:r>
          </w:p>
        </w:tc>
        <w:tc>
          <w:tcPr>
            <w:tcW w:w="12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3,562,844</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11.15</w:t>
            </w:r>
          </w:p>
        </w:tc>
        <w:tc>
          <w:tcPr>
            <w:tcW w:w="120" w:type="dxa"/>
            <w:vAlign w:val="bottom"/>
          </w:tcPr>
          <w:p>
            <w:pPr>
              <w:spacing w:after="0"/>
              <w:rPr>
                <w:sz w:val="17"/>
                <w:szCs w:val="17"/>
                <w:color w:val="auto"/>
              </w:rPr>
            </w:pP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6.50</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 and expected to vest as of March 31, 2025</w:t>
            </w:r>
          </w:p>
        </w:tc>
        <w:tc>
          <w:tcPr>
            <w:tcW w:w="1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7,047,377</w:t>
            </w: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9.68</w:t>
            </w:r>
          </w:p>
        </w:tc>
        <w:tc>
          <w:tcPr>
            <w:tcW w:w="14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7.66</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-264795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-264795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-264795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for the three months ended March 31, 2025 and 2024 was $4.23 and $5.31, respectively. As of March 31, 2025, the Company had $17.1 million of unrecognized stock-based compensation expense related to stock options, which is expected to be recognized over a weighted-average period of 2.5 years.</w:t>
      </w:r>
    </w:p>
    <w:p>
      <w:pPr>
        <w:spacing w:after="0" w:line="14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were as follows:</w:t>
      </w:r>
    </w:p>
    <w:p>
      <w:pPr>
        <w:spacing w:after="0" w:line="113"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446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196"/>
        </w:trPr>
        <w:tc>
          <w:tcPr>
            <w:tcW w:w="5880" w:type="dxa"/>
            <w:vAlign w:val="bottom"/>
            <w:gridSpan w:val="2"/>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2024</w:t>
            </w:r>
          </w:p>
        </w:tc>
        <w:tc>
          <w:tcPr>
            <w:tcW w:w="14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7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Expected term (in years)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6.08</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Expected volatility</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83.38%</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74.61%</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Risk free interest rate</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4.16%</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70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Dividend yield</w:t>
            </w: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r>
      <w:tr>
        <w:trPr>
          <w:trHeight w:val="648"/>
        </w:trPr>
        <w:tc>
          <w:tcPr>
            <w:tcW w:w="1420" w:type="dxa"/>
            <w:vAlign w:val="bottom"/>
          </w:tcPr>
          <w:p>
            <w:pPr>
              <w:spacing w:after="0"/>
              <w:rPr>
                <w:sz w:val="24"/>
                <w:szCs w:val="24"/>
                <w:color w:val="auto"/>
              </w:rPr>
            </w:pPr>
          </w:p>
        </w:tc>
        <w:tc>
          <w:tcPr>
            <w:tcW w:w="5700" w:type="dxa"/>
            <w:vAlign w:val="bottom"/>
            <w:gridSpan w:val="2"/>
          </w:tcPr>
          <w:p>
            <w:pPr>
              <w:ind w:left="4040"/>
              <w:spacing w:after="0"/>
              <w:rPr>
                <w:sz w:val="20"/>
                <w:szCs w:val="20"/>
                <w:color w:val="auto"/>
              </w:rPr>
            </w:pPr>
            <w:r>
              <w:rPr>
                <w:rFonts w:ascii="Times New Roman" w:cs="Times New Roman" w:eastAsia="Times New Roman" w:hAnsi="Times New Roman"/>
                <w:sz w:val="18"/>
                <w:szCs w:val="18"/>
                <w:color w:val="auto"/>
              </w:rPr>
              <w:t>F-17</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Stock-based compensation expense recognized for all equity awards has been reported in the condensed statements of operations and comprehensive loss as follows (in thousands):</w:t>
      </w:r>
    </w:p>
    <w:p>
      <w:pPr>
        <w:spacing w:after="0" w:line="109"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17"/>
                <w:szCs w:val="17"/>
                <w:color w:val="auto"/>
              </w:rPr>
            </w:pPr>
          </w:p>
        </w:tc>
      </w:tr>
      <w:tr>
        <w:trPr>
          <w:trHeight w:val="221"/>
        </w:trPr>
        <w:tc>
          <w:tcPr>
            <w:tcW w:w="396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1360" w:type="dxa"/>
            <w:vAlign w:val="bottom"/>
            <w:tcBorders>
              <w:bottom w:val="single" w:sz="8" w:color="auto"/>
            </w:tcBorders>
          </w:tcPr>
          <w:p>
            <w:pPr>
              <w:spacing w:after="0"/>
              <w:rPr>
                <w:sz w:val="19"/>
                <w:szCs w:val="19"/>
                <w:color w:val="auto"/>
              </w:rPr>
            </w:pPr>
          </w:p>
        </w:tc>
      </w:tr>
      <w:tr>
        <w:trPr>
          <w:trHeight w:val="196"/>
        </w:trPr>
        <w:tc>
          <w:tcPr>
            <w:tcW w:w="396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1260" w:type="dxa"/>
            <w:vAlign w:val="bottom"/>
            <w:shd w:val="clear" w:color="auto" w:fill="CFF0FC"/>
          </w:tcPr>
          <w:p>
            <w:pPr>
              <w:jc w:val="right"/>
              <w:ind w:right="10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1,330</w:t>
            </w:r>
          </w:p>
        </w:tc>
        <w:tc>
          <w:tcPr>
            <w:tcW w:w="960" w:type="dxa"/>
            <w:vAlign w:val="bottom"/>
            <w:gridSpan w:val="2"/>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1,249</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1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4,210</w:t>
            </w: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4,377</w:t>
            </w:r>
          </w:p>
        </w:tc>
      </w:tr>
      <w:tr>
        <w:trPr>
          <w:trHeight w:val="236"/>
        </w:trPr>
        <w:tc>
          <w:tcPr>
            <w:tcW w:w="39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FF0FC"/>
          </w:tcPr>
          <w:p>
            <w:pPr>
              <w:jc w:val="right"/>
              <w:ind w:right="10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5,540</w:t>
            </w:r>
          </w:p>
        </w:tc>
        <w:tc>
          <w:tcPr>
            <w:tcW w:w="1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Recognition</w:t>
      </w:r>
    </w:p>
    <w:p>
      <w:pPr>
        <w:spacing w:after="0" w:line="18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To date, our only source of revenue has been from the U.S. sales of VOQUEZNA products, which the Company began selling during the fourth quarter of 2023. The Company records its best estimate of chargebacks, sales discounts and other reserves to which customers are likely expected to be entitled to as contra accounts receivable charges, and within accrued expenses if payable to a third-party or related to product returns on the condensed balance sheets. During the three months ended March 31, 2025 and 2024, the Company recognized $28.5 million and $1.9 million, respectively, of net product revenues related to sales of VOQUEZNA, VOQUEZNA DUAL PAK and VOQUEZNA TRIPLE PAK.</w:t>
      </w:r>
    </w:p>
    <w:p>
      <w:pPr>
        <w:spacing w:after="0" w:line="13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following table provides a summary of the Company's revenue allowances and related accruals for the three months ended March 31, 2025 which have been deducting in arriving at product revenues, net (in thousands):</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Customer Credits,</w:t>
            </w:r>
          </w:p>
        </w:tc>
        <w:tc>
          <w:tcPr>
            <w:tcW w:w="17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Rebates, Returns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3"/>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Discounts and</w:t>
            </w:r>
          </w:p>
        </w:tc>
        <w:tc>
          <w:tcPr>
            <w:tcW w:w="120" w:type="dxa"/>
            <w:vAlign w:val="bottom"/>
          </w:tcPr>
          <w:p>
            <w:pPr>
              <w:spacing w:after="0"/>
              <w:rPr>
                <w:sz w:val="17"/>
                <w:szCs w:val="17"/>
                <w:color w:val="auto"/>
              </w:rPr>
            </w:pPr>
          </w:p>
        </w:tc>
        <w:tc>
          <w:tcPr>
            <w:tcW w:w="16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and Co-Pay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8"/>
              </w:rPr>
              <w:t>Allowance</w:t>
            </w: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Assistance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(contra accounts</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receivable)</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(accrued 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January 1, 2025</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5,659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29,987</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9,844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22,070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31,914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Utilizations</w:t>
            </w: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(10,872)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(21,844)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(32,716)</w:t>
            </w:r>
          </w:p>
        </w:tc>
        <w:tc>
          <w:tcPr>
            <w:tcW w:w="0" w:type="dxa"/>
            <w:vAlign w:val="bottom"/>
          </w:tcPr>
          <w:p>
            <w:pPr>
              <w:spacing w:after="0"/>
              <w:rPr>
                <w:sz w:val="1"/>
                <w:szCs w:val="1"/>
                <w:color w:val="auto"/>
              </w:rPr>
            </w:pPr>
          </w:p>
        </w:tc>
      </w:tr>
      <w:tr>
        <w:trPr>
          <w:trHeight w:val="196"/>
        </w:trPr>
        <w:tc>
          <w:tcPr>
            <w:tcW w:w="3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as of March 31, 2025</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4,631</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30,213</w:t>
            </w: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34,844</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-161925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-161925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8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Company's chief operating decision maker, or CODM, the Chief Executive Officer, manages the Company’s business activities as a single reportable segment. The segment derives its current revenues from the sale of VOQUEZNA products. Accordingly, the CODM uses net loss to measure segment profit or loss, allocate resources and assess performance. Further, the CODM reviews and utilizes functional expenses (research and development, general and administrative, sales and marketing and stock-based compensation) to manage the Company’s operations. Other segment items included in net loss are interest income, interest expense and other expense, which are reflected in the condensed statements of operations and comprehensive loss. The measure of segment assets is reported on the condensed balance sheets as total assets.</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9" w:right="379" w:bottom="1440" w:gutter="0" w:footer="0" w:header="0"/>
        </w:sectPr>
      </w:pPr>
    </w:p>
    <w:bookmarkStart w:id="20" w:name="page21"/>
    <w:bookmarkEnd w:id="20"/>
    <w:p>
      <w:pPr>
        <w:ind w:right="580" w:firstLine="509"/>
        <w:spacing w:after="0" w:line="271" w:lineRule="auto"/>
        <w:rPr>
          <w:sz w:val="20"/>
          <w:szCs w:val="20"/>
          <w:color w:val="auto"/>
        </w:rPr>
      </w:pPr>
      <w:r>
        <w:rPr>
          <w:rFonts w:ascii="Arial" w:cs="Arial" w:eastAsia="Arial" w:hAnsi="Arial"/>
          <w:sz w:val="18"/>
          <w:szCs w:val="18"/>
          <w:color w:val="auto"/>
        </w:rPr>
        <w:t>The following table presents selected financial information with respect to the Company’s single operating segment for the three months ended March 31, 2025 and 2024 (in thousands):</w:t>
      </w:r>
    </w:p>
    <w:p>
      <w:pPr>
        <w:spacing w:after="0" w:line="122"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3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7"/>
                <w:szCs w:val="17"/>
                <w:color w:val="auto"/>
              </w:rPr>
            </w:pPr>
          </w:p>
        </w:tc>
      </w:tr>
      <w:tr>
        <w:trPr>
          <w:trHeight w:val="196"/>
        </w:trPr>
        <w:tc>
          <w:tcPr>
            <w:tcW w:w="3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160" w:type="dxa"/>
            <w:vAlign w:val="bottom"/>
            <w:gridSpan w:val="2"/>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28,519</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1,912</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3,724</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7,854</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8,181</w:t>
            </w:r>
          </w:p>
        </w:tc>
        <w:tc>
          <w:tcPr>
            <w:tcW w:w="8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8,807</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7,676</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81,457</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49,957</w:t>
            </w:r>
          </w:p>
        </w:tc>
        <w:tc>
          <w:tcPr>
            <w:tcW w:w="80" w:type="dxa"/>
            <w:vAlign w:val="bottom"/>
          </w:tcPr>
          <w:p>
            <w:pPr>
              <w:spacing w:after="0"/>
              <w:rPr>
                <w:sz w:val="17"/>
                <w:szCs w:val="17"/>
                <w:color w:val="auto"/>
              </w:rPr>
            </w:pP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5,540</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5,626</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(2,640)</w:t>
            </w:r>
          </w:p>
        </w:tc>
        <w:tc>
          <w:tcPr>
            <w:tcW w:w="74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(4,313)</w:t>
            </w:r>
          </w:p>
        </w:tc>
      </w:tr>
      <w:tr>
        <w:trPr>
          <w:trHeight w:val="203"/>
        </w:trPr>
        <w:tc>
          <w:tcPr>
            <w:tcW w:w="3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18,071</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17,168</w:t>
            </w:r>
          </w:p>
        </w:tc>
        <w:tc>
          <w:tcPr>
            <w:tcW w:w="80" w:type="dxa"/>
            <w:vAlign w:val="bottom"/>
            <w:shd w:val="clear" w:color="auto" w:fill="CFF0FC"/>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10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80" w:type="dxa"/>
            <w:vAlign w:val="bottom"/>
          </w:tcPr>
          <w:p>
            <w:pPr>
              <w:spacing w:after="0"/>
              <w:rPr>
                <w:sz w:val="17"/>
                <w:szCs w:val="17"/>
                <w:color w:val="auto"/>
              </w:rPr>
            </w:pPr>
          </w:p>
        </w:tc>
      </w:tr>
      <w:tr>
        <w:trPr>
          <w:trHeight w:val="216"/>
        </w:trPr>
        <w:tc>
          <w:tcPr>
            <w:tcW w:w="3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net loss</w:t>
            </w:r>
          </w:p>
        </w:tc>
        <w:tc>
          <w:tcPr>
            <w:tcW w:w="2160" w:type="dxa"/>
            <w:vAlign w:val="bottom"/>
            <w:gridSpan w:val="2"/>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(94,316)</w:t>
            </w:r>
          </w:p>
        </w:tc>
        <w:tc>
          <w:tcPr>
            <w:tcW w:w="740" w:type="dxa"/>
            <w:vAlign w:val="bottom"/>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(82,852)</w:t>
            </w: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-25400</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17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April 1, 2025, Steven Basta was appointed as the new Chief Executive Officer, President and as a Class I director of the Company, replacing Terrie Curran who resigned as President and Chief Executive Officer, on March 31, 2025. In connection with Mr. Basta's appointment, he entered into an employment letter agreement with the Company, setting forth the terms of his employment. The equity awards that were granted to Mr. Basta in connection with his appointment were made under the Inducement Plan as described further in Note 7 above. In connection with Ms. Curran’s separation, the Company entered into a separation agreement and estimated expense between $2 million and $3 million relating to Ms. Curran's departure will be incurred during the second quarter of 2025.</w:t>
      </w:r>
    </w:p>
    <w:p>
      <w:pPr>
        <w:spacing w:after="0" w:line="15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April 29, 2025, the Company’s board of directors approved a restructuring to reduce cash burn and focus on commercial execution. The Company has decided to reduce investment in direct-to-consumer promotion and will suspend, defer, or slow several clinical and product development programs, including deferring the start of the Phase 2 eosinophilic esophagitis (EoE) trial. In connection with this restructuring, the Company expects to reduce its workforce by 28 employees or approximately 6%. In conjunction with the restructuring, Azmi Nabulsi, M.D., Chief Operating Officer, Martin Gilligan, Chief Commercial Officer, and Molly Henderson, Chief Financial and Business Officer, ceased serving in these positions at the Company, effective April 30, 2025. The Company expects to incur one-time costs of approximately $7 million to $10 million in connection with the workforce reduction. The majority of these costs will be recognized in the second quarter of 2025. These costs consist primarily of cash expenditures related to one-time termination benefits (some of which are contractual), including severance, healthcare and related benefits, and other estimated non-cash expense. The Company estimates that the workforce reduction will be substantially completed in the second quarter of 2025. The estimate of costs that the Company expects to incur and the timing thereof are subject to a number of assumptions, and actual results may differ materially. The Company may also incur additional costs not currently contemplated due to events that may occur as a result of, or that are associated with, the actions described above.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2024 and the related Management’s Discussion and Analysis of Financial Condition and Results of Operations, both of which are contained in our Annual Report on Form 10-K for the year ended December 31, 2024, or the 2024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commercialization plans and costs, research and development plans and costs, the timing and likelihood of regulatory filings and approvals,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 -looking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 xml:space="preserve">We are a biopharmaceutical company focused on developing and commercializing novel treatments for gastrointestinal, or GI, diseases. Our approved products, VOQUEZNA®, VOQUEZNA® TRIPLE PAK® and VOQUEZNA® DUAL PAK®, contain vonoprazan, an oral small molecule potassium-competitive acid blocker, or PCAB. PCABs are a novel class of medicines that block acid secretion in the stomach. Vonoprazan is the first gastric anti-secretory agent from a novel class approved in the United States, Europe, or Canada in over 30 years, and has shown rapid, potent, and durable anti-secretory effects. Vonoprazan has also demonstrated clinical benefits over the current standard of care as a single agent in the treatment of erosive gastroesophageal reflux disease, or Erosive GERD, and in combination with antibiotics for the treatment of </w:t>
      </w:r>
      <w:r>
        <w:rPr>
          <w:rFonts w:ascii="Arial" w:cs="Arial" w:eastAsia="Arial" w:hAnsi="Arial"/>
          <w:sz w:val="18"/>
          <w:szCs w:val="18"/>
          <w:i w:val="1"/>
          <w:iCs w:val="1"/>
          <w:color w:val="auto"/>
        </w:rPr>
        <w:t>Helicobacter pylori</w:t>
      </w:r>
      <w:r>
        <w:rPr>
          <w:rFonts w:ascii="Arial" w:cs="Arial" w:eastAsia="Arial" w:hAnsi="Arial"/>
          <w:sz w:val="18"/>
          <w:szCs w:val="18"/>
          <w:color w:val="auto"/>
        </w:rPr>
        <w:t xml:space="preserve">, or </w:t>
      </w:r>
      <w:r>
        <w:rPr>
          <w:rFonts w:ascii="Arial" w:cs="Arial" w:eastAsia="Arial" w:hAnsi="Arial"/>
          <w:sz w:val="18"/>
          <w:szCs w:val="18"/>
          <w:i w:val="1"/>
          <w:iCs w:val="1"/>
          <w:color w:val="auto"/>
        </w:rPr>
        <w:t>H. pylori</w:t>
      </w:r>
      <w:r>
        <w:rPr>
          <w:rFonts w:ascii="Arial" w:cs="Arial" w:eastAsia="Arial" w:hAnsi="Arial"/>
          <w:sz w:val="18"/>
          <w:szCs w:val="18"/>
          <w:color w:val="auto"/>
        </w:rPr>
        <w:t>, infection. Takeda Pharmaceutical Company Limited, or Takeda, developed vonoprazan and has received marketing approval in numerous countries in Asia and Latin America as well as Russia. Vonoprazan generated peak net sales of approximately $850 million and continues to achieve volume growth during its tenth full year on the market since its approval in 2014. In May 2019, we in-licensed the U.S., European, and Canadian rights to vonoprazan from Takeda.</w:t>
      </w:r>
    </w:p>
    <w:p>
      <w:pPr>
        <w:spacing w:after="0" w:line="13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In May 2022, the U.S. Food and Drug Administration, or FDA, approved the NDAs for vonoprazan triple therapy, under the brand name VOQUEZNA TRIPLE PAK, and vonoprazan dual therapy, under the brand name VOQUEZNA DUAL PAK. Subsequently, on November 1, 2023, the FDA approved vonoprazan, under the brand name VOQUEZNA, as a treatment for adults for the healing of all grades of Erosive GERD, maintenance of healing of all grades of Erosive GERD, and relief of heartburn associated with Erosive GERD, as well as in combination with amoxicillin, with or without clarithromycin,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We initiated commercial launch for VOQUEZNA for both the Erosive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indications, and VOQUEZNA TRIPLE PAK and VOQUEZNA DUAL PAK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the fourth quarter of 2023. In September 2023, we submitted an NDA seeking approval of vonoprazan as a once-daily treatment for heartburn symptoms associated with Non-Erosive GERD in adults. On July 17, 2024, the FDA approved VOQUEZNA 10 mg tablets for the relief of heartburn associated with Non-Erosive GERD, the largest category of GERD.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2" w:name="page23"/>
    <w:bookmarkEnd w:id="22"/>
    <w:p>
      <w:pPr>
        <w:ind w:firstLine="509"/>
        <w:spacing w:after="0" w:line="239" w:lineRule="auto"/>
        <w:rPr>
          <w:sz w:val="20"/>
          <w:szCs w:val="20"/>
          <w:color w:val="auto"/>
        </w:rPr>
      </w:pPr>
      <w:r>
        <w:rPr>
          <w:rFonts w:ascii="Arial" w:cs="Arial" w:eastAsia="Arial" w:hAnsi="Arial"/>
          <w:sz w:val="18"/>
          <w:szCs w:val="18"/>
          <w:color w:val="auto"/>
        </w:rPr>
        <w:t>In May 2025, we announced a cost reduction and organizational restructuring plan to reduce cash burn and focus our resources on commercial execution. We have decided to reduce investment in direct-to-consumer promotion and will suspend, defer, or slow several clinical and product development programs, including deferring the start of the Phase 2 eosinophilic esophagitis (EoE) trial. In connection with this restructuring, we expect to reduce our workforce by 28 employees, or approximately 6%. In addition, as part of the restructuring, we announced certain leadership changes. Azmi Nabulsi, M.D., our Chief Operating Officer, Martin Gilligan, our Chief Commercial Officer, and Molly Henderson, our Chief Financial and Business Officer, ceased serving in these positions, effective April 30, 2025. Dr. Nabulsi will remain an advisor to the company. We expect to incur one-time costs of approximately $ 7 million to $10 million in connection with the workforce reduction. The majority of these costs will be recognized in the second quarter of 2025. These costs consist primarily of cash expenditures related to one-time termination benefits (some of which are contractual), including severance, healthcare and related benefits, and other estimated non-cash expense.</w:t>
      </w:r>
    </w:p>
    <w:p>
      <w:pPr>
        <w:spacing w:after="0" w:line="15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We are independently commercializing VOQUEZNA, VOQUEZNA TRIPLE PAK, and VOQUEZNA DUAL PAK in the United States. Our commercial launch continues to build momentum and early launch data shows strong physician and patient demand. As of April 18, 2025, over 390,000 prescriptions for VOQUEZNA tablets, VOQUEZNA Triple Pak, and VOQUEZNA Dual Pak have been filled since launch. These prescriptions were written by more than 23,600 prescribers. In addition, due to increasing commercial demand, we continue to make progress in securing broad commercial coverage for VOQUEZNA with over 120 million, or over 80%, of total U.S. commercial lives with access to VOQUEZNA tablets.</w:t>
      </w:r>
    </w:p>
    <w:p>
      <w:pPr>
        <w:spacing w:after="0" w:line="138"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We continue to evaluate potential commercial partnerships for vonoprazan in Europe and Canada, expand development of vonoprazan into other indications, dosing regimens and alternative formulations and packaging, and evaluate the in-license or acquisition of additional clinical or commercial stage product candidates for the treatment of GI diseases in a capital efficient manner.</w:t>
      </w:r>
    </w:p>
    <w:p>
      <w:pPr>
        <w:spacing w:after="0" w:line="128"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In May 2021, the FDA granted qualified infectious disease product, or QIDP, designations for VOQUEZNA TRIPLE PAK and VOQUEZNA DUAL PAK and we thereby received an extension of five years of new chemical entity, or NCE, exclusivity based on the vonoprazan component in the applicable NDAs. We believe the extended NCE exclusivity should apply to any other approved or future products containing vonoprazan we develop and for which we obtain FDA approval. In December 2024, we submitted a citizen petition requesting that FDA update the Orange Book listings to reflect the same ten-year period of NCE exclusivity for VOQUEZNA as reflected on the VOQUEZNA TRIPLE PAK and VOQUEZNA DUAL PAK Orange Book listings.</w:t>
      </w:r>
    </w:p>
    <w:p>
      <w:pPr>
        <w:spacing w:after="0" w:line="152"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We commenced our operations in 2018 and have devoted substantially all of our resources to date to organizing and staffing our company, business planning, raising capital, in-licensing our initial and approved product candidate, vonoprazan, meeting with regulatory authorities, managing our clinical trials of vonoprazan, preparing for commercialization of our initial products containing vonoprazan, commercially launching our approved products, and providing other selling, general and administrative support for our operations. Our operations to date have been funded primarily through commercial bank debt, our revenue interest financing debt and various equity offerings, including our at-the-market offerings. From inception through March 31, 2025, we sold 34,737,032 shares of our common stock and 2,608,922 pre-funded warrants, generating net proceeds of approximately $543.3 million, after deducting underwriting discounts, commissions and offering costs. As of March 31, 2025, we had cash and cash equivalents of $212.3 million. Based on our current operating plan, we believe that our existing cash and cash equivalents together with anticipated product revenues, are sufficient to fund operations for at least the next twelve months.</w:t>
      </w:r>
    </w:p>
    <w:p>
      <w:pPr>
        <w:spacing w:after="0" w:line="139" w:lineRule="exact"/>
        <w:rPr>
          <w:sz w:val="20"/>
          <w:szCs w:val="20"/>
          <w:color w:val="auto"/>
        </w:rPr>
      </w:pPr>
    </w:p>
    <w:p>
      <w:pPr>
        <w:ind w:right="260" w:firstLine="509"/>
        <w:spacing w:after="0" w:line="242" w:lineRule="auto"/>
        <w:rPr>
          <w:sz w:val="20"/>
          <w:szCs w:val="20"/>
          <w:color w:val="auto"/>
        </w:rPr>
      </w:pPr>
      <w:r>
        <w:rPr>
          <w:rFonts w:ascii="Arial" w:cs="Arial" w:eastAsia="Arial" w:hAnsi="Arial"/>
          <w:sz w:val="18"/>
          <w:szCs w:val="18"/>
          <w:color w:val="auto"/>
        </w:rPr>
        <w:t>Since inception, we have incurred significant operating losses. Our net losses were $94.3 million and $ 82.9 million for the three months ended March 31, 2025 and 2024, respectively. As of March 31, 2025, we had an accumulated deficit of $1.4 billion. We expect to continue to incur operating losses for the foreseeable future. It could be several years, if ever, before VOQUEZNA, VOQUEZNA TRIPLE PAK and VOQUEZNA DUAL PAK or other product candidates, if approved, generate significant revenues to offset these operating losses. As a result, we are uncertain when or if we will achieve profitability and, if so, whether we will be able to sustain it. The net losses we incur may fluctuate significantly from quarter to quarter and year to year.</w:t>
      </w:r>
    </w:p>
    <w:p>
      <w:pPr>
        <w:spacing w:after="0" w:line="13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generated limited revenue to date, until such time as we can generate significant revenue from sales of our approved products containing vonoprazan, we expect to finance our cash needs through equity offerings, potentially the Loan Agreement, our Revenue Interest Financing Agreement, additional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ongoing conflicts throughout the world and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3"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38"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2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$ 250 million. We also agreed to make tiered royalty payments at percentages averaging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right="20" w:firstLine="509"/>
        <w:spacing w:after="0" w:line="301" w:lineRule="auto"/>
        <w:rPr>
          <w:sz w:val="20"/>
          <w:szCs w:val="20"/>
          <w:color w:val="auto"/>
        </w:rPr>
      </w:pPr>
      <w:r>
        <w:rPr>
          <w:rFonts w:ascii="Arial" w:cs="Arial" w:eastAsia="Arial" w:hAnsi="Arial"/>
          <w:sz w:val="17"/>
          <w:szCs w:val="17"/>
          <w:color w:val="auto"/>
        </w:rPr>
        <w:t>We began to recognize revenue from product sales, net of rebates, chargebacks, discounts, and other adjustments, in November 2023 in conjunction with the commercial launch of VOQUEZNA, VOQUEZNA TRIPLE PAK, and VOQUEZNA DUAL PAK in the United States.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Cost of revenue includes the cost of producing and distributing inventories that are related to product sales. This also includes royalties payable to Takeda, pursuant to the Takeda License Agreement (Refer to Note 3 for further details). In addition, shipping and handling costs for product sales are recorded as incurred. Cost of revenue also includes costs related to excess or obsolete inventory adjustment charges.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To date, our research and development expenses have related to the development and regulatory approvals of vonoprazan. Research and development expenses are recognized as incurred and payments made prior to the receipt of goods or services to be used in research and development are capitalized until the goods or services are received. We do not track total research and development expenses by indication.</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900" w:right="100" w:hanging="383"/>
        <w:spacing w:after="0" w:line="270" w:lineRule="auto"/>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Clinical development expenses: </w:t>
      </w:r>
      <w:r>
        <w:rPr>
          <w:rFonts w:ascii="Arial" w:cs="Arial" w:eastAsia="Arial" w:hAnsi="Arial"/>
          <w:sz w:val="18"/>
          <w:szCs w:val="18"/>
          <w:color w:val="auto"/>
        </w:rPr>
        <w:t>external research and development expenses incurred under agreements with CROs,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consultants to conduct and support our clinical trials of vonoprazan;</w:t>
      </w:r>
    </w:p>
    <w:p>
      <w:pPr>
        <w:spacing w:after="0" w:line="11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Personnel related expenses</w:t>
      </w:r>
      <w:r>
        <w:rPr>
          <w:rFonts w:ascii="Arial" w:cs="Arial" w:eastAsia="Arial" w:hAnsi="Arial"/>
          <w:sz w:val="18"/>
          <w:szCs w:val="18"/>
          <w:color w:val="auto"/>
        </w:rPr>
        <w:t>: salaries, payroll taxes, and employee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4" w:name="page25"/>
    <w:bookmarkEnd w:id="24"/>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Chemistry manufacturing and controls, or CMC, expenses: </w:t>
      </w:r>
      <w:r>
        <w:rPr>
          <w:rFonts w:ascii="Arial" w:cs="Arial" w:eastAsia="Arial" w:hAnsi="Arial"/>
          <w:sz w:val="18"/>
          <w:szCs w:val="18"/>
          <w:color w:val="auto"/>
        </w:rPr>
        <w:t>costs related to the manufacturing of vonoprazan for our clinical trials;</w:t>
      </w:r>
    </w:p>
    <w:p>
      <w:pPr>
        <w:spacing w:after="0" w:line="197"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Consulting, professional and other costs: </w:t>
      </w:r>
      <w:r>
        <w:rPr>
          <w:rFonts w:ascii="Arial" w:cs="Arial" w:eastAsia="Arial" w:hAnsi="Arial"/>
          <w:sz w:val="18"/>
          <w:szCs w:val="18"/>
          <w:color w:val="auto"/>
        </w:rPr>
        <w:t>external costs related to consulting and professional services and other research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w:t>
      </w:r>
    </w:p>
    <w:p>
      <w:pPr>
        <w:spacing w:after="0" w:line="113" w:lineRule="exact"/>
        <w:rPr>
          <w:rFonts w:ascii="Times New Roman" w:cs="Times New Roman" w:eastAsia="Times New Roman" w:hAnsi="Times New Roman"/>
          <w:sz w:val="18"/>
          <w:szCs w:val="18"/>
          <w:color w:val="auto"/>
        </w:rPr>
      </w:pPr>
    </w:p>
    <w:p>
      <w:pPr>
        <w:ind w:left="900" w:right="160" w:hanging="383"/>
        <w:spacing w:after="0" w:line="270"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stock-based compensation expense recognized for those individuals involved in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efforts.</w:t>
      </w:r>
    </w:p>
    <w:p>
      <w:pPr>
        <w:spacing w:after="0" w:line="114"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following table summarizes our research and development expenses for the three months ended March 31, 2025 and 2024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9"/>
              </w:rPr>
              <w:t>Three Months Ended</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9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92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r>
      <w:tr>
        <w:trPr>
          <w:trHeight w:val="196"/>
        </w:trPr>
        <w:tc>
          <w:tcPr>
            <w:tcW w:w="6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 and regulatory</w:t>
            </w:r>
          </w:p>
        </w:tc>
        <w:tc>
          <w:tcPr>
            <w:tcW w:w="1180" w:type="dxa"/>
            <w:vAlign w:val="bottom"/>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3,544</w:t>
            </w:r>
          </w:p>
        </w:tc>
        <w:tc>
          <w:tcPr>
            <w:tcW w:w="1080" w:type="dxa"/>
            <w:vAlign w:val="bottom"/>
            <w:gridSpan w:val="2"/>
            <w:shd w:val="clear" w:color="auto" w:fill="CFF0FC"/>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3,523</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Personnel related</w:t>
            </w:r>
          </w:p>
        </w:tc>
        <w:tc>
          <w:tcPr>
            <w:tcW w:w="1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2,962</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3,069</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Chemistry manufacturing and controls</w:t>
            </w:r>
          </w:p>
        </w:tc>
        <w:tc>
          <w:tcPr>
            <w:tcW w:w="1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w:t>
            </w: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1,004</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Consulting, professional and other costs</w:t>
            </w:r>
          </w:p>
        </w:tc>
        <w:tc>
          <w:tcPr>
            <w:tcW w:w="1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585</w:t>
            </w:r>
          </w:p>
        </w:tc>
        <w:tc>
          <w:tcPr>
            <w:tcW w:w="100" w:type="dxa"/>
            <w:vAlign w:val="bottom"/>
          </w:tcPr>
          <w:p>
            <w:pPr>
              <w:spacing w:after="0"/>
              <w:rPr>
                <w:sz w:val="17"/>
                <w:szCs w:val="17"/>
                <w:color w:val="auto"/>
              </w:rPr>
            </w:pPr>
          </w:p>
        </w:tc>
      </w:tr>
      <w:tr>
        <w:trPr>
          <w:trHeight w:val="203"/>
        </w:trPr>
        <w:tc>
          <w:tcPr>
            <w:tcW w:w="69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1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1,330</w:t>
            </w:r>
          </w:p>
        </w:tc>
        <w:tc>
          <w:tcPr>
            <w:tcW w:w="3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ind w:left="140"/>
              <w:spacing w:after="0" w:line="196" w:lineRule="exact"/>
              <w:rPr>
                <w:sz w:val="20"/>
                <w:szCs w:val="20"/>
                <w:color w:val="auto"/>
              </w:rPr>
            </w:pPr>
            <w:r>
              <w:rPr>
                <w:rFonts w:ascii="Arial" w:cs="Arial" w:eastAsia="Arial" w:hAnsi="Arial"/>
                <w:sz w:val="18"/>
                <w:szCs w:val="18"/>
                <w:color w:val="auto"/>
              </w:rPr>
              <w:t>Total research and development expenses</w:t>
            </w:r>
          </w:p>
        </w:tc>
        <w:tc>
          <w:tcPr>
            <w:tcW w:w="1180" w:type="dxa"/>
            <w:vAlign w:val="bottom"/>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9,184</w:t>
            </w:r>
          </w:p>
        </w:tc>
        <w:tc>
          <w:tcPr>
            <w:tcW w:w="108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9,430</w:t>
            </w:r>
          </w:p>
        </w:tc>
        <w:tc>
          <w:tcPr>
            <w:tcW w:w="10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-161925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plan to invest in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3"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Selling, general and administrative expenses consist of salaries and employee-related costs, including stock-based compensation, for personnel in commercial, executive, finance, accounting, legal, human resources and other administrative functions, legal fees relating to intellectual property and corporate matters, and professional fees for accounting and consulting services. We anticipate that our selling, general and administrative expenses will decrease in the future in conjunction with our planned organizational restructuring.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Interest Financing Agreement</w:t>
      </w:r>
    </w:p>
    <w:p>
      <w:pPr>
        <w:spacing w:after="0" w:line="10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Interest expense under the Revenue Interest Financing Agreement is based on the imputed effective interest rate derived from expected future payments and the carrying value of the obligation. We recalculate the effective interest rate each period based on the current carrying value and the revised estimated future payments. Changes in future payments from previous estimates are included in current and future interest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with Hercules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under the Loan Agreement consists of (i) cash interest at a variable annual rate equal to the greater of (a) 9.85% and</w:t>
      </w:r>
    </w:p>
    <w:p>
      <w:pPr>
        <w:spacing w:after="0" w:line="14" w:lineRule="exact"/>
        <w:rPr>
          <w:sz w:val="20"/>
          <w:szCs w:val="20"/>
          <w:color w:val="auto"/>
        </w:rPr>
      </w:pPr>
    </w:p>
    <w:p>
      <w:pPr>
        <w:jc w:val="both"/>
        <w:ind w:right="340" w:firstLine="8"/>
        <w:spacing w:after="0" w:line="242"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Prime Rate (as reported in the Wall Street Journal) plus 1.35% and provided that the cash interest rate shall be capped at 10.35% and upon Company achieving the certain milestones, the cash interest shall be decreased by 0.35%, (ii) payment-in-kind interest at a per annum rate of interest equal to 2.15%, and (iii) amortization of the Loan Agreement debt discount recorded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5" w:name="page26"/>
    <w:bookmarkEnd w:id="25"/>
    <w:p>
      <w:pPr>
        <w:ind w:right="500"/>
        <w:spacing w:after="0" w:line="271" w:lineRule="auto"/>
        <w:rPr>
          <w:sz w:val="20"/>
          <w:szCs w:val="20"/>
          <w:color w:val="auto"/>
        </w:rPr>
      </w:pPr>
      <w:r>
        <w:rPr>
          <w:rFonts w:ascii="Arial" w:cs="Arial" w:eastAsia="Arial" w:hAnsi="Arial"/>
          <w:sz w:val="18"/>
          <w:szCs w:val="18"/>
          <w:color w:val="auto"/>
        </w:rPr>
        <w:t>in connection with the fair value of warrants issued to the lenders, the debt issuance costs incurred, and the obligation to make a final payment.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2025 and 2024</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2025 and 2024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Product revenue, net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28,519</w:t>
            </w:r>
          </w:p>
        </w:tc>
        <w:tc>
          <w:tcPr>
            <w:tcW w:w="4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1,912</w:t>
            </w: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26,607</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24,795</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1,486</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23,309</w:t>
            </w:r>
          </w:p>
        </w:tc>
        <w:tc>
          <w:tcPr>
            <w:tcW w:w="0" w:type="dxa"/>
            <w:vAlign w:val="bottom"/>
          </w:tcPr>
          <w:p>
            <w:pPr>
              <w:spacing w:after="0"/>
              <w:rPr>
                <w:sz w:val="1"/>
                <w:szCs w:val="1"/>
                <w:color w:val="auto"/>
              </w:rPr>
            </w:pPr>
          </w:p>
        </w:tc>
      </w:tr>
      <w:tr>
        <w:trPr>
          <w:trHeight w:val="202"/>
        </w:trPr>
        <w:tc>
          <w:tcPr>
            <w:tcW w:w="42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9,184</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9,430</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94,474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62,010</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32,464</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103,658</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71,440</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32,218</w:t>
            </w:r>
          </w:p>
        </w:tc>
        <w:tc>
          <w:tcPr>
            <w:tcW w:w="0" w:type="dxa"/>
            <w:vAlign w:val="bottom"/>
          </w:tcPr>
          <w:p>
            <w:pPr>
              <w:spacing w:after="0"/>
              <w:rPr>
                <w:sz w:val="1"/>
                <w:szCs w:val="1"/>
                <w:color w:val="auto"/>
              </w:rPr>
            </w:pPr>
          </w:p>
        </w:tc>
      </w:tr>
      <w:tr>
        <w:trPr>
          <w:trHeight w:val="196"/>
        </w:trPr>
        <w:tc>
          <w:tcPr>
            <w:tcW w:w="426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(78,863)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(69,954)</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3"/>
        </w:trPr>
        <w:tc>
          <w:tcPr>
            <w:tcW w:w="426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(18,071)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(17,168)</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(15,453)</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(12,898)</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196"/>
        </w:trPr>
        <w:tc>
          <w:tcPr>
            <w:tcW w:w="42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(94,316)</w:t>
            </w:r>
          </w:p>
        </w:tc>
        <w:tc>
          <w:tcPr>
            <w:tcW w:w="4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(82,852)</w:t>
            </w: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-959485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-959485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-162560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-162560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revenues were $28.5 million and $ 1.9 million for the three months ended March 31, 2025 and 2024,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sales of VOQUEZNA, VOQUEZNA TRIPLE PAK, and VOQUEZNA DUAL PAK which was launched during the fourth quarter of 2023.</w:t>
      </w:r>
    </w:p>
    <w:p>
      <w:pPr>
        <w:spacing w:after="0" w:line="128" w:lineRule="exact"/>
        <w:rPr>
          <w:sz w:val="20"/>
          <w:szCs w:val="20"/>
          <w:color w:val="auto"/>
        </w:rPr>
      </w:pPr>
    </w:p>
    <w:p>
      <w:pPr>
        <w:ind w:right="360" w:firstLine="509"/>
        <w:spacing w:after="0" w:line="242"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were $3.7 million and $0.4 million for the three months ended March 31, 2025 and 2024,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three months ended March 31, 2025. These previously expensed costs were not material.</w:t>
      </w:r>
    </w:p>
    <w:p>
      <w:pPr>
        <w:spacing w:after="0" w:line="138"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$9.2 million and $9.4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2025 and 2024, respectively. The decrease of $0.2 million consisted of lower project and consulting costs.</w:t>
      </w:r>
    </w:p>
    <w:p>
      <w:pPr>
        <w:spacing w:after="0" w:line="127"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$ 94.5 million and $62.0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2025 and 2024, respectively. The increase of $ 32.5 million was due to increases of $32.0 million of commercial expenses, which includes $28.3 million in advertising and promotional expenses in support of our commercial launch of VOQUEZNA products and $3.7 million of external project spend, and an increase of $0.5 million in consulting and other professional services.</w:t>
      </w:r>
    </w:p>
    <w:p>
      <w:pPr>
        <w:spacing w:after="0" w:line="136"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$15.5 million for the three months ended March 31, 2025 consisted of $ 18.1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under the Loan Agreement and Revenue Interest Financing Agreement, partially offset by $2.6 million of interest income related to cash held in money market funds. Other expense of $12.9 million for the three months ended March 31, 2024 consisted of $17.2 million of interest expense under the Loan Agreement and Revenue Interest Financing Agreement, partially offset by $4.3 million of interest income related to cash held in money market funds. Interest expense increased due to a higher debt balance under the Loan Agreement as well as a higher liability related to our Revenue Interest Financing Agreement versus the prior period, partially offset by interest income on our cash position.</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0"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March 31, 2025, we had cash and cash equivalents of $212.3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169"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On September 17, 2021, or the Closing Date, we entered into the Loan Agreement with Hercules (in such capacity, the Agent or Hercules), as administrative agent and collateral agent and as a lender and the other financial institutions that from time to time become parties to the Loan Agreement as lenders (collectively, the Lenders).</w:t>
      </w:r>
    </w:p>
    <w:p>
      <w:pPr>
        <w:spacing w:after="0" w:line="14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to us in May 2022.</w:t>
      </w:r>
    </w:p>
    <w:p>
      <w:pPr>
        <w:spacing w:after="0" w:line="174"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On September 27, 2022, we entered into an amendment to the Loan Agreement, or the Second Loan Amendment, pursuant to which the date the second tranche of funding of $50 million will remain available to us has been moved until May 15, 2023, rather than December 15, 2022.</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May 9, 2023, we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 have been recorded as debt discount and are being amortized to interest expense using the effective interest method over the remaining term of the Term Loan.</w:t>
      </w:r>
    </w:p>
    <w:p>
      <w:pPr>
        <w:spacing w:after="0" w:line="13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December 14, 2023, we entered into a Fourth Amendment to Loan and Security Agreement, or the Fourth Loan Amendment, with the lenders, which, among other things, (i) increases the aggregate principal amount of the term loans from $200 million to $300 million; (ii) provides for the possibility of accessing the $200 million commitment through five additional tranches referred to as tranches 2 through 6, which are available subject to certain milestones and conditions: (a) Tranche 2: $50 million, $40 million of which was funded on December 14, 2023, available through March 15, 2024, (b) Tranche 3: $25 million available through June 15, 2024, (c) Tranche 4: $25 million available through December 15, 2024, (d) Tranche 5: $50 million available, subject to the achievement of a specified revenue milestone, through June 30, 2025, and (e) Tranche 6: $50 million available, subject to the achievement of a specified revenue milestone, through December 31, 2025;</w:t>
      </w: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extends the interest only period and the maturity date from October 2026 to December 2027, (iv) reduces the cash interest rate from</w:t>
      </w:r>
    </w:p>
    <w:p>
      <w:pPr>
        <w:spacing w:after="0" w:line="234" w:lineRule="auto"/>
        <w:rPr>
          <w:rFonts w:ascii="Arial" w:cs="Arial" w:eastAsia="Arial" w:hAnsi="Arial"/>
          <w:sz w:val="18"/>
          <w:szCs w:val="18"/>
          <w:color w:val="auto"/>
        </w:rPr>
      </w:pPr>
      <w:r>
        <w:rPr>
          <w:rFonts w:ascii="Arial" w:cs="Arial" w:eastAsia="Arial" w:hAnsi="Arial"/>
          <w:sz w:val="18"/>
          <w:szCs w:val="18"/>
          <w:color w:val="auto"/>
        </w:rPr>
        <w:t>10.75% (floating annual rate equal to the greater of (a) 5.50% and (b) the Prime Rate (as reported in the Wall Street Journal) plus 2.25% to</w:t>
      </w:r>
    </w:p>
    <w:p>
      <w:pPr>
        <w:spacing w:after="0" w:line="239" w:lineRule="auto"/>
        <w:rPr>
          <w:rFonts w:ascii="Arial" w:cs="Arial" w:eastAsia="Arial" w:hAnsi="Arial"/>
          <w:sz w:val="18"/>
          <w:szCs w:val="18"/>
          <w:color w:val="auto"/>
        </w:rPr>
      </w:pPr>
      <w:r>
        <w:rPr>
          <w:rFonts w:ascii="Arial" w:cs="Arial" w:eastAsia="Arial" w:hAnsi="Arial"/>
          <w:sz w:val="18"/>
          <w:szCs w:val="18"/>
          <w:color w:val="auto"/>
        </w:rPr>
        <w:t>9.85% (floating rate based on the greater of (a) 9.85% or (b) US WSJ Prime + 1.35%), provided that the cash interest rate shall be capped at 10.35% and upon us achieving the certain milestones, the cash interest shall be decreased by 0.35%, and (v) decreases the payment-in-kind interest rate from 3.35% per annum to 2.15% per annum. In connection with the Fourth Loan Amendment, an amendment fee of $250,000 was paid to the Agent and was recorded as a debt discount and being amortized to interest expense using the effective interest method over the remaining term of the Term Loan.</w:t>
      </w:r>
    </w:p>
    <w:p>
      <w:pPr>
        <w:spacing w:after="0" w:line="13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On March 15, 2024, we drew down the remaining $10 million available under the Second Tranche. On June 14, 2024, we drew down the $25 million available under the Third Tranche. Additionally, on December 14, 2024, we drew down the $25 million available under the Fourth Tranche.</w:t>
      </w:r>
    </w:p>
    <w:p>
      <w:pPr>
        <w:spacing w:after="0" w:line="14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We may make payments of interest only through the Maturity Date. After the interest-only period, the principal balance and related interest will be required to be repaid in full on the Maturity Date.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27" w:name="page28"/>
    <w:bookmarkEnd w:id="27"/>
    <w:p>
      <w:pPr>
        <w:jc w:val="both"/>
        <w:ind w:right="120" w:firstLine="509"/>
        <w:spacing w:after="0"/>
        <w:rPr>
          <w:sz w:val="20"/>
          <w:szCs w:val="20"/>
          <w:color w:val="auto"/>
        </w:rPr>
      </w:pPr>
      <w:r>
        <w:rPr>
          <w:rFonts w:ascii="Arial" w:cs="Arial" w:eastAsia="Arial" w:hAnsi="Arial"/>
          <w:sz w:val="18"/>
          <w:szCs w:val="18"/>
          <w:color w:val="auto"/>
        </w:rPr>
        <w:t>In addition, we are obligated to pay a final payment fee of 7.50% of the original principal amount of amounts actually advanced under the Term Loan, or each a Term Loan Advance and together, the Term Loan Advances. In connection with the Fourth Loan Amendment, the final payment fee was amended to be $1 million plus 3.00% of any future tranche drawdowns under the agreement, due upon final maturity. Additionally, the initial final payment fee for the first term Loan advance was amended to become payable on October 1, 2026. As of March 31, 2025, the aggregate $11.5 million of final payment fees includes the first Term Loan Advance of $7.5 million, $2.5 million for the second Term Loan Advance, $0.8 million for the third Term Loan Advance, and $0.7 million for the fourth Term Loan Advance have been recorded within other long-term liabilities.</w:t>
      </w:r>
    </w:p>
    <w:p>
      <w:pPr>
        <w:spacing w:after="0" w:line="158"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Under the Fourth Loan Amendment, we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spacing w:after="0" w:line="13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spacing w:after="0" w:line="61" w:lineRule="exact"/>
        <w:rPr>
          <w:sz w:val="20"/>
          <w:szCs w:val="20"/>
          <w:color w:val="auto"/>
        </w:rPr>
      </w:pPr>
    </w:p>
    <w:p>
      <w:pPr>
        <w:ind w:left="1020" w:right="160" w:hanging="503"/>
        <w:spacing w:after="0" w:line="245" w:lineRule="auto"/>
        <w:tabs>
          <w:tab w:leader="none" w:pos="1020" w:val="left"/>
        </w:tabs>
        <w:numPr>
          <w:ilvl w:val="0"/>
          <w:numId w:val="8"/>
        </w:numPr>
        <w:rPr>
          <w:rFonts w:ascii="Calibri" w:cs="Calibri" w:eastAsia="Calibri" w:hAnsi="Calibri"/>
          <w:sz w:val="18"/>
          <w:szCs w:val="18"/>
          <w:color w:val="auto"/>
        </w:rPr>
      </w:pPr>
      <w:r>
        <w:rPr>
          <w:rFonts w:ascii="Arial" w:cs="Arial" w:eastAsia="Arial" w:hAnsi="Arial"/>
          <w:sz w:val="18"/>
          <w:szCs w:val="18"/>
          <w:color w:val="auto"/>
        </w:rPr>
        <w:t>Minimum cash covenant - We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w:t>
      </w:r>
    </w:p>
    <w:p>
      <w:pPr>
        <w:spacing w:after="0" w:line="68"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8"/>
          <w:szCs w:val="18"/>
          <w:color w:val="auto"/>
        </w:rPr>
      </w:pPr>
      <w:r>
        <w:rPr>
          <w:rFonts w:ascii="Arial" w:cs="Arial" w:eastAsia="Arial" w:hAnsi="Arial"/>
          <w:sz w:val="18"/>
          <w:szCs w:val="18"/>
          <w:color w:val="auto"/>
        </w:rPr>
        <w:t>Performance covenant - Beginning September 30, 2024 and all times thereafter we must satisfy any one of the following:</w:t>
      </w:r>
    </w:p>
    <w:p>
      <w:pPr>
        <w:spacing w:after="0" w:line="117" w:lineRule="exact"/>
        <w:rPr>
          <w:rFonts w:ascii="Calibri" w:cs="Calibri" w:eastAsia="Calibri" w:hAnsi="Calibri"/>
          <w:sz w:val="18"/>
          <w:szCs w:val="18"/>
          <w:color w:val="auto"/>
        </w:rPr>
      </w:pPr>
    </w:p>
    <w:p>
      <w:pPr>
        <w:ind w:left="1540" w:hanging="514"/>
        <w:spacing w:after="0"/>
        <w:tabs>
          <w:tab w:leader="none" w:pos="1540" w:val="left"/>
        </w:tabs>
        <w:numPr>
          <w:ilvl w:val="1"/>
          <w:numId w:val="8"/>
        </w:numPr>
        <w:rPr>
          <w:rFonts w:ascii="Calibri" w:cs="Calibri" w:eastAsia="Calibri" w:hAnsi="Calibri"/>
          <w:sz w:val="18"/>
          <w:szCs w:val="18"/>
          <w:color w:val="auto"/>
        </w:rPr>
      </w:pPr>
      <w:r>
        <w:rPr>
          <w:rFonts w:ascii="Arial" w:cs="Arial" w:eastAsia="Arial" w:hAnsi="Arial"/>
          <w:sz w:val="18"/>
          <w:szCs w:val="18"/>
          <w:color w:val="auto"/>
        </w:rPr>
        <w:t>Market capitalization exceeding $900 million;</w:t>
      </w:r>
    </w:p>
    <w:p>
      <w:pPr>
        <w:spacing w:after="0" w:line="117" w:lineRule="exact"/>
        <w:rPr>
          <w:rFonts w:ascii="Calibri" w:cs="Calibri" w:eastAsia="Calibri" w:hAnsi="Calibri"/>
          <w:sz w:val="18"/>
          <w:szCs w:val="18"/>
          <w:color w:val="auto"/>
        </w:rPr>
      </w:pPr>
    </w:p>
    <w:p>
      <w:pPr>
        <w:ind w:left="1540" w:right="560" w:hanging="514"/>
        <w:spacing w:after="0" w:line="256" w:lineRule="auto"/>
        <w:tabs>
          <w:tab w:leader="none" w:pos="1540" w:val="left"/>
        </w:tabs>
        <w:numPr>
          <w:ilvl w:val="1"/>
          <w:numId w:val="8"/>
        </w:numPr>
        <w:rPr>
          <w:rFonts w:ascii="Calibri" w:cs="Calibri" w:eastAsia="Calibri" w:hAnsi="Calibri"/>
          <w:sz w:val="18"/>
          <w:szCs w:val="18"/>
          <w:color w:val="auto"/>
        </w:rPr>
      </w:pPr>
      <w:r>
        <w:rPr>
          <w:rFonts w:ascii="Arial" w:cs="Arial" w:eastAsia="Arial" w:hAnsi="Arial"/>
          <w:sz w:val="18"/>
          <w:szCs w:val="18"/>
          <w:color w:val="auto"/>
        </w:rPr>
        <w:t>Minimum cash balance exceeding (x) outstanding principal amount of term loans, multiplied by (y) (A) 50%, prior to achieving trailing three months net product revenue of greater than $35 million, and (B) 35% thereafter; or</w:t>
      </w:r>
    </w:p>
    <w:p>
      <w:pPr>
        <w:spacing w:after="0" w:line="57" w:lineRule="exact"/>
        <w:rPr>
          <w:rFonts w:ascii="Calibri" w:cs="Calibri" w:eastAsia="Calibri" w:hAnsi="Calibri"/>
          <w:sz w:val="18"/>
          <w:szCs w:val="18"/>
          <w:color w:val="auto"/>
        </w:rPr>
      </w:pPr>
    </w:p>
    <w:p>
      <w:pPr>
        <w:ind w:left="1540" w:right="320" w:hanging="514"/>
        <w:spacing w:after="0" w:line="256" w:lineRule="auto"/>
        <w:tabs>
          <w:tab w:leader="none" w:pos="1540" w:val="left"/>
        </w:tabs>
        <w:numPr>
          <w:ilvl w:val="1"/>
          <w:numId w:val="8"/>
        </w:numPr>
        <w:rPr>
          <w:rFonts w:ascii="Calibri" w:cs="Calibri" w:eastAsia="Calibri" w:hAnsi="Calibri"/>
          <w:sz w:val="18"/>
          <w:szCs w:val="18"/>
          <w:color w:val="auto"/>
        </w:rPr>
      </w:pPr>
      <w:r>
        <w:rPr>
          <w:rFonts w:ascii="Arial" w:cs="Arial" w:eastAsia="Arial" w:hAnsi="Arial"/>
          <w:sz w:val="18"/>
          <w:szCs w:val="18"/>
          <w:color w:val="auto"/>
        </w:rPr>
        <w:t>Trailing three months net product revenue of at least (x) 30% of agreed upon projected net revenues for periods in the calendar year 2024 and 25% for all periods thereafter or (y) $120 million.</w:t>
      </w:r>
    </w:p>
    <w:p>
      <w:pPr>
        <w:spacing w:after="0" w:line="125" w:lineRule="exact"/>
        <w:rPr>
          <w:sz w:val="20"/>
          <w:szCs w:val="20"/>
          <w:color w:val="auto"/>
        </w:rPr>
      </w:pPr>
    </w:p>
    <w:p>
      <w:pPr>
        <w:ind w:right="880" w:firstLine="559"/>
        <w:spacing w:after="0" w:line="271" w:lineRule="auto"/>
        <w:rPr>
          <w:sz w:val="20"/>
          <w:szCs w:val="20"/>
          <w:color w:val="auto"/>
        </w:rPr>
      </w:pPr>
      <w:r>
        <w:rPr>
          <w:rFonts w:ascii="Arial" w:cs="Arial" w:eastAsia="Arial" w:hAnsi="Arial"/>
          <w:sz w:val="18"/>
          <w:szCs w:val="18"/>
          <w:color w:val="auto"/>
        </w:rPr>
        <w:t>Upon the occurrence of an event of default, subject to any specified cure periods, all amounts owed by us may be declared immediately due and payable by Hercules, as collateral agent.</w:t>
      </w:r>
    </w:p>
    <w:p>
      <w:pPr>
        <w:spacing w:after="0" w:line="127"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As of March 31, 2025, we were in compliance with all applicable covenants under the Loan Agreement. Based on the current revenue projections, we do not expect to meet the revenue threshold to draw the Fifth Tranche or Sixth Tranche. The current operating plan does not anticipate a need to draw any additional amounts under the Loan Agreement.</w:t>
      </w:r>
    </w:p>
    <w:p>
      <w:pPr>
        <w:spacing w:after="0" w:line="128"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As collateral for the obligations, we granted Hercules a senior security interest in all of our right, title, and interest in, to and under substantially all of our property, inclusive of intellectual property.</w:t>
      </w:r>
    </w:p>
    <w:p>
      <w:pPr>
        <w:spacing w:after="0" w:line="11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connection with the entry into the Loan Agreement, we issued to Hercules a warrant, or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connection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connection with the entry into the Fourth Amendment, we eliminated the warrant agreement for all future tranches. The Warrant issued with the initial tranche was not modified as part of this amendment. The exercise price and terms of the outstanding Warrant remain unchanged.</w:t>
      </w:r>
    </w:p>
    <w:p>
      <w:pPr>
        <w:spacing w:after="0" w:line="153" w:lineRule="exact"/>
        <w:rPr>
          <w:sz w:val="20"/>
          <w:szCs w:val="20"/>
          <w:color w:val="auto"/>
        </w:rPr>
      </w:pPr>
    </w:p>
    <w:p>
      <w:pPr>
        <w:jc w:val="both"/>
        <w:ind w:right="280" w:firstLine="509"/>
        <w:spacing w:after="0" w:line="253" w:lineRule="auto"/>
        <w:rPr>
          <w:sz w:val="20"/>
          <w:szCs w:val="20"/>
          <w:color w:val="auto"/>
        </w:rPr>
      </w:pPr>
      <w:r>
        <w:rPr>
          <w:rFonts w:ascii="Arial" w:cs="Arial" w:eastAsia="Arial" w:hAnsi="Arial"/>
          <w:sz w:val="18"/>
          <w:szCs w:val="18"/>
          <w:color w:val="auto"/>
        </w:rPr>
        <w:t>The initial $1.3 million fair value of the Warrant, the $11.5 million final interest payment fees and $4.6 million of debt issuance costs have been recorded as debt discount and are being amortized to interest expense using the effective interest method over the term of the Term Loan.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18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May 3, 2022, we entered into a Revenue Interest Financing Agreement, or the Revenue Interest Financing Agreement, with entities managed or advised by NovaQuest Capital Management, or NQ, Sagard Holdings Manager LP, or Sagard, and Hercules, together with NQ and Sagard, or the Initial Investors, pursuant to which we could receive up to $ 260 million in funding from the Initial Investors. Under the terms of the Revenue Interest Financing Agreement, we received $100 million at the initial closing and received an additional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in its capacity as administrative agent and collateral agent for itself and the lenders under that certain Loan Agreement, or the Joinder Agreement, in respect of the Revenue Interest Financing Agreement. Under the terms of the Joinder Agreement, we received $15 million in additional funding upon FDA approval of vonoprazan for Erosive GERD, or Approval Additional Funding, in the fourth quarter of 2023 and provides for $25 million in additional funding for achievement of a sales milestone, or Milestone Additional Funding, and, together with the Approval Additional Funding, or the Additional Investor Funding. The Initial Investors waived their right of first offer for any Additional Investor Funding. On December 23, 2024, CO Finance LVS XXXVII LLC agreed to assign and transfer to OC III LVS LX LP all of its rights, title and interest as an Additional Investor and in connection therewith, OC III LVS LX LP executed a Joinder Agreement. The total amount funded by the Initial Investors and any subsequent investors is referred to herein as the Investment Amount. As of March 31, 2025, no additional funding is available under the Revenue Interest Financing Agreement.</w:t>
      </w:r>
    </w:p>
    <w:p>
      <w:pPr>
        <w:spacing w:after="0" w:line="147"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Under the Revenue Interest Financing Agreement, the Initial Investors and the Additional Investors, are entitled to receive a 10% royalty on net sales of products containing vonoprazan. The royalty rate is subject to a step-down on net sales exceeding certain annual thresholds and upon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April 30, 2024, we have the right to make a cap payment equal to 200% of the Investment Amount less any royalties already paid, at which time the agreement will terminate.</w:t>
      </w:r>
    </w:p>
    <w:p>
      <w:pPr>
        <w:spacing w:after="0" w:line="138"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w:t>
      </w:r>
    </w:p>
    <w:p>
      <w:pPr>
        <w:spacing w:after="0" w:line="142"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Upon the occurrence of an event of default taking place prior to April 1, 2025, between April 1, 2025 and April 1, 2028, and after April 1, 2028, we are obligated to pay 1.30 times Investment Amount, 1.65 times Investment Amount, and 2.0 times investment amount, respectively, less any amounts we previously paid pursuant to the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At-the-Market-Offerings</w:t>
      </w:r>
    </w:p>
    <w:p>
      <w:pPr>
        <w:spacing w:after="0" w:line="107" w:lineRule="exact"/>
        <w:rPr>
          <w:sz w:val="20"/>
          <w:szCs w:val="20"/>
          <w:color w:val="auto"/>
        </w:rPr>
      </w:pPr>
    </w:p>
    <w:p>
      <w:pPr>
        <w:ind w:right="480" w:firstLine="509"/>
        <w:spacing w:after="0" w:line="226" w:lineRule="auto"/>
        <w:rPr>
          <w:sz w:val="20"/>
          <w:szCs w:val="20"/>
          <w:color w:val="auto"/>
        </w:rPr>
      </w:pPr>
      <w:r>
        <w:rPr>
          <w:rFonts w:ascii="Arial" w:cs="Arial" w:eastAsia="Arial" w:hAnsi="Arial"/>
          <w:sz w:val="18"/>
          <w:szCs w:val="18"/>
          <w:color w:val="auto"/>
        </w:rPr>
        <w:t>In November 2020, we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under which we may, from time to time, sell shares of our common stock having an aggregate offering price of up to an amount registered under an effective registration statement through the Sales Agent.</w:t>
      </w:r>
    </w:p>
    <w:p>
      <w:pPr>
        <w:spacing w:after="0" w:line="14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November 2023, we filed a shelf registration statement on Form S-3 which was declared effective by the SEC on November 17, 2023, which included an at-the-market prospectus pursuant to which we may, from time to time, sell up to an aggregate of $150 million of our common stock through the Sales Agent, or the 2023 ATM Offering. We are not obligated to, and we cannot provide any assurances that we will, make any sales of the shares under the Sales Agreement. The Sales Agreement may be terminated by the Sales Agent or us at any time. No shares were sold during the three months ended March 31, 2025 and 2024. As of March 31, 2025, all of the available $150 million under the 2023 ATM Offering remains available.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16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On August 20, 2024, we completed an underwritten public offering, in which we sold 8,695,652 shares of our common stock at a price of $11.50 per share and pre-funded warrants to purchase 2,608,922 shares of our common stock at a price of $11.499 per pre-funded warrant for total gross proceeds of $130.0 million. The net purchase price after deducting the underwriting discounts and commissions and other offering expenses, was $10.77 per share or net proceeds of $121.8 million.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Based on our current operating plan, we believe that our existing cash and cash equivalents together with anticipated product revenues, are sufficient to fund operations for at least the next twelve months.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inaccurate, and we could deplete our capital resources sooner than we expect based on the amount and timing of product sales and operating expenses, among other factors. Additionally, the process of testing product candidates in clinical trials is costly, and the timing of progress and expenses in these trials is uncertain.</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benefits of our organizational changes and restructuring plan;</w:t>
      </w:r>
    </w:p>
    <w:p>
      <w:pPr>
        <w:spacing w:after="0" w:line="116" w:lineRule="exact"/>
        <w:rPr>
          <w:rFonts w:ascii="Times New Roman" w:cs="Times New Roman" w:eastAsia="Times New Roman" w:hAnsi="Times New Roman"/>
          <w:sz w:val="18"/>
          <w:szCs w:val="18"/>
          <w:color w:val="auto"/>
        </w:rPr>
      </w:pPr>
    </w:p>
    <w:p>
      <w:pPr>
        <w:ind w:left="1020" w:right="78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sufficient market acceptance, coverage and adequate reimbursement from third-party payers and adequate market share and revenue for any approved products;</w:t>
      </w:r>
    </w:p>
    <w:p>
      <w:pPr>
        <w:spacing w:after="0" w:line="4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sales and marketing activities in support of the commercial launch of VOQUEZNA, VOQUEZNA TRIPLE PAK, and VOQUEZNA DUAL PAK, or any future product candidate;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payers;</w:t>
      </w:r>
    </w:p>
    <w:p>
      <w:pPr>
        <w:spacing w:after="0" w:line="46"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manufacturing for vonoprazan and supply of antibiotics for use in VOQUEZNA TRIPLE PAK and VOQUEZNA DUAL PAK or any future product candidates;</w:t>
      </w:r>
    </w:p>
    <w:p>
      <w:pPr>
        <w:spacing w:after="0" w:line="46" w:lineRule="exact"/>
        <w:rPr>
          <w:rFonts w:ascii="Times New Roman" w:cs="Times New Roman" w:eastAsia="Times New Roman" w:hAnsi="Times New Roman"/>
          <w:sz w:val="18"/>
          <w:szCs w:val="18"/>
          <w:color w:val="auto"/>
        </w:rPr>
      </w:pPr>
    </w:p>
    <w:p>
      <w:pPr>
        <w:ind w:left="1020" w:right="8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62"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future vonoprazan applications or such applications for any future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hiring additional personnel and consultants as our business grows and enhancing our operational systems;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8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equity offerings, the Revenue Interest Financing Agreement, debt financings, potentially the Loan Agreement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9" w:right="359" w:bottom="1440" w:gutter="0" w:footer="0" w:header="0"/>
        </w:sectPr>
      </w:pPr>
    </w:p>
    <w:bookmarkStart w:id="30" w:name="page31"/>
    <w:bookmarkEnd w:id="30"/>
    <w:p>
      <w:pPr>
        <w:ind w:right="80" w:firstLine="509"/>
        <w:spacing w:after="0" w:line="242"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 Based on our current operating plan, we believe that our existing cash and cash equivalents together with anticipated product revenues, are sufficient to fund operations for at least the next twelve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(84,930)</w:t>
            </w:r>
          </w:p>
        </w:tc>
        <w:tc>
          <w:tcPr>
            <w:tcW w:w="5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(69,020)</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(15,910)</w:t>
            </w: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3500" w:type="dxa"/>
            <w:vAlign w:val="bottom"/>
          </w:tcPr>
          <w:p>
            <w:pPr>
              <w:ind w:left="60"/>
              <w:spacing w:after="0" w:line="202" w:lineRule="exact"/>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9,900</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(84,948)</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(59,160)</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Net cash used in operating activities was approximately $84.9 million and $69.0 million for the three months ended March 31, 2025 and 2024, respectively. The net cash used in operating activities for the three months ended March 31, 2025 was due to approximately $76.0 million spent on ongoing research and development and selling, general and administrative activities and a $8.9 million net change in operating assets and liabilities. The net change in operating assets and liabilities primarily is related to a $6.8 million decrease in accounts payable and accrued expenses (including interest, operating lease assets and liabilities), and a $2.1 million net decrease in accounts receivable, inventory, and prepaid assets and other current assets. The net cash used in operating activities for the three months ended March 31, 2024 was due to approximately $61.9 million spent on ongoing research and development and selling, general and administrative activities and a $7.1 million net change in operating assets and liabilities. The net change in operating assets and liabilities primarily related to a $4.8 million decrease in accounts payable and accrued expenses (including interest, operating lease assets and liabilities), and a $2.3 million net increase in accounts receivable, inventory, and prepaid assets and other current assets in support of our growth and launch of our first commercial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3"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Net cash used in investing activities for the three months ended March 31, 2025 and 2024, was related to payments for acquiring property and equipment.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6" w:lineRule="exact"/>
        <w:rPr>
          <w:sz w:val="20"/>
          <w:szCs w:val="20"/>
          <w:color w:val="auto"/>
        </w:rPr>
      </w:pPr>
    </w:p>
    <w:p>
      <w:pPr>
        <w:ind w:firstLine="562"/>
        <w:spacing w:after="0" w:line="271" w:lineRule="auto"/>
        <w:rPr>
          <w:sz w:val="20"/>
          <w:szCs w:val="20"/>
          <w:color w:val="auto"/>
        </w:rPr>
      </w:pPr>
      <w:r>
        <w:rPr>
          <w:rFonts w:ascii="Arial" w:cs="Arial" w:eastAsia="Arial" w:hAnsi="Arial"/>
          <w:sz w:val="18"/>
          <w:szCs w:val="18"/>
          <w:color w:val="auto"/>
        </w:rPr>
        <w:t>Net cash provided by financing activities for the three months ended March 31, 2024 was $9.9 million related to net proceeds from the issuance of debt under our Hercules Loan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5"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There were no material changes outside the ordinary course of our business during the three months ended March 31, 2025 to the information regarding our contractual obligations that was disclosed in Management’s Discussion and Analysis of Financial Condition and Results of Operations contained in our 2024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1"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revenues and expenses and the disclosure of contingent assets and liabilities in our financial statements and accompanying notes. We evaluate these estimates and judgments on an ongoing basis. We base our estimates on historical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1" w:name="page32"/>
    <w:bookmarkEnd w:id="31"/>
    <w:p>
      <w:pPr>
        <w:ind w:right="60"/>
        <w:spacing w:after="0" w:line="253" w:lineRule="auto"/>
        <w:rPr>
          <w:sz w:val="20"/>
          <w:szCs w:val="20"/>
          <w:color w:val="auto"/>
        </w:rPr>
      </w:pPr>
      <w:r>
        <w:rPr>
          <w:rFonts w:ascii="Arial" w:cs="Arial" w:eastAsia="Arial" w:hAnsi="Arial"/>
          <w:sz w:val="18"/>
          <w:szCs w:val="18"/>
          <w:color w:val="auto"/>
        </w:rPr>
        <w:t>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2" w:lineRule="exact"/>
        <w:rPr>
          <w:sz w:val="20"/>
          <w:szCs w:val="20"/>
          <w:color w:val="auto"/>
        </w:rPr>
      </w:pPr>
    </w:p>
    <w:p>
      <w:pPr>
        <w:ind w:right="360" w:firstLine="509"/>
        <w:spacing w:after="0" w:line="247"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2024 Form 10-K. There have not been any material changes to the critical accounting policies discussed therein during the three months ended March 31,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Smaller Reporting Company Status</w:t>
      </w:r>
    </w:p>
    <w:p>
      <w:pPr>
        <w:spacing w:after="0" w:line="183"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We are a smaller reporting company as defined in Rule 12b-2 of the Exchange Act. We may take advantage of certain of the scaled disclosures available to smaller reporting companies and will be able to take advantage of these scaled disclosures for so long as (i) our voting and non-voting common stock held by non-affiliates is less than $250 million measured on the last business day of our second fiscal quarter or (ii)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As of March 31, 2025,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2024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our first fiscal quarter ended March 31, 2025 that have materially affected, or are reasonably likely to materially affect, our internal control over financial reporting.</w:t>
      </w:r>
    </w:p>
    <w:p>
      <w:pPr>
        <w:spacing w:after="0" w:line="1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87" w:right="6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8" w:lineRule="exact"/>
        <w:rPr>
          <w:sz w:val="20"/>
          <w:szCs w:val="20"/>
          <w:color w:val="auto"/>
        </w:rPr>
      </w:pPr>
    </w:p>
    <w:p>
      <w:pPr>
        <w:ind w:right="80" w:firstLine="509"/>
        <w:spacing w:after="0" w:line="279"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here have been no material changes to the risk factors disclosed in Part I, Item 1A, “Risk Factors” of our 2024 Form 10-K, other than</w:t>
      </w:r>
      <w:r>
        <w:rPr>
          <w:rFonts w:ascii="Arial" w:cs="Arial" w:eastAsia="Arial" w:hAnsi="Arial"/>
          <w:sz w:val="20"/>
          <w:szCs w:val="20"/>
          <w:color w:val="auto"/>
        </w:rPr>
        <w:t xml:space="preserve"> </w:t>
      </w:r>
      <w:r>
        <w:rPr>
          <w:rFonts w:ascii="Arial" w:cs="Arial" w:eastAsia="Arial" w:hAnsi="Arial"/>
          <w:sz w:val="17"/>
          <w:szCs w:val="17"/>
          <w:color w:val="auto"/>
        </w:rPr>
        <w:t>as set forth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highly dependent on the management, commercial, development, clinical, and financial experience of our senior management. Although we have entered into employment agreements with our executive officers, each of them may terminate their employment with us at any time. We do not maintain “key person” insurance for any of our executives or employees. This lack of insurance means that we may not have adequate compensation for the loss of the services of these individuals. For example, effective April 1, 2025, Steven Basta was appointed as our President and Chief Executive Officer, replacing Terrie Curran. In addition, effective April 30, 2025, Azmi Nabulsi, M.D., our Chief Operating Officer, Molly Henderson, our Chief Financial Officer, Martin Gilligan, our Chief Commercial Officer, and Tom Harris, our Chief Development Sciences Officer resigned as officers and we announced that Jonathan Bentley will join us as our Senior Vice President, Head of Sales. Executive leadership transitions can be inherently difficult to manage and, as a result, we may experience disruption or have difficulty in managing our operations and achieving our business objectives. Competition for qualified personnel in the biopharmaceutical field is intense, and our future success depends upon our ability to attract, retain and motivate highly skilled commercial, scientific, technical and managerial employees. We face competition for personnel from other biopharmaceutical companies and other organizations. If our recruitment and retention efforts are unsuccessful in the future, it may be difficult for us to implement business strategy, which could harm our business. In addition, we rely on consultants and advisors, including scientific and clinical advisors, to assist us in formulating and implementing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retain and motivate necessary personnel to accomplish our business objectives, we may experience constraints that will significantly impede achievement of our commercial and development objectives, our ability to raise additional capital and our ability to implement our business strategy.</w:t>
      </w:r>
    </w:p>
    <w:p>
      <w:pPr>
        <w:spacing w:after="0" w:line="14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i w:val="1"/>
          <w:iCs w:val="1"/>
          <w:color w:val="auto"/>
        </w:rPr>
        <w:t>We currently rely on, and expect to rely on for the foreseeable future, Evonik and Catalent for the manufacture of vonoprazan drug substance and drug product for clinical development and commercial sale, and we expect to rely on Sandoz for commercial supplies of VOQUEZNA TRIPLE PAK and VOQUEZNA DUAL PAK and the amoxicillin and clarithromycin in those products. This reliance on third parties increases the risk that we will not have sufficient quantities of finished product which could delay, prevent or impair our development or commercialization efforts.</w:t>
      </w:r>
    </w:p>
    <w:p>
      <w:pPr>
        <w:spacing w:after="0" w:line="143"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We do not own or operate manufacturing facilities and have no plans to build our own clinical or commercial scale manufacturing capabilities. We have entered into an agreement with Catalent for the supply of finished drug product, an agreement with Evonik for the supply of drug substance, and an agreement with Sandoz for commercial supply of amoxicillin, clarithromycin and finished convenience packs containing VOQUEZNA and one or both of those antibiotics. As a result, we currently rely, and expect to continue to rely, on third parties for the manufacture of vonoprazan and supply of related raw materials for clinical development and commercial sale. If Catalent, Evonik or Sandoz fails to fulfill its obligations under its respective supply agreement, or if any of the vonoprazan drug product or drug substance supplied by Catalent or Evonik cannot be utilized due to quality or cGMP or similar concerns, adverse findings during regulatory inspections or other reasons, our development plans and commercialization of vonoprazan, if approved, could be significantly delayed or otherwise adversely affected. We have been informed by Sandoz of a potential disruption in the supply of clarithromycin tablets, a component of VOQUEZNA TRIPLE PAK. While we have not experienced any disruptions in supply to date, any disruption for such supply would result in our inability to continue to commercialize the VOQUEZNA TRIPLE PAK.</w:t>
      </w:r>
    </w:p>
    <w:p>
      <w:pPr>
        <w:spacing w:after="0" w:line="145"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Further, the facilities used by Catalent and Evonik to manufacture vonoprazan and by Sandoz to manufacture amoxicillin and clarithromycin and to package the antibiotics and vonoprazan must be approved by the FDA and foreign regulatory authority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4" w:name="page35"/>
    <w:bookmarkEnd w:id="34"/>
    <w:p>
      <w:pPr>
        <w:ind w:right="100"/>
        <w:spacing w:after="0" w:line="239" w:lineRule="auto"/>
        <w:rPr>
          <w:sz w:val="20"/>
          <w:szCs w:val="20"/>
          <w:color w:val="auto"/>
        </w:rPr>
      </w:pPr>
      <w:r>
        <w:rPr>
          <w:rFonts w:ascii="Arial" w:cs="Arial" w:eastAsia="Arial" w:hAnsi="Arial"/>
          <w:sz w:val="18"/>
          <w:szCs w:val="18"/>
          <w:color w:val="auto"/>
        </w:rPr>
        <w:t>pursuant to inspections that may be conducted after we submit marketing authorizations to the FDA and comparable foreign regulatory authorities. We do not control the manufacturing process of, and are completely dependent on, Catalent, Evonik and Sandoz for compliance with applicable cGMP or similar requirements. If Catalent, Evonik, Sandoz, or any other third-party manufacturer we contract with in the future, cannot successfully manufacture material that conforms to our specifications and the strict regulatory requirements of the FDA or others, including requirements related to the manufacturing of high potency compounds, they will not be able to secure and/or maintain regulatory approval for their manufacturing facilities. In addition, we have no control over Catalent’s, Evonik’s, Sandoz’s, or any other third-party manufacturer’s ability to maintain adequate quality control, quality assurance and qualified personnel. If the FDA or a comparable foreign regulatory authority does not approve of facilities of the third-party manufacturer for the manufacture of vonoprazan or if it withdraws any such approval in the future, we may need to find alternative manufacturing facilities, which would significantly impact our ability to continue to develop, obtain additional regulatory approvals for or continue to market our current products.</w:t>
      </w:r>
    </w:p>
    <w:p>
      <w:pPr>
        <w:spacing w:after="0" w:line="15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failure, or Catalent’s, Evonik’s, Sandoz’s or any other third-party manufacturer’s failure,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spacing w:after="0" w:line="133"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Our or Catalent’s, Evonik’s or Sandoz’s failure, or the failure of any future third-party manufacturer, to execute on our manufacturing requirements, to do so on commercially reasonable terms and comply with cGMP or similar foreign requirements, could adversely affect our business in a number of ways, including:</w:t>
      </w:r>
    </w:p>
    <w:p>
      <w:pPr>
        <w:spacing w:after="0" w:line="128"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initiate and continue clinical trials of vonoprazan or any future product candidates;</w:t>
      </w:r>
    </w:p>
    <w:p>
      <w:pPr>
        <w:spacing w:after="0" w:line="224" w:lineRule="exact"/>
        <w:rPr>
          <w:rFonts w:ascii="Times New Roman" w:cs="Times New Roman" w:eastAsia="Times New Roman" w:hAnsi="Times New Roman"/>
          <w:sz w:val="18"/>
          <w:szCs w:val="18"/>
          <w:color w:val="auto"/>
        </w:rPr>
      </w:pPr>
    </w:p>
    <w:p>
      <w:pPr>
        <w:ind w:left="1140" w:right="460" w:hanging="383"/>
        <w:spacing w:after="0" w:line="270" w:lineRule="auto"/>
        <w:tabs>
          <w:tab w:leader="none" w:pos="11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delay in submitting regulatory applications, or receiving marketing approvals for new indications for vonoprazan or for any future product candidates;</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cease development or to recall batches of our current products and any future product candidates; and</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to meet commercial demands for our current products or any future product candidates.</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12"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 party;</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current products, including VOQUEZNA, and any product candidates that we may develop, may compete with other product candidates and products for access to manufacturing facilities. Moreover, there may be a limited number of manufacturers that operate under cGMP or similar regulations and that might be capable of manufacturing for us.</w:t>
      </w:r>
    </w:p>
    <w:p>
      <w:pPr>
        <w:spacing w:after="0" w:line="14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Any performance failure on the part of Catalent, Evonik, Sandoz or any future manufacturers could delay clinical development or additional marketing approvals, and any related remedial measures may be costly or time consuming to implement. We do not currently have arrangements in place for redundant supply or a second source for all required raw materials used in the manufacture of our current products. If Catalent, Evonik, or Sandoz cannot perform as agreed, we may be required to replace them</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5" w:name="page36"/>
    <w:bookmarkEnd w:id="35"/>
    <w:p>
      <w:pPr>
        <w:spacing w:after="0" w:line="244" w:lineRule="auto"/>
        <w:rPr>
          <w:sz w:val="20"/>
          <w:szCs w:val="20"/>
          <w:color w:val="auto"/>
        </w:rPr>
      </w:pPr>
      <w:r>
        <w:rPr>
          <w:rFonts w:ascii="Arial" w:cs="Arial" w:eastAsia="Arial" w:hAnsi="Arial"/>
          <w:sz w:val="18"/>
          <w:szCs w:val="18"/>
          <w:color w:val="auto"/>
        </w:rPr>
        <w:t>and we may be unable to replace them on a timely basis or at all. Further, Catalent, Evonik, Sandoz and any other third-party manufacturers we may use may experience manufacturing or shipping difficulties due to resource constraints or as a result of natural disasters, labor disputes, unstable political environments, or public health emergencies or ongoing hostilities in the Ukraine and the Middle East. If Catalent, Evonik, Sandoz or other third-party manufacturers were to encounter any manufacturing or shipping difficulties or delays due to these factors, our ability to provide vonoprazan to patients in clinical trials, or to provide product for treatment of patients if approved, would be jeopardized.</w:t>
      </w:r>
    </w:p>
    <w:p>
      <w:pPr>
        <w:spacing w:after="0" w:line="149"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Our current and anticipated future dependence upon others for the manufacture of our current products or any future product candidates or products may adversely affect our future profit margins and our ability to commercialize any products that receive marketing approval on a timely and competitive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The information set forth below is included herein for the purpose of providing the disclosure required under “Item 2.05 Costs Associated with Exit or Disposal Activities.” and “Item 5.02 Departure of Directors or Certain Officers; Election of Directors; Appointment of Certain Officers; Compensatory Arrangements of Certain Officers.” of Form 8-K.</w:t>
      </w:r>
    </w:p>
    <w:p>
      <w:pPr>
        <w:spacing w:after="0" w:line="142" w:lineRule="exact"/>
        <w:rPr>
          <w:sz w:val="20"/>
          <w:szCs w:val="20"/>
          <w:color w:val="auto"/>
        </w:rPr>
      </w:pPr>
    </w:p>
    <w:p>
      <w:pPr>
        <w:ind w:right="540" w:firstLine="509"/>
        <w:spacing w:after="0" w:line="253" w:lineRule="auto"/>
        <w:rPr>
          <w:sz w:val="20"/>
          <w:szCs w:val="20"/>
          <w:color w:val="auto"/>
        </w:rPr>
      </w:pPr>
      <w:r>
        <w:rPr>
          <w:rFonts w:ascii="Arial" w:cs="Arial" w:eastAsia="Arial" w:hAnsi="Arial"/>
          <w:sz w:val="18"/>
          <w:szCs w:val="18"/>
          <w:color w:val="auto"/>
        </w:rPr>
        <w:t>On April 29, 2025, our board of directors (the “Board”) approved a restructuring to reduce cash burn and focus on commercial execution. We have decided to reduce investment in direct-to-consumer promotion and will suspend, defer, or slow several clinical and product development programs, including deferring the start of the Phase 2 eosinophilic esophagitis (EoE) trial.</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connection with this restructuring, we expect to reduce our workforce by 28 employees, or approximately 6%. We expect to incur one-time costs of approximately $7 million to $10 million in connection with the workforce reduction. The majority of these expenses will be recognized in the second quarter of 2025.These costs consist primarily of cash expenditures related to one-time termination benefits (some of which are contractual), including severance, healthcare and related benefits, and other estimated non-cash expense. We estimate that the workforce reduction will be substantially completed in the second quarter of 2025. The estimate of costs that we expect to incur and the timing thereof are subject to a number of assumptions, and actual results may differ materially. We may also incur additional costs not currently contemplated due to events that may occur as a result of, or that are associated with, the actions described above.</w:t>
      </w:r>
    </w:p>
    <w:p>
      <w:pPr>
        <w:spacing w:after="0" w:line="77"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In addition, as part of the restructuring, we announced certain leadership changes. Azmi Nabulsi, M.D., our Chief Operating Officer and Molly Henderson, our Chief Financial Officer, ceased serving in these positions at the company, effective April 30, 2025, and will continue as non-executive employees through May 16, 2025. Effective May 1, 2025, we designated Robert Breedlove, our Vice President of Finance, as our principal financial officer and principal accounting officer for purposes of financial reporting under the Securities Exchange Act of 1934, as amended, replacing Ms. Henderson in such roles.</w:t>
      </w:r>
    </w:p>
    <w:p>
      <w:pPr>
        <w:spacing w:after="0" w:line="6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Robert Breedlove, 33, has served as our Vice President of Finance since October 2021. From March 2019 to October 2021, Mr. Breedlove served as Senior Manager at van den Boom &amp; Associates, an accounting consulting firm. He worked for NeoGenomics, Inc. from October 2017 to March 2019 as Manager of Financial Reporting and Compliance. Mr. Breedlove began his career at Ernst &amp;</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6" w:name="page37"/>
    <w:bookmarkEnd w:id="36"/>
    <w:p>
      <w:pPr>
        <w:spacing w:after="0" w:line="271" w:lineRule="auto"/>
        <w:rPr>
          <w:sz w:val="20"/>
          <w:szCs w:val="20"/>
          <w:color w:val="auto"/>
        </w:rPr>
      </w:pPr>
      <w:r>
        <w:rPr>
          <w:rFonts w:ascii="Arial" w:cs="Arial" w:eastAsia="Arial" w:hAnsi="Arial"/>
          <w:sz w:val="18"/>
          <w:szCs w:val="18"/>
          <w:color w:val="auto"/>
        </w:rPr>
        <w:t>Young where he served in roles of increasing responsibilities from 2012 to 2017. Mr. Breedlove is a Certified Public Account and received his B.A. and M.A. in accountancy from the University of San Diego.</w:t>
      </w:r>
    </w:p>
    <w:p>
      <w:pPr>
        <w:spacing w:after="0" w:line="46"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In connection with their separations, we expect to enter into transition agreements with each of Dr. Nabulsi and Ms. Henderson wherein we will provide them with the severance benefits payable under their employment agreements, as well as an extension of the post-termination exercise period of their vested stock options. The separation agreements will include a release of claims in favor of the company and the severance benefits will be subject to their continued compliance with post-termination restrictive covenants.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69"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March 31, 2025, none of our officers or directors adopted, modified or terminated any such trading arrangements.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Exhibit</w:t>
      </w:r>
    </w:p>
    <w:p>
      <w:pPr>
        <w:spacing w:after="0" w:line="21" w:lineRule="exact"/>
        <w:rPr>
          <w:sz w:val="20"/>
          <w:szCs w:val="20"/>
          <w:color w:val="auto"/>
        </w:rPr>
      </w:pPr>
    </w:p>
    <w:p>
      <w:pPr>
        <w:ind w:left="220"/>
        <w:spacing w:after="0"/>
        <w:tabs>
          <w:tab w:leader="none" w:pos="332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4234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3.1</w:t>
      </w:r>
      <w:r>
        <w:rPr>
          <w:sz w:val="20"/>
          <w:szCs w:val="20"/>
          <w:color w:val="auto"/>
        </w:rPr>
        <w:tab/>
      </w:r>
      <w:hyperlink r:id="rId122">
        <w:r>
          <w:rPr>
            <w:rFonts w:ascii="Arial" w:cs="Arial" w:eastAsia="Arial" w:hAnsi="Arial"/>
            <w:sz w:val="16"/>
            <w:szCs w:val="16"/>
            <w:u w:val="single" w:color="auto"/>
            <w:color w:val="0000FF"/>
          </w:rPr>
          <w:t>Amended and Restated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-14605</wp:posOffset>
            </wp:positionV>
            <wp:extent cx="23158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158" w:lineRule="exact"/>
        <w:rPr>
          <w:sz w:val="20"/>
          <w:szCs w:val="20"/>
          <w:color w:val="auto"/>
        </w:rPr>
      </w:pPr>
    </w:p>
    <w:p>
      <w:pPr>
        <w:ind w:left="1180" w:right="40" w:hanging="760"/>
        <w:spacing w:after="0" w:line="286"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3.2</w:t>
      </w:r>
      <w:r>
        <w:rPr>
          <w:sz w:val="20"/>
          <w:szCs w:val="20"/>
          <w:color w:val="auto"/>
        </w:rPr>
        <w:tab/>
      </w:r>
      <w:hyperlink r:id="rId124">
        <w:r>
          <w:rPr>
            <w:rFonts w:ascii="Arial" w:cs="Arial" w:eastAsia="Arial" w:hAnsi="Arial"/>
            <w:sz w:val="16"/>
            <w:szCs w:val="16"/>
            <w:u w:val="single" w:color="auto"/>
            <w:color w:val="0000FF"/>
          </w:rPr>
          <w:t>Certificate of Amendment to Amended and Restated Certificate of Incorporation,</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as filed with the Secretary of the State of Delaware on May 26,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36766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67665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-45720</wp:posOffset>
            </wp:positionV>
            <wp:extent cx="3105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109" w:lineRule="exact"/>
        <w:rPr>
          <w:sz w:val="20"/>
          <w:szCs w:val="20"/>
          <w:color w:val="auto"/>
        </w:rPr>
      </w:pP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3.3</w:t>
      </w:r>
      <w:r>
        <w:rPr>
          <w:sz w:val="20"/>
          <w:szCs w:val="20"/>
          <w:color w:val="auto"/>
        </w:rPr>
        <w:tab/>
      </w:r>
      <w:hyperlink r:id="rId127">
        <w:r>
          <w:rPr>
            <w:rFonts w:ascii="Arial" w:cs="Arial" w:eastAsia="Arial" w:hAnsi="Arial"/>
            <w:sz w:val="16"/>
            <w:szCs w:val="16"/>
            <w:u w:val="single" w:color="auto"/>
            <w:color w:val="0000FF"/>
          </w:rPr>
          <w:t>Amended and Restated Bylaws, effective as of December 13,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-4445</wp:posOffset>
            </wp:positionV>
            <wp:extent cx="30594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3059430" cy="8890"/>
                    </a:xfrm>
                    <a:prstGeom prst="rect">
                      <a:avLst/>
                    </a:prstGeom>
                    <a:noFill/>
                  </pic:spPr>
                </pic:pic>
              </a:graphicData>
            </a:graphic>
          </wp:anchor>
        </w:drawing>
      </w:r>
    </w:p>
    <w:p>
      <w:pPr>
        <w:spacing w:after="0" w:line="174" w:lineRule="exact"/>
        <w:rPr>
          <w:sz w:val="20"/>
          <w:szCs w:val="20"/>
          <w:color w:val="auto"/>
        </w:rPr>
      </w:pP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129">
        <w:r>
          <w:rPr>
            <w:rFonts w:ascii="Arial" w:cs="Arial" w:eastAsia="Arial" w:hAnsi="Arial"/>
            <w:sz w:val="16"/>
            <w:szCs w:val="16"/>
            <w:u w:val="single" w:color="auto"/>
            <w:color w:val="0000FF"/>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-4445</wp:posOffset>
            </wp:positionV>
            <wp:extent cx="15779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1577975" cy="8255"/>
                    </a:xfrm>
                    <a:prstGeom prst="rect">
                      <a:avLst/>
                    </a:prstGeom>
                    <a:noFill/>
                  </pic:spPr>
                </pic:pic>
              </a:graphicData>
            </a:graphic>
          </wp:anchor>
        </w:drawing>
      </w:r>
    </w:p>
    <w:p>
      <w:pPr>
        <w:spacing w:after="0" w:line="174" w:lineRule="exact"/>
        <w:rPr>
          <w:sz w:val="20"/>
          <w:szCs w:val="20"/>
          <w:color w:val="auto"/>
        </w:rPr>
      </w:pP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131">
        <w:r>
          <w:rPr>
            <w:rFonts w:ascii="Arial" w:cs="Arial" w:eastAsia="Arial" w:hAnsi="Arial"/>
            <w:sz w:val="16"/>
            <w:szCs w:val="16"/>
            <w:u w:val="single" w:color="auto"/>
            <w:color w:val="0000FF"/>
          </w:rPr>
          <w:t>Warrant to purchase stock issued to Silicon Valley Bank, dated May 14,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-4445</wp:posOffset>
            </wp:positionV>
            <wp:extent cx="35109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3510915" cy="8255"/>
                    </a:xfrm>
                    <a:prstGeom prst="rect">
                      <a:avLst/>
                    </a:prstGeom>
                    <a:noFill/>
                  </pic:spPr>
                </pic:pic>
              </a:graphicData>
            </a:graphic>
          </wp:anchor>
        </w:drawing>
      </w:r>
    </w:p>
    <w:p>
      <w:pPr>
        <w:spacing w:after="0" w:line="174" w:lineRule="exact"/>
        <w:rPr>
          <w:sz w:val="20"/>
          <w:szCs w:val="20"/>
          <w:color w:val="auto"/>
        </w:rPr>
      </w:pPr>
    </w:p>
    <w:p>
      <w:pPr>
        <w:ind w:left="1180" w:right="240" w:hanging="760"/>
        <w:spacing w:after="0" w:line="286"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4.3</w:t>
      </w:r>
      <w:r>
        <w:rPr>
          <w:sz w:val="20"/>
          <w:szCs w:val="20"/>
          <w:color w:val="auto"/>
        </w:rPr>
        <w:tab/>
      </w:r>
      <w:hyperlink r:id="rId133">
        <w:r>
          <w:rPr>
            <w:rFonts w:ascii="Arial" w:cs="Arial" w:eastAsia="Arial" w:hAnsi="Arial"/>
            <w:sz w:val="16"/>
            <w:szCs w:val="16"/>
            <w:u w:val="single" w:color="auto"/>
            <w:color w:val="0000FF"/>
          </w:rPr>
          <w:t>Warrant to purchase stock issued to WestRiver Innovation Lending Fund VIII,</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L.P., dated May 14,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35452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354520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-45720</wp:posOffset>
            </wp:positionV>
            <wp:extent cx="11493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09" w:lineRule="exact"/>
        <w:rPr>
          <w:sz w:val="20"/>
          <w:szCs w:val="20"/>
          <w:color w:val="auto"/>
        </w:rPr>
      </w:pP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4.4</w:t>
      </w:r>
      <w:r>
        <w:rPr>
          <w:sz w:val="20"/>
          <w:szCs w:val="20"/>
          <w:color w:val="auto"/>
        </w:rPr>
        <w:tab/>
      </w:r>
      <w:hyperlink r:id="rId136">
        <w:r>
          <w:rPr>
            <w:rFonts w:ascii="Arial" w:cs="Arial" w:eastAsia="Arial" w:hAnsi="Arial"/>
            <w:sz w:val="16"/>
            <w:szCs w:val="16"/>
            <w:u w:val="single" w:color="auto"/>
            <w:color w:val="0000FF"/>
          </w:rPr>
          <w:t>Warrant to purchase stock issued to Hercules Capital, dated September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-4445</wp:posOffset>
            </wp:positionV>
            <wp:extent cx="34709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3470910" cy="8890"/>
                    </a:xfrm>
                    <a:prstGeom prst="rect">
                      <a:avLst/>
                    </a:prstGeom>
                    <a:noFill/>
                  </pic:spPr>
                </pic:pic>
              </a:graphicData>
            </a:graphic>
          </wp:anchor>
        </w:drawing>
      </w:r>
    </w:p>
    <w:p>
      <w:pPr>
        <w:spacing w:after="0" w:line="1" w:lineRule="exact"/>
        <w:rPr>
          <w:sz w:val="20"/>
          <w:szCs w:val="20"/>
          <w:color w:val="auto"/>
        </w:rPr>
      </w:pPr>
    </w:p>
    <w:p>
      <w:pPr>
        <w:ind w:left="1180"/>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-14605</wp:posOffset>
            </wp:positionV>
            <wp:extent cx="2286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58" w:lineRule="exact"/>
        <w:rPr>
          <w:sz w:val="20"/>
          <w:szCs w:val="20"/>
          <w:color w:val="auto"/>
        </w:rPr>
      </w:pPr>
    </w:p>
    <w:p>
      <w:pPr>
        <w:ind w:left="1180" w:hanging="760"/>
        <w:spacing w:after="0" w:line="286"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4.5</w:t>
      </w:r>
      <w:r>
        <w:rPr>
          <w:sz w:val="20"/>
          <w:szCs w:val="20"/>
          <w:color w:val="auto"/>
        </w:rPr>
        <w:tab/>
      </w:r>
      <w:hyperlink r:id="rId139">
        <w:r>
          <w:rPr>
            <w:rFonts w:ascii="Arial" w:cs="Arial" w:eastAsia="Arial" w:hAnsi="Arial"/>
            <w:sz w:val="16"/>
            <w:szCs w:val="16"/>
            <w:u w:val="single" w:color="auto"/>
            <w:color w:val="0000FF"/>
          </w:rPr>
          <w:t>First Amendment to Warrant to purchase stock issued to Hercules Capital, dated</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May 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36772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367728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-45720</wp:posOffset>
            </wp:positionV>
            <wp:extent cx="5657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09" w:lineRule="exact"/>
        <w:rPr>
          <w:sz w:val="20"/>
          <w:szCs w:val="20"/>
          <w:color w:val="auto"/>
        </w:rPr>
      </w:pPr>
    </w:p>
    <w:p>
      <w:pPr>
        <w:jc w:val="both"/>
        <w:ind w:left="1180" w:right="120" w:hanging="760"/>
        <w:spacing w:after="0" w:line="266"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4.6</w:t>
      </w:r>
      <w:r>
        <w:rPr>
          <w:sz w:val="20"/>
          <w:szCs w:val="20"/>
          <w:color w:val="auto"/>
        </w:rPr>
        <w:tab/>
      </w:r>
      <w:hyperlink r:id="rId142">
        <w:r>
          <w:rPr>
            <w:rFonts w:ascii="Arial" w:cs="Arial" w:eastAsia="Arial" w:hAnsi="Arial"/>
            <w:sz w:val="16"/>
            <w:szCs w:val="16"/>
            <w:u w:val="single" w:color="auto"/>
            <w:color w:val="0000FF"/>
          </w:rPr>
          <w:t>Form of Warrant to purchase stock issuable pursuant to the Loan and Security</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Agreement, as amended, by and between the Registrant and Hercules Capital,</w:t>
        </w:r>
      </w:hyperlink>
      <w:r>
        <w:rPr>
          <w:rFonts w:ascii="Arial" w:cs="Arial" w:eastAsia="Arial" w:hAnsi="Arial"/>
          <w:sz w:val="16"/>
          <w:szCs w:val="16"/>
          <w:u w:val="single" w:color="auto"/>
          <w:color w:val="0000FF"/>
        </w:rPr>
        <w:t xml:space="preserve"> </w:t>
      </w:r>
      <w:hyperlink r:id="rId142">
        <w:r>
          <w:rPr>
            <w:rFonts w:ascii="Arial" w:cs="Arial" w:eastAsia="Arial" w:hAnsi="Arial"/>
            <w:sz w:val="16"/>
            <w:szCs w:val="16"/>
            <w:u w:val="single" w:color="auto"/>
            <w:color w:val="0000FF"/>
          </w:rPr>
          <w:t>Inc.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750570</wp:posOffset>
            </wp:positionH>
            <wp:positionV relativeFrom="paragraph">
              <wp:posOffset>-276225</wp:posOffset>
            </wp:positionV>
            <wp:extent cx="35909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359092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-156210</wp:posOffset>
            </wp:positionV>
            <wp:extent cx="3619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361950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-36195</wp:posOffset>
            </wp:positionV>
            <wp:extent cx="1657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165735" cy="8255"/>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ind w:left="1180" w:right="260" w:hanging="760"/>
        <w:spacing w:after="0" w:line="286"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4.7</w:t>
      </w:r>
      <w:r>
        <w:rPr>
          <w:sz w:val="20"/>
          <w:szCs w:val="20"/>
          <w:color w:val="auto"/>
        </w:rPr>
        <w:tab/>
      </w:r>
      <w:hyperlink r:id="rId146">
        <w:r>
          <w:rPr>
            <w:rFonts w:ascii="Arial" w:cs="Arial" w:eastAsia="Arial" w:hAnsi="Arial"/>
            <w:sz w:val="16"/>
            <w:szCs w:val="16"/>
            <w:u w:val="single" w:color="auto"/>
            <w:color w:val="0000FF"/>
          </w:rPr>
          <w:t>Note Purchase Agreement, dated May 7, 2019, by and among the Registrant</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and the other parties party thereto,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35280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352806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-45720</wp:posOffset>
            </wp:positionV>
            <wp:extent cx="21729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2172970" cy="8890"/>
                    </a:xfrm>
                    <a:prstGeom prst="rect">
                      <a:avLst/>
                    </a:prstGeom>
                    <a:noFill/>
                  </pic:spPr>
                </pic:pic>
              </a:graphicData>
            </a:graphic>
          </wp:anchor>
        </w:drawing>
      </w:r>
    </w:p>
    <w:p>
      <w:pPr>
        <w:spacing w:after="0" w:line="109" w:lineRule="exact"/>
        <w:rPr>
          <w:sz w:val="20"/>
          <w:szCs w:val="20"/>
          <w:color w:val="auto"/>
        </w:rPr>
      </w:pPr>
    </w:p>
    <w:p>
      <w:pPr>
        <w:ind w:left="42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4.8</w:t>
      </w:r>
      <w:r>
        <w:rPr>
          <w:sz w:val="20"/>
          <w:szCs w:val="20"/>
          <w:color w:val="auto"/>
        </w:rPr>
        <w:tab/>
      </w:r>
      <w:hyperlink r:id="rId149">
        <w:r>
          <w:rPr>
            <w:rFonts w:ascii="Arial" w:cs="Arial" w:eastAsia="Arial" w:hAnsi="Arial"/>
            <w:sz w:val="16"/>
            <w:szCs w:val="16"/>
            <w:u w:val="single" w:color="auto"/>
            <w:color w:val="0000FF"/>
          </w:rPr>
          <w:t>Form of Pre-Funded Warrant to purchase common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-4445</wp:posOffset>
            </wp:positionV>
            <wp:extent cx="25781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2578100" cy="8890"/>
                    </a:xfrm>
                    <a:prstGeom prst="rect">
                      <a:avLst/>
                    </a:prstGeom>
                    <a:noFill/>
                  </pic:spPr>
                </pic:pic>
              </a:graphicData>
            </a:graphic>
          </wp:anchor>
        </w:drawing>
      </w:r>
    </w:p>
    <w:p>
      <w:pPr>
        <w:spacing w:after="0" w:line="174" w:lineRule="exact"/>
        <w:rPr>
          <w:sz w:val="20"/>
          <w:szCs w:val="20"/>
          <w:color w:val="auto"/>
        </w:rPr>
      </w:pPr>
    </w:p>
    <w:p>
      <w:pPr>
        <w:ind w:left="1180" w:right="140" w:hanging="850"/>
        <w:spacing w:after="0" w:line="286" w:lineRule="auto"/>
        <w:tabs>
          <w:tab w:leader="none" w:pos="11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u w:val="single" w:color="auto"/>
          <w:color w:val="0000FF"/>
        </w:rPr>
        <w:t>Employment Letter Agreement, dated March 31, 2025, by and between Steven Basta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36137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361378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-45720</wp:posOffset>
            </wp:positionV>
            <wp:extent cx="11322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109" w:lineRule="exact"/>
        <w:rPr>
          <w:sz w:val="20"/>
          <w:szCs w:val="20"/>
          <w:color w:val="auto"/>
        </w:rPr>
      </w:pPr>
    </w:p>
    <w:p>
      <w:pPr>
        <w:ind w:left="1180" w:right="140" w:hanging="850"/>
        <w:spacing w:after="0" w:line="286" w:lineRule="auto"/>
        <w:tabs>
          <w:tab w:leader="none" w:pos="116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u w:val="single" w:color="auto"/>
          <w:color w:val="0000FF"/>
        </w:rPr>
        <w:t>Separation Agreement, dated April 2, 2025, by and between Terrie Curran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36023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360235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-45720</wp:posOffset>
            </wp:positionV>
            <wp:extent cx="6400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640080" cy="8255"/>
                    </a:xfrm>
                    <a:prstGeom prst="rect">
                      <a:avLst/>
                    </a:prstGeom>
                    <a:noFill/>
                  </pic:spPr>
                </pic:pic>
              </a:graphicData>
            </a:graphic>
          </wp:anchor>
        </w:drawing>
      </w:r>
    </w:p>
    <w:p>
      <w:pPr>
        <w:spacing w:after="0" w:line="109" w:lineRule="exact"/>
        <w:rPr>
          <w:sz w:val="20"/>
          <w:szCs w:val="20"/>
          <w:color w:val="auto"/>
        </w:rPr>
      </w:pPr>
    </w:p>
    <w:p>
      <w:pPr>
        <w:ind w:left="1180" w:right="100" w:hanging="850"/>
        <w:spacing w:after="0" w:line="266" w:lineRule="auto"/>
        <w:tabs>
          <w:tab w:leader="none" w:pos="1160" w:val="left"/>
        </w:tabs>
        <w:rPr>
          <w:rFonts w:ascii="Arial" w:cs="Arial" w:eastAsia="Arial" w:hAnsi="Arial"/>
          <w:sz w:val="16"/>
          <w:szCs w:val="16"/>
          <w:u w:val="single" w:color="auto"/>
          <w:color w:val="0000FF"/>
        </w:rPr>
      </w:pPr>
      <w:r>
        <w:rPr>
          <w:rFonts w:ascii="Arial" w:cs="Arial" w:eastAsia="Arial" w:hAnsi="Arial"/>
          <w:sz w:val="16"/>
          <w:szCs w:val="16"/>
          <w:color w:val="auto"/>
        </w:rPr>
        <w:t>10.3#</w:t>
      </w:r>
      <w:r>
        <w:rPr>
          <w:sz w:val="20"/>
          <w:szCs w:val="20"/>
          <w:color w:val="auto"/>
        </w:rPr>
        <w:tab/>
      </w:r>
      <w:hyperlink r:id="rId155">
        <w:r>
          <w:rPr>
            <w:rFonts w:ascii="Arial" w:cs="Arial" w:eastAsia="Arial" w:hAnsi="Arial"/>
            <w:sz w:val="16"/>
            <w:szCs w:val="16"/>
            <w:u w:val="single" w:color="auto"/>
            <w:color w:val="0000FF"/>
          </w:rPr>
          <w:t>Phathom Pharmaceuticals, Inc. 2025 Employment Inducement Incentive Award</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Plan and related forms of stock option, restricted stock unit and performance</w:t>
        </w:r>
      </w:hyperlink>
      <w:r>
        <w:rPr>
          <w:rFonts w:ascii="Arial" w:cs="Arial" w:eastAsia="Arial" w:hAnsi="Arial"/>
          <w:sz w:val="16"/>
          <w:szCs w:val="16"/>
          <w:u w:val="single" w:color="auto"/>
          <w:color w:val="0000FF"/>
        </w:rPr>
        <w:t xml:space="preserve"> </w:t>
      </w:r>
      <w:hyperlink r:id="rId155">
        <w:r>
          <w:rPr>
            <w:rFonts w:ascii="Arial" w:cs="Arial" w:eastAsia="Arial" w:hAnsi="Arial"/>
            <w:sz w:val="16"/>
            <w:szCs w:val="16"/>
            <w:u w:val="single" w:color="auto"/>
            <w:color w:val="0000FF"/>
          </w:rPr>
          <w:t>stock unit agreements thereunder</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750570</wp:posOffset>
            </wp:positionH>
            <wp:positionV relativeFrom="paragraph">
              <wp:posOffset>-276225</wp:posOffset>
            </wp:positionV>
            <wp:extent cx="36366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363664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-156210</wp:posOffset>
            </wp:positionV>
            <wp:extent cx="35052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3505200"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-36195</wp:posOffset>
            </wp:positionV>
            <wp:extent cx="1532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1532255" cy="8255"/>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ind w:left="1180" w:right="200" w:hanging="804"/>
        <w:spacing w:after="0" w:line="266" w:lineRule="auto"/>
        <w:tabs>
          <w:tab w:leader="none" w:pos="11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of Chief Executive Officer of Phathom Pharmaceuticals, Inc., as required by Rule 13a-14(a) or Rule 15d-14(a), as adopted pursuant to Section 302 of the Sarbanes-Oxley Act of 2002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750570</wp:posOffset>
            </wp:positionH>
            <wp:positionV relativeFrom="paragraph">
              <wp:posOffset>-276225</wp:posOffset>
            </wp:positionV>
            <wp:extent cx="34931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349313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-156210</wp:posOffset>
            </wp:positionV>
            <wp:extent cx="35737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357378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-36195</wp:posOffset>
            </wp:positionV>
            <wp:extent cx="17729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1772920" cy="8890"/>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ind w:left="1180" w:right="200" w:hanging="804"/>
        <w:spacing w:after="0" w:line="266" w:lineRule="auto"/>
        <w:tabs>
          <w:tab w:leader="none" w:pos="11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FF"/>
        </w:rPr>
        <w:t>Certification of Chief Financial Officer of Phathom Pharmaceuticals, Inc., as required by Rule 13a-14(a) or Rule 15d-14(a), as adopted pursuant to Section 302 of the Sarbanes-Oxley Act of 2002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750570</wp:posOffset>
            </wp:positionH>
            <wp:positionV relativeFrom="paragraph">
              <wp:posOffset>-276225</wp:posOffset>
            </wp:positionV>
            <wp:extent cx="34588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345884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-156210</wp:posOffset>
            </wp:positionV>
            <wp:extent cx="35737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357378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-36195</wp:posOffset>
            </wp:positionV>
            <wp:extent cx="17729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1772920" cy="8890"/>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ind w:left="1180" w:right="60" w:hanging="836"/>
        <w:spacing w:after="0" w:line="286" w:lineRule="auto"/>
        <w:tabs>
          <w:tab w:leader="none" w:pos="11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FF"/>
        </w:rPr>
        <w:t>Certification of Chief Executive Officer pursuant to Section 906 of the Sarbanes-Oxley Act of 2002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36366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363664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-45720</wp:posOffset>
            </wp:positionV>
            <wp:extent cx="8115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09" w:lineRule="exact"/>
        <w:rPr>
          <w:rFonts w:ascii="Arial" w:cs="Arial" w:eastAsia="Arial" w:hAnsi="Arial"/>
          <w:sz w:val="16"/>
          <w:szCs w:val="16"/>
          <w:u w:val="single" w:color="auto"/>
          <w:color w:val="0000FF"/>
        </w:rPr>
      </w:pPr>
    </w:p>
    <w:p>
      <w:pPr>
        <w:ind w:left="1180" w:right="100" w:hanging="836"/>
        <w:spacing w:after="0" w:line="286" w:lineRule="auto"/>
        <w:tabs>
          <w:tab w:leader="none" w:pos="11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u w:val="single" w:color="auto"/>
          <w:color w:val="0000FF"/>
        </w:rPr>
        <w:t>Certification of Chief Financial Officer pursuant to Section 906 of the Sarbanes-Oxley Act of 2002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750570</wp:posOffset>
            </wp:positionH>
            <wp:positionV relativeFrom="paragraph">
              <wp:posOffset>-165735</wp:posOffset>
            </wp:positionV>
            <wp:extent cx="36023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360235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-45720</wp:posOffset>
            </wp:positionV>
            <wp:extent cx="8115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320" w:lineRule="exact"/>
        <w:rPr>
          <w:rFonts w:ascii="Arial" w:cs="Arial" w:eastAsia="Arial" w:hAnsi="Arial"/>
          <w:sz w:val="16"/>
          <w:szCs w:val="16"/>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87"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3"/>
        </w:trPr>
        <w:tc>
          <w:tcPr>
            <w:tcW w:w="300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Date</w:t>
            </w:r>
          </w:p>
        </w:tc>
        <w:tc>
          <w:tcPr>
            <w:tcW w:w="120" w:type="dxa"/>
            <w:vAlign w:val="bottom"/>
          </w:tcPr>
          <w:p>
            <w:pPr>
              <w:spacing w:after="0"/>
              <w:rPr>
                <w:sz w:val="17"/>
                <w:szCs w:val="17"/>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8"/>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10/29/19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5/30/23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12/15/23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10/15/19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rPr>
              <w:t>S-1</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9/30/19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11/8/21</w:t>
            </w:r>
          </w:p>
        </w:tc>
        <w:tc>
          <w:tcPr>
            <w:tcW w:w="1160" w:type="dxa"/>
            <w:vAlign w:val="bottom"/>
            <w:gridSpan w:val="2"/>
          </w:tcPr>
          <w:p>
            <w:pPr>
              <w:jc w:val="center"/>
              <w:ind w:lef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5/10/23</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70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10/15/19</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rPr>
              <w:t>8/19/24</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567"/>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567"/>
        </w:trPr>
        <w:tc>
          <w:tcPr>
            <w:tcW w:w="700" w:type="dxa"/>
            <w:vAlign w:val="bottom"/>
          </w:tcPr>
          <w:p>
            <w:pPr>
              <w:jc w:val="center"/>
              <w:spacing w:after="0"/>
              <w:rPr>
                <w:sz w:val="20"/>
                <w:szCs w:val="20"/>
                <w:color w:val="auto"/>
              </w:rPr>
            </w:pPr>
            <w:r>
              <w:rPr>
                <w:rFonts w:ascii="Arial" w:cs="Arial" w:eastAsia="Arial" w:hAnsi="Arial"/>
                <w:sz w:val="16"/>
                <w:szCs w:val="16"/>
                <w:color w:val="auto"/>
              </w:rPr>
              <w:t>S-8</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4/3/2025</w:t>
            </w:r>
          </w:p>
        </w:tc>
        <w:tc>
          <w:tcPr>
            <w:tcW w:w="1160" w:type="dxa"/>
            <w:vAlign w:val="bottom"/>
            <w:gridSpan w:val="2"/>
          </w:tcPr>
          <w:p>
            <w:pPr>
              <w:jc w:val="center"/>
              <w:ind w:lef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75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200" w:lineRule="exact"/>
        <w:rPr>
          <w:rFonts w:ascii="Arial" w:cs="Arial" w:eastAsia="Arial" w:hAnsi="Arial"/>
          <w:sz w:val="16"/>
          <w:szCs w:val="16"/>
          <w:u w:val="single" w:color="auto"/>
          <w:color w:val="0000FF"/>
        </w:rPr>
      </w:pPr>
    </w:p>
    <w:p>
      <w:pPr>
        <w:spacing w:after="0" w:line="341" w:lineRule="exact"/>
        <w:rPr>
          <w:rFonts w:ascii="Arial" w:cs="Arial" w:eastAsia="Arial" w:hAnsi="Arial"/>
          <w:sz w:val="16"/>
          <w:szCs w:val="16"/>
          <w:u w:val="single" w:color="auto"/>
          <w:color w:val="0000FF"/>
        </w:rPr>
      </w:pPr>
    </w:p>
    <w:p>
      <w:pPr>
        <w:ind w:left="3560"/>
        <w:spacing w:after="0"/>
        <w:rPr>
          <w:sz w:val="20"/>
          <w:szCs w:val="20"/>
          <w:color w:val="auto"/>
        </w:rPr>
      </w:pPr>
      <w:r>
        <w:rPr>
          <w:rFonts w:ascii="Arial" w:cs="Arial" w:eastAsia="Arial" w:hAnsi="Arial"/>
          <w:sz w:val="16"/>
          <w:szCs w:val="16"/>
          <w:color w:val="auto"/>
        </w:rPr>
        <w:t>X</w:t>
      </w:r>
    </w:p>
    <w:p>
      <w:pPr>
        <w:spacing w:after="0" w:line="383" w:lineRule="exact"/>
        <w:rPr>
          <w:rFonts w:ascii="Arial" w:cs="Arial" w:eastAsia="Arial" w:hAnsi="Arial"/>
          <w:sz w:val="16"/>
          <w:szCs w:val="16"/>
          <w:u w:val="single" w:color="auto"/>
          <w:color w:val="0000FF"/>
        </w:rPr>
      </w:pPr>
    </w:p>
    <w:p>
      <w:pPr>
        <w:ind w:left="356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960" w:space="140"/>
            <w:col w:w="4140"/>
          </w:cols>
          <w:pgMar w:left="320" w:top="1012" w:right="339" w:bottom="1440" w:gutter="0" w:footer="0" w:header="0"/>
        </w:sectPr>
      </w:pPr>
    </w:p>
    <w:bookmarkStart w:id="38" w:name="page39"/>
    <w:bookmarkEnd w:id="38"/>
    <w:tbl>
      <w:tblPr>
        <w:tblLayout w:type="fixed"/>
        <w:tblInd w:w="200" w:type="dxa"/>
        <w:tblCellMar>
          <w:top w:w="0" w:type="dxa"/>
          <w:left w:w="0" w:type="dxa"/>
          <w:bottom w:w="0" w:type="dxa"/>
          <w:right w:w="0" w:type="dxa"/>
        </w:tblCellMar>
      </w:tblPr>
      <w:tr>
        <w:trPr>
          <w:trHeight w:val="189"/>
        </w:trPr>
        <w:tc>
          <w:tcPr>
            <w:tcW w:w="820" w:type="dxa"/>
            <w:vAlign w:val="bottom"/>
          </w:tcPr>
          <w:p>
            <w:pPr>
              <w:jc w:val="center"/>
              <w:ind w:right="79"/>
              <w:spacing w:after="0"/>
              <w:rPr>
                <w:sz w:val="20"/>
                <w:szCs w:val="20"/>
                <w:color w:val="auto"/>
              </w:rPr>
            </w:pPr>
            <w:r>
              <w:rPr>
                <w:rFonts w:ascii="Arial" w:cs="Arial" w:eastAsia="Arial" w:hAnsi="Arial"/>
                <w:sz w:val="16"/>
                <w:szCs w:val="16"/>
                <w:color w:val="auto"/>
              </w:rPr>
              <w:t>101.INS</w:t>
            </w:r>
          </w:p>
        </w:tc>
        <w:tc>
          <w:tcPr>
            <w:tcW w:w="778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r>
      <w:tr>
        <w:trPr>
          <w:trHeight w:val="189"/>
        </w:trPr>
        <w:tc>
          <w:tcPr>
            <w:tcW w:w="820" w:type="dxa"/>
            <w:vAlign w:val="bottom"/>
          </w:tcPr>
          <w:p>
            <w:pPr>
              <w:spacing w:after="0"/>
              <w:rPr>
                <w:sz w:val="16"/>
                <w:szCs w:val="16"/>
                <w:color w:val="auto"/>
              </w:rPr>
            </w:pPr>
          </w:p>
        </w:tc>
        <w:tc>
          <w:tcPr>
            <w:tcW w:w="7780" w:type="dxa"/>
            <w:vAlign w:val="bottom"/>
          </w:tcPr>
          <w:p>
            <w:pPr>
              <w:ind w:left="160"/>
              <w:spacing w:after="0"/>
              <w:rPr>
                <w:sz w:val="20"/>
                <w:szCs w:val="20"/>
                <w:color w:val="auto"/>
              </w:rPr>
            </w:pPr>
            <w:r>
              <w:rPr>
                <w:rFonts w:ascii="Arial" w:cs="Arial" w:eastAsia="Arial" w:hAnsi="Arial"/>
                <w:sz w:val="16"/>
                <w:szCs w:val="16"/>
                <w:color w:val="auto"/>
              </w:rPr>
              <w:t>Interactive Data File because XBRL tags are embedded within the Inline XBRL</w:t>
            </w:r>
          </w:p>
        </w:tc>
        <w:tc>
          <w:tcPr>
            <w:tcW w:w="1980" w:type="dxa"/>
            <w:vAlign w:val="bottom"/>
          </w:tcPr>
          <w:p>
            <w:pPr>
              <w:spacing w:after="0"/>
              <w:rPr>
                <w:sz w:val="16"/>
                <w:szCs w:val="16"/>
                <w:color w:val="auto"/>
              </w:rPr>
            </w:pPr>
          </w:p>
        </w:tc>
      </w:tr>
      <w:tr>
        <w:trPr>
          <w:trHeight w:val="215"/>
        </w:trPr>
        <w:tc>
          <w:tcPr>
            <w:tcW w:w="8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6"/>
                <w:szCs w:val="16"/>
                <w:color w:val="auto"/>
              </w:rPr>
              <w:t>document</w:t>
            </w:r>
          </w:p>
        </w:tc>
        <w:tc>
          <w:tcPr>
            <w:tcW w:w="1980" w:type="dxa"/>
            <w:vAlign w:val="bottom"/>
          </w:tcPr>
          <w:p>
            <w:pPr>
              <w:spacing w:after="0"/>
              <w:rPr>
                <w:sz w:val="18"/>
                <w:szCs w:val="18"/>
                <w:color w:val="auto"/>
              </w:rPr>
            </w:pPr>
          </w:p>
        </w:tc>
      </w:tr>
      <w:tr>
        <w:trPr>
          <w:trHeight w:val="378"/>
        </w:trPr>
        <w:tc>
          <w:tcPr>
            <w:tcW w:w="820" w:type="dxa"/>
            <w:vAlign w:val="bottom"/>
          </w:tcPr>
          <w:p>
            <w:pPr>
              <w:jc w:val="center"/>
              <w:ind w:right="79"/>
              <w:spacing w:after="0"/>
              <w:rPr>
                <w:sz w:val="20"/>
                <w:szCs w:val="20"/>
                <w:color w:val="auto"/>
              </w:rPr>
            </w:pPr>
            <w:r>
              <w:rPr>
                <w:rFonts w:ascii="Arial" w:cs="Arial" w:eastAsia="Arial" w:hAnsi="Arial"/>
                <w:sz w:val="16"/>
                <w:szCs w:val="16"/>
                <w:color w:val="auto"/>
              </w:rPr>
              <w:t>101.SCH</w:t>
            </w:r>
          </w:p>
        </w:tc>
        <w:tc>
          <w:tcPr>
            <w:tcW w:w="778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r>
    </w:tbl>
    <w:p>
      <w:pPr>
        <w:spacing w:after="0" w:line="163" w:lineRule="exact"/>
        <w:rPr>
          <w:sz w:val="20"/>
          <w:szCs w:val="20"/>
          <w:color w:val="auto"/>
        </w:rPr>
      </w:pPr>
    </w:p>
    <w:p>
      <w:pPr>
        <w:ind w:left="1180" w:hanging="781"/>
        <w:spacing w:after="0"/>
        <w:tabs>
          <w:tab w:leader="none" w:pos="11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171"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4"/>
          <w:szCs w:val="14"/>
          <w:color w:val="auto"/>
        </w:rPr>
        <w:t>*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this exhibit have been omitted for confidentiality purposes.</w:t>
      </w:r>
    </w:p>
    <w:p>
      <w:pPr>
        <w:spacing w:after="0" w:line="2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16" w:right="579" w:bottom="1440" w:gutter="0" w:footer="0" w:header="0"/>
        </w:sectPr>
      </w:pPr>
    </w:p>
    <w:bookmarkStart w:id="39" w:name="page40"/>
    <w:bookmarkEnd w:id="39"/>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PHATHOM PHARMACEUTICALS, INC.</w:t>
      </w:r>
    </w:p>
    <w:p>
      <w:pPr>
        <w:spacing w:after="0" w:line="198"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May 1, 2025</w:t>
      </w:r>
      <w:r>
        <w:rPr>
          <w:sz w:val="20"/>
          <w:szCs w:val="20"/>
          <w:color w:val="auto"/>
        </w:rPr>
        <w:tab/>
      </w:r>
      <w:r>
        <w:rPr>
          <w:rFonts w:ascii="Arial" w:cs="Arial" w:eastAsia="Arial" w:hAnsi="Arial"/>
          <w:sz w:val="18"/>
          <w:szCs w:val="18"/>
          <w:color w:val="auto"/>
        </w:rPr>
        <w:t>By:</w:t>
        <w:tab/>
        <w:t>/s/ Steven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Steven Basta</w:t>
      </w:r>
    </w:p>
    <w:p>
      <w:pPr>
        <w:ind w:left="6480"/>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680" w:val="left"/>
          <w:tab w:leader="none" w:pos="6020" w:val="left"/>
          <w:tab w:leader="none" w:pos="6460" w:val="left"/>
        </w:tabs>
        <w:rPr>
          <w:sz w:val="20"/>
          <w:szCs w:val="20"/>
          <w:color w:val="auto"/>
        </w:rPr>
      </w:pPr>
      <w:r>
        <w:rPr>
          <w:rFonts w:ascii="Arial" w:cs="Arial" w:eastAsia="Arial" w:hAnsi="Arial"/>
          <w:sz w:val="18"/>
          <w:szCs w:val="18"/>
          <w:color w:val="auto"/>
        </w:rPr>
        <w:t>Date:</w:t>
        <w:tab/>
        <w:t>May 1,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Breedlove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8890</wp:posOffset>
            </wp:positionV>
            <wp:extent cx="30175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Robert Breedlove</w:t>
      </w:r>
    </w:p>
    <w:p>
      <w:pPr>
        <w:ind w:left="6480"/>
        <w:spacing w:after="0" w:line="234" w:lineRule="auto"/>
        <w:rPr>
          <w:sz w:val="20"/>
          <w:szCs w:val="20"/>
          <w:color w:val="auto"/>
        </w:rPr>
      </w:pPr>
      <w:r>
        <w:rPr>
          <w:rFonts w:ascii="Arial" w:cs="Arial" w:eastAsia="Arial" w:hAnsi="Arial"/>
          <w:sz w:val="18"/>
          <w:szCs w:val="18"/>
          <w:color w:val="auto"/>
        </w:rPr>
        <w:t>Vice President of Finance</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12" w:right="6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March 31, 2025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Steve Basta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Employment Offer Letter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Steve:</w:t>
      </w:r>
    </w:p>
    <w:p>
      <w:pPr>
        <w:spacing w:after="0" w:line="212" w:lineRule="exact"/>
        <w:rPr>
          <w:sz w:val="20"/>
          <w:szCs w:val="20"/>
          <w:color w:val="auto"/>
        </w:rPr>
      </w:pPr>
    </w:p>
    <w:p>
      <w:pPr>
        <w:ind w:right="20" w:firstLine="396"/>
        <w:spacing w:after="0" w:line="273" w:lineRule="auto"/>
        <w:rPr>
          <w:sz w:val="20"/>
          <w:szCs w:val="20"/>
          <w:color w:val="auto"/>
        </w:rPr>
      </w:pPr>
      <w:r>
        <w:rPr>
          <w:rFonts w:ascii="Times New Roman" w:cs="Times New Roman" w:eastAsia="Times New Roman" w:hAnsi="Times New Roman"/>
          <w:sz w:val="20"/>
          <w:szCs w:val="20"/>
          <w:color w:val="auto"/>
        </w:rPr>
        <w:t xml:space="preserve">Phathom Pharmaceuticals, Inc. (the “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pleased to offer you a position on the terms set forth in this letter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1020" w:hanging="263"/>
        <w:spacing w:after="0"/>
        <w:tabs>
          <w:tab w:leader="none" w:pos="10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left="2260" w:hanging="755"/>
        <w:spacing w:after="0" w:line="242" w:lineRule="auto"/>
        <w:tabs>
          <w:tab w:leader="none" w:pos="22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uties</w:t>
      </w:r>
      <w:r>
        <w:rPr>
          <w:rFonts w:ascii="Times New Roman" w:cs="Times New Roman" w:eastAsia="Times New Roman" w:hAnsi="Times New Roman"/>
          <w:sz w:val="20"/>
          <w:szCs w:val="20"/>
          <w:b w:val="1"/>
          <w:bCs w:val="1"/>
          <w:color w:val="auto"/>
        </w:rPr>
        <w:t>; L</w:t>
      </w:r>
      <w:r>
        <w:rPr>
          <w:rFonts w:ascii="Times New Roman" w:cs="Times New Roman" w:eastAsia="Times New Roman" w:hAnsi="Times New Roman"/>
          <w:sz w:val="13"/>
          <w:szCs w:val="13"/>
          <w:b w:val="1"/>
          <w:bCs w:val="1"/>
          <w:color w:val="auto"/>
        </w:rPr>
        <w:t>ocation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the Start Date (as defined below), you shall serve and shall perform such duties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customarily associated with the position of President and Chief Executive Officer and you shall report to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You shall perform your services on a full-time basis. During your first year of employment, the Board expects that you will perform your duties on-site at the Company’s headquarters in Florham Park, New Jersey or on-site at another Company location, or at such other locations as may be required for business-related travel, for at least 50% of each of no less than three weeks of each month. Following your first year of employment, the Board acknowledges that you will work remotely from your home office and from Company locations, but expects that you will continue to spend a significant amount of time on-site at the Company’s headquarters in Florham Park, New Jersey, on-site at another Company location, or at such other locations as may be required for business-related travel, as mutually agreed upon by you and the Board. This is an exempt position.</w:t>
      </w:r>
    </w:p>
    <w:p>
      <w:pPr>
        <w:spacing w:after="0" w:line="189" w:lineRule="exact"/>
        <w:rPr>
          <w:rFonts w:ascii="Times New Roman" w:cs="Times New Roman" w:eastAsia="Times New Roman" w:hAnsi="Times New Roman"/>
          <w:sz w:val="20"/>
          <w:szCs w:val="20"/>
          <w:color w:val="auto"/>
        </w:rPr>
      </w:pPr>
    </w:p>
    <w:p>
      <w:pPr>
        <w:jc w:val="both"/>
        <w:ind w:left="2260" w:hanging="755"/>
        <w:spacing w:after="0" w:line="243" w:lineRule="auto"/>
        <w:tabs>
          <w:tab w:leader="none" w:pos="22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xclusive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your employment, you shall devote your full working time and attention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business affairs of the Company. Subject to the terms of the Company’s form of Proprietary Information and Inventions Assignment Agreement, as described below, this shall not preclude you from (a) serving on the board of DermBiont, Inc. and VYNE Therapeutics Inc., (b) devoting time to personal and family investments, (c) participating in industry associations, or (d) serving on community and civic boards, provided such activities do not interfere with your duties to the Company, as determined in good faith by the Board. You agree that you will not join any other boards, other than community and civic boards (which do not interfere with your duties to the Company), without the prior approval of the Board, which approval shall not be unreasonably withheld, and that you shall be limited to service on two (2) outside boards, other than community and civic boards.</w:t>
      </w:r>
    </w:p>
    <w:p>
      <w:pPr>
        <w:spacing w:after="0" w:line="18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tart</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expect that your employment start date (the “</w:t>
      </w:r>
      <w:r>
        <w:rPr>
          <w:rFonts w:ascii="Times New Roman" w:cs="Times New Roman" w:eastAsia="Times New Roman" w:hAnsi="Times New Roman"/>
          <w:sz w:val="20"/>
          <w:szCs w:val="20"/>
          <w:b w:val="1"/>
          <w:bCs w:val="1"/>
          <w:i w:val="1"/>
          <w:iCs w:val="1"/>
          <w:color w:val="auto"/>
        </w:rPr>
        <w:t>Start Date</w:t>
      </w:r>
      <w:r>
        <w:rPr>
          <w:rFonts w:ascii="Times New Roman" w:cs="Times New Roman" w:eastAsia="Times New Roman" w:hAnsi="Times New Roman"/>
          <w:sz w:val="20"/>
          <w:szCs w:val="20"/>
          <w:color w:val="auto"/>
        </w:rPr>
        <w:t>”) will occur on April 1, 2025.</w:t>
      </w:r>
    </w:p>
    <w:p>
      <w:pPr>
        <w:spacing w:after="0" w:line="215"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oard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your Start Date, you will be appointed to the Board, to serve until your resignation or removal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organizational documents of the Company.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ind w:left="263" w:hanging="263"/>
        <w:spacing w:after="0"/>
        <w:tabs>
          <w:tab w:leader="none" w:pos="26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initial compensation will be as follows:</w:t>
      </w:r>
    </w:p>
    <w:p>
      <w:pPr>
        <w:spacing w:after="0" w:line="216" w:lineRule="exact"/>
        <w:rPr>
          <w:sz w:val="20"/>
          <w:szCs w:val="20"/>
          <w:color w:val="auto"/>
        </w:rPr>
      </w:pPr>
    </w:p>
    <w:p>
      <w:pPr>
        <w:jc w:val="both"/>
        <w:ind w:left="1503" w:hanging="755"/>
        <w:spacing w:after="0" w:line="256" w:lineRule="auto"/>
        <w:tabs>
          <w:tab w:leader="none" w:pos="150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ase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receive an initial annual base salary of $700,000. You will be paid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customary payroll procedures as established and modified from time-to-time. Your base salary is subject to annual review for increases by and at the sole discretion of the Board or its designated committee.</w:t>
      </w:r>
    </w:p>
    <w:p>
      <w:pPr>
        <w:spacing w:after="0" w:line="168" w:lineRule="exact"/>
        <w:rPr>
          <w:rFonts w:ascii="Times New Roman" w:cs="Times New Roman" w:eastAsia="Times New Roman" w:hAnsi="Times New Roman"/>
          <w:sz w:val="20"/>
          <w:szCs w:val="20"/>
          <w:color w:val="auto"/>
        </w:rPr>
      </w:pPr>
    </w:p>
    <w:p>
      <w:pPr>
        <w:jc w:val="both"/>
        <w:ind w:left="1503" w:hanging="755"/>
        <w:spacing w:after="0" w:line="242" w:lineRule="auto"/>
        <w:tabs>
          <w:tab w:leader="none" w:pos="150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nnual</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base salary, you may be eligible to earn, for each fiscal year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your employment with the Company, an annual cash performance bonus under the Company’s bonus plan, as approved from time to time by the Board. Your target annual bonus will be seventy percent (70%) of your base salary actually paid for the year to which such annual bonus relates (your “</w:t>
      </w:r>
      <w:r>
        <w:rPr>
          <w:rFonts w:ascii="Times New Roman" w:cs="Times New Roman" w:eastAsia="Times New Roman" w:hAnsi="Times New Roman"/>
          <w:sz w:val="20"/>
          <w:szCs w:val="20"/>
          <w:b w:val="1"/>
          <w:bCs w:val="1"/>
          <w:i w:val="1"/>
          <w:iCs w:val="1"/>
          <w:color w:val="auto"/>
        </w:rPr>
        <w:t>Target Bonus</w:t>
      </w:r>
      <w:r>
        <w:rPr>
          <w:rFonts w:ascii="Times New Roman" w:cs="Times New Roman" w:eastAsia="Times New Roman" w:hAnsi="Times New Roman"/>
          <w:sz w:val="20"/>
          <w:szCs w:val="20"/>
          <w:color w:val="auto"/>
        </w:rPr>
        <w:t>”). Your actual annual bonus will be determined on the basis of your and/or the Company’s attainment of financial or other performance criteria established by the Board or its designated committee in accordance with the terms and conditions of such bonus plan. Except as provided herein, you must be employed by the Company on the date of payment of such annual bonus in order to be eligible to receive such annual bonus. You hereby acknowledge and agree that nothing contained herein confers upon you any right to an annual bonus in any year, and that whether the Company pays you an annual bonus and the amount of any such annual bonus will be determined by the Company in its sole discretion. Your annual bonus for 2025 will be prorated to reflect the portion of the year following the Start Date.</w:t>
      </w:r>
    </w:p>
    <w:p>
      <w:pPr>
        <w:spacing w:after="0" w:line="200" w:lineRule="exact"/>
        <w:rPr>
          <w:rFonts w:ascii="Times New Roman" w:cs="Times New Roman" w:eastAsia="Times New Roman" w:hAnsi="Times New Roman"/>
          <w:sz w:val="20"/>
          <w:szCs w:val="20"/>
          <w:color w:val="auto"/>
        </w:rPr>
      </w:pPr>
    </w:p>
    <w:p>
      <w:pPr>
        <w:jc w:val="both"/>
        <w:ind w:left="1503" w:hanging="755"/>
        <w:spacing w:after="0" w:line="247" w:lineRule="auto"/>
        <w:tabs>
          <w:tab w:leader="none" w:pos="150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shall be eligible to participate in all of the employee benefit plans or programs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generally makes available to similarly-situated employees, pursuant to the terms and conditions of such plans. You will also be entitled to vacation and/or paid time off each year in accordance with Company policy and all holidays observed by the Company each year. The Company reserves the right to change compensation and benefits provided to its employees from time to time in its discretion.</w:t>
      </w:r>
    </w:p>
    <w:p>
      <w:pPr>
        <w:spacing w:after="0" w:line="180" w:lineRule="exact"/>
        <w:rPr>
          <w:rFonts w:ascii="Times New Roman" w:cs="Times New Roman" w:eastAsia="Times New Roman" w:hAnsi="Times New Roman"/>
          <w:sz w:val="20"/>
          <w:szCs w:val="20"/>
          <w:color w:val="auto"/>
        </w:rPr>
      </w:pPr>
    </w:p>
    <w:p>
      <w:pPr>
        <w:jc w:val="both"/>
        <w:ind w:left="1503" w:hanging="755"/>
        <w:spacing w:after="0" w:line="243" w:lineRule="auto"/>
        <w:tabs>
          <w:tab w:leader="none" w:pos="150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w:t>
      </w:r>
      <w:r>
        <w:rPr>
          <w:rFonts w:ascii="Times New Roman" w:cs="Times New Roman" w:eastAsia="Times New Roman" w:hAnsi="Times New Roman"/>
          <w:sz w:val="20"/>
          <w:szCs w:val="20"/>
          <w:color w:val="auto"/>
        </w:rPr>
        <w:t>. As soon as practicable following your Start Date, you will be granted stock options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1,085,000 shares of the Company’s common stock, at an exercise price per share equal to the fair market value per share of the Company’s common stock on the date of grant (the “</w:t>
      </w:r>
      <w:r>
        <w:rPr>
          <w:rFonts w:ascii="Times New Roman" w:cs="Times New Roman" w:eastAsia="Times New Roman" w:hAnsi="Times New Roman"/>
          <w:sz w:val="20"/>
          <w:szCs w:val="20"/>
          <w:b w:val="1"/>
          <w:bCs w:val="1"/>
          <w:i w:val="1"/>
          <w:iCs w:val="1"/>
          <w:color w:val="auto"/>
        </w:rPr>
        <w:t>Initial Stock Options</w:t>
      </w:r>
      <w:r>
        <w:rPr>
          <w:rFonts w:ascii="Times New Roman" w:cs="Times New Roman" w:eastAsia="Times New Roman" w:hAnsi="Times New Roman"/>
          <w:sz w:val="20"/>
          <w:szCs w:val="20"/>
          <w:color w:val="auto"/>
        </w:rPr>
        <w:t>”). The Initial Stock Options will vest over a four year vesting schedule, with twenty-five percent (25%) of the Initial Stock Options vesting on the first anniversary of the Start Date and the remaining Initial Stock Options vesting in thirty-six (36) equal monthly installments thereafter, subject to your continued employment or service to the Company on each such vesting date. The Initial Stock Options will be granted pursuant to the Company’s 2025 Employment Inducement Incentive Award Plan (the “</w:t>
      </w:r>
      <w:r>
        <w:rPr>
          <w:rFonts w:ascii="Times New Roman" w:cs="Times New Roman" w:eastAsia="Times New Roman" w:hAnsi="Times New Roman"/>
          <w:sz w:val="20"/>
          <w:szCs w:val="20"/>
          <w:b w:val="1"/>
          <w:bCs w:val="1"/>
          <w:i w:val="1"/>
          <w:iCs w:val="1"/>
          <w:color w:val="auto"/>
        </w:rPr>
        <w:t>Inducement Plan</w:t>
      </w:r>
      <w:r>
        <w:rPr>
          <w:rFonts w:ascii="Times New Roman" w:cs="Times New Roman" w:eastAsia="Times New Roman" w:hAnsi="Times New Roman"/>
          <w:sz w:val="20"/>
          <w:szCs w:val="20"/>
          <w:color w:val="auto"/>
        </w:rPr>
        <w:t>”), and will be subject to the terms and conditions of the Inducement Plan and your award agreement.</w:t>
      </w:r>
    </w:p>
    <w:p>
      <w:pPr>
        <w:spacing w:after="0" w:line="185" w:lineRule="exact"/>
        <w:rPr>
          <w:rFonts w:ascii="Times New Roman" w:cs="Times New Roman" w:eastAsia="Times New Roman" w:hAnsi="Times New Roman"/>
          <w:sz w:val="20"/>
          <w:szCs w:val="20"/>
          <w:color w:val="auto"/>
        </w:rPr>
      </w:pPr>
    </w:p>
    <w:p>
      <w:pPr>
        <w:jc w:val="both"/>
        <w:ind w:left="1503" w:hanging="755"/>
        <w:spacing w:after="0" w:line="250" w:lineRule="auto"/>
        <w:tabs>
          <w:tab w:leader="none" w:pos="150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rice</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urdle</w:t>
      </w:r>
      <w:r>
        <w:rPr>
          <w:rFonts w:ascii="Times New Roman" w:cs="Times New Roman" w:eastAsia="Times New Roman" w:hAnsi="Times New Roman"/>
          <w:sz w:val="20"/>
          <w:szCs w:val="20"/>
          <w:b w:val="1"/>
          <w:bCs w:val="1"/>
          <w:color w:val="auto"/>
        </w:rPr>
        <w:t xml:space="preserve"> PSU</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20"/>
          <w:szCs w:val="20"/>
          <w:color w:val="auto"/>
        </w:rPr>
        <w:t>. As soon as practicable following your Start Date, you will be granted 360,000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stock units (at “target” performance levels, which shall also represent the maximum achievement level), the vesting of which will be tied to the achievement of stock price hurdles and service-based vesting requirements over a four-year period (the “</w:t>
      </w:r>
      <w:r>
        <w:rPr>
          <w:rFonts w:ascii="Times New Roman" w:cs="Times New Roman" w:eastAsia="Times New Roman" w:hAnsi="Times New Roman"/>
          <w:sz w:val="20"/>
          <w:szCs w:val="20"/>
          <w:b w:val="1"/>
          <w:bCs w:val="1"/>
          <w:i w:val="1"/>
          <w:iCs w:val="1"/>
          <w:color w:val="auto"/>
        </w:rPr>
        <w:t>Stock Price Hurdle PSUs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9" w:right="339" w:bottom="1440" w:gutter="0" w:footer="0" w:header="0"/>
        </w:sectPr>
      </w:pPr>
    </w:p>
    <w:bookmarkStart w:id="42" w:name="page43"/>
    <w:bookmarkEnd w:id="42"/>
    <w:p>
      <w:pPr>
        <w:jc w:val="both"/>
        <w:ind w:left="2260"/>
        <w:spacing w:after="0" w:line="254" w:lineRule="auto"/>
        <w:rPr>
          <w:sz w:val="20"/>
          <w:szCs w:val="20"/>
          <w:color w:val="auto"/>
        </w:rPr>
      </w:pPr>
      <w:r>
        <w:rPr>
          <w:rFonts w:ascii="Times New Roman" w:cs="Times New Roman" w:eastAsia="Times New Roman" w:hAnsi="Times New Roman"/>
          <w:sz w:val="20"/>
          <w:szCs w:val="20"/>
          <w:color w:val="auto"/>
        </w:rPr>
        <w:t>Each Stock Price Hurdle PSU represents the right to receive one share of the Company’s common stock. The Stock Price Hurdle PSUs will be granted pursuant to the Inducement Plan and will be subject to the terms and conditions of the Inducement Plan and your award agreement.</w:t>
      </w:r>
    </w:p>
    <w:p>
      <w:pPr>
        <w:spacing w:after="0" w:line="170" w:lineRule="exact"/>
        <w:rPr>
          <w:sz w:val="20"/>
          <w:szCs w:val="20"/>
          <w:color w:val="auto"/>
        </w:rPr>
      </w:pPr>
    </w:p>
    <w:p>
      <w:pPr>
        <w:jc w:val="both"/>
        <w:ind w:left="2260" w:hanging="755"/>
        <w:spacing w:after="0" w:line="244" w:lineRule="auto"/>
        <w:tabs>
          <w:tab w:leader="none" w:pos="22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evenue</w:t>
      </w:r>
      <w:r>
        <w:rPr>
          <w:rFonts w:ascii="Times New Roman" w:cs="Times New Roman" w:eastAsia="Times New Roman" w:hAnsi="Times New Roman"/>
          <w:sz w:val="20"/>
          <w:szCs w:val="20"/>
          <w:b w:val="1"/>
          <w:bCs w:val="1"/>
          <w:color w:val="auto"/>
        </w:rPr>
        <w:t xml:space="preserve"> PSU</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20"/>
          <w:szCs w:val="20"/>
          <w:color w:val="auto"/>
        </w:rPr>
        <w:t>. As soon as practicable following your Start Date, you will be granted 180,000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units (at “target” performance levels, with up to 200% of the “target” award eligible to vest at “maximum” levels), the vesting of which will be tied to the achievement of revenue targets and service-based vesting over a three-year performance period ending December 31, 2027 consistent with the terms of the similar awards granted to the executive officers of the Company in February 2025 (the “</w:t>
      </w:r>
      <w:r>
        <w:rPr>
          <w:rFonts w:ascii="Times New Roman" w:cs="Times New Roman" w:eastAsia="Times New Roman" w:hAnsi="Times New Roman"/>
          <w:sz w:val="20"/>
          <w:szCs w:val="20"/>
          <w:b w:val="1"/>
          <w:bCs w:val="1"/>
          <w:i w:val="1"/>
          <w:iCs w:val="1"/>
          <w:color w:val="auto"/>
        </w:rPr>
        <w:t>Revenue PSUs</w:t>
      </w:r>
      <w:r>
        <w:rPr>
          <w:rFonts w:ascii="Times New Roman" w:cs="Times New Roman" w:eastAsia="Times New Roman" w:hAnsi="Times New Roman"/>
          <w:sz w:val="20"/>
          <w:szCs w:val="20"/>
          <w:color w:val="auto"/>
        </w:rPr>
        <w:t>”). Each Revenue PSU represents the right to receive one share of the Company’s common stock. The Revenue PSUs will be granted pursuant to the Inducement Plan and will be subject to the terms and conditions of the Inducement Plan and your award agreement.</w:t>
      </w:r>
    </w:p>
    <w:p>
      <w:pPr>
        <w:spacing w:after="0" w:line="18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amounts payable to you will be subject to appropriate payroll deductions and withholdings.</w:t>
      </w:r>
    </w:p>
    <w:p>
      <w:pPr>
        <w:spacing w:after="0" w:line="21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be entitled to reimbursement for all ordinary and reasonable out-of-pocket business expenses which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incurred by you in furtherance of the Company’s business, with appropriate documentation and in accordance with the Company’s standard policies.</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44" w:lineRule="auto"/>
        <w:tabs>
          <w:tab w:leader="none" w:pos="22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ill</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employment with the Company will be “at-will” at all times, meaning that 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or the Company will be entitled to terminate your employment at any time and for any reason, with or without Cause (as defined below). Any contrary representations that may have been made to you are superseded by this Agreement. This Agreement in no way represents a fixed-term employment contract.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181" w:lineRule="exact"/>
        <w:rPr>
          <w:rFonts w:ascii="Times New Roman" w:cs="Times New Roman" w:eastAsia="Times New Roman" w:hAnsi="Times New Roman"/>
          <w:sz w:val="20"/>
          <w:szCs w:val="20"/>
          <w:color w:val="auto"/>
        </w:rPr>
      </w:pPr>
    </w:p>
    <w:p>
      <w:pPr>
        <w:jc w:val="both"/>
        <w:ind w:left="2260" w:hanging="755"/>
        <w:spacing w:after="0" w:line="245" w:lineRule="auto"/>
        <w:tabs>
          <w:tab w:leader="none" w:pos="22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U</w:t>
      </w:r>
      <w:r>
        <w:rPr>
          <w:rFonts w:ascii="Times New Roman" w:cs="Times New Roman" w:eastAsia="Times New Roman" w:hAnsi="Times New Roman"/>
          <w:sz w:val="13"/>
          <w:szCs w:val="13"/>
          <w:b w:val="1"/>
          <w:bCs w:val="1"/>
          <w:color w:val="auto"/>
        </w:rPr>
        <w:t>pon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termination of your employment for any reason, unless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specified in a written agreement between you and the Company, you shall be deemed to have resigned from all offices, directorships, and other employment positions, if any, then held with or on behalf of the Company or its affiliates, including your position on the Board, and shall take all actions reasonably requested by the Company to effectuate the foregoing. In addition, in the event of your termination of employment for any reason, the Company shall have the right, at its option, to require you to vacate your offices prior to or on the effective date of termination and to cease all activities on the Company’s behalf.</w:t>
      </w:r>
    </w:p>
    <w:p>
      <w:pPr>
        <w:spacing w:after="0" w:line="179" w:lineRule="exact"/>
        <w:rPr>
          <w:rFonts w:ascii="Times New Roman" w:cs="Times New Roman" w:eastAsia="Times New Roman" w:hAnsi="Times New Roman"/>
          <w:sz w:val="20"/>
          <w:szCs w:val="20"/>
          <w:color w:val="auto"/>
        </w:rPr>
      </w:pPr>
    </w:p>
    <w:p>
      <w:pPr>
        <w:jc w:val="both"/>
        <w:ind w:left="2260" w:hanging="755"/>
        <w:spacing w:after="0" w:line="256" w:lineRule="auto"/>
        <w:tabs>
          <w:tab w:leader="none" w:pos="22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ccrued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your employment terminates for any reason, you are entitled to your fully earned but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unpaid base salary, through the date such termination is effective at the rate then in effect, and all other amounts or benefits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both"/>
        <w:ind w:left="1140"/>
        <w:spacing w:after="0" w:line="249" w:lineRule="auto"/>
        <w:rPr>
          <w:sz w:val="20"/>
          <w:szCs w:val="20"/>
          <w:color w:val="auto"/>
        </w:rPr>
      </w:pPr>
      <w:r>
        <w:rPr>
          <w:rFonts w:ascii="Times New Roman" w:cs="Times New Roman" w:eastAsia="Times New Roman" w:hAnsi="Times New Roman"/>
          <w:sz w:val="20"/>
          <w:szCs w:val="20"/>
          <w:color w:val="auto"/>
        </w:rPr>
        <w:t>to which you are entitled under any compensation, retirement or benefit plan of the Company at the time of your termination of employment in accordance with the terms of such plans, including, without limitation, any accrued but unpaid paid time off and any continuation of benefits required by applicable law (the “</w:t>
      </w:r>
      <w:r>
        <w:rPr>
          <w:rFonts w:ascii="Times New Roman" w:cs="Times New Roman" w:eastAsia="Times New Roman" w:hAnsi="Times New Roman"/>
          <w:sz w:val="20"/>
          <w:szCs w:val="20"/>
          <w:b w:val="1"/>
          <w:bCs w:val="1"/>
          <w:i w:val="1"/>
          <w:iCs w:val="1"/>
          <w:color w:val="auto"/>
        </w:rPr>
        <w:t>Accrued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Obligation</w:t>
      </w:r>
      <w:r>
        <w:rPr>
          <w:rFonts w:ascii="Times New Roman" w:cs="Times New Roman" w:eastAsia="Times New Roman" w:hAnsi="Times New Roman"/>
          <w:sz w:val="20"/>
          <w:szCs w:val="20"/>
          <w:color w:val="auto"/>
        </w:rPr>
        <w:t>s”).</w:t>
      </w:r>
    </w:p>
    <w:p>
      <w:pPr>
        <w:spacing w:after="0" w:line="176" w:lineRule="exact"/>
        <w:rPr>
          <w:sz w:val="20"/>
          <w:szCs w:val="20"/>
          <w:color w:val="auto"/>
        </w:rPr>
      </w:pPr>
    </w:p>
    <w:p>
      <w:pPr>
        <w:jc w:val="both"/>
        <w:ind w:left="1140" w:hanging="755"/>
        <w:spacing w:after="0" w:line="244" w:lineRule="auto"/>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-CIC 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Accrued Obligations, subject to your continued compliance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Proprietary Information and Inventions Assignment Agreement, as described below, and the effectiveness of your Release (as defined below), if your employment is involuntarily terminated by the Company without Cause (and other than by reason of your death or Disability (as defined below)) or you resign for Good Reason (as defined below) (either such termination, a “</w:t>
      </w:r>
      <w:r>
        <w:rPr>
          <w:rFonts w:ascii="Times New Roman" w:cs="Times New Roman" w:eastAsia="Times New Roman" w:hAnsi="Times New Roman"/>
          <w:sz w:val="20"/>
          <w:szCs w:val="20"/>
          <w:b w:val="1"/>
          <w:bCs w:val="1"/>
          <w:i w:val="1"/>
          <w:iCs w:val="1"/>
          <w:color w:val="auto"/>
        </w:rPr>
        <w:t>Qualifying Termination</w:t>
      </w:r>
      <w:r>
        <w:rPr>
          <w:rFonts w:ascii="Times New Roman" w:cs="Times New Roman" w:eastAsia="Times New Roman" w:hAnsi="Times New Roman"/>
          <w:sz w:val="20"/>
          <w:szCs w:val="20"/>
          <w:color w:val="auto"/>
        </w:rPr>
        <w:t>”), and such Qualifying Termination does not occur during the Change in Control Period (as defined below), you shall be entitled to receive, as the sole severance benefits to which you are entitled, the benefits provided below (the “</w:t>
      </w:r>
      <w:r>
        <w:rPr>
          <w:rFonts w:ascii="Times New Roman" w:cs="Times New Roman" w:eastAsia="Times New Roman" w:hAnsi="Times New Roman"/>
          <w:sz w:val="20"/>
          <w:szCs w:val="20"/>
          <w:b w:val="1"/>
          <w:bCs w:val="1"/>
          <w:i w:val="1"/>
          <w:iCs w:val="1"/>
          <w:color w:val="auto"/>
        </w:rPr>
        <w:t>Non-CIC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Severance Benefits</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1880" w:hanging="746"/>
        <w:spacing w:after="0" w:line="243" w:lineRule="auto"/>
        <w:tabs>
          <w:tab w:leader="none" w:pos="1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15 months’ base salary (at the rate in effect immediately prior to the date of your termination of employment, or in the case of a material diminution in your base salary which would give rise to Good Reason for your resignation, the base salary in effect prior to such material diminution), which amount will be paid over a period of 15 months following your termination of employment in accordance with the Company's standard payroll practices, with the first such installment occurring on the first regularly-scheduled payroll date following the date your Release becomes effective (which first installment will include any installments that would have occurred prior to such date but for the fact your Release was not yet effective);</w:t>
      </w:r>
    </w:p>
    <w:p>
      <w:pPr>
        <w:spacing w:after="0" w:line="202" w:lineRule="exact"/>
        <w:rPr>
          <w:rFonts w:ascii="Times New Roman" w:cs="Times New Roman" w:eastAsia="Times New Roman" w:hAnsi="Times New Roman"/>
          <w:sz w:val="18"/>
          <w:szCs w:val="18"/>
          <w:color w:val="auto"/>
        </w:rPr>
      </w:pPr>
    </w:p>
    <w:p>
      <w:pPr>
        <w:jc w:val="both"/>
        <w:ind w:left="1880" w:hanging="746"/>
        <w:spacing w:after="0" w:line="245" w:lineRule="auto"/>
        <w:tabs>
          <w:tab w:leader="none" w:pos="1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your Target Bonus for the calendar year in which your termination date occurs (at the rate in effect immediately prior to the date of your termination of employment, or in the case of a material diminution in your Target Bonus which would give rise to Good Reason for your resignation, the Target Bonus in effect prior to such material diminution), which amount will be paid in a lump sum on the first regularly-scheduled payroll date following the date your Release becomes effective, but in no event more than 75 days following your termination date;</w:t>
      </w:r>
    </w:p>
    <w:p>
      <w:pPr>
        <w:spacing w:after="0" w:line="197" w:lineRule="exact"/>
        <w:rPr>
          <w:rFonts w:ascii="Times New Roman" w:cs="Times New Roman" w:eastAsia="Times New Roman" w:hAnsi="Times New Roman"/>
          <w:sz w:val="18"/>
          <w:szCs w:val="18"/>
          <w:color w:val="auto"/>
        </w:rPr>
      </w:pPr>
    </w:p>
    <w:p>
      <w:pPr>
        <w:jc w:val="both"/>
        <w:ind w:left="1880" w:hanging="746"/>
        <w:spacing w:after="0" w:line="246" w:lineRule="auto"/>
        <w:tabs>
          <w:tab w:leader="none" w:pos="1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any unpaid annual bonus for the calendar year prior to the year in which your Qualifying Termination occurs, to the extent you are entitled to such bonus and if such bonus has not already been paid, which amount will be paid in a lump sum on the first regularly-scheduled payroll date following the date your Release becomes effective, but in no event more than 75 days following your termination date;</w:t>
      </w:r>
    </w:p>
    <w:p>
      <w:pPr>
        <w:spacing w:after="0" w:line="184" w:lineRule="exact"/>
        <w:rPr>
          <w:rFonts w:ascii="Times New Roman" w:cs="Times New Roman" w:eastAsia="Times New Roman" w:hAnsi="Times New Roman"/>
          <w:sz w:val="18"/>
          <w:szCs w:val="18"/>
          <w:color w:val="auto"/>
        </w:rPr>
      </w:pPr>
    </w:p>
    <w:p>
      <w:pPr>
        <w:jc w:val="both"/>
        <w:ind w:left="1880" w:hanging="746"/>
        <w:spacing w:after="0" w:line="246" w:lineRule="auto"/>
        <w:tabs>
          <w:tab w:leader="none" w:pos="1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15 month period beginning on the date of your termination of employment (or, if earlier, (a) the date on which the applicable continuation period under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expires, or (b) the date on which you become eligible to receive the equivalent or increased healthcare coverage by means of subsequent employment or</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4" w:name="page45"/>
    <w:bookmarkEnd w:id="44"/>
    <w:p>
      <w:pPr>
        <w:jc w:val="both"/>
        <w:ind w:left="1880"/>
        <w:spacing w:after="0" w:line="241" w:lineRule="auto"/>
        <w:rPr>
          <w:sz w:val="20"/>
          <w:szCs w:val="20"/>
          <w:color w:val="auto"/>
        </w:rPr>
      </w:pPr>
      <w:r>
        <w:rPr>
          <w:rFonts w:ascii="Times New Roman" w:cs="Times New Roman" w:eastAsia="Times New Roman" w:hAnsi="Times New Roman"/>
          <w:sz w:val="20"/>
          <w:szCs w:val="20"/>
          <w:color w:val="auto"/>
        </w:rPr>
        <w:t>self-employment) (such period, the “</w:t>
      </w:r>
      <w:r>
        <w:rPr>
          <w:rFonts w:ascii="Times New Roman" w:cs="Times New Roman" w:eastAsia="Times New Roman" w:hAnsi="Times New Roman"/>
          <w:sz w:val="20"/>
          <w:szCs w:val="20"/>
          <w:b w:val="1"/>
          <w:bCs w:val="1"/>
          <w:i w:val="1"/>
          <w:iCs w:val="1"/>
          <w:color w:val="auto"/>
        </w:rPr>
        <w:t>COBRA Coverage Period</w:t>
      </w:r>
      <w:r>
        <w:rPr>
          <w:rFonts w:ascii="Times New Roman" w:cs="Times New Roman" w:eastAsia="Times New Roman" w:hAnsi="Times New Roman"/>
          <w:sz w:val="20"/>
          <w:szCs w:val="20"/>
          <w:color w:val="auto"/>
        </w:rPr>
        <w:t>”), if you and/or your eligible dependents who were covered under the Company’s health insurance plans as of the date of your termination of employment elect to have COBRA coverage and are eligible for such coverage, the Company shall pay for or reimburse you on a monthly basis for an amount equal to the monthly premium you and/or your covered dependents, as applicable, are required to pay for continuation coverage pursuant to COBRA for you and/or your eligible dependents, as applicable, who were covered under the Company’s health plans as of the date of your termination of employment (calculated by reference to the premium as of the date of your termination of employment). If any of the Company’s health benefits are self-funded as of the date of your termination of employment, or if the Company cannot provide the foregoing benefits in a manner that is exempt from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or that is otherwise compliant with applicable law (including, without limitation, Section 2716 of the Public Health Service Act), instead of providing the payments or reimbursements as set forth above, the Company shall instead pay to you the foregoing monthly amount as a taxable monthly payment for the COBRA Coverage Period (or any remaining portion thereof). You shall be solely responsible for all matters relating to continuation of coverage pursuant to COBRA, including, without limitation, the election of such coverage and the timely payment of premiums. You shall notify the Company immediately if you become eligible to receive the equivalent or increased healthcare coverage by means of subsequent employment or self-employment; and</w:t>
      </w:r>
    </w:p>
    <w:p>
      <w:pPr>
        <w:spacing w:after="0" w:line="193" w:lineRule="exact"/>
        <w:rPr>
          <w:sz w:val="20"/>
          <w:szCs w:val="20"/>
          <w:color w:val="auto"/>
        </w:rPr>
      </w:pPr>
    </w:p>
    <w:p>
      <w:pPr>
        <w:jc w:val="both"/>
        <w:ind w:left="1880" w:hanging="746"/>
        <w:spacing w:after="0" w:line="244" w:lineRule="auto"/>
        <w:tabs>
          <w:tab w:leader="none" w:pos="1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anything else set forth herein, in the Company’s Equity Plans (as defined below) or in any agreement evidencing the Initial Stock Options, such portion of the Initial Stock Options as would have vested during the 15 months following your date of termination had you remained employed by the Company during such period will vest on the effective date of your Release. In addition, all of your vested Initial Stock Options as of your date of termination (after giving effect to any accelerated vesting pursuant to this paragraph) may be exercised by you until the date that is 15 months following your date of termination.</w:t>
      </w:r>
    </w:p>
    <w:p>
      <w:pPr>
        <w:spacing w:after="0" w:line="199" w:lineRule="exact"/>
        <w:rPr>
          <w:rFonts w:ascii="Times New Roman" w:cs="Times New Roman" w:eastAsia="Times New Roman" w:hAnsi="Times New Roman"/>
          <w:sz w:val="18"/>
          <w:szCs w:val="18"/>
          <w:color w:val="auto"/>
        </w:rPr>
      </w:pPr>
    </w:p>
    <w:p>
      <w:pPr>
        <w:jc w:val="both"/>
        <w:ind w:left="188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Your outstanding Stock Awards (as defined below) granted under the Company’s Equity Plans that are subject in whole or in part to performance-based vesting conditions will be governed by the terms of the applicable Stock Award agreement and the Equity Plan under which such Stock Awards were granted. The foregoing provisions are hereby deemed to be a part of your Initial Stock Options and to supersede any less favorable provision in any Stock Award agreement or Equity Plan regarding such Initial Stock Options. Notwithstanding the foregoing, in the event the Stock Award agreement or the Equity Plan pursuant to which your Initial Stock Options were granted provides for more favorable treatment of such Initial Stock Options upon a Qualifying Termination, nothing in this Agreement is intended to limit your right to such more favorable treatment as provided in such Stock Award agreement or Equity Plan.</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45" w:name="page46"/>
    <w:bookmarkEnd w:id="45"/>
    <w:p>
      <w:pPr>
        <w:spacing w:after="0" w:line="185" w:lineRule="exact"/>
        <w:rPr>
          <w:sz w:val="20"/>
          <w:szCs w:val="20"/>
          <w:color w:val="auto"/>
        </w:rPr>
      </w:pPr>
    </w:p>
    <w:p>
      <w:pPr>
        <w:jc w:val="both"/>
        <w:ind w:left="1140" w:hanging="755"/>
        <w:spacing w:after="0" w:line="243" w:lineRule="auto"/>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CIC S</w:t>
      </w:r>
      <w:r>
        <w:rPr>
          <w:rFonts w:ascii="Times New Roman" w:cs="Times New Roman" w:eastAsia="Times New Roman" w:hAnsi="Times New Roman"/>
          <w:sz w:val="13"/>
          <w:szCs w:val="13"/>
          <w:b w:val="1"/>
          <w:bCs w:val="1"/>
          <w:color w:val="auto"/>
        </w:rPr>
        <w:t>everance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Accrued Obligations, subject to your continued compliance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Proprietary Information and Inventions Assignment Agreement, as described below, and the effectiveness of your Release, if your Qualifying Termination occurs during the Change in Control Period, you shall be entitled to receive, as the sole severance benefits to which you are entitled and in lieu of any Non-CIC Severance Benefits, the benefits provided below (the “</w:t>
      </w:r>
      <w:r>
        <w:rPr>
          <w:rFonts w:ascii="Times New Roman" w:cs="Times New Roman" w:eastAsia="Times New Roman" w:hAnsi="Times New Roman"/>
          <w:sz w:val="20"/>
          <w:szCs w:val="20"/>
          <w:b w:val="1"/>
          <w:bCs w:val="1"/>
          <w:i w:val="1"/>
          <w:iCs w:val="1"/>
          <w:color w:val="auto"/>
        </w:rPr>
        <w:t>CIC Severance Benefits</w:t>
      </w:r>
      <w:r>
        <w:rPr>
          <w:rFonts w:ascii="Times New Roman" w:cs="Times New Roman" w:eastAsia="Times New Roman" w:hAnsi="Times New Roman"/>
          <w:sz w:val="20"/>
          <w:szCs w:val="20"/>
          <w:color w:val="auto"/>
        </w:rPr>
        <w:t>”) (and for the avoidance of doubt: (a) in no event will you be entitled to both the Non-CIC Severance Benefits and the CIC Severance Benefits, and (b) if the Company has commenced providing the Non-CIC Severance Benefits to you prior to the date that you become eligible to receive the CIC Severance Benefits, the Non-CIC Severance Benefits previously provided to you shall reduce the CIC Severance Benefits provided below by the amount of such Non-CIC Severance Benefits already provided to you):</w:t>
      </w:r>
    </w:p>
    <w:p>
      <w:pPr>
        <w:spacing w:after="0" w:line="186" w:lineRule="exact"/>
        <w:rPr>
          <w:rFonts w:ascii="Times New Roman" w:cs="Times New Roman" w:eastAsia="Times New Roman" w:hAnsi="Times New Roman"/>
          <w:sz w:val="20"/>
          <w:szCs w:val="20"/>
          <w:color w:val="auto"/>
        </w:rPr>
      </w:pPr>
    </w:p>
    <w:p>
      <w:pPr>
        <w:jc w:val="both"/>
        <w:ind w:left="1880" w:hanging="746"/>
        <w:spacing w:after="0" w:line="243" w:lineRule="auto"/>
        <w:tabs>
          <w:tab w:leader="none" w:pos="1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24 months’ base salary (at the rate in effect immediately prior to the date of your termination of employment, or in the case of a material diminution in your base salary which would give rise to Good Reason for your resignation, the base salary in effect prior to such material diminution), which amount will be paid over a period of 24 months following your termination of employment in accordance with the Company's standard payroll practices, with the first such installment occurring on the first regularly-scheduled payroll date following the date your Release becomes effective (which first installment will include any installments that would have occurred prior to such date but for the fact your Release was not yet effective);</w:t>
      </w:r>
    </w:p>
    <w:p>
      <w:pPr>
        <w:spacing w:after="0" w:line="202" w:lineRule="exact"/>
        <w:rPr>
          <w:rFonts w:ascii="Times New Roman" w:cs="Times New Roman" w:eastAsia="Times New Roman" w:hAnsi="Times New Roman"/>
          <w:sz w:val="18"/>
          <w:szCs w:val="18"/>
          <w:color w:val="auto"/>
        </w:rPr>
      </w:pPr>
    </w:p>
    <w:p>
      <w:pPr>
        <w:jc w:val="both"/>
        <w:ind w:left="1880" w:hanging="746"/>
        <w:spacing w:after="0" w:line="242" w:lineRule="auto"/>
        <w:tabs>
          <w:tab w:leader="none" w:pos="1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2 times your Target Bonus for the calendar year in which your termination date occurs (at the rate in effect immediately prior to the date of your termination of employment, or in the case of a material diminution in your Target Bonus which would give rise to Good Reason for your resignation, the Target Bonus in effect prior to such material diminution), which amount will be paid as follows: (a) an amount equal to your Target Bonus for the calendar year in which your termination date occurs will be paid in a lump sum on the first regularly-scheduled payroll date following the date your Release becomes effective, but in no event more than 75 days following your termination date and (b) an amount equal to your Target Bonus for the calendar year in which your termination date occurs will be paid on the first regularly-scheduled payroll date following the later of (i) the date your Release becomes effective or (ii) the date of the Change in Control;</w:t>
      </w:r>
    </w:p>
    <w:p>
      <w:pPr>
        <w:spacing w:after="0" w:line="205" w:lineRule="exact"/>
        <w:rPr>
          <w:rFonts w:ascii="Times New Roman" w:cs="Times New Roman" w:eastAsia="Times New Roman" w:hAnsi="Times New Roman"/>
          <w:sz w:val="18"/>
          <w:szCs w:val="18"/>
          <w:color w:val="auto"/>
        </w:rPr>
      </w:pPr>
    </w:p>
    <w:p>
      <w:pPr>
        <w:jc w:val="both"/>
        <w:ind w:left="1880" w:hanging="746"/>
        <w:spacing w:after="0" w:line="246" w:lineRule="auto"/>
        <w:tabs>
          <w:tab w:leader="none" w:pos="1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any unpaid annual bonus for the calendar year prior to the year in which your Qualifying Termination occurs, to the extent you are entitled to such bonus and if such bonus has not already been paid, which amount(s) will be paid on the first regularly-scheduled payroll date following the later of (a) the date your Release becomes effective, but in no event more than 75 days following your termination date, or (b) the date of the Change in Control;</w:t>
      </w:r>
    </w:p>
    <w:p>
      <w:pPr>
        <w:spacing w:after="0" w:line="184" w:lineRule="exact"/>
        <w:rPr>
          <w:rFonts w:ascii="Times New Roman" w:cs="Times New Roman" w:eastAsia="Times New Roman" w:hAnsi="Times New Roman"/>
          <w:sz w:val="18"/>
          <w:szCs w:val="18"/>
          <w:color w:val="auto"/>
        </w:rPr>
      </w:pPr>
    </w:p>
    <w:p>
      <w:pPr>
        <w:ind w:left="1880" w:right="20" w:hanging="746"/>
        <w:spacing w:after="0" w:line="269" w:lineRule="auto"/>
        <w:tabs>
          <w:tab w:leader="none" w:pos="1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(a) the monthly premium you and/or your covered dependents, as applicable, are required to pay for continuation coverage</w:t>
      </w:r>
    </w:p>
    <w:p>
      <w:pPr>
        <w:spacing w:after="0" w:line="3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6" w:name="page47"/>
    <w:bookmarkEnd w:id="46"/>
    <w:p>
      <w:pPr>
        <w:jc w:val="both"/>
        <w:ind w:left="1880"/>
        <w:spacing w:after="0" w:line="243" w:lineRule="auto"/>
        <w:rPr>
          <w:sz w:val="20"/>
          <w:szCs w:val="20"/>
          <w:color w:val="auto"/>
        </w:rPr>
      </w:pPr>
      <w:r>
        <w:rPr>
          <w:rFonts w:ascii="Times New Roman" w:cs="Times New Roman" w:eastAsia="Times New Roman" w:hAnsi="Times New Roman"/>
          <w:sz w:val="20"/>
          <w:szCs w:val="20"/>
          <w:color w:val="auto"/>
        </w:rPr>
        <w:t>pursuant to COBRA for you and/or your eligible dependents, as applicable, who were covered under the Company’s health plans as of the date of your termination of employment (calculated by reference to the premium as of the date of your termination of employment), multiplied by (b) 24 (less, in the case of your Qualifying Termination prior to a Change in Control but during the Change in Control Period, any number of months for which COBRA coverage was previously provided as a result of such termination at Company’s expense), paid in a lump sum on the first regularly-scheduled payroll date following the later of (i) the date your Release becomes effective, but in no event more than 75 days following your termination date, or (ii) the date of the Change in Control; and</w:t>
      </w:r>
    </w:p>
    <w:p>
      <w:pPr>
        <w:spacing w:after="0" w:line="189" w:lineRule="exact"/>
        <w:rPr>
          <w:sz w:val="20"/>
          <w:szCs w:val="20"/>
          <w:color w:val="auto"/>
        </w:rPr>
      </w:pPr>
    </w:p>
    <w:p>
      <w:pPr>
        <w:jc w:val="both"/>
        <w:ind w:left="1880" w:hanging="746"/>
        <w:spacing w:after="0" w:line="245" w:lineRule="auto"/>
        <w:tabs>
          <w:tab w:leader="none" w:pos="1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anything else set forth herein, in the Company’s Equity Plans or in any agreement evidencing a Stock Award, any unvested Stock Awards then held by you (including the Initial Stock Options) that are subject solely to time-based vesting conditions will vest on the later of (i) the effective date of your Release or (ii) the date of the Change in Control. In addition, all of your vested Initial Stock Options (after giving effect to any accelerated vesting pursuant to this paragraph) may be exercised by you until the date that is 15 months following your date of termination.</w:t>
      </w:r>
    </w:p>
    <w:p>
      <w:pPr>
        <w:spacing w:after="0" w:line="197" w:lineRule="exact"/>
        <w:rPr>
          <w:rFonts w:ascii="Times New Roman" w:cs="Times New Roman" w:eastAsia="Times New Roman" w:hAnsi="Times New Roman"/>
          <w:sz w:val="18"/>
          <w:szCs w:val="18"/>
          <w:color w:val="auto"/>
        </w:rPr>
      </w:pPr>
    </w:p>
    <w:p>
      <w:pPr>
        <w:jc w:val="both"/>
        <w:ind w:left="188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Your outstanding Stock Awards granted under the Company’s Equity Plans that are subject in whole or in part to performance-based vesting conditions will be governed by the terms of the applicable Stock Award agreement and the Equity Plan under which such Stock Awards were granted. The foregoing provisions are hereby deemed to be a part of each Stock Award and to supersede any less favorable provision in any Stock Award agreement or Equity Plan regarding such Stock Award. Notwithstanding the foregoing, in the event the Stock Award agreement or the Equity Plan pursuant to which your Stock Awards were granted provides for more favorable treatment of Stock Awards upon a Change in Control or a Qualifying Termination, nothing in this Agreement is intended to limit your right to such more favorable treatment as provided in such Stock Award agreement or Equity Plan.</w:t>
      </w:r>
    </w:p>
    <w:p>
      <w:pPr>
        <w:spacing w:after="0" w:line="182" w:lineRule="exact"/>
        <w:rPr>
          <w:sz w:val="20"/>
          <w:szCs w:val="20"/>
          <w:color w:val="auto"/>
        </w:rPr>
      </w:pPr>
    </w:p>
    <w:p>
      <w:pPr>
        <w:jc w:val="both"/>
        <w:ind w:left="1140" w:hanging="755"/>
        <w:spacing w:after="0" w:line="242" w:lineRule="auto"/>
        <w:tabs>
          <w:tab w:leader="none" w:pos="11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eath and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isability</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your Accrued Obligations, if your employment terminates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of your death or Disability, notwithstanding anything else set forth herein, in the Company’s Equity Plans or in any agreement evidencing a Stock Award, all unvested Stock Awards then held by you that are subject solely to time-based vesting conditions will vest on the date of your termination of employment. Your outstanding Stock Awards granted under the Company’s Equity Plans that are subject in whole or in part to performance-based vesting conditions will be governed by the terms of the applicable Stock Award agreement and the Equity Plan under which such Stock Awards were granted. The foregoing provisions are hereby deemed to be a part of each Stock Award and to supersede any less favorable provision in any Stock Award agreement or Equity Plan regarding such Stock Award. Notwithstanding the foregoing, in the event the Stock Award agreement or the Equity Plan pursuant to which your Stock Awards were granted provides for more favorable treatment of Stock Awards upon a Change in Control or a Qualifying Termination, nothing 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7" w:name="page48"/>
    <w:bookmarkEnd w:id="47"/>
    <w:p>
      <w:pPr>
        <w:ind w:left="1140"/>
        <w:spacing w:after="0" w:line="269" w:lineRule="auto"/>
        <w:rPr>
          <w:sz w:val="20"/>
          <w:szCs w:val="20"/>
          <w:color w:val="auto"/>
        </w:rPr>
      </w:pPr>
      <w:r>
        <w:rPr>
          <w:rFonts w:ascii="Times New Roman" w:cs="Times New Roman" w:eastAsia="Times New Roman" w:hAnsi="Times New Roman"/>
          <w:sz w:val="20"/>
          <w:szCs w:val="20"/>
          <w:color w:val="auto"/>
        </w:rPr>
        <w:t>this Agreement is intended to limit your right to such more favorable treatment as provided in such Stock Award agreement or Equity Plan.</w:t>
      </w:r>
    </w:p>
    <w:p>
      <w:pPr>
        <w:spacing w:after="0" w:line="155" w:lineRule="exact"/>
        <w:rPr>
          <w:sz w:val="20"/>
          <w:szCs w:val="20"/>
          <w:color w:val="auto"/>
        </w:rPr>
      </w:pPr>
    </w:p>
    <w:p>
      <w:pPr>
        <w:jc w:val="both"/>
        <w:ind w:left="1140" w:hanging="755"/>
        <w:spacing w:after="0" w:line="246" w:lineRule="auto"/>
        <w:tabs>
          <w:tab w:leader="none" w:pos="11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elease</w:t>
      </w:r>
      <w:r>
        <w:rPr>
          <w:rFonts w:ascii="Times New Roman" w:cs="Times New Roman" w:eastAsia="Times New Roman" w:hAnsi="Times New Roman"/>
          <w:sz w:val="20"/>
          <w:szCs w:val="20"/>
          <w:color w:val="auto"/>
        </w:rPr>
        <w:t>. As a condition to your receipt of any post-termination payments and benefits pursuant to the preceding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paragraphs (other than in the case of your death), you shall execute and not revoke a general release of all claims in favor of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in a form reasonably acceptable to the Company in order to effectuate a valid general release of claims. In the event the Release does not become effective within the 60-day period following the date of your termination of employment, you will not be entitled to the aforesaid payments and benefits.</w:t>
      </w:r>
    </w:p>
    <w:p>
      <w:pPr>
        <w:spacing w:after="0" w:line="192" w:lineRule="exact"/>
        <w:rPr>
          <w:sz w:val="20"/>
          <w:szCs w:val="20"/>
          <w:color w:val="auto"/>
        </w:rPr>
      </w:pPr>
    </w:p>
    <w:p>
      <w:pPr>
        <w:jc w:val="both"/>
        <w:ind w:left="1140" w:hanging="665"/>
        <w:spacing w:after="0" w:line="247" w:lineRule="auto"/>
        <w:tabs>
          <w:tab w:leader="none" w:pos="11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20"/>
          <w:szCs w:val="20"/>
          <w:color w:val="auto"/>
        </w:rPr>
        <w:t>. You shall not be required to mitigate, by seeking employment or otherwise, the amount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that the Company becomes obligated to make under this Agreement, and, except as expressly provided in this Agreement, amounts or other benefits to be paid or provided to you pursuant to this Agreement shall not be reduced by reason of your obtaining other employment or receiving similar payments or benefits from another employer.</w:t>
      </w:r>
    </w:p>
    <w:p>
      <w:pPr>
        <w:spacing w:after="0" w:line="180" w:lineRule="exact"/>
        <w:rPr>
          <w:rFonts w:ascii="Times New Roman" w:cs="Times New Roman" w:eastAsia="Times New Roman" w:hAnsi="Times New Roman"/>
          <w:sz w:val="20"/>
          <w:szCs w:val="20"/>
          <w:color w:val="auto"/>
        </w:rPr>
      </w:pPr>
    </w:p>
    <w:p>
      <w:pPr>
        <w:ind w:left="1140" w:hanging="665"/>
        <w:spacing w:after="0"/>
        <w:tabs>
          <w:tab w:leader="none" w:pos="11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374"/>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For purposes of this Agreement,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means any of the following: (a) your commission of an act of fraud, embezzlement or dishonesty, or the commission of some other illegal act by you, that has a demonstrable adverse impact on the Company or any successor or affiliate thereof; (b) your conviction of, or plea of “guilty” or “no contest” to, a felony or any crime involving fraud, dishonesty or moral turpitude under the laws of the United States or any state thereof; (c) any intentional, unauthorized use or disclosure by you of confidential information or trade secrets of the Company or any successor or affiliate thereof; (d) your gross negligence, insubordination or material violation of any duty of loyalty to the Company or any successor or affiliate thereof, or any other demonstrable material misconduct on your part; (e) your ongoing and repeated failure or refusal to perform or neglect of your duties as required by this Agreement or your ongoing and repeated failure or refusal to comply with the instructions given to you by the Board, which failure, refusal or neglect continues for 15 days following your receipt of written notice from the Board stating with specificity the nature of such failure, refusal or neglect; provided that it is understood that this clause (e) shall not permit the Company to terminate your employment for Cause solely because of (i) your failure to meet specified performance objectives or achieve a specific result or outcome, or (ii) Company’s dissatisfaction with the quality of services provided by you in the good faith performance of your duties to the Company; or (f) your willful, material breach of any material Company policy or any material provision of this Agreement or the Proprietary Information and Inventions Assignment Agreement. Prior to the determination that “Cause” under clauses (d), (e) or (f) has occurred, the Company shall (i) provide to you in writing, in reasonable detail, the reasons for the determination that such “Cause” exists, (ii) other than with respect to clause (e) above which specifies the applicable period of time for you to remedy your breach, afford you a reasonable opportunity to remedy any such breach, (iii) provide you an opportunity to be heard prior to the final decision to terminate your employment hereunder for such “Cause” and (iv) make any decision that such “Cause” exists in good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8" w:name="page49"/>
    <w:bookmarkEnd w:id="48"/>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faith. The foregoing definition shall not in any way preclude or restrict the right of the Company or any successor or affiliate thereof to discharge or dismiss you for any other acts or omissions, but such other acts or omissions shall not be deemed, for purposes of this Agreement, to constitute grounds for termination for Cause.</w:t>
      </w:r>
    </w:p>
    <w:p>
      <w:pPr>
        <w:spacing w:after="0" w:line="176" w:lineRule="exact"/>
        <w:rPr>
          <w:sz w:val="20"/>
          <w:szCs w:val="20"/>
          <w:color w:val="auto"/>
        </w:rPr>
      </w:pPr>
    </w:p>
    <w:p>
      <w:pPr>
        <w:jc w:val="both"/>
        <w:ind w:left="1500" w:hanging="366"/>
        <w:spacing w:after="0" w:line="246" w:lineRule="auto"/>
        <w:tabs>
          <w:tab w:leader="none" w:pos="15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Company’s 2019 Incentive Award Plan.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Treasury Regulation §1.409A-3(i)(5)) in order to give rise to the payment or settlement event for such payment or benefit, to the extent required by Section 409A.</w:t>
      </w:r>
    </w:p>
    <w:p>
      <w:pPr>
        <w:spacing w:after="0" w:line="178" w:lineRule="exact"/>
        <w:rPr>
          <w:rFonts w:ascii="Times New Roman" w:cs="Times New Roman" w:eastAsia="Times New Roman" w:hAnsi="Times New Roman"/>
          <w:sz w:val="20"/>
          <w:szCs w:val="20"/>
          <w:color w:val="auto"/>
        </w:rPr>
      </w:pPr>
    </w:p>
    <w:p>
      <w:pPr>
        <w:ind w:left="1500" w:hanging="366"/>
        <w:spacing w:after="0" w:line="273" w:lineRule="auto"/>
        <w:tabs>
          <w:tab w:leader="none" w:pos="15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Change in Control Period</w:t>
      </w:r>
      <w:r>
        <w:rPr>
          <w:rFonts w:ascii="Times New Roman" w:cs="Times New Roman" w:eastAsia="Times New Roman" w:hAnsi="Times New Roman"/>
          <w:sz w:val="20"/>
          <w:szCs w:val="20"/>
          <w:color w:val="auto"/>
        </w:rPr>
        <w:t>” means the three months prior to or 24 months following a Change in Control.</w:t>
      </w:r>
    </w:p>
    <w:p>
      <w:pPr>
        <w:spacing w:after="0" w:line="151" w:lineRule="exact"/>
        <w:rPr>
          <w:rFonts w:ascii="Times New Roman" w:cs="Times New Roman" w:eastAsia="Times New Roman" w:hAnsi="Times New Roman"/>
          <w:sz w:val="20"/>
          <w:szCs w:val="20"/>
          <w:color w:val="auto"/>
        </w:rPr>
      </w:pPr>
    </w:p>
    <w:p>
      <w:pPr>
        <w:jc w:val="both"/>
        <w:ind w:left="1500" w:hanging="366"/>
        <w:spacing w:after="0" w:line="250" w:lineRule="auto"/>
        <w:tabs>
          <w:tab w:leader="none" w:pos="154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a permanent and total disability under Section 22(e)(3) of the Code, as amended. If your Disability would give rise to a payment or settlement event with respect to any payment or benefit that constitutes “nonqualified deferred compensation,” your Disability must also constitute a “disability” (as defined in Section 409A of the Code).</w:t>
      </w:r>
    </w:p>
    <w:p>
      <w:pPr>
        <w:spacing w:after="0" w:line="175" w:lineRule="exact"/>
        <w:rPr>
          <w:rFonts w:ascii="Times New Roman" w:cs="Times New Roman" w:eastAsia="Times New Roman" w:hAnsi="Times New Roman"/>
          <w:sz w:val="20"/>
          <w:szCs w:val="20"/>
          <w:color w:val="auto"/>
        </w:rPr>
      </w:pPr>
    </w:p>
    <w:p>
      <w:pPr>
        <w:ind w:left="1500" w:hanging="366"/>
        <w:spacing w:after="0" w:line="273" w:lineRule="auto"/>
        <w:tabs>
          <w:tab w:leader="none" w:pos="15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means an equity incentive plan maintained by the Company, including the Inducement Plan.</w:t>
      </w:r>
    </w:p>
    <w:p>
      <w:pPr>
        <w:spacing w:after="0" w:line="151" w:lineRule="exact"/>
        <w:rPr>
          <w:rFonts w:ascii="Times New Roman" w:cs="Times New Roman" w:eastAsia="Times New Roman" w:hAnsi="Times New Roman"/>
          <w:sz w:val="20"/>
          <w:szCs w:val="20"/>
          <w:color w:val="auto"/>
        </w:rPr>
      </w:pPr>
    </w:p>
    <w:p>
      <w:pPr>
        <w:ind w:left="1500" w:hanging="366"/>
        <w:spacing w:after="0"/>
        <w:tabs>
          <w:tab w:leader="none" w:pos="15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any of the following without your written consent:</w:t>
      </w:r>
    </w:p>
    <w:p>
      <w:pPr>
        <w:spacing w:after="0" w:line="25" w:lineRule="exact"/>
        <w:rPr>
          <w:rFonts w:ascii="Times New Roman" w:cs="Times New Roman" w:eastAsia="Times New Roman" w:hAnsi="Times New Roman"/>
          <w:sz w:val="20"/>
          <w:szCs w:val="20"/>
          <w:color w:val="auto"/>
        </w:rPr>
      </w:pPr>
    </w:p>
    <w:p>
      <w:pPr>
        <w:jc w:val="both"/>
        <w:ind w:left="1500" w:firstLine="8"/>
        <w:spacing w:after="0" w:line="239" w:lineRule="auto"/>
        <w:tabs>
          <w:tab w:leader="none" w:pos="183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your authority, duties or responsibilities, including, without limitation, following a Change in Control, your ceasing to report to the board of directors of the ultimate parent entity of the Company (or its successor), and/or your ceasing to serve as the chief executive officer of such ultimate parent entity; (b) a material diminution in your base salary or Target Bonus compensation (and you and the Company agree that any diminution of 10% or more shall be considered material for this purpose, regardless of whether such diminution occurs due to a single reduction or a series of reductions in your base compensation), unless such a reduction is imposed across-the-board to senior management of the Company (and for the avoidance of doubt, following a Change in Control, the reference to senior management of the Company shall include, without limitation, the senior management of the ultimate parent entity of the Company (or its successor)); (c) a material change in the geographic location at which you must perform your duties (and a relocation of the geographic location at which you must perform your duties to a location that increases your one-way commute from your residence by more than 25 miles as compared to your principal place of employment prior to such relocation shall be considered material for this purpose); provided that your obligation to work from the Company’s offices and facilities as provided in this Agreement shall not constitute Good Reason for purposes of this Agreement or any other agreement between you and the Company; or (d) any other action or inaction that constitutes a material breach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9" w:name="page50"/>
    <w:bookmarkEnd w:id="49"/>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by the Company or any successor or affiliate of its obligations to you under this Agreement. You must provide written notice to the Company of the occurrence of any of the foregoing events or conditions without your written consent within 90 days of the occurrence of such event. The Company or any successor or affiliate shall have a period of 30 days to cure such event or condition after receipt of written notice of such event from you. Your termination of employment by reason of resignation from employment with the Company for Good Reason must occur within 90 days following the expiration of the foregoing 30-day cure period.</w:t>
      </w:r>
    </w:p>
    <w:p>
      <w:pPr>
        <w:spacing w:after="0" w:line="182" w:lineRule="exact"/>
        <w:rPr>
          <w:sz w:val="20"/>
          <w:szCs w:val="20"/>
          <w:color w:val="auto"/>
        </w:rPr>
      </w:pPr>
    </w:p>
    <w:p>
      <w:pPr>
        <w:jc w:val="both"/>
        <w:ind w:left="1500" w:hanging="366"/>
        <w:spacing w:after="0" w:line="246" w:lineRule="auto"/>
        <w:tabs>
          <w:tab w:leader="none" w:pos="15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Stock Awards</w:t>
      </w:r>
      <w:r>
        <w:rPr>
          <w:rFonts w:ascii="Times New Roman" w:cs="Times New Roman" w:eastAsia="Times New Roman" w:hAnsi="Times New Roman"/>
          <w:sz w:val="20"/>
          <w:szCs w:val="20"/>
          <w:color w:val="auto"/>
        </w:rPr>
        <w:t>” means all stock options, restricted stock and such other awards granted pursuant to the Company’s stock option and equity incentive award plans or agreements and any shares of stock issued upon exercise thereof, including the Initial Stock Options; provided, however, that, for the avoidance of doubt, the Revenue PSUs and the Stock Price Hurdle PSUs shall not be eligible for any accelerated vesting as provided herein and the vesting of such awards shall be solely governed by the Inducement Plan and the applicable award agreements.</w:t>
      </w:r>
    </w:p>
    <w:p>
      <w:pPr>
        <w:spacing w:after="0" w:line="179" w:lineRule="exact"/>
        <w:rPr>
          <w:sz w:val="20"/>
          <w:szCs w:val="20"/>
          <w:color w:val="auto"/>
        </w:rPr>
      </w:pPr>
    </w:p>
    <w:p>
      <w:pPr>
        <w:jc w:val="both"/>
        <w:ind w:left="1140" w:hanging="755"/>
        <w:spacing w:after="0" w:line="243" w:lineRule="auto"/>
        <w:tabs>
          <w:tab w:leader="none" w:pos="11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409A</w:t>
      </w:r>
      <w:r>
        <w:rPr>
          <w:rFonts w:ascii="Times New Roman" w:cs="Times New Roman" w:eastAsia="Times New Roman" w:hAnsi="Times New Roman"/>
          <w:sz w:val="20"/>
          <w:szCs w:val="20"/>
          <w:color w:val="auto"/>
        </w:rPr>
        <w:t>. To the extent applicable, this Agreement shall be interpreted in accordance with Section 409A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w:t>
      </w:r>
    </w:p>
    <w:p>
      <w:pPr>
        <w:spacing w:after="0" w:line="2" w:lineRule="exact"/>
        <w:rPr>
          <w:rFonts w:ascii="Times New Roman" w:cs="Times New Roman" w:eastAsia="Times New Roman" w:hAnsi="Times New Roman"/>
          <w:sz w:val="20"/>
          <w:szCs w:val="20"/>
          <w:color w:val="auto"/>
        </w:rPr>
      </w:pPr>
    </w:p>
    <w:p>
      <w:pPr>
        <w:jc w:val="both"/>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(1)(B) of the Code. For purposes of Section 409A of the Code, any right to a series of installment payments under this Agreement shall be treated as a right to a series of separate payments. For purposes of this Agreement, all references to your “termination of employment” shall mean your “separation from service” (as defined in Treasury Regulation Section 1.409A-1(h))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If you are a “specified employee” (as defined in Section 409A of the Code), as determined by the Company in accordance with Section 409A of the Code, on the date of your Separation from Service, to the extent that the payments or benefits under this Agreement are “non-qualified deferred compensation” subject to Section 409A of the Code and the delayed payment or distribution of all or any portion of such amounts to which you are entitled under this Agreement is required in order to avoid a prohibited distribution under Section 409A(a)(2)(B)(i) of the Code, then such portion deferred pursuant to this paragraph shall be paid or distributed to you in a lump sum on the earlier of (a) the date that is 6 months and one day following your Separation from Service, (b) the date of your death or (c) the earliest date as is permitted under Section 409A of the Code. Any remaining payments due under this Agreement shall be paid as otherwise provided herein.</w:t>
      </w:r>
    </w:p>
    <w:p>
      <w:pPr>
        <w:spacing w:after="0" w:line="187" w:lineRule="exact"/>
        <w:rPr>
          <w:rFonts w:ascii="Times New Roman" w:cs="Times New Roman" w:eastAsia="Times New Roman" w:hAnsi="Times New Roman"/>
          <w:sz w:val="20"/>
          <w:szCs w:val="20"/>
          <w:color w:val="auto"/>
        </w:rPr>
      </w:pPr>
    </w:p>
    <w:p>
      <w:pPr>
        <w:jc w:val="both"/>
        <w:ind w:left="114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payments or benefits under this Agreement are “non-qualified deferred compensation” subject to Section 409A of the Code, if the period during which you may deliver the Release required hereunder spans two calendar years, the payment of your post-termination benefits shall occur (or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50" w:name="page51"/>
    <w:bookmarkEnd w:id="50"/>
    <w:p>
      <w:pPr>
        <w:jc w:val="both"/>
        <w:ind w:left="2260"/>
        <w:spacing w:after="0" w:line="269" w:lineRule="auto"/>
        <w:rPr>
          <w:sz w:val="20"/>
          <w:szCs w:val="20"/>
          <w:color w:val="auto"/>
        </w:rPr>
      </w:pPr>
      <w:r>
        <w:rPr>
          <w:rFonts w:ascii="Times New Roman" w:cs="Times New Roman" w:eastAsia="Times New Roman" w:hAnsi="Times New Roman"/>
          <w:sz w:val="20"/>
          <w:szCs w:val="20"/>
          <w:color w:val="auto"/>
        </w:rPr>
        <w:t>commence) on the later of (a) January 1 of the second calendar year, or (b) the first regularly-scheduled payroll date following the date your Release becomes effective.</w:t>
      </w:r>
    </w:p>
    <w:p>
      <w:pPr>
        <w:spacing w:after="0" w:line="159" w:lineRule="exact"/>
        <w:rPr>
          <w:sz w:val="20"/>
          <w:szCs w:val="20"/>
          <w:color w:val="auto"/>
        </w:rPr>
      </w:pPr>
    </w:p>
    <w:p>
      <w:pPr>
        <w:jc w:val="both"/>
        <w:ind w:left="2260"/>
        <w:spacing w:after="0" w:line="245" w:lineRule="auto"/>
        <w:rPr>
          <w:sz w:val="20"/>
          <w:szCs w:val="20"/>
          <w:color w:val="auto"/>
        </w:rPr>
      </w:pPr>
      <w:r>
        <w:rPr>
          <w:rFonts w:ascii="Times New Roman" w:cs="Times New Roman" w:eastAsia="Times New Roman" w:hAnsi="Times New Roman"/>
          <w:sz w:val="20"/>
          <w:szCs w:val="20"/>
          <w:color w:val="auto"/>
        </w:rPr>
        <w:t>Any reimbursement of expenses or in-kind benefits payable under this Agreement shall be made in accordance with Treasury Regulation Section 1.409A-3(i)(1)(iv) and shall be paid on or before the last day of your taxable year following the taxable year in which you incurred the expenses. The amount of expenses reimbursed or in-kind benefits payable in one year shall not affect the amount eligible for reimbursement or in-kind benefits payable in any other taxable year of yours, and your right to reimbursement for such amounts shall not be subject to liquidation or exchange for any other benefit.</w:t>
      </w:r>
    </w:p>
    <w:p>
      <w:pPr>
        <w:spacing w:after="0" w:line="180" w:lineRule="exact"/>
        <w:rPr>
          <w:sz w:val="20"/>
          <w:szCs w:val="20"/>
          <w:color w:val="auto"/>
        </w:rPr>
      </w:pPr>
    </w:p>
    <w:p>
      <w:pPr>
        <w:ind w:left="1020" w:hanging="263"/>
        <w:spacing w:after="0"/>
        <w:tabs>
          <w:tab w:leader="none" w:pos="10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roprietary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 and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nventions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ssignment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an employee of the Company,</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you shall be expected to abide by all of the Company’s policies and procedures and the Company’s employee handbook, if any. As a condition of your commencement of employment hereunder, you agree to execute and abide by the terms of the Company’s form of Proprietary Information and Inventions Assignment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shall survive termination of your employment with the Company and the termination of this Proprietary Information and Inventions Assignment Agreement. You acknowledge that a remedy at law for any breach or threatened breach by you of the provisions of the Proprietary Information and Inventions Assignment Agreement would be inadequate, and you therefore agree that the Company shall be entitled to injunctive relief in case of any such breach or threatened breach. The Company may modify, revoke, suspend or terminate any of the terms, plans, policies and/or procedures described in the employee handbook, if any, or as otherwise communicated to you, in whole or part, at any time, with or without notice; provided that any such action does not affect your rights under this Agreement.</w:t>
      </w:r>
    </w:p>
    <w:p>
      <w:pPr>
        <w:spacing w:after="0" w:line="186" w:lineRule="exact"/>
        <w:rPr>
          <w:sz w:val="20"/>
          <w:szCs w:val="20"/>
          <w:color w:val="auto"/>
        </w:rPr>
      </w:pPr>
    </w:p>
    <w:p>
      <w:pPr>
        <w:ind w:left="1020" w:hanging="263"/>
        <w:spacing w:after="0"/>
        <w:tabs>
          <w:tab w:leader="none" w:pos="10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est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rovision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260" w:hanging="755"/>
        <w:spacing w:after="0" w:line="255" w:lineRule="auto"/>
        <w:tabs>
          <w:tab w:leader="none" w:pos="22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payment or benefit received or to be received by you pursuant to the terms of any plan, arrangement or agreement (including any payment or benefit received in connection with a change in ownership or control or the termination of your employment) (all such payments and benefits being hereinafter referred to as the “</w:t>
      </w:r>
      <w:r>
        <w:rPr>
          <w:rFonts w:ascii="Times New Roman" w:cs="Times New Roman" w:eastAsia="Times New Roman" w:hAnsi="Times New Roman"/>
          <w:sz w:val="19"/>
          <w:szCs w:val="19"/>
          <w:b w:val="1"/>
          <w:bCs w:val="1"/>
          <w:i w:val="1"/>
          <w:iCs w:val="1"/>
          <w:color w:val="auto"/>
        </w:rPr>
        <w:t>Total Payments</w:t>
      </w:r>
      <w:r>
        <w:rPr>
          <w:rFonts w:ascii="Times New Roman" w:cs="Times New Roman" w:eastAsia="Times New Roman" w:hAnsi="Times New Roman"/>
          <w:sz w:val="19"/>
          <w:szCs w:val="19"/>
          <w:color w:val="auto"/>
        </w:rPr>
        <w:t>”) would be subject (in whole or part) to the excise tax (the “</w:t>
      </w:r>
      <w:r>
        <w:rPr>
          <w:rFonts w:ascii="Times New Roman" w:cs="Times New Roman" w:eastAsia="Times New Roman" w:hAnsi="Times New Roman"/>
          <w:sz w:val="19"/>
          <w:szCs w:val="19"/>
          <w:b w:val="1"/>
          <w:bCs w:val="1"/>
          <w:i w:val="1"/>
          <w:iCs w:val="1"/>
          <w:color w:val="auto"/>
        </w:rPr>
        <w:t>Excise Tax</w:t>
      </w:r>
      <w:r>
        <w:rPr>
          <w:rFonts w:ascii="Times New Roman" w:cs="Times New Roman" w:eastAsia="Times New Roman" w:hAnsi="Times New Roman"/>
          <w:sz w:val="19"/>
          <w:szCs w:val="19"/>
          <w:color w:val="auto"/>
        </w:rPr>
        <w:t>”) imposed under Section 4999 of the Code, then the Total Payments shall be reduced to the extent necessary so that no portion of the Total Payments is subject to the Excise Tax but only if (i)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(after subtracting the net amount of federal, state and local income taxes on such Total Payments and the amount of Excise Tax to which you would be subject in respect of such unreduced Total Payments and after taking into account the phase out of itemized deductions and personal exemptions attributable to such unreduced Total Payments). Except to the extent that an alternative reduction order would result in a greater economic benefit to you on an after-tax basis, the parties intend that the Total Payments shall be reduced in the following order: (w) reduction of any cash severance payments otherwise payable to you that are exempt from Section 409A of the Code, (x) reduction of any other cash payments or benefits otherwise payable to you that are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both"/>
        <w:ind w:left="1140"/>
        <w:spacing w:after="0" w:line="241" w:lineRule="auto"/>
        <w:rPr>
          <w:sz w:val="20"/>
          <w:szCs w:val="20"/>
          <w:color w:val="auto"/>
        </w:rPr>
      </w:pPr>
      <w:r>
        <w:rPr>
          <w:rFonts w:ascii="Times New Roman" w:cs="Times New Roman" w:eastAsia="Times New Roman" w:hAnsi="Times New Roman"/>
          <w:sz w:val="20"/>
          <w:szCs w:val="20"/>
          <w:color w:val="auto"/>
        </w:rPr>
        <w:t>exempt from Section 409A of the Code, but excluding any payment attributable to the acceleration of vesting or payment with respect to any equity award that is exempt from Section 409A of the Code, (y) reduction of any other payments or benefits otherwise payable to you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provided, in case of clauses (x), (y) and (z), that reduction of any payments or benefits attributable to the acceleration of vesting of Company equity awards shall be first applied to equity awards with later vesting dates; provided, further, that, notwithstanding the foregoing, any such reduction shall be undertaken in a manner that complies with and does not result in the imposition of additional taxes on you under Section 409A of the Code. The foregoing reductions shall be made in a manner that results in the maximum economic benefit to you on an after-tax basis and, to the extent economically equivalent payments or benefits are subject to reduction, in a pro rata manner.</w:t>
      </w:r>
    </w:p>
    <w:p>
      <w:pPr>
        <w:spacing w:after="0" w:line="197" w:lineRule="exact"/>
        <w:rPr>
          <w:sz w:val="20"/>
          <w:szCs w:val="20"/>
          <w:color w:val="auto"/>
        </w:rPr>
      </w:pPr>
    </w:p>
    <w:p>
      <w:pPr>
        <w:jc w:val="both"/>
        <w:ind w:left="1140" w:hanging="755"/>
        <w:spacing w:after="0"/>
        <w:tabs>
          <w:tab w:leader="none" w:pos="11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determinations regarding the application of the paragraph above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0"/>
          <w:szCs w:val="20"/>
          <w:b w:val="1"/>
          <w:bCs w:val="1"/>
          <w:i w:val="1"/>
          <w:iCs w:val="1"/>
          <w:color w:val="auto"/>
        </w:rPr>
        <w:t>280G Firm</w:t>
      </w:r>
      <w:r>
        <w:rPr>
          <w:rFonts w:ascii="Times New Roman" w:cs="Times New Roman" w:eastAsia="Times New Roman" w:hAnsi="Times New Roman"/>
          <w:sz w:val="20"/>
          <w:szCs w:val="20"/>
          <w:color w:val="auto"/>
        </w:rPr>
        <w:t>”). For purposes of determining whether and the extent to which the Total Payments will be subject to the Excise Tax, (i)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(ii) no portion of the Total Payments the receipt or enjoyment of which you shall have waived at such time and in such manner as not to constitute a “payment” within the meaning of Section 280G(b) of the Code shall be taken into account, and (iii)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“Best Pay Provision” section shall be done by the 280G Firm. The 280G Firm will be directed to submit its determination and detailed supporting calculations to both you and the Company within fifteen (15) days after notification from either the Company or you that you may receive payments which may be “parachute payments.” You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52" w:name="page53"/>
    <w:bookmarkEnd w:id="52"/>
    <w:p>
      <w:pPr>
        <w:jc w:val="both"/>
        <w:ind w:firstLine="757"/>
        <w:spacing w:after="0" w:line="242"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represent and agree that your performance of your duties for the Company do not violate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obligations or understandings that you may have with any third party or prior employer. Without limiting the foregoing, you represent and agree that you are not bound by any non-compete or non-solicitation agreement or any other type of agreement that would prohibit your employment with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 While employed by the Company, you will not engage in any business activity in competition with the Company nor make preparations to do so. In the event that you wish to undertake a business activity outside the scope of your employment by the Company, which activity you believe entails no conflict with the Company’s activities, you agree to inform the Company of your intentions before the initiation of such outside business activity, and you furthermore agree to abide by the Company’s decision as to whether or not there is no conflict. If, in the Company’s reasonable determination, a conflict exists or is likely to develop, you agree not to undertake such outside business activity.</w:t>
      </w:r>
    </w:p>
    <w:p>
      <w:pPr>
        <w:spacing w:after="0" w:line="18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nterference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While employed by the Company, and for one year immediately following the date on which you terminate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or otherwise cease providing services to the Company, you agree not to interfere with the business of the Company by (a) soliciting or attempting to solicit any employee or consultant of the Company to terminate such employee’s or consultant’s employment or service in order to become an employee, consultant or independent contractor to or for any other person or entity or (b)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 The foregoing restrictions shall not apply with respect to the bona fide hiring and firing of Company personnel to the extent such acts are part of your duties for Company. Your duties under this paragraph shall survive termination of your employment with the Company and the termination of this Agreement.</w:t>
      </w:r>
    </w:p>
    <w:p>
      <w:pPr>
        <w:spacing w:after="0" w:line="18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easonableness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agree that the terms contained in the “Other Agreements” and “Non-Interference” paragraphs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are reasonable in all respects and that the restrictions contained therein are designed to protect the Company against unfair competition. In the event a court determines that any of the terms or provisions of this Agreement are unreasonable, the court may limit the application of any provision or term, or modify any provision or term, and proceed to enforce this Agreement as so limited or modified.</w:t>
      </w:r>
    </w:p>
    <w:p>
      <w:pPr>
        <w:spacing w:after="0" w:line="17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urisdiction and</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3"/>
          <w:szCs w:val="13"/>
          <w:b w:val="1"/>
          <w:bCs w:val="1"/>
          <w:color w:val="auto"/>
        </w:rPr>
        <w:t>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for all purposes, shall be construed in accordance with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State of California without regard to conflicts-of-law principles. Any action or proceeding by either party to enforce this Agreement shall be brought only in any state or federal court located in San Mateo County, California. The parties hereby irrevocably submit to the exclusive jurisdiction of such courts and waive the defense of inconvenient forum to the maintenance of any such action or proceeding in such venue.</w:t>
      </w:r>
    </w:p>
    <w:p>
      <w:pPr>
        <w:spacing w:after="0" w:line="17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rbitration</w:t>
      </w:r>
      <w:r>
        <w:rPr>
          <w:rFonts w:ascii="Times New Roman" w:cs="Times New Roman" w:eastAsia="Times New Roman" w:hAnsi="Times New Roman"/>
          <w:sz w:val="20"/>
          <w:szCs w:val="20"/>
          <w:color w:val="auto"/>
        </w:rPr>
        <w:t>. Unless otherwise prohibited by law or specified below, any dispute, claim or controversy based on, arising out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relating to this Agreement or your employment with the Company shall be settled by final and binding arbitration in San Mateo County, California, before a single neutral arbitrator in accordance with the JAMS Employment Arbitration Rules and Procedures (the “</w:t>
      </w:r>
      <w:r>
        <w:rPr>
          <w:rFonts w:ascii="Times New Roman" w:cs="Times New Roman" w:eastAsia="Times New Roman" w:hAnsi="Times New Roman"/>
          <w:sz w:val="20"/>
          <w:szCs w:val="20"/>
          <w:b w:val="1"/>
          <w:bCs w:val="1"/>
          <w:i w:val="1"/>
          <w:iCs w:val="1"/>
          <w:color w:val="auto"/>
        </w:rPr>
        <w:t>Rules</w:t>
      </w:r>
      <w:r>
        <w:rPr>
          <w:rFonts w:ascii="Times New Roman" w:cs="Times New Roman" w:eastAsia="Times New Roman" w:hAnsi="Times New Roman"/>
          <w:sz w:val="20"/>
          <w:szCs w:val="20"/>
          <w:color w:val="auto"/>
        </w:rPr>
        <w:t>”), and judgment on the award rendered by the arbitrator may be entered in any court having jurisdiction. The Rules may be found online at www.jamsadr.com and will be provided to you upon written request. Arbitration may be compelled pursuant to the Federal Arbitration Act, 9 U.S.C. §1-16, or if inapplicable, any similar statute of an applicable jurisdiction. If the parties are unable to agree upon an arbitrator, one shall be appointed by JAMS in accordance with its Rules. Each party shall pay the fees of its own attorneys,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3" w:name="page54"/>
    <w:bookmarkEnd w:id="53"/>
    <w:p>
      <w:pPr>
        <w:jc w:val="both"/>
        <w:spacing w:after="0" w:line="241" w:lineRule="auto"/>
        <w:rPr>
          <w:sz w:val="20"/>
          <w:szCs w:val="20"/>
          <w:color w:val="auto"/>
        </w:rPr>
      </w:pPr>
      <w:r>
        <w:rPr>
          <w:rFonts w:ascii="Times New Roman" w:cs="Times New Roman" w:eastAsia="Times New Roman" w:hAnsi="Times New Roman"/>
          <w:sz w:val="20"/>
          <w:szCs w:val="20"/>
          <w:color w:val="auto"/>
        </w:rPr>
        <w:t>expenses of its witnesses and all other expenses connected with presenting its case. Other costs of the arbitration, including the cost of any record or transcripts of the arbitration, JAMS administrative fees, the fee of the arbitrator, and all other fees and costs, shall be borne by the Company. This paragraph is intended to be the exclusive method for resolving any and all claims by the parties against each other for payment of damages under this Agreement or related to your employment; provided, however, that you shall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any federal or state agency); provided, however, that any appeal from an award or from denial of an award of wages and/or waiting time penalties shall be arbitrated pursuant to the terms of this Agreement; and (c) claims for administrative relief from the United States Equal Employment Opportunity Commission and/or any similar state agency in any applicable jurisdiction. This Agreement shall not limit either party’s right to obtain any provisional remedy, including, without limitation, injunctive or similar relief, from any court of competent jurisdiction as may be necessary to protect their rights and interests pending the outcome of arbitration, including without limitation injunctive relief, in any court of competent jurisdiction. Seeking any such relief shall not be deemed to be a waiver of such party’s right to compel arbitration. Each party warrants that it has had the opportunity to be represented by counsel in the negotiation and execution of this Agreement, including the attorneys’ fees provision herein. Both you and the Company expressly waive your right to a jury trial. Unless otherwise prohibited by law, you further waive your right to pursue claims against the Company on a class basis; provided, however, that you do not waive your right, to the extent preserved by law, to pursue representative claims against the Company under the California Private Attorney General Act.</w:t>
      </w:r>
    </w:p>
    <w:p>
      <w:pPr>
        <w:spacing w:after="0" w:line="188" w:lineRule="exact"/>
        <w:rPr>
          <w:sz w:val="20"/>
          <w:szCs w:val="20"/>
          <w:color w:val="auto"/>
        </w:rPr>
      </w:pPr>
    </w:p>
    <w:p>
      <w:pPr>
        <w:jc w:val="both"/>
        <w:ind w:firstLine="757"/>
        <w:spacing w:after="0" w:line="247"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Whenever possible, each provision of this Agreement will be interpreted in such manner as to be effective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0"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 and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is intended to bind and inure to the benefit of and be enforceable by you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their respective successors, assigns, heirs, executors and administrators, except that you may not assign any of your duties hereunder and you may not assign any of your rights hereunder, without the written consent of the Company, which shall not be withheld unreasonably.</w:t>
      </w:r>
    </w:p>
    <w:p>
      <w:pPr>
        <w:spacing w:after="0" w:line="17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ntire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the Proprietary Information and Inventions Assignment Agreement constitute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complete, final and exclusive embodiment of the entire agreement between you and the Company with respect to the terms and conditions of your employment specified herein and therein. This Agreement and the Proprietary Information and Inventions Assignment Agreement supersede any other such promises, obligations, warranties, representations or agreements between you and the Company, and you agree that any and all such prior promises, obligations, warranties, representations and agreements are hereby terminated. This Agreement may not be amended or modified except by a written instrument signed by you and a duly authorized officer of the Company.</w:t>
      </w:r>
    </w:p>
    <w:p>
      <w:pPr>
        <w:spacing w:after="0" w:line="178"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onditions</w:t>
      </w:r>
      <w:r>
        <w:rPr>
          <w:rFonts w:ascii="Times New Roman" w:cs="Times New Roman" w:eastAsia="Times New Roman" w:hAnsi="Times New Roman"/>
          <w:sz w:val="20"/>
          <w:szCs w:val="20"/>
          <w:color w:val="auto"/>
        </w:rPr>
        <w:t>. As a condition to your employment with the Company on the Start Date, you are required to (a) sign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return a satisfactory I-9 Immigration form providing sufficient documentation establishing your employment eligibility in the United States, and (b) provide satisfactory proof of your identity as required by United States law. Your commencement of employment is also subject to a satisfactory background check, the forms for which were provided to you under separate cover.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ind w:firstLine="396"/>
        <w:spacing w:after="0" w:line="269" w:lineRule="auto"/>
        <w:rPr>
          <w:sz w:val="20"/>
          <w:szCs w:val="20"/>
          <w:color w:val="auto"/>
        </w:rPr>
      </w:pPr>
      <w:r>
        <w:rPr>
          <w:rFonts w:ascii="Times New Roman" w:cs="Times New Roman" w:eastAsia="Times New Roman" w:hAnsi="Times New Roman"/>
          <w:sz w:val="20"/>
          <w:szCs w:val="20"/>
          <w:color w:val="auto"/>
        </w:rPr>
        <w:t>If you choose to accept this Agreement under the terms described above, please acknowledge your acceptance of our offer by returning a signed copy of this Agreement and the Proprietary Information and Inventions Assignment Agreement to our attention.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Michael F. Cola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126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Michael F. Cola</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Chairman of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Accepted:</w:t>
      </w:r>
    </w:p>
    <w:p>
      <w:pPr>
        <w:spacing w:after="0" w:line="233"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I have read and understood this Agreement and hereby acknowledge, accept and agree to the terms as set forth above and further acknowledge and agree that no other commitments were made to me as part of my employment offer except as specifically set forth herein.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 Steven Basta</w:t>
            </w:r>
          </w:p>
        </w:tc>
        <w:tc>
          <w:tcPr>
            <w:tcW w:w="160" w:type="dxa"/>
            <w:vAlign w:val="bottom"/>
          </w:tcPr>
          <w:p>
            <w:pPr>
              <w:spacing w:after="0"/>
              <w:rPr>
                <w:sz w:val="19"/>
                <w:szCs w:val="19"/>
                <w:color w:val="auto"/>
              </w:rPr>
            </w:pPr>
          </w:p>
        </w:tc>
        <w:tc>
          <w:tcPr>
            <w:tcW w:w="502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Date:</w:t>
            </w:r>
          </w:p>
        </w:tc>
      </w:tr>
      <w:tr>
        <w:trPr>
          <w:trHeight w:val="256"/>
        </w:trPr>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Steven Basta</w:t>
            </w:r>
          </w:p>
        </w:tc>
        <w:tc>
          <w:tcPr>
            <w:tcW w:w="160" w:type="dxa"/>
            <w:vAlign w:val="bottom"/>
            <w:tcBorders>
              <w:top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860" w:type="dxa"/>
            <w:vAlign w:val="bottom"/>
          </w:tcPr>
          <w:p>
            <w:pPr>
              <w:spacing w:after="0"/>
              <w:rPr>
                <w:sz w:val="22"/>
                <w:szCs w:val="22"/>
                <w:color w:val="auto"/>
              </w:rPr>
            </w:pPr>
          </w:p>
        </w:tc>
      </w:tr>
      <w:tr>
        <w:trPr>
          <w:trHeight w:val="459"/>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51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8"/>
              </w:rPr>
              <w:t>Proprietary Information and Inventions Assignment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Proprietary Information and Inventions Assignment Agreement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6" w:name="page57"/>
    <w:bookmarkEnd w:id="56"/>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 OF CLAIMS</w:t>
      </w:r>
    </w:p>
    <w:p>
      <w:pPr>
        <w:spacing w:after="0" w:line="216"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20"/>
          <w:szCs w:val="20"/>
          <w:color w:val="auto"/>
        </w:rPr>
        <w:t>This Separation Agreement and Release of Claims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by and between Terrie Curran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effective as of the Effective Date (as defined below).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WHEREAS, Executive is a party to that certain offer letter dated August 29, 2019, with the Company (the “</w:t>
      </w:r>
      <w:r>
        <w:rPr>
          <w:rFonts w:ascii="Times New Roman" w:cs="Times New Roman" w:eastAsia="Times New Roman" w:hAnsi="Times New Roman"/>
          <w:sz w:val="20"/>
          <w:szCs w:val="20"/>
          <w:b w:val="1"/>
          <w:bCs w:val="1"/>
          <w:i w:val="1"/>
          <w:iCs w:val="1"/>
          <w:color w:val="auto"/>
        </w:rPr>
        <w:t>Offer Letter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WHEREAS, Executive’s employment with the Company terminated on March 31, 2025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and</w:t>
      </w:r>
    </w:p>
    <w:p>
      <w:pPr>
        <w:spacing w:after="0" w:line="233"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20"/>
          <w:szCs w:val="20"/>
          <w:color w:val="auto"/>
        </w:rPr>
        <w:t>WHEREAS, Executive acknowledges that, unless she executes and does not revoke this Agreement, she will not be eligible for the Termination Benefits (as defined below).</w:t>
      </w:r>
    </w:p>
    <w:p>
      <w:pPr>
        <w:spacing w:after="0" w:line="173" w:lineRule="exact"/>
        <w:rPr>
          <w:sz w:val="20"/>
          <w:szCs w:val="20"/>
          <w:color w:val="auto"/>
        </w:rPr>
      </w:pPr>
    </w:p>
    <w:p>
      <w:pPr>
        <w:jc w:val="both"/>
        <w:ind w:right="20" w:firstLine="396"/>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and subject to, the Termination Benefits payable to Executive described in Section 3 below, the adequacy of which is hereby acknowledged by Executive, and which Termination Benefits Executive acknowledges that she would not otherwise be entitled to receive, Executive and the Company hereby agree as follows: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p>
    <w:p>
      <w:pPr>
        <w:spacing w:after="0" w:line="220" w:lineRule="exact"/>
        <w:rPr>
          <w:sz w:val="20"/>
          <w:szCs w:val="20"/>
          <w:color w:val="auto"/>
        </w:rPr>
      </w:pPr>
    </w:p>
    <w:p>
      <w:pPr>
        <w:jc w:val="both"/>
        <w:ind w:firstLine="757"/>
        <w:spacing w:after="0" w:line="245" w:lineRule="auto"/>
        <w:tabs>
          <w:tab w:leader="none" w:pos="114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Agreement shall not become effective unless both of the following events have occurred: (a) execution of this Agreement by Executive on or after the Termination Date but prior to the last day of the Review Period (as defined below), and (b) expiration of the revocation period applicable under Section 4(c) below without Executive having given notice of revocation. The date on which this Agreement becomes effective shall be referred to in this Agreement as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Unless the Effective Date occurs on or before April 30, 2025, this Agreement shall be null and void. The parties agree that any material or immaterial changes to this Agreement shall not extend the deadline for the occurrence of the Effective Date.</w:t>
      </w:r>
    </w:p>
    <w:p>
      <w:pPr>
        <w:spacing w:after="0" w:line="18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153"/>
        <w:spacing w:after="0" w:line="243"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Date was the termination date of Executive’s employment with the Company and any of its affiliates for all purposes, including active participation in and coverage under all benefit plans and programs sponsored by or through the Company and its affiliates, except as provided in this Agreement. Executive hereby confirms that, effective as of the Termination Date, she ceased to serve in any and all positions she held with the Company and any of its affiliates, including her position as President and Chief Executive Officer of the Company and as a member of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For the avoidance of doubt, Executive hereby confirms her resignation from all offices and directorships held with the Company and any of its affiliates, including her position as President and Chief Executive Officer of the Company and as a member of the Board, in each case effective as of the Termination Date. In accordance with applicable law, following the Termination Date, the Company will issue to Executive her final paycheck, reflecting her earned but unpaid base salary through the Termination Date.</w:t>
      </w:r>
    </w:p>
    <w:p>
      <w:pPr>
        <w:spacing w:after="0" w:line="185" w:lineRule="exact"/>
        <w:rPr>
          <w:rFonts w:ascii="Times New Roman" w:cs="Times New Roman" w:eastAsia="Times New Roman" w:hAnsi="Times New Roman"/>
          <w:sz w:val="20"/>
          <w:szCs w:val="20"/>
          <w:color w:val="auto"/>
        </w:rPr>
      </w:pPr>
    </w:p>
    <w:p>
      <w:pPr>
        <w:jc w:val="both"/>
        <w:ind w:firstLine="1153"/>
        <w:spacing w:after="0" w:line="254" w:lineRule="auto"/>
        <w:tabs>
          <w:tab w:leader="none" w:pos="15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reimburse Executive for any and all reasonable and necessary business expenses incurred by Executive in connection with the performance of her job duties prior to the Termination Date in accordance with the Company’s policies, which expenses shall be submitted to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color w:val="auto"/>
        </w:rPr>
        <w:t>Company with supporting receipts and/or documentation no later than thirty (30) calendar days after the Termination Date.</w:t>
      </w:r>
    </w:p>
    <w:p>
      <w:pPr>
        <w:spacing w:after="0" w:line="216" w:lineRule="exact"/>
        <w:rPr>
          <w:sz w:val="20"/>
          <w:szCs w:val="20"/>
          <w:color w:val="auto"/>
        </w:rPr>
      </w:pPr>
    </w:p>
    <w:p>
      <w:pPr>
        <w:jc w:val="both"/>
        <w:ind w:firstLine="1153"/>
        <w:spacing w:after="0" w:line="245" w:lineRule="auto"/>
        <w:tabs>
          <w:tab w:leader="none" w:pos="154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3(d) below, Executive’s entitlement to health benefits from the Company, and eligibility to participate in the Company’s health benefit plans, shall cease on the last day of the month in which the Termination Date occurred (the “</w:t>
      </w:r>
      <w:r>
        <w:rPr>
          <w:rFonts w:ascii="Times New Roman" w:cs="Times New Roman" w:eastAsia="Times New Roman" w:hAnsi="Times New Roman"/>
          <w:sz w:val="20"/>
          <w:szCs w:val="20"/>
          <w:b w:val="1"/>
          <w:bCs w:val="1"/>
          <w:i w:val="1"/>
          <w:iCs w:val="1"/>
          <w:color w:val="auto"/>
        </w:rPr>
        <w:t>Benefits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except to the extent Executive elects to and is eligible to receive continued healthcare coverage pursuant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provisions of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for herself and any covered dependents. Executive’s entitlement to other benefits from the Company, and eligibility to participate in the Company’s other benefit plans and programs, shall cease on the Termination Date.</w:t>
      </w:r>
    </w:p>
    <w:p>
      <w:pPr>
        <w:spacing w:after="0" w:line="18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3"/>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other than the compensation set forth in this Section 2 to be paid to her as provided herein and the Termination Benefits set forth in Section 3 below, she has or will have received all wages, accrued but unused vacation or paid time off, and other benefits due her as a result of her employment or service with and termination from the Company.</w:t>
      </w:r>
    </w:p>
    <w:p>
      <w:pPr>
        <w:spacing w:after="0" w:line="187" w:lineRule="exact"/>
        <w:rPr>
          <w:rFonts w:ascii="Times New Roman" w:cs="Times New Roman" w:eastAsia="Times New Roman" w:hAnsi="Times New Roman"/>
          <w:sz w:val="20"/>
          <w:szCs w:val="20"/>
          <w:color w:val="auto"/>
        </w:rPr>
      </w:pPr>
    </w:p>
    <w:p>
      <w:pPr>
        <w:jc w:val="both"/>
        <w:ind w:firstLine="757"/>
        <w:spacing w:after="0" w:line="242" w:lineRule="auto"/>
        <w:tabs>
          <w:tab w:leader="none" w:pos="118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Termination Benefits</w:t>
      </w:r>
      <w:r>
        <w:rPr>
          <w:rFonts w:ascii="Times New Roman" w:cs="Times New Roman" w:eastAsia="Times New Roman" w:hAnsi="Times New Roman"/>
          <w:sz w:val="20"/>
          <w:szCs w:val="20"/>
          <w:color w:val="auto"/>
        </w:rPr>
        <w:t>. In consideration for Executive’s agreement to be bound by the terms of this Agreement, including but not limited to the release of claims in Section 4, but subject to Executive’s continued compliance with this Agreement, including Section 5, the Company agrees to provide Executive with the following termination benefits (the “</w:t>
      </w:r>
      <w:r>
        <w:rPr>
          <w:rFonts w:ascii="Times New Roman" w:cs="Times New Roman" w:eastAsia="Times New Roman" w:hAnsi="Times New Roman"/>
          <w:sz w:val="20"/>
          <w:szCs w:val="20"/>
          <w:b w:val="1"/>
          <w:bCs w:val="1"/>
          <w:i w:val="1"/>
          <w:iCs w:val="1"/>
          <w:color w:val="auto"/>
        </w:rPr>
        <w:t>Termination Benefits</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2"/>
          <w:szCs w:val="22"/>
          <w:color w:val="auto"/>
        </w:rPr>
      </w:pPr>
    </w:p>
    <w:p>
      <w:pPr>
        <w:ind w:firstLine="799"/>
        <w:spacing w:after="0" w:line="249" w:lineRule="auto"/>
        <w:tabs>
          <w:tab w:leader="none" w:pos="118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be entitled to continued payment of Executive’s base salary at the rate in effect on the Termination Date ($736,000 per year) through June 30, 2026, in accordance with the Company’s then-current payroll policies and practices. The payments under this Section 3(a) shall commence with the first payroll period following the Effective Date (the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and the first payment shall include all accrued amounts from the Termination Date;</w:t>
      </w:r>
    </w:p>
    <w:p>
      <w:pPr>
        <w:spacing w:after="0" w:line="179"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be entitled to a payment equal to Executive’s target bonus for 2025 ($478,000), payable in a lump sum on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Date;</w:t>
      </w:r>
    </w:p>
    <w:p>
      <w:pPr>
        <w:spacing w:after="0" w:line="190" w:lineRule="exact"/>
        <w:rPr>
          <w:sz w:val="20"/>
          <w:szCs w:val="20"/>
          <w:color w:val="auto"/>
        </w:rPr>
      </w:pPr>
    </w:p>
    <w:p>
      <w:pPr>
        <w:jc w:val="both"/>
        <w:ind w:firstLine="791"/>
        <w:spacing w:after="0" w:line="245" w:lineRule="auto"/>
        <w:rPr>
          <w:sz w:val="20"/>
          <w:szCs w:val="20"/>
          <w:color w:val="auto"/>
        </w:rPr>
      </w:pPr>
      <w:r>
        <w:rPr>
          <w:rFonts w:ascii="Times New Roman" w:cs="Times New Roman" w:eastAsia="Times New Roman" w:hAnsi="Times New Roman"/>
          <w:sz w:val="20"/>
          <w:szCs w:val="20"/>
          <w:color w:val="auto"/>
        </w:rPr>
        <w:t xml:space="preserve">(c) (i) Executive holds stock options (the “ </w:t>
      </w:r>
      <w:r>
        <w:rPr>
          <w:rFonts w:ascii="Times New Roman" w:cs="Times New Roman" w:eastAsia="Times New Roman" w:hAnsi="Times New Roman"/>
          <w:sz w:val="20"/>
          <w:szCs w:val="20"/>
          <w:b w:val="1"/>
          <w:bCs w:val="1"/>
          <w:i w:val="1"/>
          <w:iCs w:val="1"/>
          <w:color w:val="auto"/>
        </w:rPr>
        <w:t>Stock Options</w:t>
      </w:r>
      <w:r>
        <w:rPr>
          <w:rFonts w:ascii="Times New Roman" w:cs="Times New Roman" w:eastAsia="Times New Roman" w:hAnsi="Times New Roman"/>
          <w:sz w:val="20"/>
          <w:szCs w:val="20"/>
          <w:color w:val="auto"/>
        </w:rPr>
        <w:t xml:space="preserve">”) to purchase shares of the Company’s common stock issued to Executive by the Company pursuant to certain stock option agreements identified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Stock Option Agreements</w:t>
      </w:r>
      <w:r>
        <w:rPr>
          <w:rFonts w:ascii="Times New Roman" w:cs="Times New Roman" w:eastAsia="Times New Roman" w:hAnsi="Times New Roman"/>
          <w:sz w:val="20"/>
          <w:szCs w:val="20"/>
          <w:color w:val="auto"/>
        </w:rPr>
        <w:t>”). Effective as of the Effective Date, (i) the vesting of such number of Stock Options as would have vested on or prior to June 30, 2026 in accordance with the vesting schedules set forth in the Stock Option Agreements shall vest on an accelerated basis (the “</w:t>
      </w:r>
      <w:r>
        <w:rPr>
          <w:rFonts w:ascii="Times New Roman" w:cs="Times New Roman" w:eastAsia="Times New Roman" w:hAnsi="Times New Roman"/>
          <w:sz w:val="20"/>
          <w:szCs w:val="20"/>
          <w:b w:val="1"/>
          <w:bCs w:val="1"/>
          <w:i w:val="1"/>
          <w:iCs w:val="1"/>
          <w:color w:val="auto"/>
        </w:rPr>
        <w:t>Accelerated Options</w:t>
      </w:r>
      <w:r>
        <w:rPr>
          <w:rFonts w:ascii="Times New Roman" w:cs="Times New Roman" w:eastAsia="Times New Roman" w:hAnsi="Times New Roman"/>
          <w:sz w:val="20"/>
          <w:szCs w:val="20"/>
          <w:color w:val="auto"/>
        </w:rPr>
        <w:t>”), and (ii) all of Executive’s vested Stock Options as of the Termination Date (after giving effect to any Accelerated Options vesting on the Effective Date), may be exercised by Executive until June 30, 2026. Executive acknowledges that her Stock Options that were previously incentive stock options may be reclassified as non-qualified stock options for tax purposes as a result of the foregoing extension.</w:t>
      </w:r>
    </w:p>
    <w:p>
      <w:pPr>
        <w:spacing w:after="0" w:line="179" w:lineRule="exact"/>
        <w:rPr>
          <w:sz w:val="20"/>
          <w:szCs w:val="20"/>
          <w:color w:val="auto"/>
        </w:rPr>
      </w:pPr>
    </w:p>
    <w:p>
      <w:pPr>
        <w:jc w:val="both"/>
        <w:ind w:firstLine="2254"/>
        <w:spacing w:after="0" w:line="246" w:lineRule="auto"/>
        <w:tabs>
          <w:tab w:leader="none" w:pos="264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holds restricted stock units (the “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and together with the Stock Options, the “</w:t>
      </w:r>
      <w:r>
        <w:rPr>
          <w:rFonts w:ascii="Times New Roman" w:cs="Times New Roman" w:eastAsia="Times New Roman" w:hAnsi="Times New Roman"/>
          <w:sz w:val="20"/>
          <w:szCs w:val="20"/>
          <w:b w:val="1"/>
          <w:bCs w:val="1"/>
          <w:i w:val="1"/>
          <w:iCs w:val="1"/>
          <w:color w:val="auto"/>
        </w:rPr>
        <w:t>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 to purchase shares of the Company’s common stock issued to Executive by the Company pursuant to certain RSU agreements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identified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RSU Agreements</w:t>
      </w:r>
      <w:r>
        <w:rPr>
          <w:rFonts w:ascii="Times New Roman" w:cs="Times New Roman" w:eastAsia="Times New Roman" w:hAnsi="Times New Roman"/>
          <w:sz w:val="20"/>
          <w:szCs w:val="20"/>
          <w:color w:val="auto"/>
        </w:rPr>
        <w:t>” and together with the Stock Option Agreements, the “</w:t>
      </w:r>
      <w:r>
        <w:rPr>
          <w:rFonts w:ascii="Times New Roman" w:cs="Times New Roman" w:eastAsia="Times New Roman" w:hAnsi="Times New Roman"/>
          <w:sz w:val="20"/>
          <w:szCs w:val="20"/>
          <w:b w:val="1"/>
          <w:bCs w:val="1"/>
          <w:i w:val="1"/>
          <w:iCs w:val="1"/>
          <w:color w:val="auto"/>
        </w:rPr>
        <w:t>Equity Award Agreements</w:t>
      </w:r>
      <w:r>
        <w:rPr>
          <w:rFonts w:ascii="Times New Roman" w:cs="Times New Roman" w:eastAsia="Times New Roman" w:hAnsi="Times New Roman"/>
          <w:sz w:val="20"/>
          <w:szCs w:val="20"/>
          <w:color w:val="auto"/>
        </w:rPr>
        <w:t>”). Effective as of the Effective Date, the vesting of such number of RSUs as would have vested on or prior to June 30, 2026 in accordance with the vesting schedules set forth in the RSU Agreements shall vest on an accelerated basis; provided, however, that, notwithstanding the foregoing, the RSUs granted to Executive on July 14, 2023 shall vest in full as of the Effective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ind w:right="20" w:firstLine="2254"/>
        <w:spacing w:after="0" w:line="273" w:lineRule="auto"/>
        <w:tabs>
          <w:tab w:leader="none" w:pos="264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holds performance stock units granted on February 27, 2025 (the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Effective as of the Termination Date, such PSUs shall be forfeited in accordance with the terms of the applicable PSU award agreement.</w:t>
      </w:r>
    </w:p>
    <w:p>
      <w:pPr>
        <w:spacing w:after="0" w:line="156"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auto"/>
        </w:rPr>
        <w:t>Other than the equity acceleration described in this Section 3(c)(i) and 3(c)(ii), but subject to any additional equity acceleration pursuant to Section 3(e) below in the event a “Change in Control” (as defined in the Offer Letter) occurs on or prior to June 30, 2025, Executive hereby agrees and acknowledges that, notwithstanding any provisions in any other agreement between Executive and the Company to the contrary, including the Equity Award Agreements and the equity plans pursuant to which they were granted, on the Termination Date, any portion of the Equity Awards not eligible to vest pursuant to this Section 3 held by Executive and outstanding as of the Termination Date were cancelled, surrendered and forfeited by Executive for no consideration immediately upon the Termination Date;</w:t>
      </w:r>
    </w:p>
    <w:p>
      <w:pPr>
        <w:spacing w:after="0" w:line="198" w:lineRule="exact"/>
        <w:rPr>
          <w:sz w:val="20"/>
          <w:szCs w:val="20"/>
          <w:color w:val="auto"/>
        </w:rPr>
      </w:pPr>
    </w:p>
    <w:p>
      <w:pPr>
        <w:jc w:val="both"/>
        <w:ind w:firstLine="872"/>
        <w:spacing w:after="0" w:line="239" w:lineRule="auto"/>
        <w:tabs>
          <w:tab w:leader="none" w:pos="130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the period beginning on the Benefits Termination Date and ending on June 30, 2026 (or, if earlier, (i) the date on which the applicable continuation period under COBRA expires, or (ii) the date on which Executive becomes eligible to receive the equivalent or increased healthcare coverage by means of subsequent employment or self-employment) (such period, the “</w:t>
      </w:r>
      <w:r>
        <w:rPr>
          <w:rFonts w:ascii="Times New Roman" w:cs="Times New Roman" w:eastAsia="Times New Roman" w:hAnsi="Times New Roman"/>
          <w:sz w:val="20"/>
          <w:szCs w:val="20"/>
          <w:b w:val="1"/>
          <w:bCs w:val="1"/>
          <w:i w:val="1"/>
          <w:iCs w:val="1"/>
          <w:color w:val="auto"/>
        </w:rPr>
        <w:t>COBRA Coverage Period</w:t>
      </w:r>
      <w:r>
        <w:rPr>
          <w:rFonts w:ascii="Times New Roman" w:cs="Times New Roman" w:eastAsia="Times New Roman" w:hAnsi="Times New Roman"/>
          <w:sz w:val="20"/>
          <w:szCs w:val="20"/>
          <w:color w:val="auto"/>
        </w:rPr>
        <w:t>”), the Company shall pay for or reimburse Executive on a monthly basis for an amount equal to the monthly premium Executive and/or Executive’s covered dependents, as applicable, are required to pay for continuation coverage pursuant to COBRA for Executive and/or Executive’s eligible dependents, as applicable, who were covered under the Company’s health plans as of the Termination Date (calculated by reference to the premium as of the Termination Date). If the Company cannot provide the foregoing benefits in a manner that is exempt from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or that is otherwise compliant with applicable law (including, without limitation, Section 2716 of the Public Health Service Act), instead of providing the payments or reimbursements as set forth above, the Company shall instead pay to Executive the foregoing monthly amount as a taxable monthly payment for the COBRA Coverage Period (or any remaining portion thereof). Executive shall be solely responsible for all matters relating to continuation of coverage pursuant to COBRA, including, without limitation, the election of such coverage and the timely payment of premiums. Executive shall notify the Company immediately if she becomes eligible to receive the equivalent or increased healthcare coverage by means of subsequent employment or self-employment; and</w:t>
      </w:r>
    </w:p>
    <w:p>
      <w:pPr>
        <w:spacing w:after="0" w:line="199" w:lineRule="exact"/>
        <w:rPr>
          <w:rFonts w:ascii="Times New Roman" w:cs="Times New Roman" w:eastAsia="Times New Roman" w:hAnsi="Times New Roman"/>
          <w:sz w:val="22"/>
          <w:szCs w:val="22"/>
          <w:color w:val="auto"/>
        </w:rPr>
      </w:pPr>
    </w:p>
    <w:p>
      <w:pPr>
        <w:jc w:val="both"/>
        <w:ind w:firstLine="799"/>
        <w:spacing w:after="0" w:line="249" w:lineRule="auto"/>
        <w:tabs>
          <w:tab w:leader="none" w:pos="118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“Change in Control” (as defined in the Offer Letter) occurs on or prior to June 30, 2025, Executive shall be eligible to receive the “CIC Severance Benefits” (as defined in the Offer Letter) in accordance with the terms of the Offer Letter to the extent such CIC Severance Benefits exceed the Termination Benefits provided or to be provided pursuant to this Agreement (and subject to reduction for any Termination Benefits previously provided or to be provided pursuant to this Agreement).</w:t>
      </w:r>
    </w:p>
    <w:p>
      <w:pPr>
        <w:spacing w:after="0" w:line="179" w:lineRule="exact"/>
        <w:rPr>
          <w:rFonts w:ascii="Times New Roman" w:cs="Times New Roman" w:eastAsia="Times New Roman" w:hAnsi="Times New Roman"/>
          <w:sz w:val="20"/>
          <w:szCs w:val="20"/>
          <w:color w:val="auto"/>
        </w:rPr>
      </w:pPr>
    </w:p>
    <w:p>
      <w:pPr>
        <w:jc w:val="both"/>
        <w:ind w:firstLine="799"/>
        <w:spacing w:after="0" w:line="254" w:lineRule="auto"/>
        <w:tabs>
          <w:tab w:leader="none" w:pos="118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provide Executive with outplacement services for a period of up to one year following the Termination Date through a third party provider mutually agreed upon by Executive and the Company (and the Company’s consent shall not be unreasonably withheld) valued at up to $30,000.</w:t>
      </w:r>
    </w:p>
    <w:p>
      <w:pPr>
        <w:spacing w:after="0" w:line="174"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20"/>
          <w:szCs w:val="20"/>
          <w:color w:val="auto"/>
        </w:rPr>
        <w:t>The Termination Benefits shall be the exclusive severance benefits to which Executive is entitled, unless Executive has breached the provisions of this Agreement, in which case Section 5(e) shall apply. Executive understands that Executive will not be entitled to the Termination Benefits under this Agreement if she does not execute this Agreement on or prior to the last day of the Review Period, if she revokes this Agreement after executing it as specified in Section 4(c) below, in the event the Effective Date does not occur on or before April 30, 2025, or in the event Executive breaches the terms of this Agreement.</w:t>
      </w:r>
    </w:p>
    <w:p>
      <w:pPr>
        <w:spacing w:after="0" w:line="181" w:lineRule="exact"/>
        <w:rPr>
          <w:sz w:val="20"/>
          <w:szCs w:val="20"/>
          <w:color w:val="auto"/>
        </w:rPr>
      </w:pPr>
    </w:p>
    <w:p>
      <w:pPr>
        <w:ind w:left="1160" w:hanging="403"/>
        <w:spacing w:after="0"/>
        <w:tabs>
          <w:tab w:leader="none" w:pos="11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9" w:name="page60"/>
    <w:bookmarkEnd w:id="59"/>
    <w:p>
      <w:pPr>
        <w:jc w:val="both"/>
        <w:ind w:firstLine="1505"/>
        <w:spacing w:after="0" w:line="249" w:lineRule="auto"/>
        <w:tabs>
          <w:tab w:leader="none" w:pos="189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not to sue, or otherwise file any claim against, the Company or its parent companies, subsidiaries or affiliates, and any of their respective successors, assigns, directors, officers, managers, employees, attorneys, insurers, or agents, each in their respective capacities as such (collectively, the “</w:t>
      </w:r>
      <w:r>
        <w:rPr>
          <w:rFonts w:ascii="Times New Roman" w:cs="Times New Roman" w:eastAsia="Times New Roman" w:hAnsi="Times New Roman"/>
          <w:sz w:val="20"/>
          <w:szCs w:val="20"/>
          <w:b w:val="1"/>
          <w:bCs w:val="1"/>
          <w:i w:val="1"/>
          <w:iCs w:val="1"/>
          <w:color w:val="auto"/>
        </w:rPr>
        <w:t>Company Parties</w:t>
      </w:r>
      <w:r>
        <w:rPr>
          <w:rFonts w:ascii="Times New Roman" w:cs="Times New Roman" w:eastAsia="Times New Roman" w:hAnsi="Times New Roman"/>
          <w:sz w:val="20"/>
          <w:szCs w:val="20"/>
          <w:color w:val="auto"/>
        </w:rPr>
        <w:t>”), for any reason whatsoever based on anything that has occurred at any time up to and including the execution date of this Agreement as follows:</w:t>
      </w:r>
    </w:p>
    <w:p>
      <w:pPr>
        <w:spacing w:after="0" w:line="179" w:lineRule="exact"/>
        <w:rPr>
          <w:rFonts w:ascii="Times New Roman" w:cs="Times New Roman" w:eastAsia="Times New Roman" w:hAnsi="Times New Roman"/>
          <w:sz w:val="20"/>
          <w:szCs w:val="20"/>
          <w:color w:val="auto"/>
        </w:rPr>
      </w:pPr>
    </w:p>
    <w:p>
      <w:pPr>
        <w:jc w:val="both"/>
        <w:ind w:firstLine="1901"/>
        <w:spacing w:after="0"/>
        <w:tabs>
          <w:tab w:leader="none" w:pos="2289"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behalf of Executive and her executors, administrators, heirs and assigns, Executive hereby releases and forever discharge the Company Parties,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which Executive now has or may hereafter have against any of the Company Parties by reason of any matter, cause, or thing whatsoever from the beginning of time through and including the execution date of this Agreement, including, without limiting the generality of the foregoing: any Claims arising directly or indirectly out of, relating to, or in any other way involving in any manner whatsoever Executive’s employment by the Company or its affiliates or the separation thereof, including without limitation any and all Claims arising under federal, state, or local laws relating to employment; any Claims of any kind that may be brought in any court or administrative agency; any Claims arising under the Age Discrimination in Employment Act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the Older Workers Benefits Protection Act, the Title VII of the Civil Rights Act of 1964, the Civil Rights Act of 1991, the Equal Pay Act, the Civil Rights Act of 1866, Section 1981, 42 U.S.C. § 1981, the Family and Medical Leave Act of 1993, the Americans with Disabilities Act of 1990, the False Claims Act, the Employee Retirement Income Security Act, the Worker Adjustment and Retraining Notification Act, the Fair Labor Standards Act, the Sarbanes-Oxley Act of 2002, the National Labor Relations Act of 1935, the Uniformed Services Employment and Reemployment Rights Act of 1994, Fair Credit Reporting Act, New Jersey's Conscientious Employee Protection Act, the New Jersey Soldiers' and Sailors' Civil Relief Act, Millville Dallas Airmotive Plant Job Loss Notification Act, New Jersey Family Leave Act, New Jersey Law Against Discrimination, New Jersey Security and Financial Empowerment Act, New Jersey State Wage and Hour Law, New Jersey Paid Sick Leave Law, and New Jersey State Wage Payment Law, or any similar state law, each of the foregoing as may have been amended, and any other federal, state, or local statute, regulation, ordinance, constitution, or order concerning labor or employment, termination of labor or employment, wages and benefits, retaliation, leaves of absence, or any other term or condition of employment; Claims for breach of contract; Claims for unfair business practices;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204" w:lineRule="exact"/>
        <w:rPr>
          <w:rFonts w:ascii="Times New Roman" w:cs="Times New Roman" w:eastAsia="Times New Roman" w:hAnsi="Times New Roman"/>
          <w:sz w:val="20"/>
          <w:szCs w:val="20"/>
          <w:color w:val="auto"/>
        </w:rPr>
      </w:pPr>
    </w:p>
    <w:p>
      <w:pPr>
        <w:jc w:val="both"/>
        <w:ind w:firstLine="1901"/>
        <w:spacing w:after="0" w:line="257" w:lineRule="auto"/>
        <w:tabs>
          <w:tab w:leader="none" w:pos="2289"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generality of the foregoing, Executive does not release any Claims that cannot be released as a matter of law including, without limitation, (A) Executive’s right to file for unemployment insurance benefits or any state disability insurance benefits pursuant to the terms of applicable state law; (B) Executive’s right to file Claims for workers’ compensation insurance benefits under the terms of any worker’s compensation insurance policy or fund of the Company; (C) Executive’s right to file a charge of discrimination, harassment, interference with leave rights, failure to accommodate, or retaliation with the Equal Employment Opportunity Commission or any other federal, state or local government agency, or to cooperate with or participate in any investigation conducted by such agency; provided, however, that Executive hereby releases Executive’s right to receive damages in any such proceeding brought by Executive or on Executive’s behalf; or (D) Executive’s rights under Section 5(f) below. Furthermore, Executive does not release hereby any rights that Executive may have relating to (x) indemnification by the Company or its affiliates under any indemnification agreement with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20"/>
          <w:szCs w:val="20"/>
          <w:color w:val="auto"/>
        </w:rPr>
        <w:t>Company, the Company’s Bylaws or any applicable law or under any applicable insurance policy with respect to Executive’s liability as an employee of the Company; (y) Executive’s vested accrued benefits under the Company’s respective benefits and compensation plans; and (z) any Claims for breach of this Agreement.</w:t>
      </w:r>
    </w:p>
    <w:p>
      <w:pPr>
        <w:spacing w:after="0" w:line="174" w:lineRule="exact"/>
        <w:rPr>
          <w:sz w:val="20"/>
          <w:szCs w:val="20"/>
          <w:color w:val="auto"/>
        </w:rPr>
      </w:pPr>
    </w:p>
    <w:p>
      <w:pPr>
        <w:jc w:val="both"/>
        <w:ind w:firstLine="1153"/>
        <w:spacing w:after="0" w:line="243" w:lineRule="auto"/>
        <w:tabs>
          <w:tab w:leader="none" w:pos="15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she was presented with this Agreement on March 30, 2025. Executive agrees that she will have until April 21, 2025, which represents a period of at least twenty-one (21) calendar days from the date the Company delivered to Executive a copy of this Agreement, in which to consider whether to execute the Agreement (the “</w:t>
      </w:r>
      <w:r>
        <w:rPr>
          <w:rFonts w:ascii="Times New Roman" w:cs="Times New Roman" w:eastAsia="Times New Roman" w:hAnsi="Times New Roman"/>
          <w:sz w:val="20"/>
          <w:szCs w:val="20"/>
          <w:b w:val="1"/>
          <w:bCs w:val="1"/>
          <w:i w:val="1"/>
          <w:iCs w:val="1"/>
          <w:color w:val="auto"/>
        </w:rPr>
        <w:t>Review Period</w:t>
      </w:r>
      <w:r>
        <w:rPr>
          <w:rFonts w:ascii="Times New Roman" w:cs="Times New Roman" w:eastAsia="Times New Roman" w:hAnsi="Times New Roman"/>
          <w:sz w:val="20"/>
          <w:szCs w:val="20"/>
          <w:color w:val="auto"/>
        </w:rPr>
        <w:t>”). Executive further acknowledges that the Company has advised Executive that she is waiving her rights under the ADEA, and that Executive has the right to and should consult with an attorney of her choice before signing this Agreement, and Executive has had sufficient time to consider the terms of this Agreement. Executive represents and acknowledges that if Executive executes this Agreement prior to the expiration of the Review Period, Executive does so knowingly, voluntarily, and upon the advice and with the approval of Executive’s legal counsel (if any), and that Executive voluntarily waives any remaining consideration period.</w:t>
      </w:r>
    </w:p>
    <w:p>
      <w:pPr>
        <w:spacing w:after="0" w:line="202"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understands that the Company’s obligations under the Agreement will not become effective or enforceable until the eighth (8th) calendar day after the date Executive signs the Agreement provided that Executive has timely delivered it to the Company, and that in the seven (7) day period following the date Executive delivers a signed copy of the Agreement to the Company, Executive understands that Executive may revoke her acceptance of the Agreement by delivering written notice of revocation to Wiiliam Aprea, Senior VP, Legal of the Company within such seven (7) day period. Executive understands that the Termination Benefits will become available to her at such time after the Effective Date as provided in this Agreement.</w:t>
      </w:r>
    </w:p>
    <w:p>
      <w:pPr>
        <w:spacing w:after="0" w:line="197"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further understands that the offer of the Termination Benefits and this Agreement will expire in the event Executive does not execute this Agreement on or prior to the last day of the Review Period, if she revokes this Agreement after executing it as specified in Section 4(c) above or in the event the Effective Date does not occur on or before April 30, 2025.</w:t>
      </w:r>
    </w:p>
    <w:p>
      <w:pPr>
        <w:spacing w:after="0" w:line="188" w:lineRule="exact"/>
        <w:rPr>
          <w:sz w:val="20"/>
          <w:szCs w:val="20"/>
          <w:color w:val="auto"/>
        </w:rPr>
      </w:pPr>
    </w:p>
    <w:p>
      <w:pPr>
        <w:jc w:val="both"/>
        <w:ind w:firstLine="1153"/>
        <w:spacing w:after="0" w:line="249" w:lineRule="auto"/>
        <w:tabs>
          <w:tab w:leader="none" w:pos="154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represents and warrants that she is the sole owner of all Claims relating to her employment or service with the Company and/or with any predecessor of the Company and that she has not assigned or transferred any Claims relating to her employment or service to any other person or entity. Executive understands and agrees that the Agreement will not be construed at any time as an admission of liability or wrongdoing by either the Company or Executive.</w:t>
      </w:r>
    </w:p>
    <w:p>
      <w:pPr>
        <w:spacing w:after="0" w:line="16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20" w:firstLine="1153"/>
        <w:spacing w:after="0" w:line="254" w:lineRule="auto"/>
        <w:tabs>
          <w:tab w:leader="none" w:pos="15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hereby expressly reaffirms her obligations under the Company’s Proprietary Information and Inventions Assignment Agreement between Executive and the Company, which is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incorporated herein by reference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 and agrees that such obligations shall survive the Termination Date.</w:t>
      </w:r>
    </w:p>
    <w:p>
      <w:pPr>
        <w:spacing w:after="0" w:line="187" w:lineRule="exact"/>
        <w:rPr>
          <w:rFonts w:ascii="Times New Roman" w:cs="Times New Roman" w:eastAsia="Times New Roman" w:hAnsi="Times New Roman"/>
          <w:sz w:val="20"/>
          <w:szCs w:val="20"/>
          <w:color w:val="auto"/>
        </w:rPr>
      </w:pPr>
    </w:p>
    <w:p>
      <w:pPr>
        <w:jc w:val="both"/>
        <w:ind w:firstLine="1153"/>
        <w:spacing w:after="0" w:line="245" w:lineRule="auto"/>
        <w:tabs>
          <w:tab w:leader="none" w:pos="15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that for one (1) year immediately following the Termination Date, Executive shall not interfere with the business of the Company by (i) soliciting or attempting to solicit any employee or consultant of the Company to terminate such employee’s or consultant’s employment or service in order to become an employee, consultant or independent contractor to or for any other person or entity or (ii)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both"/>
        <w:ind w:firstLine="1153"/>
        <w:spacing w:after="0" w:line="245" w:lineRule="auto"/>
        <w:tabs>
          <w:tab w:leader="none" w:pos="1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that Executive will not make any negative or disparaging statements or comments about Company, its employees, officers, directors, shareholders, vendors, products or services, business, technologies, market position or performance. The Company agrees that it shall instruct its current directors and executive officers not to, make any negative or disparaging statements or comments about Executive. Nothing in this Section 5(c) shall interfere with any protected right by Executive under applicable law to communicate directly with, cooperate with, or provide information to, any federal, state or local government agency. Nothing in this Section 5(c) will prohibit any person from providing truthful information in response to a subpoena or other legal process.</w:t>
      </w:r>
    </w:p>
    <w:p>
      <w:pPr>
        <w:spacing w:after="0" w:line="197" w:lineRule="exact"/>
        <w:rPr>
          <w:rFonts w:ascii="Times New Roman" w:cs="Times New Roman" w:eastAsia="Times New Roman" w:hAnsi="Times New Roman"/>
          <w:sz w:val="20"/>
          <w:szCs w:val="20"/>
          <w:color w:val="auto"/>
        </w:rPr>
      </w:pPr>
    </w:p>
    <w:p>
      <w:pPr>
        <w:jc w:val="both"/>
        <w:ind w:firstLine="1153"/>
        <w:spacing w:after="0" w:line="243" w:lineRule="auto"/>
        <w:tabs>
          <w:tab w:leader="none" w:pos="1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below, Executive represents and warrants that she has returned to the Company all Company documents (and all copies thereof) and other Company property that Executive had in her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Executive understands that, even if Executive does not sign this Agreement, she is still bound by any and all confidential/proprietary/trade secret information, non-disclosure and inventions assignment agreement(s) signed by Executive in connection with her employment with Company, including the PIIA, pursuant to the terms of such agreement(s). Executive's compliance with this Section 5(d) shall be a condition to her receipt of the Termination Benefits.</w:t>
      </w:r>
    </w:p>
    <w:p>
      <w:pPr>
        <w:spacing w:after="0" w:line="199" w:lineRule="exact"/>
        <w:rPr>
          <w:rFonts w:ascii="Times New Roman" w:cs="Times New Roman" w:eastAsia="Times New Roman" w:hAnsi="Times New Roman"/>
          <w:sz w:val="20"/>
          <w:szCs w:val="20"/>
          <w:color w:val="auto"/>
        </w:rPr>
      </w:pPr>
    </w:p>
    <w:p>
      <w:pPr>
        <w:ind w:right="60" w:firstLine="1153"/>
        <w:spacing w:after="0" w:line="269" w:lineRule="auto"/>
        <w:tabs>
          <w:tab w:leader="none" w:pos="1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all other rights and remedies available to the Company under law or in equity, the Company shall be entitled to withhold all Termination Benefits from Executive in the event of her breach of this Agreement, including this Section 5.</w:t>
      </w:r>
    </w:p>
    <w:p>
      <w:pPr>
        <w:spacing w:after="0" w:line="172" w:lineRule="exact"/>
        <w:rPr>
          <w:rFonts w:ascii="Times New Roman" w:cs="Times New Roman" w:eastAsia="Times New Roman" w:hAnsi="Times New Roman"/>
          <w:sz w:val="20"/>
          <w:szCs w:val="20"/>
          <w:color w:val="auto"/>
        </w:rPr>
      </w:pPr>
    </w:p>
    <w:p>
      <w:pPr>
        <w:jc w:val="both"/>
        <w:ind w:firstLine="1153"/>
        <w:spacing w:after="0" w:line="241" w:lineRule="auto"/>
        <w:tabs>
          <w:tab w:leader="none" w:pos="1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the PIIA to the contrary, nothing contained in this Agreement or the PIIA shall prohibit Executive from (i) communicating directly with,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 “</w:t>
      </w:r>
      <w:r>
        <w:rPr>
          <w:rFonts w:ascii="Times New Roman" w:cs="Times New Roman" w:eastAsia="Times New Roman" w:hAnsi="Times New Roman"/>
          <w:sz w:val="20"/>
          <w:szCs w:val="20"/>
          <w:b w:val="1"/>
          <w:bCs w:val="1"/>
          <w:i w:val="1"/>
          <w:iCs w:val="1"/>
          <w:color w:val="auto"/>
        </w:rPr>
        <w:t>NLRB</w:t>
      </w:r>
      <w:r>
        <w:rPr>
          <w:rFonts w:ascii="Times New Roman" w:cs="Times New Roman" w:eastAsia="Times New Roman" w:hAnsi="Times New Roman"/>
          <w:sz w:val="20"/>
          <w:szCs w:val="20"/>
          <w:color w:val="auto"/>
        </w:rPr>
        <w:t>”),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her attorney(s) or in a sealed complaint or other document filed in a lawsuit or other governmental proceeding, and/or (iii) receiving an award for information provided to any Government Agency. Further, nothing herein will prevent Executive from participating in activity permitted by Section 7 of the National Labor Relations Act or from filing an unfair labor practice charge with the NLRB. For the avoidance of doubt, Executive does not need to notify or obtain the prior authorization of the Company to exercise any of the foregoing rights. Pursuant to 18 USC Section 1833(b), Executive will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then unless otherwise directed or requested by a Government Agency or law enforcement, Executive shall notify the Company as soon as reasonably practicable after receiving any such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spacing w:after="0" w:line="269" w:lineRule="auto"/>
        <w:rPr>
          <w:sz w:val="20"/>
          <w:szCs w:val="20"/>
          <w:color w:val="auto"/>
        </w:rPr>
      </w:pPr>
      <w:r>
        <w:rPr>
          <w:rFonts w:ascii="Times New Roman" w:cs="Times New Roman" w:eastAsia="Times New Roman" w:hAnsi="Times New Roman"/>
          <w:sz w:val="20"/>
          <w:szCs w:val="20"/>
          <w:color w:val="auto"/>
        </w:rPr>
        <w:t>request of the anticipated testimony. Further, nothing in this Agreement prevents Executive from discussing or disclosing information about unlawful acts in the workplace, such as harassment or discrimination or any other conduct that Executive has reason to believe is unlawful.</w:t>
      </w:r>
    </w:p>
    <w:p>
      <w:pPr>
        <w:spacing w:after="0" w:line="169" w:lineRule="exact"/>
        <w:rPr>
          <w:sz w:val="20"/>
          <w:szCs w:val="20"/>
          <w:color w:val="auto"/>
        </w:rPr>
      </w:pPr>
    </w:p>
    <w:p>
      <w:pPr>
        <w:ind w:firstLine="1153"/>
        <w:spacing w:after="0" w:line="273" w:lineRule="auto"/>
        <w:tabs>
          <w:tab w:leader="none" w:pos="154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5, the term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not only the Company, but also as any company, partnership or entity which, directly or indirectly, controls, is controlled by or is under common control with such entities.</w:t>
      </w:r>
    </w:p>
    <w:p>
      <w:pPr>
        <w:spacing w:after="0" w:line="169" w:lineRule="exact"/>
        <w:rPr>
          <w:rFonts w:ascii="Times New Roman" w:cs="Times New Roman" w:eastAsia="Times New Roman" w:hAnsi="Times New Roman"/>
          <w:sz w:val="20"/>
          <w:szCs w:val="20"/>
          <w:color w:val="auto"/>
        </w:rPr>
      </w:pPr>
    </w:p>
    <w:p>
      <w:pPr>
        <w:jc w:val="both"/>
        <w:ind w:firstLine="820"/>
        <w:spacing w:after="0" w:line="242" w:lineRule="auto"/>
        <w:tabs>
          <w:tab w:leader="none" w:pos="122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As a condition of her receipt of the Termination Benefits, Executive agrees that, upon reasonable notice and without the necessity of Company obtaining a subpoena or court order, she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her employment as to which she may have relevant information and any other matter for which she was responsible or had knowledge of through the Termination Date. Such cooperation may include, but will not be limited to, providing background information within Executive’s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Executive agrees to cooperate with the transition of her job responsibilities following the Termination Date and cooperate in providing information on matters on which she was involved while an employee.</w:t>
      </w:r>
    </w:p>
    <w:p>
      <w:pPr>
        <w:spacing w:after="0" w:line="187"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153"/>
        <w:spacing w:after="0" w:line="259" w:lineRule="auto"/>
        <w:tabs>
          <w:tab w:leader="none" w:pos="1540" w:val="left"/>
        </w:tabs>
        <w:numPr>
          <w:ilvl w:val="2"/>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applicable, this Agreement shall be interpreted in accordance with Section 409A of 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 Agreement shall be treated as a right to a series of separate payments.</w:t>
      </w:r>
    </w:p>
    <w:p>
      <w:pPr>
        <w:spacing w:after="0" w:line="172" w:lineRule="exact"/>
        <w:rPr>
          <w:sz w:val="20"/>
          <w:szCs w:val="20"/>
          <w:color w:val="auto"/>
        </w:rPr>
      </w:pPr>
    </w:p>
    <w:p>
      <w:pPr>
        <w:ind w:right="100" w:firstLine="799"/>
        <w:spacing w:after="0" w:line="269" w:lineRule="auto"/>
        <w:tabs>
          <w:tab w:leader="none" w:pos="118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the Termination Date will constitute the date of Executive’s “separation from service” (as defined in Treasury Regulation Section 1.409A-1(h))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799"/>
        <w:spacing w:after="0" w:line="244" w:lineRule="auto"/>
        <w:tabs>
          <w:tab w:leader="none" w:pos="118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is a “specified employee” (as defined in Section 409A of the Code), as determined by the Company in accordance with Section 409A of the Code, on the Termination Date, to the extent that the payments or benefits under this Agreement are “non-qualified deferred compensation” subject to 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8(c) shall be paid or distributed to Executive in a lump sum on the earlier of (i) the date that is six (6) months and one day following Executive’s Separation from Service, (ii) the date of Executive’s death, or (iii)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spacing w:after="0" w:line="269" w:lineRule="auto"/>
        <w:rPr>
          <w:sz w:val="20"/>
          <w:szCs w:val="20"/>
          <w:color w:val="auto"/>
        </w:rPr>
      </w:pPr>
      <w:r>
        <w:rPr>
          <w:rFonts w:ascii="Times New Roman" w:cs="Times New Roman" w:eastAsia="Times New Roman" w:hAnsi="Times New Roman"/>
          <w:sz w:val="20"/>
          <w:szCs w:val="20"/>
          <w:color w:val="auto"/>
        </w:rPr>
        <w:t>earliest date as is permitted under Section 409A of the Code. Any remaining payments due under this Agreement shall be paid as otherwise provided herein.</w:t>
      </w:r>
    </w:p>
    <w:p>
      <w:pPr>
        <w:spacing w:after="0" w:line="159" w:lineRule="exact"/>
        <w:rPr>
          <w:sz w:val="20"/>
          <w:szCs w:val="20"/>
          <w:color w:val="auto"/>
        </w:rPr>
      </w:pPr>
    </w:p>
    <w:p>
      <w:pPr>
        <w:jc w:val="both"/>
        <w:ind w:firstLine="1153"/>
        <w:spacing w:after="0" w:line="246" w:lineRule="auto"/>
        <w:tabs>
          <w:tab w:leader="none" w:pos="154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reimbursement of expenses or in-kind benefits payable under this Agreement shall be made in accordance with Treasury Regulation Section 1.409A-3(i)(1)(iv) and shall be paid on or before the last day of Executive’s taxable year following the taxable year in which Executive incurred the expenses. The amount of expenses reimbursed or in-kind benefits payable in one year shall not affect the amount eligible for reimbursement or in-kind benefits payable in any other taxable year of Executive’s, and Executive’s right to reimbursement for such amounts shall not be subject to liquidation or exchange for any other benefit.</w:t>
      </w:r>
    </w:p>
    <w:p>
      <w:pPr>
        <w:spacing w:after="0" w:line="184" w:lineRule="exact"/>
        <w:rPr>
          <w:rFonts w:ascii="Times New Roman" w:cs="Times New Roman" w:eastAsia="Times New Roman" w:hAnsi="Times New Roman"/>
          <w:sz w:val="20"/>
          <w:szCs w:val="20"/>
          <w:color w:val="auto"/>
        </w:rPr>
      </w:pPr>
    </w:p>
    <w:p>
      <w:pPr>
        <w:jc w:val="both"/>
        <w:ind w:firstLine="404"/>
        <w:spacing w:after="0" w:line="241" w:lineRule="auto"/>
        <w:tabs>
          <w:tab w:leader="none" w:pos="79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 and Venue</w:t>
      </w:r>
      <w:r>
        <w:rPr>
          <w:rFonts w:ascii="Times New Roman" w:cs="Times New Roman" w:eastAsia="Times New Roman" w:hAnsi="Times New Roman"/>
          <w:sz w:val="20"/>
          <w:szCs w:val="20"/>
          <w:color w:val="auto"/>
        </w:rPr>
        <w:t>. Executive and the Company agree that any and all disputes, claims, and causes of action, in law or equity, in any way arising out of or relating to the terms of this Agreement, Executive’s employment relationship with the Company, or the termination of Executive’s employment with the Company, shall be resolved, to the fullest extent permitted by law, by final, binding and confidential arbitration in the State of New Jersey, conducted before a single neutral arbitrator selected and administered in accordance with the employment arbitration rules &amp; procedures or then applicable equivalent rules of JAMS (the “</w:t>
      </w:r>
      <w:r>
        <w:rPr>
          <w:rFonts w:ascii="Times New Roman" w:cs="Times New Roman" w:eastAsia="Times New Roman" w:hAnsi="Times New Roman"/>
          <w:sz w:val="20"/>
          <w:szCs w:val="20"/>
          <w:b w:val="1"/>
          <w:bCs w:val="1"/>
          <w:i w:val="1"/>
          <w:iCs w:val="1"/>
          <w:color w:val="auto"/>
        </w:rPr>
        <w:t>JAMS Rules</w:t>
      </w:r>
      <w:r>
        <w:rPr>
          <w:rFonts w:ascii="Times New Roman" w:cs="Times New Roman" w:eastAsia="Times New Roman" w:hAnsi="Times New Roman"/>
          <w:sz w:val="20"/>
          <w:szCs w:val="20"/>
          <w:color w:val="auto"/>
        </w:rPr>
        <w:t>”) and the Federal Arbitration Act, 9 U.S.C. Sec. 1, et seq. A copy of the JAMS Rules may be found on the JAMS website at www.jamsadr.com and will be provided to Executive by the Company upon request. Judgment may be entered on the arbitrator’s award in any court having jurisdiction. Nothing in this Section 9 is intended to prevent either Executive or the Company from obtaining injunctive relief in court to prevent irreparable harm pending the conclusion of any such arbitration. For purposes of settling any dispute or controversy arising hereunder or for the purpose of entering any judgment upon an award rendered by the arbitrator, the Company and Executive hereby consent to the jurisdiction of any or all of the following courts: (i) the United States District Court for the District of New Jersey or (ii) any of the courts of the State of New Jersey. The Company and Executive hereby waive, to the fullest extent permitted by applicable law, any objection which it or she may now or hereafter have to such courts’ jurisdiction and any defense of inconvenient forum with respect to such courts. The Company and Executive hereby agree that a judgment upon an award rendered by the arbitrator may be enforced in other jurisdictions by suit on the judgment or in any other manner provided by law. This Section 9 shall not apply to any claims of violation of any federal or state employment discrimination laws. BY AGREEING TO THIS ARBITRATION PROCEDURE, EXECUTIVE AND THE COMPANY WAIVE THE RIGHT TO RESOLVE ANY SUCH DISPUTE, CLAIM OR DEMAND THROUGH A TRIAL BY JURY OR JUDGE OR BY ADMINISTRATIVE PROCEEDING IN ANY JURISDICTION.</w:t>
      </w:r>
    </w:p>
    <w:p>
      <w:pPr>
        <w:spacing w:after="0" w:line="190" w:lineRule="exact"/>
        <w:rPr>
          <w:rFonts w:ascii="Times New Roman" w:cs="Times New Roman" w:eastAsia="Times New Roman" w:hAnsi="Times New Roman"/>
          <w:sz w:val="20"/>
          <w:szCs w:val="20"/>
          <w:color w:val="auto"/>
        </w:rPr>
      </w:pPr>
    </w:p>
    <w:p>
      <w:pPr>
        <w:jc w:val="both"/>
        <w:ind w:firstLine="404"/>
        <w:spacing w:after="0" w:line="244" w:lineRule="auto"/>
        <w:tabs>
          <w:tab w:leader="none" w:pos="79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forty-eight (48) hours thereafter by a signed original sent in the manner provided in the preceding sentence. Notice to Executive shall be sent to her most recent residence and personal email address on file with the Company. Notice to the Company shall be sent to its physical address set forth on the first page hereto and addressed to the General Counsel at the email address provided by the Company for such person.</w:t>
      </w:r>
    </w:p>
    <w:p>
      <w:pPr>
        <w:spacing w:after="0" w:line="185" w:lineRule="exact"/>
        <w:rPr>
          <w:rFonts w:ascii="Times New Roman" w:cs="Times New Roman" w:eastAsia="Times New Roman" w:hAnsi="Times New Roman"/>
          <w:sz w:val="20"/>
          <w:szCs w:val="20"/>
          <w:color w:val="auto"/>
        </w:rPr>
      </w:pPr>
    </w:p>
    <w:p>
      <w:pPr>
        <w:jc w:val="both"/>
        <w:ind w:firstLine="404"/>
        <w:spacing w:after="0" w:line="245" w:lineRule="auto"/>
        <w:tabs>
          <w:tab w:leader="none" w:pos="84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PIIA and the Equity Award Agreements (to the extent governing Executive’s vested Equity Awards) constitute the entire agreement and understanding between the parties as to the subject matter herein and supersede all prior or contemporaneous agreements whether written or oral, including, without limitation, the Offer Letter (except as expressly provided in Section 3(e) above). The invalidity or unenforceability of any provision or provisions of this Agreement will not affect the validity or enforceability of any other provision hereof, which will remain in full force and effect. The terms in this Agreement may only be modified in writing and signed by Executive and 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line="269" w:lineRule="auto"/>
        <w:rPr>
          <w:sz w:val="20"/>
          <w:szCs w:val="20"/>
          <w:color w:val="auto"/>
        </w:rPr>
      </w:pPr>
      <w:r>
        <w:rPr>
          <w:rFonts w:ascii="Times New Roman" w:cs="Times New Roman" w:eastAsia="Times New Roman" w:hAnsi="Times New Roman"/>
          <w:sz w:val="20"/>
          <w:szCs w:val="20"/>
          <w:color w:val="auto"/>
        </w:rPr>
        <w:t>authorized officer of the Company. In the event of any conflict between any of the terms in this Agreement and the terms of any other agreement between Executive and the Company, the terms of this Agreement will control.</w:t>
      </w:r>
    </w:p>
    <w:p>
      <w:pPr>
        <w:spacing w:after="0" w:line="159" w:lineRule="exact"/>
        <w:rPr>
          <w:sz w:val="20"/>
          <w:szCs w:val="20"/>
          <w:color w:val="auto"/>
        </w:rPr>
      </w:pPr>
    </w:p>
    <w:p>
      <w:pPr>
        <w:jc w:val="both"/>
        <w:ind w:firstLine="404"/>
        <w:spacing w:after="0" w:line="245" w:lineRule="auto"/>
        <w:tabs>
          <w:tab w:leader="none" w:pos="79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any provision of the Agreement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Executive acknowledges that she has obtained sufficient information to intelligently exercise her own judgment regarding the terms of the Agreement before executing the Agreement.</w:t>
      </w:r>
    </w:p>
    <w:p>
      <w:pPr>
        <w:spacing w:after="0" w:line="184" w:lineRule="exact"/>
        <w:rPr>
          <w:rFonts w:ascii="Times New Roman" w:cs="Times New Roman" w:eastAsia="Times New Roman" w:hAnsi="Times New Roman"/>
          <w:sz w:val="20"/>
          <w:szCs w:val="20"/>
          <w:color w:val="auto"/>
        </w:rPr>
      </w:pPr>
    </w:p>
    <w:p>
      <w:pPr>
        <w:jc w:val="both"/>
        <w:ind w:firstLine="417"/>
        <w:spacing w:after="0" w:line="246" w:lineRule="auto"/>
        <w:tabs>
          <w:tab w:leader="none" w:pos="783"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Governing Law; Venue</w:t>
      </w:r>
      <w:r>
        <w:rPr>
          <w:rFonts w:ascii="Times New Roman" w:cs="Times New Roman" w:eastAsia="Times New Roman" w:hAnsi="Times New Roman"/>
          <w:sz w:val="20"/>
          <w:szCs w:val="20"/>
          <w:color w:val="auto"/>
        </w:rPr>
        <w:t>. This Agreement will be governed by and construed in accordance with the laws of the United States of America and the State of New Jersey applicable to contracts made and to be performed wholly within such State, and without regard to the conflicts of laws principles thereof. Subject to Section 9, any action or proceeding by either party to enforce this Agreement shall be brought only in any state or federal court located in New Jersey. The parties irrevocably submit to the exclusive jurisdiction of such courts and waive the defense of inconvenient forum to the maintenance of any such action or proceeding in such venue.</w:t>
      </w:r>
    </w:p>
    <w:p>
      <w:pPr>
        <w:spacing w:after="0" w:line="184" w:lineRule="exact"/>
        <w:rPr>
          <w:rFonts w:ascii="Times New Roman" w:cs="Times New Roman" w:eastAsia="Times New Roman" w:hAnsi="Times New Roman"/>
          <w:sz w:val="19"/>
          <w:szCs w:val="19"/>
          <w:color w:val="auto"/>
        </w:rPr>
      </w:pPr>
    </w:p>
    <w:p>
      <w:pPr>
        <w:jc w:val="both"/>
        <w:ind w:firstLine="404"/>
        <w:spacing w:after="0" w:line="249" w:lineRule="auto"/>
        <w:tabs>
          <w:tab w:leader="none" w:pos="84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Interest</w:t>
      </w:r>
      <w:r>
        <w:rPr>
          <w:rFonts w:ascii="Times New Roman" w:cs="Times New Roman" w:eastAsia="Times New Roman" w:hAnsi="Times New Roman"/>
          <w:sz w:val="20"/>
          <w:szCs w:val="20"/>
          <w:color w:val="auto"/>
        </w:rPr>
        <w:t>. None of the rights of Executive to receive any form of compensation payable pursuant to this Agreement shall be assignable or transferable except through a testamentary disposition or by the laws of descent and distribution upon the death of Executive. Any attempted assignment, transfer, conveyance, or other disposition (other than as aforesaid) of any interest in the rights of Executive to receive any form of compensation to be made by the Company pursuant to this Agreement shall be void.</w:t>
      </w:r>
    </w:p>
    <w:p>
      <w:pPr>
        <w:spacing w:after="0" w:line="179" w:lineRule="exact"/>
        <w:rPr>
          <w:rFonts w:ascii="Times New Roman" w:cs="Times New Roman" w:eastAsia="Times New Roman" w:hAnsi="Times New Roman"/>
          <w:sz w:val="20"/>
          <w:szCs w:val="20"/>
          <w:color w:val="auto"/>
        </w:rPr>
      </w:pPr>
    </w:p>
    <w:p>
      <w:pPr>
        <w:jc w:val="both"/>
        <w:ind w:firstLine="404"/>
        <w:spacing w:after="0" w:line="246" w:lineRule="auto"/>
        <w:tabs>
          <w:tab w:leader="none" w:pos="79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The language in all parts of this Agreement shall in all cases be construed simply, according to its fair meaning, and not strictly for or against any of the parties hereto. Without limitation, there shall be no presumption against any party on the ground that such party was responsible for drafting this Agreement or any part thereof. Where the context so requires, the use of the masculine gender shall include the feminine and/or neuter genders and the singular shall include the plural, and vice versa, and the word “person” shall include any corporation, firm, partnership or other form of association.</w:t>
      </w:r>
    </w:p>
    <w:p>
      <w:pPr>
        <w:spacing w:after="0" w:line="184" w:lineRule="exact"/>
        <w:rPr>
          <w:rFonts w:ascii="Times New Roman" w:cs="Times New Roman" w:eastAsia="Times New Roman" w:hAnsi="Times New Roman"/>
          <w:sz w:val="20"/>
          <w:szCs w:val="20"/>
          <w:color w:val="auto"/>
        </w:rPr>
      </w:pPr>
    </w:p>
    <w:p>
      <w:pPr>
        <w:ind w:right="20" w:firstLine="404"/>
        <w:spacing w:after="0" w:line="269" w:lineRule="auto"/>
        <w:tabs>
          <w:tab w:leader="none" w:pos="8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and Other Deductions</w:t>
      </w:r>
      <w:r>
        <w:rPr>
          <w:rFonts w:ascii="Times New Roman" w:cs="Times New Roman" w:eastAsia="Times New Roman" w:hAnsi="Times New Roman"/>
          <w:sz w:val="20"/>
          <w:szCs w:val="20"/>
          <w:color w:val="auto"/>
        </w:rPr>
        <w:t>. All compensation payable to Executive hereunder shall be subject to such deductions as the Company is from time to time required to make pursuant to law, governmental regulation or order.</w:t>
      </w:r>
    </w:p>
    <w:p>
      <w:pPr>
        <w:spacing w:after="0" w:line="159" w:lineRule="exact"/>
        <w:rPr>
          <w:rFonts w:ascii="Times New Roman" w:cs="Times New Roman" w:eastAsia="Times New Roman" w:hAnsi="Times New Roman"/>
          <w:sz w:val="20"/>
          <w:szCs w:val="20"/>
          <w:color w:val="auto"/>
        </w:rPr>
      </w:pPr>
    </w:p>
    <w:p>
      <w:pPr>
        <w:jc w:val="both"/>
        <w:ind w:firstLine="404"/>
        <w:spacing w:after="0" w:line="244" w:lineRule="auto"/>
        <w:tabs>
          <w:tab w:leader="none" w:pos="79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Knowing and Voluntary</w:t>
      </w:r>
      <w:r>
        <w:rPr>
          <w:rFonts w:ascii="Times New Roman" w:cs="Times New Roman" w:eastAsia="Times New Roman" w:hAnsi="Times New Roman"/>
          <w:sz w:val="20"/>
          <w:szCs w:val="20"/>
          <w:color w:val="auto"/>
        </w:rPr>
        <w:t>. Executive represents and agrees that, prior to signing this Agreement, Executive has had the opportunity to discuss the terms of this Agreement with legal counsel of her choosing. Executive further represents and agrees that she is entering into this Agreement knowingly and voluntarily. Executive affirms that no promise was made to cause her to enter into this Agreement, other than what is promised in this Agreement. Executive further confirms that she has not relied upon any other statement or representation by anyone other than what is in this Agreement as a basis for her agreement. Executive acknowledges and agrees that neither the Company nor the Company’s counsel has provided any legal or tax advice to Executive and that Executive is free to, and is hereby advised to, consult with a legal or tax advisor of her choosing.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ind w:left="-20" w:firstLine="404"/>
        <w:spacing w:after="0" w:line="269" w:lineRule="auto"/>
        <w:tabs>
          <w:tab w:leader="none" w:pos="79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all of which taken together shall constitute one instrument. Execution and delivery of this Agreement by facsimile or other electronic signature is legal, valid and binding for all purposes.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EXECUTIVE’S ACCEPTANCE OF AGREEMENT</w:t>
      </w:r>
    </w:p>
    <w:p>
      <w:pPr>
        <w:spacing w:after="0" w:line="391"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20"/>
          <w:szCs w:val="20"/>
          <w:b w:val="1"/>
          <w:bCs w:val="1"/>
          <w:color w:val="auto"/>
        </w:rPr>
        <w:t>BEFORE SIGNING HER NAME TO THIS AGREEMENT, EXECUTIVE STATES THE FOLLOWING: EXECUTIVE HAS READ THE AGREEMENT, SHE UNDERSTANDS IT AND SHE KNOWS THAT SHE IS GIVING UP IMPORTANT RIGHTS. SHE HAS OBTAINED SUFFICIENT INFORMATION TO INTELLIGENTLY EXERCISE HER OWN JUDGMENT. SHE HAS BEEN ADVISED THAT SHE SHOULD CONSULT WITH AN ATTORNEY BEFORE SIGNING IT, AND SHE HAS SIGNED THE AGREEMENT KNOWINGLY AND VOLUNTARILY.</w:t>
      </w:r>
    </w:p>
    <w:p>
      <w:pPr>
        <w:spacing w:after="0" w:line="40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Executed this __2_ day of _April______,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u w:val="single" w:color="auto"/>
          <w:color w:val="auto"/>
        </w:rPr>
        <w:t>___/s/ Terrie Curran______________________</w:t>
      </w:r>
    </w:p>
    <w:p>
      <w:pPr>
        <w:spacing w:after="0" w:line="2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Terrie Curran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Agreed and Accepted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PHATHOM PHARMACEUTICALS, INC.</w:t>
      </w: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 Michael Cola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566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Michael F. Cola</w:t>
      </w:r>
    </w:p>
    <w:p>
      <w:pPr>
        <w:spacing w:after="0"/>
        <w:rPr>
          <w:sz w:val="20"/>
          <w:szCs w:val="20"/>
          <w:color w:val="auto"/>
        </w:rPr>
      </w:pPr>
      <w:r>
        <w:rPr>
          <w:rFonts w:ascii="Times New Roman" w:cs="Times New Roman" w:eastAsia="Times New Roman" w:hAnsi="Times New Roman"/>
          <w:sz w:val="20"/>
          <w:szCs w:val="20"/>
          <w:color w:val="auto"/>
        </w:rPr>
        <w:t>Title: Chairman of the Board</w:t>
      </w:r>
    </w:p>
    <w:p>
      <w:pPr>
        <w:spacing w:after="0" w:line="19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April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2039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Equity Awards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Proprietary Information and Inventions Assignment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Basta, certify that:</w:t>
      </w:r>
    </w:p>
    <w:p>
      <w:pPr>
        <w:spacing w:after="0" w:line="223"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May 1,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Steven Basta</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Steven Basta</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President</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Breedlove, certify that:</w:t>
      </w:r>
    </w:p>
    <w:p>
      <w:pPr>
        <w:spacing w:after="0" w:line="223"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Phathom Pharmaceuticals, Inc.</w:t>
      </w:r>
    </w:p>
    <w:p>
      <w:pPr>
        <w:spacing w:after="0" w:line="223" w:lineRule="exact"/>
        <w:rPr>
          <w:rFonts w:ascii="Times New Roman" w:cs="Times New Roman" w:eastAsia="Times New Roman" w:hAnsi="Times New Roman"/>
          <w:sz w:val="17"/>
          <w:szCs w:val="17"/>
          <w:color w:val="auto"/>
        </w:rPr>
      </w:pPr>
    </w:p>
    <w:p>
      <w:pPr>
        <w:ind w:left="520" w:right="20" w:hanging="512"/>
        <w:spacing w:after="0" w:line="281" w:lineRule="auto"/>
        <w:tabs>
          <w:tab w:leader="none" w:pos="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520" w:right="100" w:hanging="512"/>
        <w:spacing w:after="0" w:line="281" w:lineRule="auto"/>
        <w:tabs>
          <w:tab w:leader="none" w:pos="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520" w:right="240" w:hanging="512"/>
        <w:spacing w:after="0" w:line="265" w:lineRule="auto"/>
        <w:tabs>
          <w:tab w:leader="none" w:pos="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left="1020" w:right="20" w:hanging="503"/>
        <w:spacing w:after="0" w:line="265" w:lineRule="auto"/>
        <w:tabs>
          <w:tab w:leader="none" w:pos="10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75"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020" w:right="80" w:hanging="503"/>
        <w:spacing w:after="0" w:line="265" w:lineRule="auto"/>
        <w:tabs>
          <w:tab w:leader="none" w:pos="10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7"/>
          <w:szCs w:val="17"/>
          <w:color w:val="auto"/>
        </w:rPr>
      </w:pPr>
    </w:p>
    <w:p>
      <w:pPr>
        <w:ind w:left="520" w:right="660" w:hanging="512"/>
        <w:spacing w:after="0" w:line="281" w:lineRule="auto"/>
        <w:tabs>
          <w:tab w:leader="none" w:pos="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020" w:right="420" w:hanging="503"/>
        <w:spacing w:after="0" w:line="281" w:lineRule="auto"/>
        <w:tabs>
          <w:tab w:leader="none" w:pos="10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020" w:right="40" w:hanging="503"/>
        <w:spacing w:after="0" w:line="281" w:lineRule="auto"/>
        <w:tabs>
          <w:tab w:leader="none" w:pos="10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Date: May 1,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Robert Breedlove</w:t>
            </w:r>
          </w:p>
        </w:tc>
      </w:tr>
      <w:tr>
        <w:trPr>
          <w:trHeight w:val="175"/>
        </w:trPr>
        <w:tc>
          <w:tcPr>
            <w:tcW w:w="6760" w:type="dxa"/>
            <w:vAlign w:val="bottom"/>
          </w:tcPr>
          <w:p>
            <w:pPr>
              <w:spacing w:after="0"/>
              <w:rPr>
                <w:sz w:val="15"/>
                <w:szCs w:val="15"/>
                <w:color w:val="auto"/>
              </w:rPr>
            </w:pPr>
          </w:p>
        </w:tc>
        <w:tc>
          <w:tcPr>
            <w:tcW w:w="4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Robert Breedlove</w:t>
            </w:r>
          </w:p>
        </w:tc>
      </w:tr>
      <w:tr>
        <w:trPr>
          <w:trHeight w:val="203"/>
        </w:trPr>
        <w:tc>
          <w:tcPr>
            <w:tcW w:w="67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of Finance</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162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March 31, 2025 as filed with the Securities and Exchange Commission on the date hereof (the “Report”), I, Steven Basta,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Basta</w:t>
            </w:r>
          </w:p>
        </w:tc>
      </w:tr>
      <w:tr>
        <w:trPr>
          <w:trHeight w:val="191"/>
        </w:trPr>
        <w:tc>
          <w:tcPr>
            <w:tcW w:w="4000" w:type="dxa"/>
            <w:vAlign w:val="bottom"/>
          </w:tcPr>
          <w:p>
            <w:pPr>
              <w:spacing w:after="0"/>
              <w:rPr>
                <w:sz w:val="16"/>
                <w:szCs w:val="16"/>
                <w:color w:val="auto"/>
              </w:rPr>
            </w:pP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Basta</w:t>
            </w:r>
          </w:p>
        </w:tc>
      </w:tr>
      <w:tr>
        <w:trPr>
          <w:trHeight w:val="216"/>
        </w:trPr>
        <w:tc>
          <w:tcPr>
            <w:tcW w:w="40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2" w:name="page73"/>
    <w:bookmarkEnd w:id="72"/>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jc w:val="both"/>
        <w:ind w:right="34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March 31, 2025 as filed with the Securities and Exchange Commission on the date hereof (the “Report”), I, Robert Breedlove, as Vice President of Finance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Breedlove</w:t>
            </w:r>
          </w:p>
        </w:tc>
      </w:tr>
      <w:tr>
        <w:trPr>
          <w:trHeight w:val="191"/>
        </w:trPr>
        <w:tc>
          <w:tcPr>
            <w:tcW w:w="400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Breedlove</w:t>
            </w:r>
          </w:p>
        </w:tc>
      </w:tr>
      <w:tr>
        <w:trPr>
          <w:trHeight w:val="216"/>
        </w:trPr>
        <w:tc>
          <w:tcPr>
            <w:tcW w:w="40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234"/>
        </w:trPr>
        <w:tc>
          <w:tcPr>
            <w:tcW w:w="4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lowerRoman"/>
      <w:start w:val="1"/>
    </w:lvl>
    <w:lvl w:ilvl="1">
      <w:lvlJc w:val="left"/>
      <w:lvlText w:val="%2."/>
      <w:numFmt w:val="lowerLetter"/>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lowerLetter"/>
      <w:start w:val="2"/>
    </w:lvl>
  </w:abstractNum>
  <w:abstractNum w:abstractNumId="6">
    <w:nsid w:val="22221A70"/>
    <w:multiLevelType w:val="hybridMultilevel"/>
    <w:lvl w:ilvl="0">
      <w:lvlJc w:val="left"/>
      <w:lvlText w:val="(%1)"/>
      <w:numFmt w:val="lowerRoman"/>
      <w:start w:val="3"/>
    </w:lvl>
  </w:abstractNum>
  <w:abstractNum w:abstractNumId="7">
    <w:nsid w:val="4516DDE9"/>
    <w:multiLevelType w:val="hybridMultilevel"/>
    <w:lvl w:ilvl="0">
      <w:lvlJc w:val="left"/>
      <w:lvlText w:val="(%1)"/>
      <w:numFmt w:val="lowerRoman"/>
      <w:start w:val="1"/>
    </w:lvl>
    <w:lvl w:ilvl="1">
      <w:lvlJc w:val="left"/>
      <w:lvlText w:val="%2."/>
      <w:numFmt w:val="lowerLetter"/>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lvl w:ilvl="1">
      <w:lvlJc w:val="left"/>
      <w:lvlText w:val="%2"/>
      <w:numFmt w:val="decimal"/>
      <w:start w:val="104"/>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lvl w:ilvl="1">
      <w:lvlJc w:val="left"/>
      <w:lvlText w:val="o"/>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o"/>
      <w:numFmt w:val="bullet"/>
      <w:start w:val="1"/>
    </w:lvl>
  </w:abstractNum>
  <w:abstractNum w:abstractNumId="16">
    <w:nsid w:val="7724C67E"/>
    <w:multiLevelType w:val="hybridMultilevel"/>
    <w:lvl w:ilvl="0">
      <w:lvlJc w:val="left"/>
      <w:lvlText w:val="•"/>
      <w:numFmt w:val="bullet"/>
      <w:start w:val="1"/>
    </w:lvl>
    <w:lvl w:ilvl="1">
      <w:lvlJc w:val="left"/>
      <w:lvlText w:val="o"/>
      <w:numFmt w:val="bullet"/>
      <w:start w:val="1"/>
    </w:lvl>
  </w:abstractNum>
  <w:abstractNum w:abstractNumId="17">
    <w:nsid w:val="5C482A97"/>
    <w:multiLevelType w:val="hybridMultilevel"/>
    <w:lvl w:ilvl="0">
      <w:lvlJc w:val="left"/>
      <w:lvlText w:val="o"/>
      <w:numFmt w:val="bullet"/>
      <w:start w:val="1"/>
    </w:lvl>
    <w:lvl w:ilvl="1">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o"/>
      <w:numFmt w:val="bullet"/>
      <w:start w:val="1"/>
    </w:lvl>
    <w:lvl w:ilvl="1">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o"/>
      <w:numFmt w:val="bullet"/>
      <w:start w:val="1"/>
    </w:lvl>
  </w:abstractNum>
  <w:abstractNum w:abstractNumId="22">
    <w:nsid w:val="580BD78F"/>
    <w:multiLevelType w:val="hybridMultilevel"/>
    <w:lvl w:ilvl="0">
      <w:lvlJc w:val="left"/>
      <w:lvlText w:val="o"/>
      <w:numFmt w:val="bullet"/>
      <w:start w:val="1"/>
    </w:lvl>
  </w:abstractNum>
  <w:abstractNum w:abstractNumId="23">
    <w:nsid w:val="153EA438"/>
    <w:multiLevelType w:val="hybridMultilevel"/>
    <w:lvl w:ilvl="0">
      <w:lvlJc w:val="left"/>
      <w:lvlText w:val="o"/>
      <w:numFmt w:val="bullet"/>
      <w:start w:val="1"/>
    </w:lvl>
  </w:abstractNum>
  <w:abstractNum w:abstractNumId="24">
    <w:nsid w:val="3855585C"/>
    <w:multiLevelType w:val="hybridMultilevel"/>
    <w:lvl w:ilvl="0">
      <w:lvlJc w:val="left"/>
      <w:lvlText w:val="o"/>
      <w:numFmt w:val="bullet"/>
      <w:start w:val="1"/>
    </w:lvl>
    <w:lvl w:ilvl="1">
      <w:lvlJc w:val="left"/>
      <w:lvlText w:val="(%2)"/>
      <w:numFmt w:val="lowerLetter"/>
      <w:start w:val="1"/>
    </w:lvl>
  </w:abstractNum>
  <w:abstractNum w:abstractNumId="25">
    <w:nsid w:val="70A64E2A"/>
    <w:multiLevelType w:val="hybridMultilevel"/>
    <w:lvl w:ilvl="0">
      <w:lvlJc w:val="left"/>
      <w:lvlText w:val="o"/>
      <w:numFmt w:val="bullet"/>
      <w:start w:val="1"/>
    </w:lvl>
  </w:abstractNum>
  <w:abstractNum w:abstractNumId="26">
    <w:nsid w:val="6A2342EC"/>
    <w:multiLevelType w:val="hybridMultilevel"/>
    <w:lvl w:ilvl="0">
      <w:lvlJc w:val="left"/>
      <w:lvlText w:val="o"/>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o"/>
      <w:numFmt w:val="bullet"/>
      <w:start w:val="1"/>
    </w:lvl>
  </w:abstractNum>
  <w:abstractNum w:abstractNumId="30">
    <w:nsid w:val="2CD89A32"/>
    <w:multiLevelType w:val="hybridMultilevel"/>
    <w:lvl w:ilvl="0">
      <w:lvlJc w:val="left"/>
      <w:lvlText w:val="o"/>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lvl w:ilvl="1">
      <w:lvlJc w:val="left"/>
      <w:lvlText w:val="(%2)"/>
      <w:numFmt w:val="lowerLetter"/>
      <w:start w:val="1"/>
    </w:lvl>
  </w:abstractNum>
  <w:abstractNum w:abstractNumId="34">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4"/>
    </w:lvl>
  </w:abstractNum>
  <w:abstractNum w:abstractNumId="35">
    <w:nsid w:val="6DE91B1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6">
    <w:nsid w:val="38437FDB"/>
    <w:multiLevelType w:val="hybridMultilevel"/>
    <w:lvl w:ilvl="0">
      <w:lvlJc w:val="left"/>
      <w:lvlText w:val="(%1)"/>
      <w:numFmt w:val="lowerRoman"/>
      <w:start w:val="2"/>
    </w:lvl>
  </w:abstractNum>
  <w:abstractNum w:abstractNumId="37">
    <w:nsid w:val="7644A45C"/>
    <w:multiLevelType w:val="hybridMultilevel"/>
    <w:lvl w:ilvl="0">
      <w:lvlJc w:val="left"/>
      <w:lvlText w:val="(%1)"/>
      <w:numFmt w:val="lowerRoman"/>
      <w:start w:val="3"/>
    </w:lvl>
  </w:abstractNum>
  <w:abstractNum w:abstractNumId="38">
    <w:nsid w:val="32FFF902"/>
    <w:multiLevelType w:val="hybridMultilevel"/>
    <w:lvl w:ilvl="0">
      <w:lvlJc w:val="left"/>
      <w:lvlText w:val="%1"/>
      <w:numFmt w:val="lowerLetter"/>
      <w:start w:val="1"/>
    </w:lvl>
    <w:lvl w:ilvl="1">
      <w:lvlJc w:val="left"/>
      <w:lvlText w:val="(%2)"/>
      <w:numFmt w:val="lowerLetter"/>
      <w:start w:val="4"/>
    </w:lvl>
  </w:abstractNum>
  <w:abstractNum w:abstractNumId="39">
    <w:nsid w:val="684A481A"/>
    <w:multiLevelType w:val="hybridMultilevel"/>
    <w:lvl w:ilvl="0">
      <w:lvlJc w:val="left"/>
      <w:lvlText w:val="(%1)"/>
      <w:numFmt w:val="lowerLetter"/>
      <w:start w:val="5"/>
    </w:lvl>
    <w:lvl w:ilvl="1">
      <w:lvlJc w:val="left"/>
      <w:lvlText w:val="%2"/>
      <w:numFmt w:val="lowerLetter"/>
      <w:start w:val="1"/>
    </w:lvl>
  </w:abstractNum>
  <w:abstractNum w:abstractNumId="40">
    <w:nsid w:val="579478FE"/>
    <w:multiLevelType w:val="hybridMultilevel"/>
    <w:lvl w:ilvl="0">
      <w:lvlJc w:val="left"/>
      <w:lvlText w:val="%1."/>
      <w:numFmt w:val="decimal"/>
      <w:start w:val="4"/>
    </w:lvl>
  </w:abstractNum>
  <w:abstractNum w:abstractNumId="41">
    <w:nsid w:val="749ABB43"/>
    <w:multiLevelType w:val="hybridMultilevel"/>
    <w:lvl w:ilvl="0">
      <w:lvlJc w:val="left"/>
      <w:lvlText w:val="(%1)"/>
      <w:numFmt w:val="lowerLetter"/>
      <w:start w:val="1"/>
    </w:lvl>
    <w:lvl w:ilvl="1">
      <w:lvlJc w:val="left"/>
      <w:lvlText w:val="(%2)"/>
      <w:numFmt w:val="lowerRoman"/>
      <w:start w:val="1"/>
    </w:lvl>
  </w:abstractNum>
  <w:abstractNum w:abstractNumId="42">
    <w:nsid w:val="3DC240FB"/>
    <w:multiLevelType w:val="hybridMultilevel"/>
    <w:lvl w:ilvl="0">
      <w:lvlJc w:val="left"/>
      <w:lvlText w:val="(%1)"/>
      <w:numFmt w:val="lowerLetter"/>
      <w:start w:val="2"/>
    </w:lvl>
    <w:lvl w:ilvl="1">
      <w:lvlJc w:val="left"/>
      <w:lvlText w:val="(%2)"/>
      <w:numFmt w:val="lowerLetter"/>
      <w:start w:val="3"/>
    </w:lvl>
  </w:abstractNum>
  <w:abstractNum w:abstractNumId="43">
    <w:nsid w:val="1BA026FA"/>
    <w:multiLevelType w:val="hybridMultilevel"/>
    <w:lvl w:ilvl="0">
      <w:lvlJc w:val="left"/>
      <w:lvlText w:val="%1"/>
      <w:numFmt w:val="decimal"/>
      <w:start w:val="1"/>
    </w:lvl>
    <w:lvl w:ilvl="1">
      <w:lvlJc w:val="left"/>
      <w:lvlText w:val="(%2)"/>
      <w:numFmt w:val="lowerLetter"/>
      <w:start w:val="5"/>
    </w:lvl>
  </w:abstractNum>
  <w:abstractNum w:abstractNumId="44">
    <w:nsid w:val="79A1DEAA"/>
    <w:multiLevelType w:val="hybridMultilevel"/>
    <w:lvl w:ilvl="0">
      <w:lvlJc w:val="left"/>
      <w:lvlText w:val="%1."/>
      <w:numFmt w:val="decimal"/>
      <w:start w:val="5"/>
    </w:lvl>
    <w:lvl w:ilvl="1">
      <w:lvlJc w:val="left"/>
      <w:lvlText w:val="(%2)"/>
      <w:numFmt w:val="lowerLetter"/>
      <w:start w:val="1"/>
    </w:lvl>
  </w:abstractNum>
  <w:abstractNum w:abstractNumId="45">
    <w:nsid w:val="75C6C33A"/>
    <w:multiLevelType w:val="hybridMultilevel"/>
    <w:lvl w:ilvl="0">
      <w:lvlJc w:val="left"/>
      <w:lvlText w:val="(%1)"/>
      <w:numFmt w:val="lowerLetter"/>
      <w:start w:val="3"/>
    </w:lvl>
  </w:abstractNum>
  <w:abstractNum w:abstractNumId="46">
    <w:nsid w:val="12E685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47">
    <w:nsid w:val="70C6A529"/>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48">
    <w:nsid w:val="520EEDD1"/>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49">
    <w:nsid w:val="374A3FE6"/>
    <w:multiLevelType w:val="hybridMultilevel"/>
    <w:lvl w:ilvl="0">
      <w:lvlJc w:val="left"/>
      <w:lvlText w:val="(%1)"/>
      <w:numFmt w:val="lowerLetter"/>
      <w:start w:val="2"/>
    </w:lvl>
  </w:abstractNum>
  <w:abstractNum w:abstractNumId="50">
    <w:nsid w:val="4F4EF005"/>
    <w:multiLevelType w:val="hybridMultilevel"/>
    <w:lvl w:ilvl="0">
      <w:lvlJc w:val="left"/>
      <w:lvlText w:val="%1"/>
      <w:numFmt w:val="decimal"/>
      <w:start w:val="1"/>
    </w:lvl>
    <w:lvl w:ilvl="1">
      <w:lvlJc w:val="left"/>
      <w:lvlText w:val="(%2)"/>
      <w:numFmt w:val="lowerLetter"/>
      <w:start w:val="4"/>
    </w:lvl>
  </w:abstractNum>
  <w:abstractNum w:abstractNumId="51">
    <w:nsid w:val="23F9C13C"/>
    <w:multiLevelType w:val="hybridMultilevel"/>
    <w:lvl w:ilvl="0">
      <w:lvlJc w:val="left"/>
      <w:lvlText w:val="%1."/>
      <w:numFmt w:val="decimal"/>
      <w:start w:val="9"/>
    </w:lvl>
    <w:lvl w:ilvl="1">
      <w:lvlJc w:val="left"/>
      <w:lvlText w:val="%2"/>
      <w:numFmt w:val="lowerLetter"/>
      <w:start w:val="1"/>
    </w:lvl>
  </w:abstractNum>
  <w:abstractNum w:abstractNumId="52">
    <w:nsid w:val="649BB77C"/>
    <w:multiLevelType w:val="hybridMultilevel"/>
    <w:lvl w:ilvl="0">
      <w:lvlJc w:val="left"/>
      <w:lvlText w:val="%1."/>
      <w:numFmt w:val="decimal"/>
      <w:start w:val="12"/>
    </w:lvl>
  </w:abstractNum>
  <w:abstractNum w:abstractNumId="53">
    <w:nsid w:val="275AC794"/>
    <w:multiLevelType w:val="hybridMultilevel"/>
    <w:lvl w:ilvl="0">
      <w:lvlJc w:val="left"/>
      <w:lvlText w:val="%1."/>
      <w:numFmt w:val="decimal"/>
      <w:start w:val="18"/>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3"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8" Type="http://schemas.openxmlformats.org/officeDocument/2006/relationships/image" Target="media/image118.png"/><Relationship Id="rId130" Type="http://schemas.openxmlformats.org/officeDocument/2006/relationships/image" Target="media/image119.png"/><Relationship Id="rId132"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122" Type="http://schemas.openxmlformats.org/officeDocument/2006/relationships/hyperlink" Target="https://www.sec.gov/Archives/edgar/data/1783183/000119312519277761/d795888dex31.htm" TargetMode="External"/><Relationship Id="rId124" Type="http://schemas.openxmlformats.org/officeDocument/2006/relationships/hyperlink" Target="https://www.sec.gov/Archives/edgar/data/1783183/000119312523156713/d487635dex31.htm" TargetMode="External"/><Relationship Id="rId127" Type="http://schemas.openxmlformats.org/officeDocument/2006/relationships/hyperlink" Target="https://www.sec.gov/ix?doc=/Archives/edgar/data/0001783183/000119312523296630/d602391d8k.htm" TargetMode="External"/><Relationship Id="rId129" Type="http://schemas.openxmlformats.org/officeDocument/2006/relationships/hyperlink" Target="https://www.sec.gov/Archives/edgar/data/1783183/000119312519267053/d63338dex41.htm" TargetMode="External"/><Relationship Id="rId131" Type="http://schemas.openxmlformats.org/officeDocument/2006/relationships/hyperlink" Target="https://www.sec.gov/Archives/edgar/data/1783183/000119312519258922/d63338dex43.htm" TargetMode="External"/><Relationship Id="rId133" Type="http://schemas.openxmlformats.org/officeDocument/2006/relationships/hyperlink" Target="https://www.sec.gov/Archives/edgar/data/1783183/000119312519258922/d63338dex44.htm" TargetMode="External"/><Relationship Id="rId136" Type="http://schemas.openxmlformats.org/officeDocument/2006/relationships/hyperlink" Target="https://www.sec.gov/Archives/edgar/data/1783183/000156459021055073/phat-ex102_212.htm" TargetMode="External"/><Relationship Id="rId139" Type="http://schemas.openxmlformats.org/officeDocument/2006/relationships/hyperlink" Target="https://www.sec.gov/Archives/edgar/data/1783183/000095017023020109/phat-ex4_5.htm" TargetMode="External"/><Relationship Id="rId142" Type="http://schemas.openxmlformats.org/officeDocument/2006/relationships/hyperlink" Target="https://www.sec.gov/Archives/edgar/data/1783183/000095017023020109/phat-ex4_6.htm" TargetMode="External"/><Relationship Id="rId146" Type="http://schemas.openxmlformats.org/officeDocument/2006/relationships/hyperlink" Target="https://www.sec.gov/Archives/edgar/data/1783183/000119312519267053/d63338dex45.htm" TargetMode="External"/><Relationship Id="rId149" Type="http://schemas.openxmlformats.org/officeDocument/2006/relationships/hyperlink" Target="https://www.sec.gov/Archives/edgar/data/1783183/000119312524202879/d816262dex41.htm" TargetMode="External"/><Relationship Id="rId155" Type="http://schemas.openxmlformats.org/officeDocument/2006/relationships/hyperlink" Target="https://www.sec.gov/Archives/edgar/data/1783183/000119312525072460/d9068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2025-05-01T06:13:48Z</dcterms:created>
  <dcterms:modified xsi:type="dcterms:W3CDTF">2025-05-01T06:13:48Z</dcterms:modified>
</cp:coreProperties>
</file>