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92710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79"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80"/>
        <w:spacing w:after="0"/>
        <w:tabs>
          <w:tab w:leader="none" w:pos="670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18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001-39094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82-4151574</w:t>
            </w:r>
          </w:p>
        </w:tc>
      </w:tr>
      <w:tr>
        <w:trPr>
          <w:trHeight w:val="148"/>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100 Campus Drive, Suite 102</w:t>
            </w:r>
          </w:p>
        </w:tc>
        <w:tc>
          <w:tcPr>
            <w:tcW w:w="3120" w:type="dxa"/>
            <w:vAlign w:val="bottom"/>
          </w:tcPr>
          <w:p>
            <w:pPr>
              <w:spacing w:after="0"/>
              <w:rPr>
                <w:sz w:val="24"/>
                <w:szCs w:val="24"/>
                <w:color w:val="auto"/>
              </w:rPr>
            </w:pPr>
          </w:p>
        </w:tc>
      </w:tr>
      <w:tr>
        <w:trPr>
          <w:trHeight w:val="212"/>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Florham Park, New Jersey</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07932</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742-8466</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PHAT</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52"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4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6, 2021, the registrant had 31,329,613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544830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jc w:val="center"/>
        <w:ind w:left="400"/>
        <w:spacing w:after="0"/>
        <w:rPr>
          <w:sz w:val="20"/>
          <w:szCs w:val="20"/>
          <w:color w:val="auto"/>
        </w:rPr>
      </w:pPr>
      <w:r>
        <w:rPr>
          <w:rFonts w:ascii="Arial" w:cs="Arial" w:eastAsia="Arial" w:hAnsi="Arial"/>
          <w:sz w:val="18"/>
          <w:szCs w:val="18"/>
          <w:b w:val="1"/>
          <w:bCs w:val="1"/>
          <w:color w:val="231F20"/>
        </w:rPr>
        <w:t>TABLE OF CONTENTS</w:t>
      </w:r>
    </w:p>
    <w:p>
      <w:pPr>
        <w:spacing w:after="0" w:line="252"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520" w:type="dxa"/>
            <w:vAlign w:val="bottom"/>
            <w:gridSpan w:val="7"/>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50"/>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Balance Sheets</w:t>
              </w:r>
            </w:hyperlink>
          </w:p>
        </w:tc>
        <w:tc>
          <w:tcPr>
            <w:tcW w:w="6800" w:type="dxa"/>
            <w:vAlign w:val="bottom"/>
            <w:gridSpan w:val="14"/>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50"/>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9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Operations and Comprehensive Loss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50"/>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2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Statements of Stockholders’ Equity (Deficit)</w:t>
              </w:r>
            </w:hyperlink>
          </w:p>
        </w:tc>
        <w:tc>
          <w:tcPr>
            <w:tcW w:w="460" w:type="dxa"/>
            <w:vAlign w:val="bottom"/>
            <w:tcBorders>
              <w:top w:val="single" w:sz="8" w:color="0000EE"/>
            </w:tcBorders>
          </w:tcPr>
          <w:p>
            <w:pPr>
              <w:spacing w:after="0"/>
              <w:rPr>
                <w:sz w:val="21"/>
                <w:szCs w:val="21"/>
                <w:color w:val="auto"/>
              </w:rPr>
            </w:pPr>
          </w:p>
        </w:tc>
        <w:tc>
          <w:tcPr>
            <w:tcW w:w="4220" w:type="dxa"/>
            <w:vAlign w:val="bottom"/>
            <w:gridSpan w:val="4"/>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50"/>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Statements of Cash Flows</w:t>
              </w:r>
            </w:hyperlink>
          </w:p>
        </w:tc>
        <w:tc>
          <w:tcPr>
            <w:tcW w:w="6020" w:type="dxa"/>
            <w:vAlign w:val="bottom"/>
            <w:gridSpan w:val="9"/>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50"/>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9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Financial Statements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1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40" w:type="dxa"/>
            <w:vAlign w:val="bottom"/>
          </w:tcPr>
          <w:p>
            <w:pPr>
              <w:spacing w:after="0"/>
              <w:rPr>
                <w:sz w:val="21"/>
                <w:szCs w:val="21"/>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3540" w:type="dxa"/>
            <w:vAlign w:val="bottom"/>
            <w:gridSpan w:val="2"/>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40" w:type="dxa"/>
            <w:vAlign w:val="bottom"/>
          </w:tcPr>
          <w:p>
            <w:pPr>
              <w:spacing w:after="0"/>
              <w:rPr>
                <w:sz w:val="21"/>
                <w:szCs w:val="21"/>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6120" w:type="dxa"/>
            <w:vAlign w:val="bottom"/>
            <w:gridSpan w:val="10"/>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26"/>
        </w:trPr>
        <w:tc>
          <w:tcPr>
            <w:tcW w:w="40" w:type="dxa"/>
            <w:vAlign w:val="bottom"/>
          </w:tcPr>
          <w:p>
            <w:pPr>
              <w:spacing w:after="0"/>
              <w:rPr>
                <w:sz w:val="24"/>
                <w:szCs w:val="24"/>
                <w:color w:val="auto"/>
              </w:rPr>
            </w:pPr>
          </w:p>
        </w:tc>
        <w:tc>
          <w:tcPr>
            <w:tcW w:w="9500" w:type="dxa"/>
            <w:vAlign w:val="bottom"/>
            <w:gridSpan w:val="19"/>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17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6560" w:type="dxa"/>
            <w:vAlign w:val="bottom"/>
            <w:gridSpan w:val="11"/>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40" w:type="dxa"/>
            <w:vAlign w:val="bottom"/>
          </w:tcPr>
          <w:p>
            <w:pPr>
              <w:spacing w:after="0"/>
              <w:rPr>
                <w:sz w:val="21"/>
                <w:szCs w:val="21"/>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1A</w:t>
            </w:r>
          </w:p>
        </w:tc>
        <w:tc>
          <w:tcPr>
            <w:tcW w:w="79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2</w:t>
            </w:r>
          </w:p>
        </w:tc>
        <w:tc>
          <w:tcPr>
            <w:tcW w:w="79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40" w:type="dxa"/>
            <w:vAlign w:val="bottom"/>
          </w:tcPr>
          <w:p>
            <w:pPr>
              <w:spacing w:after="0"/>
              <w:rPr>
                <w:sz w:val="21"/>
                <w:szCs w:val="21"/>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3560" w:type="dxa"/>
            <w:vAlign w:val="bottom"/>
            <w:gridSpan w:val="3"/>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40" w:type="dxa"/>
            <w:vAlign w:val="bottom"/>
          </w:tcPr>
          <w:p>
            <w:pPr>
              <w:spacing w:after="0"/>
              <w:rPr>
                <w:sz w:val="21"/>
                <w:szCs w:val="21"/>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1"/>
                <w:szCs w:val="21"/>
                <w:color w:val="auto"/>
              </w:rPr>
            </w:pPr>
          </w:p>
        </w:tc>
        <w:tc>
          <w:tcPr>
            <w:tcW w:w="5580" w:type="dxa"/>
            <w:vAlign w:val="bottom"/>
            <w:gridSpan w:val="8"/>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40" w:type="dxa"/>
            <w:vAlign w:val="bottom"/>
          </w:tcPr>
          <w:p>
            <w:pPr>
              <w:spacing w:after="0"/>
              <w:rPr>
                <w:sz w:val="21"/>
                <w:szCs w:val="21"/>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Other Information</w:t>
              </w:r>
            </w:hyperlink>
          </w:p>
        </w:tc>
        <w:tc>
          <w:tcPr>
            <w:tcW w:w="6580" w:type="dxa"/>
            <w:vAlign w:val="bottom"/>
            <w:gridSpan w:val="12"/>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40" w:type="dxa"/>
            <w:vAlign w:val="bottom"/>
          </w:tcPr>
          <w:p>
            <w:pPr>
              <w:spacing w:after="0"/>
              <w:rPr>
                <w:sz w:val="21"/>
                <w:szCs w:val="21"/>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Item 6</w:t>
            </w:r>
          </w:p>
        </w:tc>
        <w:tc>
          <w:tcPr>
            <w:tcW w:w="790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gridSpan w:val="1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90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026"/>
        </w:trPr>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6500" w:type="dxa"/>
            <w:vAlign w:val="bottom"/>
          </w:tcPr>
          <w:p>
            <w:pPr>
              <w:jc w:val="center"/>
              <w:ind w:left="231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3"/>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(unaudited)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6500" w:type="dxa"/>
            <w:vAlign w:val="bottom"/>
          </w:tcPr>
          <w:p>
            <w:pPr>
              <w:jc w:val="center"/>
              <w:ind w:left="2310"/>
              <w:spacing w:after="0"/>
              <w:rPr>
                <w:sz w:val="20"/>
                <w:szCs w:val="20"/>
                <w:color w:val="auto"/>
              </w:rPr>
            </w:pPr>
            <w:r>
              <w:rPr>
                <w:rFonts w:ascii="Arial" w:cs="Arial" w:eastAsia="Arial" w:hAnsi="Arial"/>
                <w:sz w:val="18"/>
                <w:szCs w:val="18"/>
                <w:b w:val="1"/>
                <w:bCs w:val="1"/>
                <w:color w:val="auto"/>
              </w:rPr>
              <w:t>PHATHOM PHARMACEUTICALS, INC.</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6500" w:type="dxa"/>
            <w:vAlign w:val="bottom"/>
          </w:tcPr>
          <w:p>
            <w:pPr>
              <w:jc w:val="center"/>
              <w:ind w:left="2310"/>
              <w:spacing w:after="0"/>
              <w:rPr>
                <w:sz w:val="20"/>
                <w:szCs w:val="20"/>
                <w:color w:val="auto"/>
              </w:rPr>
            </w:pPr>
            <w:r>
              <w:rPr>
                <w:rFonts w:ascii="Arial" w:cs="Arial" w:eastAsia="Arial" w:hAnsi="Arial"/>
                <w:sz w:val="18"/>
                <w:szCs w:val="18"/>
                <w:b w:val="1"/>
                <w:bCs w:val="1"/>
                <w:color w:val="auto"/>
                <w:w w:val="85"/>
              </w:rPr>
              <w:t>Balance Sheets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6500" w:type="dxa"/>
            <w:vAlign w:val="bottom"/>
          </w:tcPr>
          <w:p>
            <w:pPr>
              <w:jc w:val="center"/>
              <w:ind w:left="22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650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(in thousands, except share and par value amounts)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5"/>
        </w:trPr>
        <w:tc>
          <w:tcPr>
            <w:tcW w:w="11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491"/>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180" w:type="dxa"/>
            <w:vAlign w:val="bottom"/>
            <w:tcBorders>
              <w:bottom w:val="single" w:sz="8" w:color="CFF0FC"/>
            </w:tcBorders>
          </w:tcPr>
          <w:p>
            <w:pPr>
              <w:spacing w:after="0"/>
              <w:rPr>
                <w:sz w:val="14"/>
                <w:szCs w:val="14"/>
                <w:color w:val="auto"/>
              </w:rPr>
            </w:pPr>
          </w:p>
        </w:tc>
        <w:tc>
          <w:tcPr>
            <w:tcW w:w="65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23"/>
        </w:trPr>
        <w:tc>
          <w:tcPr>
            <w:tcW w:w="1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w w:val="95"/>
              </w:rPr>
              <w:t>Current assets:</w:t>
            </w: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237,974</w:t>
            </w:r>
          </w:p>
        </w:tc>
        <w:tc>
          <w:tcPr>
            <w:tcW w:w="3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287,496</w:t>
            </w:r>
          </w:p>
        </w:tc>
      </w:tr>
      <w:tr>
        <w:trPr>
          <w:trHeight w:val="215"/>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 current assets (including related party amounts of $0 and $82,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89"/>
              </w:rPr>
              <w:t>respectively)</w:t>
            </w:r>
          </w:p>
        </w:tc>
        <w:tc>
          <w:tcPr>
            <w:tcW w:w="65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4,836</w:t>
            </w: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3,872</w:t>
            </w:r>
          </w:p>
        </w:tc>
      </w:tr>
      <w:tr>
        <w:trPr>
          <w:trHeight w:val="223"/>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242,810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291,368</w:t>
            </w: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907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986</w:t>
            </w: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2,261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2,373</w:t>
            </w:r>
          </w:p>
        </w:tc>
      </w:tr>
      <w:tr>
        <w:trPr>
          <w:trHeight w:val="229"/>
        </w:trPr>
        <w:tc>
          <w:tcPr>
            <w:tcW w:w="7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385</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384</w:t>
            </w:r>
          </w:p>
        </w:tc>
      </w:tr>
      <w:tr>
        <w:trPr>
          <w:trHeight w:val="223"/>
        </w:trPr>
        <w:tc>
          <w:tcPr>
            <w:tcW w:w="1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246,363</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295,111</w:t>
            </w:r>
          </w:p>
        </w:tc>
      </w:tr>
      <w:tr>
        <w:trPr>
          <w:trHeight w:val="20"/>
        </w:trPr>
        <w:tc>
          <w:tcPr>
            <w:tcW w:w="7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(including related party amounts of $335 and $173, respectively)</w:t>
            </w: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10,857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16,782</w:t>
            </w: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Accrued clinical trial expenses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10,868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19,997</w:t>
            </w: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expenses (including related party amounts of $1,000 and $734, respectively)</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6,566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10,606</w:t>
            </w: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312</w:t>
            </w: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11,765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7,353</w:t>
            </w: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474</w:t>
            </w: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40,845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55,524</w:t>
            </w:r>
          </w:p>
        </w:tc>
      </w:tr>
      <w:tr>
        <w:trPr>
          <w:trHeight w:val="230"/>
        </w:trPr>
        <w:tc>
          <w:tcPr>
            <w:tcW w:w="768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Long-term debt, net of discount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35,587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39,634</w:t>
            </w: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1,467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1,557</w:t>
            </w:r>
          </w:p>
        </w:tc>
      </w:tr>
      <w:tr>
        <w:trPr>
          <w:trHeight w:val="230"/>
        </w:trPr>
        <w:tc>
          <w:tcPr>
            <w:tcW w:w="7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4,125</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4,125</w:t>
            </w:r>
          </w:p>
        </w:tc>
      </w:tr>
      <w:tr>
        <w:trPr>
          <w:trHeight w:val="223"/>
        </w:trPr>
        <w:tc>
          <w:tcPr>
            <w:tcW w:w="11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6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82,024</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100,840</w:t>
            </w:r>
          </w:p>
        </w:tc>
      </w:tr>
      <w:tr>
        <w:trPr>
          <w:trHeight w:val="223"/>
        </w:trPr>
        <w:tc>
          <w:tcPr>
            <w:tcW w:w="118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15"/>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Preferred stock, $0.0001 par value; authorized shares — 40,000,000 at March 31, 2021 and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December 31, 2020 ; no shares issued and outstanding at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March 31, 2021 and December 31, 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3"/>
              </w:rPr>
              <w:t>Common stock, $0.0001 par value; authorized shares — 400,000,000; issued shares — 31,321,613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6"/>
              </w:rPr>
              <w:t>and 31,262,769 at March 31, 2021 and December 31, 2020, respectively; outstanding shares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28,876,510 and 28,516,010 at March 31, 2021 and December 31, 2020, respectively</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584,666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579,755</w:t>
            </w: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(420,330)</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(385,487)</w:t>
            </w:r>
          </w:p>
        </w:tc>
      </w:tr>
      <w:tr>
        <w:trPr>
          <w:trHeight w:val="223"/>
        </w:trPr>
        <w:tc>
          <w:tcPr>
            <w:tcW w:w="7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164,339</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194,271</w:t>
            </w:r>
          </w:p>
        </w:tc>
      </w:tr>
      <w:tr>
        <w:trPr>
          <w:trHeight w:val="223"/>
        </w:trPr>
        <w:tc>
          <w:tcPr>
            <w:tcW w:w="7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246,363</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295,111</w:t>
            </w:r>
          </w:p>
        </w:tc>
      </w:tr>
      <w:tr>
        <w:trPr>
          <w:trHeight w:val="20"/>
        </w:trPr>
        <w:tc>
          <w:tcPr>
            <w:tcW w:w="11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Three Months Ended</w:t>
      </w:r>
    </w:p>
    <w:p>
      <w:pPr>
        <w:jc w:val="center"/>
        <w:ind w:left="80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50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260"/>
              <w:spacing w:after="0"/>
              <w:rPr>
                <w:sz w:val="20"/>
                <w:szCs w:val="20"/>
                <w:color w:val="auto"/>
              </w:rPr>
            </w:pPr>
            <w:r>
              <w:rPr>
                <w:rFonts w:ascii="Arial" w:cs="Arial" w:eastAsia="Arial" w:hAnsi="Arial"/>
                <w:sz w:val="18"/>
                <w:szCs w:val="18"/>
                <w:color w:val="auto"/>
                <w:w w:val="99"/>
              </w:rPr>
              <w:t>Research and development (includes related party amounts of $939 and $404 respectively)</w:t>
            </w: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20,580</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15,865</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 (includes related party amounts of $16 and $43, respectively)</w:t>
            </w:r>
          </w:p>
        </w:tc>
        <w:tc>
          <w:tcPr>
            <w:tcW w:w="7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13,004</w:t>
            </w: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23"/>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33,584</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20,375</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(33,584)</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(20,375)</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9"/>
        </w:trPr>
        <w:tc>
          <w:tcPr>
            <w:tcW w:w="750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 (expense)</w:t>
            </w:r>
          </w:p>
        </w:tc>
        <w:tc>
          <w:tcPr>
            <w:tcW w:w="7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7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63"/>
        </w:trPr>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and comprehensive loss</w:t>
            </w:r>
          </w:p>
        </w:tc>
        <w:tc>
          <w:tcPr>
            <w:tcW w:w="7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(34,843)</w:t>
            </w: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(20,141)</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7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basic</w:t>
            </w: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36,298,968</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32,470,402</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ind w:left="398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vMerge w:val="restart"/>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0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04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1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28,516,010</w:t>
            </w: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579,755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(385,487)</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194,271</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from exercise of stock options</w:t>
            </w:r>
          </w:p>
        </w:tc>
        <w:tc>
          <w:tcPr>
            <w:tcW w:w="122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36,998</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401(k) matching contribution</w:t>
            </w:r>
          </w:p>
        </w:tc>
        <w:tc>
          <w:tcPr>
            <w:tcW w:w="1220" w:type="dxa"/>
            <w:vAlign w:val="bottom"/>
            <w:gridSpan w:val="2"/>
          </w:tcPr>
          <w:p>
            <w:pPr>
              <w:jc w:val="right"/>
              <w:ind w:right="36"/>
              <w:spacing w:after="0"/>
              <w:rPr>
                <w:sz w:val="20"/>
                <w:szCs w:val="20"/>
                <w:color w:val="auto"/>
              </w:rPr>
            </w:pPr>
            <w:r>
              <w:rPr>
                <w:rFonts w:ascii="Arial" w:cs="Arial" w:eastAsia="Arial" w:hAnsi="Arial"/>
                <w:sz w:val="18"/>
                <w:szCs w:val="18"/>
                <w:color w:val="auto"/>
              </w:rPr>
              <w:t>8,356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22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301,656</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3,818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ESPP shares issued</w:t>
            </w:r>
          </w:p>
        </w:tc>
        <w:tc>
          <w:tcPr>
            <w:tcW w:w="122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13,490</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(34,843)</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28,876,510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584,666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164,339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ind w:left="398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80" w:type="dxa"/>
            <w:vAlign w:val="bottom"/>
            <w:gridSpan w:val="3"/>
            <w:vMerge w:val="restart"/>
          </w:tcPr>
          <w:p>
            <w:pPr>
              <w:jc w:val="right"/>
              <w:ind w:right="336"/>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100" w:type="dxa"/>
            <w:vAlign w:val="bottom"/>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24,728,258</w:t>
            </w: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484,372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227,955</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Conversion of Lender Warrants into equity</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425,295</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25,153,553</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485,253</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(276,560)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208,695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670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color w:val="auto"/>
              </w:rPr>
              <w:t>Net loss</w:t>
            </w:r>
          </w:p>
        </w:tc>
        <w:tc>
          <w:tcPr>
            <w:tcW w:w="202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(34,843)</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(20,141)</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3,818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warrant liabilities</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0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 (includes the change in related party</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620"/>
              <w:spacing w:after="0"/>
              <w:rPr>
                <w:sz w:val="20"/>
                <w:szCs w:val="20"/>
                <w:color w:val="auto"/>
              </w:rPr>
            </w:pPr>
            <w:r>
              <w:rPr>
                <w:rFonts w:ascii="Arial" w:cs="Arial" w:eastAsia="Arial" w:hAnsi="Arial"/>
                <w:sz w:val="16"/>
                <w:szCs w:val="16"/>
                <w:color w:val="auto"/>
              </w:rPr>
              <w:t>amounts of $82, and $0, respectively)</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6,680</w:t>
            </w:r>
          </w:p>
        </w:tc>
        <w:tc>
          <w:tcPr>
            <w:tcW w:w="0" w:type="dxa"/>
            <w:vAlign w:val="bottom"/>
          </w:tcPr>
          <w:p>
            <w:pPr>
              <w:spacing w:after="0"/>
              <w:rPr>
                <w:sz w:val="1"/>
                <w:szCs w:val="1"/>
                <w:color w:val="auto"/>
              </w:rPr>
            </w:pPr>
          </w:p>
        </w:tc>
      </w:tr>
      <w:tr>
        <w:trPr>
          <w:trHeight w:val="209"/>
        </w:trPr>
        <w:tc>
          <w:tcPr>
            <w:tcW w:w="6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 and accrued expenses (includes the change in related party</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amounts of $428, and $289, respectively)</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3"/>
        </w:trPr>
        <w:tc>
          <w:tcPr>
            <w:tcW w:w="6700" w:type="dxa"/>
            <w:vAlign w:val="bottom"/>
          </w:tcPr>
          <w:p>
            <w:pPr>
              <w:ind w:left="500"/>
              <w:spacing w:after="0"/>
              <w:rPr>
                <w:sz w:val="20"/>
                <w:szCs w:val="20"/>
                <w:color w:val="auto"/>
              </w:rPr>
            </w:pPr>
            <w:r>
              <w:rPr>
                <w:rFonts w:ascii="Arial" w:cs="Arial" w:eastAsia="Arial" w:hAnsi="Arial"/>
                <w:sz w:val="16"/>
                <w:szCs w:val="16"/>
                <w:color w:val="auto"/>
              </w:rPr>
              <w:t>Accrued clinical trial expenses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(9,129)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interest</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3"/>
        </w:trPr>
        <w:tc>
          <w:tcPr>
            <w:tcW w:w="6700" w:type="dxa"/>
            <w:vAlign w:val="bottom"/>
          </w:tcPr>
          <w:p>
            <w:pPr>
              <w:ind w:left="500"/>
              <w:spacing w:after="0"/>
              <w:rPr>
                <w:sz w:val="20"/>
                <w:szCs w:val="20"/>
                <w:color w:val="auto"/>
              </w:rPr>
            </w:pPr>
            <w:r>
              <w:rPr>
                <w:rFonts w:ascii="Arial" w:cs="Arial" w:eastAsia="Arial" w:hAnsi="Arial"/>
                <w:sz w:val="16"/>
                <w:szCs w:val="16"/>
                <w:color w:val="auto"/>
              </w:rPr>
              <w:t>Operating right-of-use asset and lease liabilities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long-term assets</w:t>
            </w:r>
          </w:p>
        </w:tc>
        <w:tc>
          <w:tcPr>
            <w:tcW w:w="10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operating activities</w:t>
            </w:r>
          </w:p>
        </w:tc>
        <w:tc>
          <w:tcPr>
            <w:tcW w:w="108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(49,765)</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(11,417)</w:t>
            </w:r>
          </w:p>
        </w:tc>
        <w:tc>
          <w:tcPr>
            <w:tcW w:w="0" w:type="dxa"/>
            <w:vAlign w:val="bottom"/>
          </w:tcPr>
          <w:p>
            <w:pPr>
              <w:spacing w:after="0"/>
              <w:rPr>
                <w:sz w:val="1"/>
                <w:szCs w:val="1"/>
                <w:color w:val="auto"/>
              </w:rPr>
            </w:pPr>
          </w:p>
        </w:tc>
      </w:tr>
      <w:tr>
        <w:trPr>
          <w:trHeight w:val="212"/>
        </w:trPr>
        <w:tc>
          <w:tcPr>
            <w:tcW w:w="67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Cash paid for property, plant and equipment</w:t>
            </w:r>
          </w:p>
        </w:tc>
        <w:tc>
          <w:tcPr>
            <w:tcW w:w="10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6"/>
        </w:trPr>
        <w:tc>
          <w:tcPr>
            <w:tcW w:w="6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3"/>
        </w:trPr>
        <w:tc>
          <w:tcPr>
            <w:tcW w:w="67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from exercise of stock options</w:t>
            </w:r>
          </w:p>
        </w:tc>
        <w:tc>
          <w:tcPr>
            <w:tcW w:w="1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proceeds from issuance of long-term debt</w:t>
            </w:r>
          </w:p>
        </w:tc>
        <w:tc>
          <w:tcPr>
            <w:tcW w:w="10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3"/>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10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412</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7"/>
        </w:trPr>
        <w:tc>
          <w:tcPr>
            <w:tcW w:w="670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(49,522)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12,907</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 beginning of period</w:t>
            </w:r>
          </w:p>
        </w:tc>
        <w:tc>
          <w:tcPr>
            <w:tcW w:w="10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6"/>
              </w:rPr>
              <w:t>287,496</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243,765</w:t>
            </w:r>
          </w:p>
        </w:tc>
        <w:tc>
          <w:tcPr>
            <w:tcW w:w="0" w:type="dxa"/>
            <w:vAlign w:val="bottom"/>
          </w:tcPr>
          <w:p>
            <w:pPr>
              <w:spacing w:after="0"/>
              <w:rPr>
                <w:sz w:val="1"/>
                <w:szCs w:val="1"/>
                <w:color w:val="auto"/>
              </w:rPr>
            </w:pPr>
          </w:p>
        </w:tc>
      </w:tr>
      <w:tr>
        <w:trPr>
          <w:trHeight w:val="247"/>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 end of period</w:t>
            </w:r>
          </w:p>
        </w:tc>
        <w:tc>
          <w:tcPr>
            <w:tcW w:w="202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237,974</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256,672</w:t>
            </w:r>
          </w:p>
        </w:tc>
        <w:tc>
          <w:tcPr>
            <w:tcW w:w="0" w:type="dxa"/>
            <w:vAlign w:val="bottom"/>
          </w:tcPr>
          <w:p>
            <w:pPr>
              <w:spacing w:after="0"/>
              <w:rPr>
                <w:sz w:val="1"/>
                <w:szCs w:val="1"/>
                <w:color w:val="auto"/>
              </w:rPr>
            </w:pPr>
          </w:p>
        </w:tc>
      </w:tr>
      <w:tr>
        <w:trPr>
          <w:trHeight w:val="200"/>
        </w:trPr>
        <w:tc>
          <w:tcPr>
            <w:tcW w:w="670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Interest paid</w:t>
            </w:r>
          </w:p>
        </w:tc>
        <w:tc>
          <w:tcPr>
            <w:tcW w:w="202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906</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purchases included in accounts payable and accrued liabilities</w:t>
            </w:r>
          </w:p>
        </w:tc>
        <w:tc>
          <w:tcPr>
            <w:tcW w:w="202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Final interest payment fee</w:t>
            </w:r>
          </w:p>
        </w:tc>
        <w:tc>
          <w:tcPr>
            <w:tcW w:w="10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202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Settlement of ESPP liability in common stock</w:t>
            </w: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shd w:val="clear" w:color="auto" w:fill="CFF0FC"/>
          </w:tcPr>
          <w:p>
            <w:pPr>
              <w:spacing w:after="0"/>
              <w:rPr>
                <w:sz w:val="17"/>
                <w:szCs w:val="17"/>
                <w:color w:val="auto"/>
              </w:rPr>
            </w:pPr>
          </w:p>
        </w:tc>
        <w:tc>
          <w:tcPr>
            <w:tcW w:w="202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358</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Settlement of 401(k) liability in common stock</w:t>
            </w:r>
          </w:p>
        </w:tc>
        <w:tc>
          <w:tcPr>
            <w:tcW w:w="10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202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323</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Conversion of Lender Warrants into equity</w:t>
            </w: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shd w:val="clear" w:color="auto" w:fill="CFF0FC"/>
          </w:tcPr>
          <w:p>
            <w:pPr>
              <w:spacing w:after="0"/>
              <w:rPr>
                <w:sz w:val="17"/>
                <w:szCs w:val="17"/>
                <w:color w:val="auto"/>
              </w:rPr>
            </w:pPr>
          </w:p>
        </w:tc>
        <w:tc>
          <w:tcPr>
            <w:tcW w:w="202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Phathom Pharmaceuticals, Inc. (the “Company” or “Phathom”) was incorporated in the state of Delaware in January 2018 under the name North Bridge IV, Inc. On March 13, 2019, the Company changed its name to Phathom Pharmaceuticals, Inc. and merged with YamadaCo IIA, Inc. (“YamadaCo”), a Delaware corporation formed in September 2017, with Phathom being the surviving entity (the “Merger”). All activities of YamadaCo prior to 2018 related to formation and were insignificant. The Company is a late clinical-stage biopharmaceutical company focused on developing and commercializing novel treatments for gastrointestinal diseases.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Company’s financial statements are prepared in accordance with U.S. generally accepted accounting principles (“GAAP”). The Company and YamadaCo were entities under the common control of Frazier Life Sciences IX, L.P. (“Frazier”) as a result of, among other things, Frazier’s; (i) ownership of a majority of the outstanding capital stock of both companies, (ii) financing of both companies, (iii) control of the board of directors of both companies, and (iv) management of both companies. Both the Company and YamadaCo were formed for the purpose of identifying potential assets around which to form an operating company. All intercompany accounts and transactions have been eliminated.</w:t>
      </w:r>
    </w:p>
    <w:p>
      <w:pPr>
        <w:spacing w:after="0" w:line="136"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Interim results may not be indicative of the results that may be expected for the full year. In the opinion of management, these unaudited financial statements include all normal and recurring adjustments considered necessary for a fair presentation of these interim unaudited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From inception to March 31, 2021, the Company has devoted substantially all of its efforts to organizing and staffing the Company, business planning, raising capital, in-licensing its initial product candidate, vonoprazan, meeting with regulatory authorities, preparing for and managing the Phase 3 clinical trials of vonoprazan, building a commercial organization in preparation for a potential product launch following successful development and approval, and providing other general and administrative support for these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the development and preparation for commercialization of vonoprazan. From inception to March 31, 2021, the Company has funded its operations through the issuance of convertible promissory notes, commercial bank debt, and the sale of 10,997,630 shares of common stock for net proceeds of approximately $191.5 million in its 2019 IPO. Additionally, in December 2020, the Company raised net proceeds of $88.6 million from the sale of 2,250,000 shares of common stock at a public offering price of $39.48 per share after deducting underwriting discounts and commissions, and an additional $0.2 million in offering costs.</w:t>
      </w:r>
    </w:p>
    <w:p>
      <w:pPr>
        <w:spacing w:after="0" w:line="168" w:lineRule="exact"/>
        <w:rPr>
          <w:sz w:val="20"/>
          <w:szCs w:val="20"/>
          <w:color w:val="auto"/>
        </w:rPr>
      </w:pPr>
    </w:p>
    <w:p>
      <w:pPr>
        <w:ind w:right="280" w:firstLine="510"/>
        <w:spacing w:after="0" w:line="293"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2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300" w:firstLine="510"/>
        <w:spacing w:after="0" w:line="296" w:lineRule="auto"/>
        <w:rPr>
          <w:sz w:val="20"/>
          <w:szCs w:val="20"/>
          <w:color w:val="auto"/>
        </w:rPr>
      </w:pPr>
      <w:r>
        <w:rPr>
          <w:rFonts w:ascii="Arial" w:cs="Arial" w:eastAsia="Arial" w:hAnsi="Arial"/>
          <w:sz w:val="16"/>
          <w:szCs w:val="16"/>
          <w:color w:val="auto"/>
        </w:rPr>
        <w:t>The preparation of the Company’s financial statements requires it to make estimates and assumptions that impact the reported amounts of assets, liabilities and expenses and the disclosure of contingent assets and liabilities in the Company’s financial statements and accompanying notes. The most significant estimates in the Company’s financial statements relate to accruals for research and development expenses, and the valuation of convertible promissory notes, warrant liabilities and various other equity instruments. Although these estimates are based on the Company’s knowledge of current events and actions it may undertake in the future, actual results could differ materially from those estimates and assumptions.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85"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prepaid and other current assets, accounts payable, and accrued liabilities, approximate fair value due to their short maturities. Warrant liabilities and convertible promissory notes were recorded at fair value on a recurring basis.</w:t>
      </w:r>
    </w:p>
    <w:p>
      <w:pPr>
        <w:spacing w:after="0" w:line="157" w:lineRule="exact"/>
        <w:rPr>
          <w:sz w:val="20"/>
          <w:szCs w:val="20"/>
          <w:color w:val="auto"/>
        </w:rPr>
      </w:pPr>
    </w:p>
    <w:p>
      <w:pPr>
        <w:ind w:right="500" w:firstLine="510"/>
        <w:spacing w:after="0" w:line="308"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14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warrant liabilities consisted of warrants (the “Lender Warrants”) issued in connection with the loan and security agreement (the “Loan Agreement”) for commercial bank debt (see Note 6). The Lender Warrants were accounted for as liabilities as they contained a holder put right under which the lenders could have required the Company to pay cash in exchange for the Lender Warrants. The fair value of the Lender Warrants was estimated on the date of grant using the Black-Scholes option-pricing model with an expected term equal to the remaining contractual term of the warrants.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grant of the award for time periods approximately equal to the expected term of the award. The Company uses an expected dividend yield of zero based on the fact that the Company has never paid cash dividends and does not expect to pay cash dividends in the foreseeable future. When the Company drew down the Term Loan B under the Loan Agreement in March 2020 (see Note 6), the Lenders’ put right expired, and the Company recorded a final fair value adjustment and reclassified the Lender Warrants balance of $0.3 million to additional paid-in-capital.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reconciliation of all liabilities measured at fair value using Level 3 significant unobservable inputs (in thousands):</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jc w:val="right"/>
              <w:ind w:right="876"/>
              <w:spacing w:after="0"/>
              <w:rPr>
                <w:sz w:val="20"/>
                <w:szCs w:val="20"/>
                <w:color w:val="auto"/>
              </w:rPr>
            </w:pPr>
            <w:r>
              <w:rPr>
                <w:rFonts w:ascii="Arial" w:cs="Arial" w:eastAsia="Arial" w:hAnsi="Arial"/>
                <w:sz w:val="14"/>
                <w:szCs w:val="14"/>
                <w:b w:val="1"/>
                <w:bCs w:val="1"/>
                <w:color w:val="auto"/>
              </w:rPr>
              <w:t>Warrant</w:t>
            </w:r>
          </w:p>
        </w:tc>
      </w:tr>
      <w:tr>
        <w:trPr>
          <w:trHeight w:val="171"/>
        </w:trPr>
        <w:tc>
          <w:tcPr>
            <w:tcW w:w="5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Liabilities</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413</w:t>
            </w: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4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of Lender Warrants into equity (Note 6)</w:t>
            </w:r>
          </w:p>
        </w:tc>
        <w:tc>
          <w:tcPr>
            <w:tcW w:w="4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9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9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Property, plant and equipment are recorded at cost, less accumulated depreciation. Depreciation expense is recognized using the straight-line method over the useful life of the asset. Computer equipment and related software are depreciated over two to three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March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Accruals</w:t>
      </w:r>
    </w:p>
    <w:p>
      <w:pPr>
        <w:spacing w:after="0" w:line="198" w:lineRule="exact"/>
        <w:rPr>
          <w:sz w:val="20"/>
          <w:szCs w:val="20"/>
          <w:color w:val="auto"/>
        </w:rPr>
      </w:pPr>
    </w:p>
    <w:p>
      <w:pPr>
        <w:ind w:right="120" w:firstLine="667"/>
        <w:spacing w:after="0" w:line="259" w:lineRule="auto"/>
        <w:rPr>
          <w:sz w:val="20"/>
          <w:szCs w:val="20"/>
          <w:color w:val="auto"/>
        </w:rPr>
      </w:pPr>
      <w:r>
        <w:rPr>
          <w:rFonts w:ascii="Arial" w:cs="Arial" w:eastAsia="Arial" w:hAnsi="Arial"/>
          <w:sz w:val="18"/>
          <w:szCs w:val="18"/>
          <w:color w:val="auto"/>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p>
    <w:p>
      <w:pPr>
        <w:spacing w:after="0" w:line="146" w:lineRule="exact"/>
        <w:rPr>
          <w:sz w:val="20"/>
          <w:szCs w:val="20"/>
          <w:color w:val="auto"/>
        </w:rPr>
      </w:pPr>
    </w:p>
    <w:p>
      <w:pPr>
        <w:ind w:right="80" w:firstLine="667"/>
        <w:spacing w:after="0" w:line="272" w:lineRule="auto"/>
        <w:rPr>
          <w:sz w:val="20"/>
          <w:szCs w:val="20"/>
          <w:color w:val="auto"/>
        </w:rPr>
      </w:pPr>
      <w:r>
        <w:rPr>
          <w:rFonts w:ascii="Arial" w:cs="Arial" w:eastAsia="Arial" w:hAnsi="Arial"/>
          <w:sz w:val="17"/>
          <w:szCs w:val="17"/>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9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20" w:firstLine="667"/>
        <w:spacing w:after="0" w:line="277" w:lineRule="auto"/>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(generally the vesting period) on a straight-line basis with forfeitures recognized as they occur.</w:t>
      </w:r>
    </w:p>
    <w:p>
      <w:pPr>
        <w:spacing w:after="0" w:line="130" w:lineRule="exact"/>
        <w:rPr>
          <w:sz w:val="20"/>
          <w:szCs w:val="20"/>
          <w:color w:val="auto"/>
        </w:rPr>
      </w:pPr>
    </w:p>
    <w:p>
      <w:pPr>
        <w:ind w:firstLine="667"/>
        <w:spacing w:after="0" w:line="311" w:lineRule="auto"/>
        <w:rPr>
          <w:sz w:val="20"/>
          <w:szCs w:val="20"/>
          <w:color w:val="auto"/>
        </w:rPr>
      </w:pPr>
      <w:r>
        <w:rPr>
          <w:rFonts w:ascii="Arial" w:cs="Arial" w:eastAsia="Arial" w:hAnsi="Arial"/>
          <w:sz w:val="16"/>
          <w:szCs w:val="16"/>
          <w:color w:val="auto"/>
        </w:rPr>
        <w:t>The Company also maintains an employee stock purchase program ("ESPP") under which it issues shares. The Company estimates the fair value of stock options and shares that will be issued under the ESPP using the Black-Scholes valuation model, which requires the use of estimates. The Company recognizes stock-based compensation cost for shares that it will issue under the ESPP on a straight-line basis over the requisite service period of the award.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4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4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Comprehensive loss is defined as a change in equity during a period from transactions and other events and circumstances from non-owner sources.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comprehensive loss was the same as its reported net loss for all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8"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Basic net loss per share is computed by dividing the net loss by the weighted-average number of common shares outstanding for the period, without consideration for potentially dilutive securities. The Company included 7,588,000 shares of common stock under its warrant (the “Takeda Warrant”) issued to Takeda Pharmaceutical Company Limited (“Takeda”) in connection with a May 2019 license agreement (see Note 4) in the calculation of basic weighted-average common shares outstanding from the time it became exercisable at the Company’s IPO because the Takeda Warrant is exercisable for little consideration. For the three months ended March 31, 2021 and 2020, the Company has excluded weighted-average unvested shares of 2,582,666 and 4,082,104, respectively,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all periods presented, there is no difference in the number of shares used to calculate basic and diluted shares outstanding as inclusion of the potentially dilutive securities (warrants, stock options, and common shares subject to repurchase) would be antidilutive.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16" w:lineRule="exact"/>
        <w:rPr>
          <w:sz w:val="20"/>
          <w:szCs w:val="20"/>
          <w:color w:val="auto"/>
        </w:rPr>
      </w:pPr>
    </w:p>
    <w:p>
      <w:pPr>
        <w:ind w:right="60" w:firstLine="564"/>
        <w:spacing w:after="0" w:line="27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simplifies the accounting for income taxes. ASU 2019-12 is effective for annual reporting periods, and interim periods within those annual periods, beginning after December 15, 2020 on a prospective basis, and early adoption is permitted. The Company adopted this guidance effective January 1, 2021, and the adoption did not have a material impact on the Company's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ind w:right="420" w:firstLine="667"/>
        <w:spacing w:after="0" w:line="259" w:lineRule="auto"/>
        <w:rPr>
          <w:sz w:val="20"/>
          <w:szCs w:val="20"/>
          <w:color w:val="auto"/>
        </w:rPr>
      </w:pPr>
      <w:r>
        <w:rPr>
          <w:rFonts w:ascii="Arial" w:cs="Arial" w:eastAsia="Arial" w:hAnsi="Arial"/>
          <w:sz w:val="18"/>
          <w:szCs w:val="18"/>
          <w:color w:val="auto"/>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Annual Report on Form 10-K for the year ended December 31, 2020. There were no new material accounting standards issued in the first quarter of 2021 that impacted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net, consist of the following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5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2020</w:t>
            </w: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516</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747</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54</w:t>
            </w:r>
          </w:p>
        </w:tc>
      </w:tr>
      <w:tr>
        <w:trPr>
          <w:trHeight w:val="223"/>
        </w:trPr>
        <w:tc>
          <w:tcPr>
            <w:tcW w:w="4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1,317</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986</w:t>
            </w:r>
          </w:p>
        </w:tc>
      </w:tr>
      <w:tr>
        <w:trPr>
          <w:trHeight w:val="20"/>
        </w:trPr>
        <w:tc>
          <w:tcPr>
            <w:tcW w:w="4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Depreciation expense for the three months ended March 31, 2021 and 2020 was approximately $125,000 and $52,000, respectively. No property, plant or equipment was disposed of during the three months ended March 31, 2021 or the year ended December 31,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jc w:val="right"/>
              <w:ind w:right="36"/>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575"/>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8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855"/>
              <w:spacing w:after="0"/>
              <w:rPr>
                <w:sz w:val="20"/>
                <w:szCs w:val="20"/>
                <w:color w:val="auto"/>
              </w:rPr>
            </w:pPr>
            <w:r>
              <w:rPr>
                <w:rFonts w:ascii="Arial" w:cs="Arial" w:eastAsia="Arial" w:hAnsi="Arial"/>
                <w:sz w:val="14"/>
                <w:szCs w:val="14"/>
                <w:b w:val="1"/>
                <w:bCs w:val="1"/>
                <w:color w:val="auto"/>
              </w:rPr>
              <w:t>2020</w:t>
            </w:r>
          </w:p>
        </w:tc>
        <w:tc>
          <w:tcPr>
            <w:tcW w:w="114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9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3,202</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4,864</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Accrued compensation expenses</w:t>
            </w: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1,827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4,587</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&amp; consulting expenses</w:t>
            </w:r>
          </w:p>
        </w:tc>
        <w:tc>
          <w:tcPr>
            <w:tcW w:w="9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1,463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1,123</w:t>
            </w: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9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9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6,566</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10,606</w:t>
            </w: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61"/>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80" w:type="dxa"/>
            <w:vAlign w:val="bottom"/>
            <w:gridSpan w:val="2"/>
          </w:tcPr>
          <w:p>
            <w:pPr>
              <w:jc w:val="right"/>
              <w:ind w:right="1396"/>
              <w:spacing w:after="0"/>
              <w:rPr>
                <w:sz w:val="20"/>
                <w:szCs w:val="20"/>
                <w:color w:val="auto"/>
              </w:rPr>
            </w:pPr>
            <w:r>
              <w:rPr>
                <w:rFonts w:ascii="Arial" w:cs="Arial" w:eastAsia="Arial" w:hAnsi="Arial"/>
                <w:sz w:val="18"/>
                <w:szCs w:val="18"/>
                <w:color w:val="auto"/>
              </w:rPr>
              <w:t>F-10</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89"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Frazier is a principal stockholder of the Company and is represented on the Company’s board of directors. The Company has conducted operations within office space controlled by Frazier and Frazier allocated a portion of the costs associated with this office space to the Company. In addition, Frazier paid for various goods and services, such as employee wages, insurance and expense reimbursements and various administrative services associated with the operations of the Company and charged the Company for those expenses. As of March 31, 2021 and December 31, 2020 the Company had outstanding accounts payable and accrued expenses due to Frazier in the amount of $17,000 and $35,000, respectively, related to these shared operating expenses. For the three months ended March 31, 2021 and 2020, the Company incurred $16,000 and $43,000, respectively, of shared operating expenses. In addition to the shared operating expenses, the Company issued convertible promissory notes to Frazier during 2018 and 2019.</w:t>
      </w:r>
    </w:p>
    <w:p>
      <w:pPr>
        <w:spacing w:after="0" w:line="12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Frazier is a principal stockholder in PCI Pharma Services (“PCI”). In the third quarter of 2019, the Company engaged PCI for clinical manufacturing services. As of March 31, 2021 and December 31, 2020, the Company had $0.9 million and $0.4 million, respectively, outstanding accounts payable and accrued expenses related to these manufacturing services. For the three months ended March 31, 2021 and 2020, the Company incurred $0.9 million and $0.4 million, respectively, of expenses related to services performed by PCI.</w:t>
      </w:r>
    </w:p>
    <w:p>
      <w:pPr>
        <w:spacing w:after="0" w:line="160"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Takeda became a common stockholder of the Company in connection with the May 2019 license agreement (see Note 4). In conjunction with this license, Takeda provides proprietary supplies for the Company’s ongoing clinical development of vonoprazan in addition to the exclusive license for the commercialization of vonoprazan in the United States, Canada and Europe. As of March 31, 2021 and December 31, 2020, the Company had $22,000 and $22,000, respectively, in outstanding accounts payable and accrued expenses related to these supply services. The Company did not have any such expenses incurred for the three months ended March 31, 2021 and 2020 related to services performed by Takeda.</w:t>
      </w:r>
    </w:p>
    <w:p>
      <w:pPr>
        <w:spacing w:after="0" w:line="136"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On May 5, 2020, the Company entered into a Commercial Supply Agreement (the “Commercial Supply Agreement”) with Takeda, pursuant to which Takeda will supply commercial quantities of vonoprazan bulk drug product. Pursuant to the Commercial Supply Agreement, Takeda has agreed to supply the Company with and the Company has agreed to purchase from Takeda certain quantities of vonoprazan bulk drug product according to approved specifications at a fixed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for the first commercial launch of vonoprazan in any jurisdiction in the licensed territory, provided that this two-year period will expire no later than December 31, 2023. The Commercial Supply Agreement will terminate immediately upon the termination of the Takeda License in accordance with its terms. As of March 31, 2021 and December 31, 2020, the Company had $0.2 million and $0.2 million, respectively, in outstanding accounts payable and accrued expenses related to these bulk drug product costs. For the three months ended March 31, 2021, the Company incurred no expense related to the Commercial Supply Agreement. The Company has a remaining minimum purchase obligation of approximately $2.2 million related to this agreement.</w:t>
      </w:r>
    </w:p>
    <w:p>
      <w:pPr>
        <w:spacing w:after="0" w:line="18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connection with the Takeda License, the Company entered into a temporary services agreement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termination of the Takeda License in accordance with its terms. As of March 31, 2021 and December 31, 2021, the Company had $0.2 million and $0.2 million, respectively, in outstanding accounts payable and accrued expenses related to these temporary services.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9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5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Company incurred $0.1 million of transaction costs in connection with the Takeda License. The Takeda Warrant has an exercise price of $0.00004613 per share, expires on May 7, 2029 and became exercisable upon the consummation of the IPO. Following the October 11, 2019 increase in the Company’s authorized shares of common stock to 50,000,000, the Company recorded a non-cash charge related to the final fair value adjustment of the Takeda Warrants and reclassified the full balance of $144.2 million from warrant liabilities to additional paid-in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8"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approximately $3.8 million in the first 24-month period following the launch of the final product. The Company has not incurred any expenses under the agreement during the three months ended March 31,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85"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 Commitments</w:t>
      </w:r>
    </w:p>
    <w:p>
      <w:pPr>
        <w:spacing w:after="0" w:line="18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As of March 31, 2021, the Company had operating leases for office space in both Buffalo Grove, Illinois and Florham Park, New Jersey, with remaining lease terms of 4.1 years and 4.4 years, respectively. Both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total rent expense for the three months ended March 31, 2021 and 2020 was approximately $0.2 million and $0.1 million, respectively.</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6"/>
          <w:szCs w:val="16"/>
          <w:color w:val="auto"/>
        </w:rPr>
        <w:t>The following table summarizes supplemental balance sheet information related to the operating leases as of March 31, 2021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Borders>
              <w:bottom w:val="single" w:sz="8" w:color="CFF0FC"/>
            </w:tcBorders>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Operating lease right-of-use assets</w:t>
            </w:r>
          </w:p>
        </w:tc>
        <w:tc>
          <w:tcPr>
            <w:tcW w:w="15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2,261</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right-of-use assets</w:t>
            </w:r>
          </w:p>
        </w:tc>
        <w:tc>
          <w:tcPr>
            <w:tcW w:w="15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2,261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Operating lease liabilities, current</w:t>
            </w: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15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15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the future minimum annual lease payments under the operating leases were as follows (in thousands):</w:t>
      </w:r>
    </w:p>
    <w:p>
      <w:pPr>
        <w:sectPr>
          <w:pgSz w:w="11900" w:h="16838" w:orient="portrait"/>
          <w:cols w:equalWidth="0" w:num="1">
            <w:col w:w="11240"/>
          </w:cols>
          <w:pgMar w:left="320" w:top="746" w:right="339" w:bottom="1440" w:gutter="0" w:footer="0" w:header="0"/>
        </w:sectPr>
      </w:pPr>
    </w:p>
    <w:p>
      <w:pPr>
        <w:spacing w:after="0" w:line="23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Thereafter</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570039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7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Present value of operating lease liabilities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lease liabilities</w:t>
      </w: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-115570</wp:posOffset>
            </wp:positionV>
            <wp:extent cx="570039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Weighted-average incremental borrowing rate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240" w:type="dxa"/>
            <w:vAlign w:val="bottom"/>
            <w:gridSpan w:val="2"/>
          </w:tcPr>
          <w:p>
            <w:pPr>
              <w:jc w:val="right"/>
              <w:ind w:right="1067"/>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368</w:t>
            </w:r>
          </w:p>
        </w:tc>
      </w:tr>
      <w:tr>
        <w:trPr>
          <w:trHeight w:val="22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503</w:t>
            </w:r>
          </w:p>
        </w:tc>
      </w:tr>
      <w:tr>
        <w:trPr>
          <w:trHeight w:val="23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516</w:t>
            </w:r>
          </w:p>
        </w:tc>
      </w:tr>
      <w:tr>
        <w:trPr>
          <w:trHeight w:val="22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529</w:t>
            </w:r>
          </w:p>
        </w:tc>
      </w:tr>
      <w:tr>
        <w:trPr>
          <w:trHeight w:val="230"/>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342</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06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2,258</w:t>
            </w: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(314)</w:t>
            </w:r>
          </w:p>
        </w:tc>
      </w:tr>
      <w:tr>
        <w:trPr>
          <w:trHeight w:val="23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1,944</w:t>
            </w:r>
          </w:p>
        </w:tc>
      </w:tr>
      <w:tr>
        <w:trPr>
          <w:trHeight w:val="230"/>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(477)</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06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1,467</w:t>
            </w: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4.31</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7.25%</w:t>
            </w:r>
          </w:p>
        </w:tc>
      </w:tr>
    </w:tbl>
    <w:p>
      <w:pPr>
        <w:spacing w:after="0" w:line="200" w:lineRule="exact"/>
        <w:rPr>
          <w:sz w:val="20"/>
          <w:szCs w:val="20"/>
          <w:color w:val="auto"/>
        </w:rPr>
      </w:pPr>
    </w:p>
    <w:p>
      <w:pPr>
        <w:sectPr>
          <w:pgSz w:w="11900" w:h="16838" w:orient="portrait"/>
          <w:cols w:equalWidth="0" w:num="2">
            <w:col w:w="6400" w:space="720"/>
            <w:col w:w="4120"/>
          </w:cols>
          <w:pgMar w:left="320" w:top="746" w:right="339" w:bottom="1440" w:gutter="0" w:footer="0" w:header="0"/>
          <w:type w:val="continuous"/>
        </w:sectPr>
      </w:pPr>
    </w:p>
    <w:p>
      <w:pPr>
        <w:spacing w:after="0" w:line="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Operating cash flows for the three months ended March 31, 2021 included $0.2 million in cash payments for operating leases. Operating cash flows for the three months ended March 31, 2020 included $0.3 million in cash payments for operating leases, $0.2 million of which were prepaid lease payments.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w:t>
      </w:r>
      <w:r>
        <w:rPr>
          <w:rFonts w:ascii="Arial" w:cs="Arial" w:eastAsia="Arial" w:hAnsi="Arial"/>
          <w:sz w:val="17"/>
          <w:szCs w:val="17"/>
          <w:b w:val="1"/>
          <w:bCs w:val="1"/>
          <w:color w:val="auto"/>
        </w:rPr>
        <w:t>. Debt</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Total debt consists of the following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ind w:right="476"/>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0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Long-term debt, current portion</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11,765</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Long-term debt, non-current portion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38,235</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discount</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debt, net of debt discount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47,352</w:t>
            </w: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231F20"/>
        </w:rPr>
        <w:t>On May 14, 2019, the Company entered into a loan and security agreement (the “Loan Agreement”, and all amounts borrowed thereunder the “Term Loans”) with Silicon Valley Bank (“SVB”), as administrative and collateral agent, and lenders including SVB and WestRiver Innovation Lending Fund VIII, L.P. (“WestRiver”). The Company borrowed $25.0 million (“Term Loan A”) at the inception of the Loan Agreement and an additional $25.0 million (“Term Loan B”) on March 16, 2020.</w:t>
      </w:r>
    </w:p>
    <w:p>
      <w:pPr>
        <w:spacing w:after="0" w:line="14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231F20"/>
        </w:rPr>
        <w:t xml:space="preserve">The Term Loans bear interest at a floating rate of the higher of the Wall Street Journal Prime rate plus 1.75% (5% at March 31, 2021) or 7.25%. Under the original Loan Agreement, the monthly payments consisted of interest-only through May 31, 2021. On March 11, 2020, the Company entered into the first amendment and on March 11, 2021, the Company entered into the second amendment (together the “Amendments”) to the Loan Agreement. Pursuant to the Amendments, the interest-only payment period was extended through July 31, 2021, and could be further extended either (i) until December 31, 2021, if the Company receives positive data from its Phase 3 clinical trial in </w:t>
      </w:r>
      <w:r>
        <w:rPr>
          <w:rFonts w:ascii="Arial" w:cs="Arial" w:eastAsia="Arial" w:hAnsi="Arial"/>
          <w:sz w:val="17"/>
          <w:szCs w:val="17"/>
          <w:i w:val="1"/>
          <w:iCs w:val="1"/>
          <w:color w:val="231F20"/>
        </w:rPr>
        <w:t>H. pylori</w:t>
      </w:r>
      <w:r>
        <w:rPr>
          <w:rFonts w:ascii="Arial" w:cs="Arial" w:eastAsia="Arial" w:hAnsi="Arial"/>
          <w:sz w:val="17"/>
          <w:szCs w:val="17"/>
          <w:color w:val="231F20"/>
        </w:rPr>
        <w:t xml:space="preserve"> infection sufficient to file a New Drug Application (“NDA”) with the U.S. Food and Drug Administration (“FDA”); or (ii) until November 30, 2022, if the Company receives positive data from its Phase 3 clinical trials in both indications for vonoprazan sufficient to file an NDA with the FDA; </w:t>
      </w:r>
      <w:r>
        <w:rPr>
          <w:rFonts w:ascii="Arial" w:cs="Arial" w:eastAsia="Arial" w:hAnsi="Arial"/>
          <w:sz w:val="17"/>
          <w:szCs w:val="17"/>
          <w:color w:val="000000"/>
        </w:rPr>
        <w:t>provided, in each case, that the Company had drawn down an additional $25.0</w:t>
      </w:r>
      <w:r>
        <w:rPr>
          <w:rFonts w:ascii="Arial" w:cs="Arial" w:eastAsia="Arial" w:hAnsi="Arial"/>
          <w:sz w:val="17"/>
          <w:szCs w:val="17"/>
          <w:color w:val="231F20"/>
        </w:rPr>
        <w:t xml:space="preserve"> </w:t>
      </w:r>
      <w:r>
        <w:rPr>
          <w:rFonts w:ascii="Arial" w:cs="Arial" w:eastAsia="Arial" w:hAnsi="Arial"/>
          <w:sz w:val="17"/>
          <w:szCs w:val="17"/>
          <w:color w:val="000000"/>
        </w:rPr>
        <w:t xml:space="preserve">million, Term Loan B, pursuant to the Loan Agreement. </w:t>
      </w:r>
      <w:r>
        <w:rPr>
          <w:rFonts w:ascii="Arial" w:cs="Arial" w:eastAsia="Arial" w:hAnsi="Arial"/>
          <w:sz w:val="17"/>
          <w:szCs w:val="17"/>
          <w:color w:val="231F20"/>
        </w:rPr>
        <w:t>Subsequent to the interest-only period, the Term Loans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5" w:name="page16"/>
    <w:bookmarkEnd w:id="15"/>
    <w:p>
      <w:pPr>
        <w:ind w:right="240"/>
        <w:spacing w:after="0" w:line="263" w:lineRule="auto"/>
        <w:rPr>
          <w:sz w:val="20"/>
          <w:szCs w:val="20"/>
          <w:color w:val="auto"/>
        </w:rPr>
      </w:pPr>
      <w:r>
        <w:rPr>
          <w:rFonts w:ascii="Arial" w:cs="Arial" w:eastAsia="Arial" w:hAnsi="Arial"/>
          <w:sz w:val="18"/>
          <w:szCs w:val="18"/>
          <w:color w:val="231F20"/>
        </w:rPr>
        <w:t>will be payable in equal monthly installments of principal, plus accrued and unpaid interest through the maturity date of May 1, 2024. In addition, the Company is obligated to pay a final payment fee of 8.25% of the original principal amount of the Term Loans. As of March 31, 2021, the aggregate final payment fee for the Term Loans of $4.1 million has been recorded as an other long-term liability.</w:t>
      </w:r>
    </w:p>
    <w:p>
      <w:pPr>
        <w:spacing w:after="0" w:line="15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231F20"/>
        </w:rPr>
        <w:t>The Company may elect to prepay all or a portion of the Term Loans prior to maturity, subject to a prepayment fee of up to 2.0% of the then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231F20"/>
        </w:rPr>
        <w:t>outstanding principal balance and payment of a pro rata portion of the final payment fee. After repayment, no Term Loan amounts may be borrowed again.</w:t>
      </w:r>
    </w:p>
    <w:p>
      <w:pPr>
        <w:spacing w:after="0" w:line="193"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auto"/>
        </w:rPr>
        <w:t>The borrowings under the Loan Agreement are collateralized by substantially all of the Company’s assets, excluding intellectual property and certain other assets. The Loan Agreement includes affirmative and negative covenants. The affirmative covenants include, among others, covenants requiring the Company to maintain its legal existence and governmental approvals, deliver certain financial reports, maintain insurance coverage and satisfy certain requirements regarding its operating accounts. The negative covenants include, among others, limitations on the Company’s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The Loan Agreement also contains customary events of default, including bankruptcy, the failure to make payments when due, and a material adverse change. Upon the occurrence of an event of default, subject to any specified cure periods, all amounts owed by the Company would begin to bear interest at a rate that is 4.00% above the rate effective immediately before the event of default and may be declared immediately due and payable by SVB, as collateral agent. As of March 31, 2021, the Company was in compliance with all applicable covenants under the Loan Agreement.</w:t>
      </w:r>
    </w:p>
    <w:p>
      <w:pPr>
        <w:spacing w:after="0" w:line="12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connection with the Loan Agreement, the Company issued the Lender Warrants to purchase stock of the Company, which expire ten years from the date of issuance. Upon completion of the IPO in 2019, the Lender Warrants became exercisable for 16,446 shares of common stock. The Lender Warrants included a put option pursuant to which, in the event that the Company did not draw down Term Loan B on or before March 31, 2020, the warrant holders could have required that the Company repurchase the warrants for a total aggregate repurchase price of $0.5 million. Upon the Term Loan B draw in March 2020, the Lender Warrants became exercisable and the put option related to the Lender Warrants expired. Accordingly, the Company recorded a final fair value adjustment and reclassified the Lender Warrants balance of $0.3 million to additional paid-in-capital.</w:t>
      </w:r>
    </w:p>
    <w:p>
      <w:pPr>
        <w:spacing w:after="0" w:line="13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initial $0.4 million fair value of the Lender Warrants, the $4.1 million final payment fee and $0.2 million of debt issuance costs have been recorded as debt discount and are being amortized to interest expense using the effective interest method over the term of the Term Loans. During the three months ended March 31, 2021 and 2020, the Company recognized $1.3 million and $0.7 million, respectively, of interest expense, including amortization of the debt discount, in connection with the Loan Agreement. As of March 31, 2021, the Company had outstanding Term Loans of $50.0 million and accrued interest of $0.3 million.</w:t>
      </w:r>
    </w:p>
    <w:p>
      <w:pPr>
        <w:spacing w:after="0" w:line="14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Future minimum principal and interest payments under the Term Loans, including the final payment fee, as of March 31, 2021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2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20" w:type="dxa"/>
            <w:vAlign w:val="bottom"/>
          </w:tcPr>
          <w:p>
            <w:pPr>
              <w:jc w:val="right"/>
              <w:ind w:right="2230"/>
              <w:spacing w:after="0"/>
              <w:rPr>
                <w:sz w:val="20"/>
                <w:szCs w:val="20"/>
                <w:color w:val="auto"/>
              </w:rPr>
            </w:pPr>
            <w:r>
              <w:rPr>
                <w:rFonts w:ascii="Arial" w:cs="Arial" w:eastAsia="Arial" w:hAnsi="Arial"/>
                <w:sz w:val="18"/>
                <w:szCs w:val="18"/>
                <w:color w:val="auto"/>
              </w:rPr>
              <w:t>2021</w:t>
            </w:r>
          </w:p>
        </w:tc>
        <w:tc>
          <w:tcPr>
            <w:tcW w:w="270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10,032</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20" w:type="dxa"/>
            <w:vAlign w:val="bottom"/>
            <w:shd w:val="clear" w:color="auto" w:fill="CFF0FC"/>
          </w:tcPr>
          <w:p>
            <w:pPr>
              <w:jc w:val="right"/>
              <w:ind w:right="2230"/>
              <w:spacing w:after="0"/>
              <w:rPr>
                <w:sz w:val="20"/>
                <w:szCs w:val="20"/>
                <w:color w:val="auto"/>
              </w:rPr>
            </w:pPr>
            <w:r>
              <w:rPr>
                <w:rFonts w:ascii="Arial" w:cs="Arial" w:eastAsia="Arial" w:hAnsi="Arial"/>
                <w:sz w:val="18"/>
                <w:szCs w:val="18"/>
                <w:color w:val="auto"/>
              </w:rPr>
              <w:t>2022</w:t>
            </w:r>
          </w:p>
        </w:tc>
        <w:tc>
          <w:tcPr>
            <w:tcW w:w="2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20,187</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20" w:type="dxa"/>
            <w:vAlign w:val="bottom"/>
          </w:tcPr>
          <w:p>
            <w:pPr>
              <w:jc w:val="right"/>
              <w:ind w:right="2230"/>
              <w:spacing w:after="0"/>
              <w:rPr>
                <w:sz w:val="20"/>
                <w:szCs w:val="20"/>
                <w:color w:val="auto"/>
              </w:rPr>
            </w:pPr>
            <w:r>
              <w:rPr>
                <w:rFonts w:ascii="Arial" w:cs="Arial" w:eastAsia="Arial" w:hAnsi="Arial"/>
                <w:sz w:val="18"/>
                <w:szCs w:val="18"/>
                <w:color w:val="auto"/>
              </w:rPr>
              <w:t>2023</w:t>
            </w:r>
          </w:p>
        </w:tc>
        <w:tc>
          <w:tcPr>
            <w:tcW w:w="2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18,889</w:t>
            </w:r>
          </w:p>
        </w:tc>
        <w:tc>
          <w:tcPr>
            <w:tcW w:w="226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920" w:type="dxa"/>
            <w:vAlign w:val="bottom"/>
            <w:shd w:val="clear" w:color="auto" w:fill="CFF0FC"/>
          </w:tcPr>
          <w:p>
            <w:pPr>
              <w:jc w:val="right"/>
              <w:ind w:right="2230"/>
              <w:spacing w:after="0"/>
              <w:rPr>
                <w:sz w:val="20"/>
                <w:szCs w:val="20"/>
                <w:color w:val="auto"/>
              </w:rPr>
            </w:pPr>
            <w:r>
              <w:rPr>
                <w:rFonts w:ascii="Arial" w:cs="Arial" w:eastAsia="Arial" w:hAnsi="Arial"/>
                <w:sz w:val="18"/>
                <w:szCs w:val="18"/>
                <w:color w:val="auto"/>
              </w:rPr>
              <w:t>2024</w:t>
            </w:r>
          </w:p>
        </w:tc>
        <w:tc>
          <w:tcPr>
            <w:tcW w:w="2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11,614</w:t>
            </w:r>
          </w:p>
        </w:tc>
        <w:tc>
          <w:tcPr>
            <w:tcW w:w="2260" w:type="dxa"/>
            <w:vAlign w:val="bottom"/>
          </w:tcPr>
          <w:p>
            <w:pPr>
              <w:spacing w:after="0"/>
              <w:rPr>
                <w:sz w:val="19"/>
                <w:szCs w:val="19"/>
                <w:color w:val="auto"/>
              </w:rPr>
            </w:pPr>
          </w:p>
        </w:tc>
      </w:tr>
      <w:tr>
        <w:trPr>
          <w:trHeight w:val="223"/>
        </w:trPr>
        <w:tc>
          <w:tcPr>
            <w:tcW w:w="5180" w:type="dxa"/>
            <w:vAlign w:val="bottom"/>
            <w:gridSpan w:val="2"/>
          </w:tcPr>
          <w:p>
            <w:pPr>
              <w:ind w:left="2260"/>
              <w:spacing w:after="0"/>
              <w:rPr>
                <w:sz w:val="20"/>
                <w:szCs w:val="20"/>
                <w:color w:val="auto"/>
              </w:rPr>
            </w:pPr>
            <w:r>
              <w:rPr>
                <w:rFonts w:ascii="Arial" w:cs="Arial" w:eastAsia="Arial" w:hAnsi="Arial"/>
                <w:sz w:val="18"/>
                <w:szCs w:val="18"/>
                <w:color w:val="auto"/>
                <w:w w:val="98"/>
              </w:rPr>
              <w:t>Total principal and interest payments</w:t>
            </w:r>
          </w:p>
        </w:tc>
        <w:tc>
          <w:tcPr>
            <w:tcW w:w="2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60,722</w:t>
            </w:r>
          </w:p>
        </w:tc>
        <w:tc>
          <w:tcPr>
            <w:tcW w:w="226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Less interest and final payment fee</w:t>
            </w:r>
          </w:p>
        </w:tc>
        <w:tc>
          <w:tcPr>
            <w:tcW w:w="2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(10,722)</w:t>
            </w:r>
          </w:p>
        </w:tc>
        <w:tc>
          <w:tcPr>
            <w:tcW w:w="2260" w:type="dxa"/>
            <w:vAlign w:val="bottom"/>
          </w:tcPr>
          <w:p>
            <w:pPr>
              <w:spacing w:after="0"/>
              <w:rPr>
                <w:sz w:val="19"/>
                <w:szCs w:val="19"/>
                <w:color w:val="auto"/>
              </w:rPr>
            </w:pPr>
          </w:p>
        </w:tc>
      </w:tr>
      <w:tr>
        <w:trPr>
          <w:trHeight w:val="223"/>
        </w:trPr>
        <w:tc>
          <w:tcPr>
            <w:tcW w:w="5180" w:type="dxa"/>
            <w:vAlign w:val="bottom"/>
            <w:gridSpan w:val="2"/>
          </w:tcPr>
          <w:p>
            <w:pPr>
              <w:ind w:left="2260"/>
              <w:spacing w:after="0"/>
              <w:rPr>
                <w:sz w:val="20"/>
                <w:szCs w:val="20"/>
                <w:color w:val="auto"/>
              </w:rPr>
            </w:pPr>
            <w:r>
              <w:rPr>
                <w:rFonts w:ascii="Arial" w:cs="Arial" w:eastAsia="Arial" w:hAnsi="Arial"/>
                <w:sz w:val="18"/>
                <w:szCs w:val="18"/>
                <w:color w:val="auto"/>
              </w:rPr>
              <w:t>Total term loan borrowings</w:t>
            </w:r>
          </w:p>
        </w:tc>
        <w:tc>
          <w:tcPr>
            <w:tcW w:w="218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50,000</w:t>
            </w:r>
          </w:p>
        </w:tc>
        <w:tc>
          <w:tcPr>
            <w:tcW w:w="226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845"/>
        </w:trPr>
        <w:tc>
          <w:tcPr>
            <w:tcW w:w="2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700" w:type="dxa"/>
            <w:vAlign w:val="bottom"/>
            <w:gridSpan w:val="2"/>
          </w:tcPr>
          <w:p>
            <w:pPr>
              <w:jc w:val="right"/>
              <w:ind w:right="2007"/>
              <w:spacing w:after="0"/>
              <w:rPr>
                <w:sz w:val="20"/>
                <w:szCs w:val="20"/>
                <w:color w:val="auto"/>
              </w:rPr>
            </w:pPr>
            <w:r>
              <w:rPr>
                <w:rFonts w:ascii="Arial" w:cs="Arial" w:eastAsia="Arial" w:hAnsi="Arial"/>
                <w:sz w:val="18"/>
                <w:szCs w:val="18"/>
                <w:color w:val="auto"/>
              </w:rPr>
              <w:t>F-14</w:t>
            </w: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7.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March 2019, subsequent to the Merger, the Company sold 1,491,072 shares of the Company’s common stock to Frazier.</w:t>
      </w:r>
    </w:p>
    <w:p>
      <w:pPr>
        <w:spacing w:after="0" w:line="18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March 31, 2021, 1,265,028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2019, the Company issued Takeda 1,084,000 shares of common stock in connection with the Takeda License.</w:t>
      </w:r>
    </w:p>
    <w:p>
      <w:pPr>
        <w:spacing w:after="0" w:line="198"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March 31, 2021, 1,180,075 shares remain available for repurchase by the Company and the associated repurchase liability was not significant.</w:t>
      </w:r>
    </w:p>
    <w:p>
      <w:pPr>
        <w:spacing w:after="0" w:line="15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143"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The Company incurred an additional $0.2 million of offering expenses in connection with this public offering.</w:t>
      </w:r>
    </w:p>
    <w:p>
      <w:pPr>
        <w:spacing w:after="0" w:line="160"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November 2020 the Company entered into an Open Market Sale Agreement (the “Sales Agreement”) with Jefferies LLC (the “Sales Agent”), under which it may, from time to time, sell shares of its common stock having an aggregate offering price of up to $125.0 million through the Sales Agent (the “ATM Offering”). Pursuant to the Sales Agreement, the Company will pay the Sales Agent a commission for its services in acting as an agent in the sale of common stock in an amount equal to 3% of the gross sales price per share sold. No shares were sold under the ATM Offering as of March 31, 2021.</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A summary of the Company’s unvested shares is as follows: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2,746,759</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 vesting</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(301,656)</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2,445,103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accounting purposes, unvested shares of common stock are considered issued, but not outstanding until they vest.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20" w:type="dxa"/>
            <w:vAlign w:val="bottom"/>
          </w:tcPr>
          <w:p>
            <w:pPr>
              <w:jc w:val="right"/>
              <w:ind w:right="255"/>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5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7,604,446</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Stock options and performance-based units outstanding</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4,360,544</w:t>
            </w: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the 2019 Incentive Plan</w:t>
            </w: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2,063,814</w:t>
            </w: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available for issuance under the ESPP Plan</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858,783</w:t>
            </w: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14,887,587</w:t>
            </w:r>
          </w:p>
        </w:tc>
      </w:tr>
      <w:tr>
        <w:trPr>
          <w:trHeight w:val="20"/>
        </w:trPr>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7" w:name="page18"/>
    <w:bookmarkEnd w:id="17"/>
    <w:p>
      <w:pPr>
        <w:ind w:right="60" w:firstLine="510"/>
        <w:spacing w:after="0" w:line="277" w:lineRule="auto"/>
        <w:rPr>
          <w:sz w:val="20"/>
          <w:szCs w:val="20"/>
          <w:color w:val="auto"/>
        </w:rPr>
      </w:pPr>
      <w:r>
        <w:rPr>
          <w:rFonts w:ascii="Arial" w:cs="Arial" w:eastAsia="Arial" w:hAnsi="Arial"/>
          <w:sz w:val="18"/>
          <w:szCs w:val="18"/>
          <w:color w:val="auto"/>
        </w:rPr>
        <w:t>The Company is authorized to issue up to 40 million shares of preferred stock. As of March 31, 2021, and December 31, 2020, there were no shares of preferred stock issued or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85"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in 2019. As a result of the adoption of the 2019 Incentive Award Plan (the “2019 Plan”) in October 2019, no further shares are available for issuance under the Existing Incentive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9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 The Company initially had 2,700,000 shares of common stock available for issuance under the 2019 Plan, which was increased by 1,250,511 and 1,158,580 shares that were authorized on January 1, 2021 and 2020 respectively. During the three months ended March 31, 2021, 1,358,750 stock options and 90,050 performance-based units were granted.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22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 xml:space="preserve">During 2020, the Company granted 220,000 performance-based stock units (“PSU”) whereby vesting depends upon the approval by the U.S. Food and Drug Administration ("FDA") of vonoprazan for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and then, or concurrent with, erosive esophagitis. In January 2021, the Company granted an additional 90,050 PSUs to employees. As of March 31, 2021, the PSU milestones had not been achieved. As of March 31, 2021, no related compensation cost had been recognized. The following table summarizes PSU activity under the 2019 Incentive Award Plan during the three months ended March 31, 2021.</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Stock Units</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Unvested balance at December 31, 2020</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90,050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Unvested balance at March 31, 2021</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310,050</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As of March 31, 2021, there was approximately $11.6 million of related unrecognized compensation cost, which will begin to be recognized when vesting is probable.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October 2019, the board of directors adopted, and the Company’s stockholders approved, the Employee Stock Purchase Plan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March 31, 2021, 858,783 shares of common stock remain available for issuance, which includes the 13,490 shares sold to employees during the three months ended March 31, 2021 as well as the annual increases of 312,628 and 289,645 shares that were authorized on January 1, 2021and 2020 respectively.</w:t>
      </w:r>
    </w:p>
    <w:p>
      <w:pPr>
        <w:spacing w:after="0" w:line="12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ESPP is considered a compensatory plan, and the Company recorded related stock-based compensation of $0.1 million for the three months ended March 31, 2021. The weighted-average assumptions used to estimate the fair value of ESPP awards using the Black-Scholes option valuation model were as follows:</w:t>
      </w:r>
    </w:p>
    <w:p>
      <w:pPr>
        <w:spacing w:after="0" w:line="189"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Three Months Ended</w:t>
      </w:r>
    </w:p>
    <w:p>
      <w:pPr>
        <w:jc w:val="center"/>
        <w:ind w:left="50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6"/>
        </w:trPr>
        <w:tc>
          <w:tcPr>
            <w:tcW w:w="526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Assumptions: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Expected term (in years)</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volatility</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81.83%</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Risk free interest rate</w:t>
            </w:r>
          </w:p>
        </w:tc>
        <w:tc>
          <w:tcPr>
            <w:tcW w:w="124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60" w:firstLine="510"/>
        <w:spacing w:after="0" w:line="359" w:lineRule="auto"/>
        <w:rPr>
          <w:sz w:val="20"/>
          <w:szCs w:val="20"/>
          <w:color w:val="auto"/>
        </w:rPr>
      </w:pPr>
      <w:r>
        <w:rPr>
          <w:rFonts w:ascii="Arial" w:cs="Arial" w:eastAsia="Arial" w:hAnsi="Arial"/>
          <w:sz w:val="16"/>
          <w:szCs w:val="16"/>
          <w:color w:val="auto"/>
        </w:rPr>
        <w:t>The estimated weighted-average fair value of ESPP awards during 2021 was $15.85. As of March 31, 2021, the total unrecognized compensation expense related to the ESPP was $0.3 million, which is expected to be recognized over a weighted-average period of approximately 0.6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The Company established a 401(k) savings plan during the year ended December 31, 2020. The Company’s contributions to the plan are discretionary. During the year ended December 31, 2020, the Company incurred $0.3 million of expense related to employer contributions, which was based on a 75% match of employees’ annual contributions. In January 2021, the Board of Directors approved the discretionary match, which was settled by contributing 8,356 shares. During the three months ended March 31, 2021, the Company incurred $0.4 million of expense related to estimated 2021 employer contribution liabilities, which was based on a 75% match of employees’ contributions during the period.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14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14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114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1140" w:type="dxa"/>
            <w:vAlign w:val="bottom"/>
          </w:tcPr>
          <w:p>
            <w:pPr>
              <w:jc w:val="center"/>
              <w:ind w:right="22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2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2,728,742</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21.36</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9.10</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34,432</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1,358,750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 and shares vested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2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4,050,494</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27.39</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9.18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43,966</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Options exercisable as of March 31, 2021</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457,531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8"/>
                <w:szCs w:val="18"/>
                <w:color w:val="auto"/>
              </w:rPr>
              <w:t>8.50</w:t>
            </w:r>
          </w:p>
        </w:tc>
        <w:tc>
          <w:tcPr>
            <w:tcW w:w="14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11,774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during 2021 was $23.5. As of March 31, 2021, the Company had $56.5 million of unrecognized stock-based compensation expense, which is expected to be recognized over a weighted-average period of 3.3 years.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assumptions used to estimate the fair value of stock options using the Black-Scholes option valuation model were as follows:</w:t>
      </w:r>
    </w:p>
    <w:p>
      <w:pPr>
        <w:spacing w:after="0" w:line="253"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Three Months Ended</w:t>
      </w:r>
    </w:p>
    <w:p>
      <w:pPr>
        <w:jc w:val="center"/>
        <w:ind w:left="31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338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180" w:type="dxa"/>
            <w:vAlign w:val="bottom"/>
            <w:tcBorders>
              <w:top w:val="single" w:sz="8" w:color="auto"/>
              <w:bottom w:val="single" w:sz="8" w:color="auto"/>
            </w:tcBorders>
          </w:tcPr>
          <w:p>
            <w:pPr>
              <w:jc w:val="right"/>
              <w:ind w:right="954"/>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Assumptions:</w:t>
            </w:r>
          </w:p>
        </w:tc>
        <w:tc>
          <w:tcPr>
            <w:tcW w:w="1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r>
      <w:tr>
        <w:trPr>
          <w:trHeight w:val="230"/>
        </w:trPr>
        <w:tc>
          <w:tcPr>
            <w:tcW w:w="4720" w:type="dxa"/>
            <w:vAlign w:val="bottom"/>
            <w:gridSpan w:val="2"/>
          </w:tcPr>
          <w:p>
            <w:pPr>
              <w:ind w:left="240"/>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9"/>
                <w:szCs w:val="19"/>
                <w:color w:val="auto"/>
              </w:rPr>
            </w:pPr>
          </w:p>
        </w:tc>
        <w:tc>
          <w:tcPr>
            <w:tcW w:w="2180" w:type="dxa"/>
            <w:vAlign w:val="bottom"/>
          </w:tcPr>
          <w:p>
            <w:pPr>
              <w:jc w:val="right"/>
              <w:ind w:right="114"/>
              <w:spacing w:after="0"/>
              <w:rPr>
                <w:sz w:val="20"/>
                <w:szCs w:val="20"/>
                <w:color w:val="auto"/>
              </w:rPr>
            </w:pPr>
            <w:r>
              <w:rPr>
                <w:rFonts w:ascii="Arial" w:cs="Arial" w:eastAsia="Arial" w:hAnsi="Arial"/>
                <w:sz w:val="18"/>
                <w:szCs w:val="18"/>
                <w:color w:val="auto"/>
              </w:rPr>
              <w:t>6.08</w:t>
            </w:r>
          </w:p>
        </w:tc>
      </w:tr>
      <w:tr>
        <w:trPr>
          <w:trHeight w:val="229"/>
        </w:trPr>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67.49%</w:t>
            </w:r>
          </w:p>
        </w:tc>
        <w:tc>
          <w:tcPr>
            <w:tcW w:w="14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62.63%</w:t>
            </w:r>
          </w:p>
        </w:tc>
      </w:tr>
      <w:tr>
        <w:trPr>
          <w:trHeight w:val="230"/>
        </w:trPr>
        <w:tc>
          <w:tcPr>
            <w:tcW w:w="4720" w:type="dxa"/>
            <w:vAlign w:val="bottom"/>
            <w:gridSpan w:val="2"/>
          </w:tcPr>
          <w:p>
            <w:pPr>
              <w:ind w:left="240"/>
              <w:spacing w:after="0"/>
              <w:rPr>
                <w:sz w:val="20"/>
                <w:szCs w:val="20"/>
                <w:color w:val="auto"/>
              </w:rPr>
            </w:pPr>
            <w:r>
              <w:rPr>
                <w:rFonts w:ascii="Arial" w:cs="Arial" w:eastAsia="Arial" w:hAnsi="Arial"/>
                <w:sz w:val="18"/>
                <w:szCs w:val="18"/>
                <w:color w:val="auto"/>
              </w:rPr>
              <w:t>Risk free interest rate</w:t>
            </w:r>
          </w:p>
        </w:tc>
        <w:tc>
          <w:tcPr>
            <w:tcW w:w="82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Stock-based compensation expense recognized for all equity awards, including founder stock, has been reported in the statements of operations as follows (in thousands):</w:t>
      </w:r>
    </w:p>
    <w:p>
      <w:pPr>
        <w:spacing w:after="0" w:line="175"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Three Months Ended</w:t>
      </w:r>
    </w:p>
    <w:p>
      <w:pPr>
        <w:jc w:val="center"/>
        <w:ind w:left="47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1420" w:type="dxa"/>
            <w:vAlign w:val="bottom"/>
          </w:tcPr>
          <w:p>
            <w:pPr>
              <w:spacing w:after="0"/>
              <w:rPr>
                <w:sz w:val="13"/>
                <w:szCs w:val="13"/>
                <w:color w:val="auto"/>
              </w:rPr>
            </w:pPr>
          </w:p>
        </w:tc>
        <w:tc>
          <w:tcPr>
            <w:tcW w:w="330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2020</w:t>
            </w:r>
          </w:p>
        </w:tc>
        <w:tc>
          <w:tcPr>
            <w:tcW w:w="1420" w:type="dxa"/>
            <w:vAlign w:val="bottom"/>
          </w:tcPr>
          <w:p>
            <w:pPr>
              <w:spacing w:after="0"/>
              <w:rPr>
                <w:sz w:val="13"/>
                <w:szCs w:val="13"/>
                <w:color w:val="auto"/>
              </w:rPr>
            </w:pPr>
          </w:p>
        </w:tc>
      </w:tr>
      <w:tr>
        <w:trPr>
          <w:trHeight w:val="223"/>
        </w:trPr>
        <w:tc>
          <w:tcPr>
            <w:tcW w:w="142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1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114</w:t>
            </w:r>
          </w:p>
        </w:tc>
        <w:tc>
          <w:tcPr>
            <w:tcW w:w="1420" w:type="dxa"/>
            <w:vAlign w:val="bottom"/>
          </w:tcPr>
          <w:p>
            <w:pPr>
              <w:spacing w:after="0"/>
              <w:rPr>
                <w:sz w:val="19"/>
                <w:szCs w:val="19"/>
                <w:color w:val="auto"/>
              </w:rPr>
            </w:pPr>
          </w:p>
        </w:tc>
      </w:tr>
      <w:tr>
        <w:trPr>
          <w:trHeight w:val="230"/>
        </w:trPr>
        <w:tc>
          <w:tcPr>
            <w:tcW w:w="1420" w:type="dxa"/>
            <w:vAlign w:val="bottom"/>
          </w:tcPr>
          <w:p>
            <w:pPr>
              <w:spacing w:after="0"/>
              <w:rPr>
                <w:sz w:val="19"/>
                <w:szCs w:val="19"/>
                <w:color w:val="auto"/>
              </w:rPr>
            </w:pPr>
          </w:p>
        </w:tc>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15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2,959</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449</w:t>
            </w:r>
          </w:p>
        </w:tc>
        <w:tc>
          <w:tcPr>
            <w:tcW w:w="1420" w:type="dxa"/>
            <w:vAlign w:val="bottom"/>
          </w:tcPr>
          <w:p>
            <w:pPr>
              <w:spacing w:after="0"/>
              <w:rPr>
                <w:sz w:val="19"/>
                <w:szCs w:val="19"/>
                <w:color w:val="auto"/>
              </w:rPr>
            </w:pPr>
          </w:p>
        </w:tc>
      </w:tr>
      <w:tr>
        <w:trPr>
          <w:trHeight w:val="223"/>
        </w:trPr>
        <w:tc>
          <w:tcPr>
            <w:tcW w:w="1420" w:type="dxa"/>
            <w:vAlign w:val="bottom"/>
          </w:tcPr>
          <w:p>
            <w:pPr>
              <w:spacing w:after="0"/>
              <w:rPr>
                <w:sz w:val="19"/>
                <w:szCs w:val="19"/>
                <w:color w:val="auto"/>
              </w:rPr>
            </w:pPr>
          </w:p>
        </w:tc>
        <w:tc>
          <w:tcPr>
            <w:tcW w:w="3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3,818</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563</w:t>
            </w:r>
          </w:p>
        </w:tc>
        <w:tc>
          <w:tcPr>
            <w:tcW w:w="142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629"/>
        </w:trPr>
        <w:tc>
          <w:tcPr>
            <w:tcW w:w="14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580" w:type="dxa"/>
            <w:vAlign w:val="bottom"/>
            <w:gridSpan w:val="2"/>
          </w:tcPr>
          <w:p>
            <w:pPr>
              <w:jc w:val="right"/>
              <w:ind w:right="1427"/>
              <w:spacing w:after="0"/>
              <w:rPr>
                <w:sz w:val="20"/>
                <w:szCs w:val="20"/>
                <w:color w:val="auto"/>
              </w:rPr>
            </w:pPr>
            <w:r>
              <w:rPr>
                <w:rFonts w:ascii="Arial" w:cs="Arial" w:eastAsia="Arial" w:hAnsi="Arial"/>
                <w:sz w:val="18"/>
                <w:szCs w:val="18"/>
                <w:color w:val="auto"/>
              </w:rPr>
              <w:t>F-18</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20" w:name="page21"/>
    <w:bookmarkEnd w:id="20"/>
    <w:p>
      <w:pPr>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2020 and the related Management’s Discussion and Analysis of Financial Condition and Results of Operations, both of which are contained in our Annual Report on Form 10-K for the year ended December 31, 2020 (“2020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impact of COVID-19,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We are a late clinical-stage biopharmaceutical company focused on developing and commercializing novel treatments for gastrointestinal, or GI, diseases. Our initial product candidate, vonoprazan, is an oral small molecule potassium 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Takeda Pharmaceutical Company Limited, or Takeda, developed vonoprazan and has received marketing approval in thirteen countries in Asia and Latin America. Vonoprazan generated over $670 million in net sales in its fifth full year on the market since its approval in Japan in late 2014. In May 2019, we in-licensed the U.S., European, and Canadian rights to vonoprazan from Takeda. We initiated two pivotal Phase 3 clinical trials in the fourth quarter of 2019 for vonoprazan: one for the treatment of erosive GERD (PHALCON-EE), also known as erosive esophagitis, and a second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(PHALCON-HP). In August 2019, we received QIDP and Fast Track designations from the FDA, for vonoprazan tablets in combination with amoxicillin tablets and clarithromycin tablets and with amoxicillin tablets alone for the treatment of </w:t>
      </w:r>
      <w:r>
        <w:rPr>
          <w:rFonts w:ascii="Arial" w:cs="Arial" w:eastAsia="Arial" w:hAnsi="Arial"/>
          <w:sz w:val="17"/>
          <w:szCs w:val="17"/>
          <w:i w:val="1"/>
          <w:iCs w:val="1"/>
          <w:color w:val="auto"/>
        </w:rPr>
        <w:t xml:space="preserve">H. pylori </w:t>
      </w:r>
      <w:r>
        <w:rPr>
          <w:rFonts w:ascii="Arial" w:cs="Arial" w:eastAsia="Arial" w:hAnsi="Arial"/>
          <w:sz w:val="17"/>
          <w:szCs w:val="17"/>
          <w:color w:val="auto"/>
        </w:rPr>
        <w:t>infection. In November 2020, we requested additional QIDP and Fast Track designations to include amoxicillin capsules in addition to</w:t>
      </w:r>
      <w:r>
        <w:rPr>
          <w:rFonts w:ascii="Arial" w:cs="Arial" w:eastAsia="Arial" w:hAnsi="Arial"/>
          <w:sz w:val="17"/>
          <w:szCs w:val="17"/>
          <w:i w:val="1"/>
          <w:iCs w:val="1"/>
          <w:color w:val="auto"/>
        </w:rPr>
        <w:t xml:space="preserve"> </w:t>
      </w:r>
      <w:r>
        <w:rPr>
          <w:rFonts w:ascii="Arial" w:cs="Arial" w:eastAsia="Arial" w:hAnsi="Arial"/>
          <w:sz w:val="17"/>
          <w:szCs w:val="17"/>
          <w:color w:val="auto"/>
        </w:rPr>
        <w:t>amoxicillin tablets. The FDA granted these additional Fast Track designations in January 2021 and these additional QIDP designations in May 2021. Vonoprazan has the potential to be the first gastric anti-secretory agent from a novel class approved in the United States, Europe, or Canada in over 30 years. In addition, we continue to plan to pursue vonoprazan lifecycle extension strategies in areas with clear unmet need, clinical rationale, and commercial justification.</w:t>
      </w:r>
    </w:p>
    <w:p>
      <w:pPr>
        <w:spacing w:after="0" w:line="155"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In March 2020, due to global efforts to combat the coronavirus, COVID-19 pandemic, we announced a temporary pause in randomization of new patients in our Phase 3 trials. In June 2020, we announced that we had recommenced randomization of new patients in both of our Phase 3 trials. Despite the pause, we completed patient enrollment in PHALCON-EE in November 2020 and in PHALCON-HP in January 2021.</w:t>
      </w:r>
    </w:p>
    <w:p>
      <w:pPr>
        <w:spacing w:after="0" w:line="12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 xml:space="preserve">On April 29, 2021, we announced that in PHALCON-HP both vonoprazan-based regimens successfully met their primary endpoints and met all secondary endpoints. The trial studied vonoprazan in combination with amoxicillin and clarithromycin (“vonoprazan triple therapy”) and vonoprazan in combination with amoxicillin (“vonoprazan dual therapy”) compared to lansoprazole in combination with amoxicillin and clarithromycin (“lansoprazole triple therapy”). PHALCON-HP is the largest Phase 3 registration trial ever conducted in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w:t>
      </w:r>
      <w:r>
        <w:rPr>
          <w:rFonts w:ascii="Arial" w:cs="Arial" w:eastAsia="Arial" w:hAnsi="Arial"/>
          <w:sz w:val="18"/>
          <w:szCs w:val="18"/>
          <w:i w:val="1"/>
          <w:iCs w:val="1"/>
          <w:color w:val="auto"/>
        </w:rPr>
        <w:t>,</w:t>
      </w:r>
      <w:r>
        <w:rPr>
          <w:rFonts w:ascii="Arial" w:cs="Arial" w:eastAsia="Arial" w:hAnsi="Arial"/>
          <w:sz w:val="18"/>
          <w:szCs w:val="18"/>
          <w:color w:val="auto"/>
        </w:rPr>
        <w:t xml:space="preserve"> randomizing 992 patients with confirmed </w:t>
      </w:r>
      <w:r>
        <w:rPr>
          <w:rFonts w:ascii="Arial" w:cs="Arial" w:eastAsia="Arial" w:hAnsi="Arial"/>
          <w:sz w:val="18"/>
          <w:szCs w:val="18"/>
          <w:i w:val="1"/>
          <w:iCs w:val="1"/>
          <w:color w:val="auto"/>
        </w:rPr>
        <w: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pylori </w:t>
      </w:r>
      <w:r>
        <w:rPr>
          <w:rFonts w:ascii="Arial" w:cs="Arial" w:eastAsia="Arial" w:hAnsi="Arial"/>
          <w:sz w:val="18"/>
          <w:szCs w:val="18"/>
          <w:color w:val="auto"/>
        </w:rPr>
        <w:t>infection.</w:t>
      </w:r>
    </w:p>
    <w:p>
      <w:pPr>
        <w:spacing w:after="0" w:line="188"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 xml:space="preserve">The primary endpoints in the PHALCON-HP study were non-inferiority of the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rate for each of vonoprazan triple and dual therapy compared to lansoprazole triple therapy. Based on FDA feedback, the primary endpoint excluded patients with amoxicillin or clarithromycin resistant strains of </w:t>
      </w:r>
      <w:r>
        <w:rPr>
          <w:rFonts w:ascii="Arial" w:cs="Arial" w:eastAsia="Arial" w:hAnsi="Arial"/>
          <w:sz w:val="18"/>
          <w:szCs w:val="18"/>
          <w:i w:val="1"/>
          <w:iCs w:val="1"/>
          <w:color w:val="auto"/>
        </w:rPr>
        <w:t>H. pylori</w:t>
      </w:r>
      <w:r>
        <w:rPr>
          <w:rFonts w:ascii="Arial" w:cs="Arial" w:eastAsia="Arial" w:hAnsi="Arial"/>
          <w:sz w:val="18"/>
          <w:szCs w:val="18"/>
          <w:color w:val="auto"/>
        </w:rPr>
        <w:t>. Both vonoprazan-based regimens successfully met their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1" w:name="page22"/>
    <w:bookmarkEnd w:id="21"/>
    <w:p>
      <w:pPr>
        <w:ind w:right="340"/>
        <w:spacing w:after="0" w:line="259" w:lineRule="auto"/>
        <w:rPr>
          <w:sz w:val="20"/>
          <w:szCs w:val="20"/>
          <w:color w:val="auto"/>
        </w:rPr>
      </w:pPr>
      <w:r>
        <w:rPr>
          <w:rFonts w:ascii="Arial" w:cs="Arial" w:eastAsia="Arial" w:hAnsi="Arial"/>
          <w:sz w:val="18"/>
          <w:szCs w:val="18"/>
          <w:color w:val="auto"/>
        </w:rPr>
        <w:t xml:space="preserve">primary endpoints. Vonoprazan triple therapy and vonoprazan dual therapy also met all secondary endpoints, demonstrating superior eradication rates versus lansoprazole triple therapy in all patients and in patients with clarithromycin-resistant strains of </w:t>
      </w:r>
      <w:r>
        <w:rPr>
          <w:rFonts w:ascii="Arial" w:cs="Arial" w:eastAsia="Arial" w:hAnsi="Arial"/>
          <w:sz w:val="18"/>
          <w:szCs w:val="18"/>
          <w:i w:val="1"/>
          <w:iCs w:val="1"/>
          <w:color w:val="auto"/>
        </w:rPr>
        <w:t>H. pylori</w:t>
      </w:r>
      <w:r>
        <w:rPr>
          <w:rFonts w:ascii="Arial" w:cs="Arial" w:eastAsia="Arial" w:hAnsi="Arial"/>
          <w:sz w:val="18"/>
          <w:szCs w:val="18"/>
          <w:color w:val="auto"/>
        </w:rPr>
        <w:t>. Patients with clarithromycin resistant strains comprised 20.3% of the study population. In addition, both vonoprazan-based regimens were generally well tolerated with a safety profile comparable to lansoprazole triple therapy.</w:t>
      </w:r>
    </w:p>
    <w:p>
      <w:pPr>
        <w:spacing w:after="0" w:line="18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 xml:space="preserve">We expect to report top-line data from PHALCON-EE in the fourth quarter of 2021. We believe that the data from PHALCON-HP and the successful completion of PHALCON-EE, together with the existing clinical data, will support regulatory submissions for marketing approval with the FDA in the fourth quarter of 2021 for vonoprazan triple therapy and vonoprazan dual therapy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in 2022 for vonoprazan for the treatment of erosive esophagitis. In addition, in April 2021, we commenced enrollment of patients in our Phase 2 trial evaluating various doses of vonoprazan as an on-demand therapy for non-erosive reflux disease or NERD.</w:t>
      </w:r>
    </w:p>
    <w:p>
      <w:pPr>
        <w:spacing w:after="0" w:line="14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However, our assumptions used to determine expected timelines for clinical trials and regulatory filings may not be correct due to a number of factors, including the uncertainties regarding COVID-19 and its potential further impact on our operations and clinical trials, and we may experience delays in the completion of such trials beyond our expected timelines and resulting delays in the filing of our regulatory submissions. Any delays in the completion of our clinical trials and regulatory filings or disruption in our supply chain could have a material adverse effect on our business, financial condition and results of operations.</w:t>
      </w:r>
    </w:p>
    <w:p>
      <w:pPr>
        <w:spacing w:after="0" w:line="161"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 xml:space="preserve">As of September 30, 2020, we received agreement from FDA on our proposed initial Pediatric Study Plans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for the healing of erosive esophagitis and relief of heartburn, and maintenance of erosive esophagitis and relief of heartburn. We also received, in October 2020, a positive opinion from the European Paediatric Committee on the agreement of a Paediatric Investigational Plan for the treatment of gastroesophageal reflux disease and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w:t>
      </w:r>
    </w:p>
    <w:p>
      <w:pPr>
        <w:spacing w:after="0" w:line="14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preparing for and managing our Phase 3 clinical trials of vonoprazan, and providing other general and administrative support for these operations. Our operations to date have been funded primarily through the issuance of convertible promissory notes, commercial bank debt, proceeds from our initial public offering, or IPO, and proceeds from our follow-on stock offering in December 2020. From our inception through March 31, 2021, we have raised aggregate gross proceeds of $90.3 million from the issuance of convertible promissory notes in 2019, $50.0 million of commercial bank debt, net proceeds from our IPO of $191.5 million from the sale of 10,997,630 shares of common stock and, in December 2020, the Company raised net proceeds of $88.6 million from the sale of 2,250,000 shares of common stock at a public offering price of $39.48 per share after deducting underwriting discounts and commissions, and an additional $0.2 million in offering costs. As of March 31, 2021, we had cash and cash equivalents of $238 million. Based on our current operating plan, and subject to the potential delays and cost increases resulting from the evolving COVID-19 pandemic, we believe that our existing cash and cash equivalents will be sufficient to meet our anticipated cash requirements into the fourth quarter of 2022.</w:t>
      </w:r>
    </w:p>
    <w:p>
      <w:pPr>
        <w:spacing w:after="0" w:line="13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do not have any products approved for sale and have incurred net losses since our inception. Our net losses for the three month periods ended March 31, 2021 and 2020 were $34.8 million and $20.1 million, respectively. As of March 31, 2021, we had an accumulated deficit of $420.3 million. Our net losses may fluctuate significantly from quarter-to-quarter and year-to-year, depending on the timing of our clinical development activities, other research and development activities, and pre-commercialization activities. We expect our expenses and operating losses will increase substantially as we advance vonoprazan through clinical trials, seek regulatory approval for vonoprazan, expand our clinical, regulatory, quality, manufacturing and commercialization capabilities, incur significant commercialization expenses for marketing, sales, manufacturing and distribution if we obtain marketing approval for vonoprazan, protect our intellectual property, expand our general and administrative support functions, including hiring additional personnel, and incur additional costs associated with operating as a public company.</w:t>
      </w:r>
    </w:p>
    <w:p>
      <w:pPr>
        <w:spacing w:after="0" w:line="151"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have never generated any revenue and do not expect to generate any revenues from product sales unless and until we successfully complete development and obtain regulatory approval for vonoprazan, which will not be for several years, if ever. Accordingly, until such time as we can generate significant revenue from sales of vonoprazan, if ever, we expect to finance our cash needs through equity offerings, our existing loan and security agreement, or the Loan Agreement,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COVID-19 on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Financial Operations Overview</w:t>
      </w:r>
    </w:p>
    <w:p>
      <w:pPr>
        <w:spacing w:after="0" w:line="198" w:lineRule="exact"/>
        <w:rPr>
          <w:sz w:val="20"/>
          <w:szCs w:val="20"/>
          <w:color w:val="auto"/>
        </w:rPr>
      </w:pPr>
    </w:p>
    <w:p>
      <w:pPr>
        <w:ind w:right="200" w:firstLine="510"/>
        <w:spacing w:after="0" w:line="287" w:lineRule="auto"/>
        <w:rPr>
          <w:sz w:val="20"/>
          <w:szCs w:val="20"/>
          <w:color w:val="auto"/>
        </w:rPr>
      </w:pPr>
      <w:r>
        <w:rPr>
          <w:rFonts w:ascii="Arial" w:cs="Arial" w:eastAsia="Arial" w:hAnsi="Arial"/>
          <w:sz w:val="16"/>
          <w:szCs w:val="16"/>
          <w:color w:val="auto"/>
        </w:rPr>
        <w:t>Our financial statements include our accounts (the receiving entity) and the accounts of YamadaCo IIA, Inc., or YamadaCo, prior to being merged into a single entity effective March 13, 2019. We and YamadaCo were entities under common control of Frazier Life Sciences IX, L.P., or Frazier, as a result of, among other things, Frazier’s: (i) ownership of a majority of the outstanding capital stock of both companies; (ii) financing of both companies;</w:t>
      </w:r>
    </w:p>
    <w:p>
      <w:pPr>
        <w:spacing w:after="0" w:line="2" w:lineRule="exact"/>
        <w:rPr>
          <w:sz w:val="20"/>
          <w:szCs w:val="20"/>
          <w:color w:val="auto"/>
        </w:rPr>
      </w:pPr>
    </w:p>
    <w:p>
      <w:pPr>
        <w:jc w:val="both"/>
        <w:ind w:right="400" w:firstLine="8"/>
        <w:spacing w:after="0" w:line="273"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control of the board of directors of both companies; and (iv) management of both companies. Both Phathom and YamadaCo were formed for the purpose of identifying potential assets around which to form an operating company. As the merged entities were under common control, the financial statements report the financial position, results of operations and cash flows of Phathom and YamadaCo as though the transfer of net assets and equity interests had occurred at the beginning of 2018. All intercompany accounts and transactions have been eliminated.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8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49"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43"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paid Takeda upfront consideration consisting of a cash fee of $25.0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85" w:lineRule="exact"/>
        <w:rPr>
          <w:sz w:val="20"/>
          <w:szCs w:val="20"/>
          <w:color w:val="auto"/>
        </w:rPr>
      </w:pPr>
    </w:p>
    <w:p>
      <w:pPr>
        <w:ind w:left="880" w:right="20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salaries, payroll taxes, employee benefits, and stock-based compensation charges for those individuals involved in research and development efforts;</w:t>
      </w:r>
    </w:p>
    <w:p>
      <w:pPr>
        <w:spacing w:after="0" w:line="129"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and consultants to conduct and support our ongoing clinical trials of vonoprazan; and</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the manufacturing of vonoprazan for our clinical trials.</w:t>
      </w:r>
    </w:p>
    <w:p>
      <w:pPr>
        <w:spacing w:after="0" w:line="19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Our future clinical development costs may vary significantly based on factors such as:</w:t>
      </w:r>
    </w:p>
    <w:p>
      <w:pPr>
        <w:spacing w:after="0" w:line="198" w:lineRule="exact"/>
        <w:rPr>
          <w:sz w:val="20"/>
          <w:szCs w:val="20"/>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doses evaluated in the trials;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and</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General and administrative expenses consist of salaries and employee-related costs, including stock-based compensation, for personnel in executive, finance, accounting, legal, human resources and other administrative functions, legal fees relating to intellectual property and corporate matters, and professional fees for accounting and consulting services. We anticipate that our general and administrative expenses will increase in the future to support our continued research and development activities, pre-commercial preparation activities for vonoprazan and, if any future product candidate receives marketing approval, commercialization activities. We also anticipate increased expenses related to audit, legal, regulatory, and tax-related services associated with maintaining compliance with exchange listing and Securities and Exchange Commission, or SEC, requirements, director and officer insurance premiums, and investor relations costs associated with operating as a public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Interest expense consists of interest on our outstanding commercial bank debt at a floating per annum interest rate which was 7.25% as of March 31, 2021, and amortization of the commercial bank debt discount recorded in connection with the fair value of warrants issued to the lenders, the debt issuance costs incurred, and the obligation to make a final payment fee.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9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connection with the entry into the Loan Agreement, we issued the lenders warrants to purchase our capital stock, or the Lender Warrants. The Lender Warrants were accounted for as liabilities as they contained a holder put right under which the lenders could have required us to pay cash in exchange for the warrants. We adjusted the carrying value of the Lender Warrants to their estimated fair value at each reporting date, with any change in fair value of the warrant liabilities recorded as an increase or decrease to change in fair value of warrant liabilities in the statements of operations. The Lender Warrants were accounted for at fair value using the Black-Scholes option-pricing model with an expected term equal to the remaining contractual term of the warrants. When we drew down an additional $25.0 million, or the Term Loan B, in March 2020, the Lender put right expired, and we recorded a final fair value adjustment and reclassified the Lender Warrants balance of $0.3 million to additional paid-in-capital.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2021 and 2020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20,580</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15,865</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4,715</w:t>
            </w: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13,004</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4,510</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8,494</w:t>
            </w:r>
          </w:p>
        </w:tc>
      </w:tr>
      <w:tr>
        <w:trPr>
          <w:trHeight w:val="22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33,584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20,375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13,209</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(13,209)</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(34,843)</w:t>
            </w: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(14,702)</w:t>
            </w: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$20.6 million and $15.9 million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and 2020, respectively. The increase of $4.7 million consisted of $2.8 million of chemistry manufacturing and controls (“CMC”) costs related to vonoprazan, $1.6 million of personnel-related expenses and $0.3 million of clinical trial costs. Compared to the fourth quarter of 2020, research and development expenses decreased by $21.0 million following the acceleration of patient enrollment in our Phase 3 trials during late 2020. We expect Research and Development expenses to decrease in 2021 as we complete the PHALCON-EE and PHALCON-HP Phase 3 clinical trials, and our Phase 2 NERD on-demand study continues.</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17" w:right="439" w:bottom="1440" w:gutter="0" w:footer="0" w:header="0"/>
        </w:sectPr>
      </w:pPr>
    </w:p>
    <w:bookmarkStart w:id="25" w:name="page26"/>
    <w:bookmarkEnd w:id="25"/>
    <w:p>
      <w:pPr>
        <w:ind w:right="140" w:firstLine="510"/>
        <w:spacing w:after="0" w:line="296"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were $13.0 million and $4.5 million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2021 and 2020, respectively. The increase of $8.5 million was due to increases of $5.1 million in personnel-related expenses, $0.4 million in professional services expenses for accounting, audit, tax, valuation and other services, $0.2 million of insurance premiums related to general operating matters, $0.6 million in consulting fees, $2.3 million in other expenses and partly offset by a $0.1 million reduction in legal fees. Due to the planned continued buildout of administrative and commercial functions we expect general and administrative expenses to increase in future periods.</w:t>
      </w:r>
    </w:p>
    <w:p>
      <w:pPr>
        <w:spacing w:after="0" w:line="134"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$1.3 million for the three months ended March 31, 2021 consisted of interest expense on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bank debt with the increase in expense due to the additional $25.0 million Term Loan B from SVB.</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have incurred net losses and negative cash flows from operations since our inception and anticipate we will continue to incur net losses for the foreseeable future. As of March 31, 2021, we had cash and cash equivalents of $238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Bank Debt</w:t>
      </w:r>
    </w:p>
    <w:p>
      <w:pPr>
        <w:spacing w:after="0" w:line="185" w:lineRule="exact"/>
        <w:rPr>
          <w:sz w:val="20"/>
          <w:szCs w:val="20"/>
          <w:color w:val="auto"/>
        </w:rPr>
      </w:pPr>
    </w:p>
    <w:p>
      <w:pPr>
        <w:jc w:val="both"/>
        <w:ind w:right="160" w:firstLine="510"/>
        <w:spacing w:after="0" w:line="259" w:lineRule="auto"/>
        <w:rPr>
          <w:sz w:val="20"/>
          <w:szCs w:val="20"/>
          <w:color w:val="auto"/>
        </w:rPr>
      </w:pPr>
      <w:r>
        <w:rPr>
          <w:rFonts w:ascii="Arial" w:cs="Arial" w:eastAsia="Arial" w:hAnsi="Arial"/>
          <w:sz w:val="18"/>
          <w:szCs w:val="18"/>
          <w:color w:val="auto"/>
        </w:rPr>
        <w:t>On May 14, 2019, we entered into the Loan Agreement with Silicon Valley Bank, or SVB, as administrative and collateral agent, and lenders SVB and WestRiver Innovation Lending Fund VIII, L.P. We borrowed $25.0 million, Term Loan A, at the inception of the Loan Agreement and the additional $25.0 million, Term Loan B, in March 2020, which we collectively refer to as the Term Loans. As of March 31, 2021, we had outstanding Term Loans of $50.0 million and accrued interest of $0.3 million.</w:t>
      </w:r>
    </w:p>
    <w:p>
      <w:pPr>
        <w:spacing w:after="0" w:line="187"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231F20"/>
        </w:rPr>
        <w:t xml:space="preserve">The Term Loans bear interest at a floating rate of the higher of the Wall Street Journal Prime rate plus 1.75% (5% at </w:t>
      </w:r>
      <w:r>
        <w:rPr>
          <w:rFonts w:ascii="Arial" w:cs="Arial" w:eastAsia="Arial" w:hAnsi="Arial"/>
          <w:sz w:val="16"/>
          <w:szCs w:val="16"/>
          <w:color w:val="000000"/>
        </w:rPr>
        <w:t>March 31, 2021</w:t>
      </w:r>
      <w:r>
        <w:rPr>
          <w:rFonts w:ascii="Arial" w:cs="Arial" w:eastAsia="Arial" w:hAnsi="Arial"/>
          <w:sz w:val="16"/>
          <w:szCs w:val="16"/>
          <w:color w:val="231F20"/>
        </w:rPr>
        <w:t xml:space="preserve">) or 7.25%. Under the original Loan Agreement, the monthly payments consisted of interest-only through May 31, 2021. Pursuant to the first amendment to the Loan Agreement entered into on March 11, 2020, and the second amendment to the Loan Agreement entered into on March 11, 2021, the interest-only payment period was extended through July 31, 2021, and could be further extended either (i) until December 31, 2021, if we receive positive data from our Phase 3 clinical trial in </w:t>
      </w:r>
      <w:r>
        <w:rPr>
          <w:rFonts w:ascii="Arial" w:cs="Arial" w:eastAsia="Arial" w:hAnsi="Arial"/>
          <w:sz w:val="16"/>
          <w:szCs w:val="16"/>
          <w:i w:val="1"/>
          <w:iCs w:val="1"/>
          <w:color w:val="231F20"/>
        </w:rPr>
        <w:t>H. pylori</w:t>
      </w:r>
      <w:r>
        <w:rPr>
          <w:rFonts w:ascii="Arial" w:cs="Arial" w:eastAsia="Arial" w:hAnsi="Arial"/>
          <w:sz w:val="16"/>
          <w:szCs w:val="16"/>
          <w:color w:val="231F20"/>
        </w:rPr>
        <w:t xml:space="preserve"> infection sufficient to file a new drug application, or NDA, with the FDA; or (ii) until November 30, 2022, if we receive positive data from our Phase 3 clinical trials in both indications for vonoprazan sufficient to file an NDA with the FDA; provided, in each case, that we had drawn down an additional $25.0 million, Term Loan B, pursuant to the Loan Agreement. Subsequent to the interest-only period, the Term Loans will be payable in equal monthly installments of principal, plus accrued and unpaid interest through the maturity date of May 1, 2024.</w:t>
      </w:r>
    </w:p>
    <w:p>
      <w:pPr>
        <w:spacing w:after="0" w:line="16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we are obligated to pay a final payment fee of 8.25% of the original principal amount of the Term Loans. We may elect to prepay all or a portion of the Term Loans prior to maturity, subject to a prepayment fee of up to 2.0% of the then outstanding principal balance and payment of a pro rata portion of the final payment fee. After repayment, no Term Loan amounts may be borrowed again. The borrowings under the Loan Agreement are collateralized by substantially all of our assets, excluding intellectual property and certain other assets. We have agreed not to encumber our intellectual property assets without SVB’s prior written consent unless a security interest in the underlying intellectual property is necessary to have a security interest in the accounts and proceeds that are part of the assets securing the Term Loans, in which case our intellectual property will automatically be included within the assets securing the Term Loans.</w:t>
      </w:r>
    </w:p>
    <w:p>
      <w:pPr>
        <w:spacing w:after="0" w:line="154"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Loan Agreement contains certain customary affirmative and negative covenants and events of default. The affirmative covenants include, among others, covenants requiring us to maintain our legal existence and governmental approvals,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Upon the occurrence of an event of default, subject to any specified cure periods, all amounts owed by us would begin to bear interest at a rate that is 4.00% above the rate effective immediately before the event of default and may be declared immediately due and payable by SVB, as collateral agent. As of March 31, 2021, we were in compliance with all applicable covenants under the Loan Agreement.</w:t>
      </w:r>
    </w:p>
    <w:p>
      <w:pPr>
        <w:spacing w:after="0" w:line="138"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In connection with the Loan Agreement, we issued the Lender Warrants, which became exercisable when we borrowed Term Loan B in March 2020. The Lender Warrants are exercisable for 16,446 shares of common stock. The Lender Warrants expire ten years from the date of issuance. The Lender Warrants included a put option pursuant to which, in the event that we did not draw down Term Loan B on or before March 31, 2020, the warrant holders could have required us to repurchase the warrants for a total aggregate repurchase price of $0.5 million. Upon the Term Loan B draw in March 2020, the put option related to the Lender Warrants expired, at which time we recorded a final fair value adjustment and reclassified the Lender Warrants balance of $0.3 million to additional paid-in-capital.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At-the-Market-Offering</w:t>
      </w:r>
    </w:p>
    <w:p>
      <w:pPr>
        <w:spacing w:after="0" w:line="198" w:lineRule="exact"/>
        <w:rPr>
          <w:sz w:val="20"/>
          <w:szCs w:val="20"/>
          <w:color w:val="auto"/>
        </w:rPr>
      </w:pPr>
    </w:p>
    <w:p>
      <w:pPr>
        <w:ind w:right="40" w:firstLine="510"/>
        <w:spacing w:after="0" w:line="270" w:lineRule="auto"/>
        <w:rPr>
          <w:sz w:val="20"/>
          <w:szCs w:val="20"/>
          <w:color w:val="auto"/>
        </w:rPr>
      </w:pPr>
      <w:r>
        <w:rPr>
          <w:rFonts w:ascii="Arial" w:cs="Arial" w:eastAsia="Arial" w:hAnsi="Arial"/>
          <w:sz w:val="16"/>
          <w:szCs w:val="16"/>
          <w:color w:val="auto"/>
        </w:rPr>
        <w:t>On November 10, 2020, we entered into an Open Market Sale Agreement</w:t>
      </w:r>
      <w:r>
        <w:rPr>
          <w:rFonts w:ascii="Arial" w:cs="Arial" w:eastAsia="Arial" w:hAnsi="Arial"/>
          <w:sz w:val="23"/>
          <w:szCs w:val="23"/>
          <w:color w:val="auto"/>
          <w:vertAlign w:val="superscript"/>
        </w:rPr>
        <w:t>SM</w:t>
      </w:r>
      <w:r>
        <w:rPr>
          <w:rFonts w:ascii="Arial" w:cs="Arial" w:eastAsia="Arial" w:hAnsi="Arial"/>
          <w:sz w:val="16"/>
          <w:szCs w:val="16"/>
          <w:color w:val="auto"/>
        </w:rPr>
        <w:t>, or the Sales Agreement, with Jefferies LLC, or the Sales Agent, under which we may, from time to time, sell shares of our common stock having an aggregate offering price of up to $125.0 million through the Sales Agent, or the ATM Offering. Sales of our common stock made pursuant to the Sales Agreement, if any, will be made under our shelf registration statement on Form S-3 which was filed on November 10, 2020 and declared effective by the SEC on November 16, 2020. We are not obligated to, and we cannot provide any assurances that we will, make any sales of the shares under the Sales Agreement. The Sales Agreement may be terminated by the Sales Agent or us at any time. There were no sales of our common stock under the ATM Offering for the three-month period ended March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85" w:lineRule="exact"/>
        <w:rPr>
          <w:sz w:val="20"/>
          <w:szCs w:val="20"/>
          <w:color w:val="auto"/>
        </w:rPr>
      </w:pPr>
    </w:p>
    <w:p>
      <w:pPr>
        <w:ind w:firstLine="667"/>
        <w:spacing w:after="0" w:line="259" w:lineRule="auto"/>
        <w:rPr>
          <w:sz w:val="20"/>
          <w:szCs w:val="20"/>
          <w:color w:val="auto"/>
        </w:rPr>
      </w:pPr>
      <w:r>
        <w:rPr>
          <w:rFonts w:ascii="Arial" w:cs="Arial" w:eastAsia="Arial" w:hAnsi="Arial"/>
          <w:sz w:val="18"/>
          <w:szCs w:val="18"/>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We incurred an additional $0.2 million of offering expenses in connection with the public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98"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Based on our current operating plan, we believe that our existing cash and cash equivalents will be sufficient to meet our anticipated cash requirements into the fourth quarter of 2022. We expect our current cash and cash equivalents will allow us to complete our ongoing Phase 3 clinical trial of vonoprazan for the treatment of erosive esophagitis and Phase 2 trial of vonoprazan for on-demand treatment of non-erosive reflux disease.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880" w:right="20" w:hanging="373"/>
        <w:spacing w:after="0" w:line="308"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05"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98"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manufacturing for vonoprazan or any future product candidates, including commercial scale manufacturing if any product candidate is approved;</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vonoprazan or any future product candidates;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98"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29"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for vonoprazan or any future product candidate;</w:t>
      </w:r>
    </w:p>
    <w:p>
      <w:pPr>
        <w:spacing w:after="0" w:line="198"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29"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98"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27" w:name="page28"/>
    <w:bookmarkEnd w:id="27"/>
    <w:p>
      <w:pPr>
        <w:ind w:firstLine="510"/>
        <w:spacing w:after="0" w:line="28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41"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its future working capital needs will prove accurate, or that any additional funding would be sufficient to continue operations in future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3"/>
        </w:trPr>
        <w:tc>
          <w:tcPr>
            <w:tcW w:w="378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(49,765)</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(11,417)</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(38,348)</w:t>
            </w:r>
          </w:p>
        </w:tc>
      </w:tr>
      <w:tr>
        <w:trPr>
          <w:trHeight w:val="229"/>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507</w:t>
            </w:r>
          </w:p>
        </w:tc>
      </w:tr>
      <w:tr>
        <w:trPr>
          <w:trHeight w:val="230"/>
        </w:trPr>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(24,588)</w:t>
            </w: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(49,522)</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12,907</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(62,429)</w:t>
            </w:r>
          </w:p>
        </w:tc>
      </w:tr>
      <w:tr>
        <w:trPr>
          <w:trHeight w:val="20"/>
        </w:trPr>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Net cash used in operating activities was approximately $49.8 million and $11.4 million for the three months ended March 31, 2021 and 2020, respectively. The net cash used in operating activities for the three months ended March 31, 2021 was due to approximately $30.2 million spent on ongoing research and development and general and administrative activities and a $19.6 million net change in operating assets and liabilities. The net change in operating assets and liabilities primarily related to a $0.9 million increase in prepaid clinical activities, and an $18.7 million decrease in accounts payable and accrued expenses in support of the growth in our operating activities. The net cash used in operating activities for the three months ended March 31, 2020 was due to approximately $19.4 million spent on ongoing research and development and general and administrative expenses, partially offset by a $8.0 million net change in operating assets and liabilities. The net change in operating assets and liabilities related to a $6.7 million decrease in prepaid clinical activities, and a $1.5 increase in accounts payable and accrued expenses in support of the growth in our operating activities, partially offset by a $0.2 million increase in other long-term assets.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2021 and 2020, was primarily due to the cash we paid for acquiring property, plant and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00" w:firstLine="562"/>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2021 was due to issuance of common stock from exercise of stock options. Net cash provided by financing activities for the three months ended March 31, 2020 was due to our commercial bank debt proceeds of $25.0 million related to the Term Loan B drawdown.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922"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Other than disclosed below, there were no material changes outside the ordinary course of our business during the three months ended March 31, 2021 to the information regarding our contractual obligations that was disclosed in Management’s Discussion and Analysis of Financial Condition and Results of Operations contained in our 2020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8"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2020 Form 10-K. There have not been any material changes to the critical accounting policies discussed therein during the three months ended March 31,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98"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52"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Part 1, Item 1 of this quarterly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w:t>
      </w:r>
    </w:p>
    <w:p>
      <w:pPr>
        <w:spacing w:after="0" w:line="20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of March 31, 2021,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2020 Form 10-K.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9" w:name="page30"/>
    <w:bookmarkEnd w:id="29"/>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8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2021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subject to any material legal proceedings. From time to time, we may be involved in legal proceedings or subject</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9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to the risk factors disclosed in Part I, Item 1A, “Risk Factors” of our 2020 Form 10-K.</w:t>
      </w:r>
    </w:p>
    <w:p>
      <w:pPr>
        <w:spacing w:after="0" w:line="19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89" w:lineRule="exact"/>
        <w:rPr>
          <w:sz w:val="20"/>
          <w:szCs w:val="20"/>
          <w:color w:val="auto"/>
        </w:rPr>
      </w:pPr>
    </w:p>
    <w:p>
      <w:pPr>
        <w:ind w:right="240" w:firstLine="510"/>
        <w:spacing w:after="0" w:line="291" w:lineRule="auto"/>
        <w:rPr>
          <w:sz w:val="20"/>
          <w:szCs w:val="20"/>
          <w:color w:val="auto"/>
        </w:rPr>
      </w:pPr>
      <w:r>
        <w:rPr>
          <w:rFonts w:ascii="Arial" w:cs="Arial" w:eastAsia="Arial" w:hAnsi="Arial"/>
          <w:sz w:val="16"/>
          <w:szCs w:val="16"/>
          <w:color w:val="auto"/>
        </w:rPr>
        <w:t>On October 24, 2019, our registration statement on Form S-1 (File No. 333-234020) was declared effective by the SEC for our initial public offering. At the closing of the offering on October 29, 2019, we sold 10,997,630 shares of common stock, which included the exercise in full by the underwriters of their option to purchase 1,434,473 additional shares, at an initial public offering price of $19.00 per share and received gross proceeds of $209.0 million, which resulted in net proceeds to us of approximately $191.5 million, after deducting underwriting discounts and commissions of approximately $14.6 million and offering-related transaction costs of approximately $2.9 million. None of the expenses associated with the initial public offering were paid to directors, officers, persons owning ten percent or more of any class of equity securities, or to their associates, or to our affiliates. Goldman Sachs &amp; Co. LLC, Jefferies LLC and Evercore Group L.L.C. acted as joint book-running managers for the offering.</w:t>
      </w:r>
    </w:p>
    <w:p>
      <w:pPr>
        <w:spacing w:after="0" w:line="12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March 31, 2021, the net proceeds from our initial public offering have been applied as follows: $94.4 million towards the clinical development of vonoprazan and $37.9 million towards working capital and general corporate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940" w:type="dxa"/>
            <w:vAlign w:val="bottom"/>
            <w:gridSpan w:val="22"/>
          </w:tcPr>
          <w:p>
            <w:pPr>
              <w:ind w:left="80"/>
              <w:spacing w:after="0"/>
              <w:rPr>
                <w:sz w:val="20"/>
                <w:szCs w:val="20"/>
                <w:color w:val="auto"/>
              </w:rPr>
            </w:pPr>
            <w:r>
              <w:rPr>
                <w:rFonts w:ascii="Arial" w:cs="Arial" w:eastAsia="Arial" w:hAnsi="Arial"/>
                <w:sz w:val="18"/>
                <w:szCs w:val="18"/>
                <w:b w:val="1"/>
                <w:bCs w:val="1"/>
                <w:color w:val="auto"/>
              </w:rPr>
              <w:t>Exhibits</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16"/>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vMerge w:val="restart"/>
          </w:tcPr>
          <w:p>
            <w:pPr>
              <w:spacing w:after="0"/>
              <w:rPr>
                <w:sz w:val="10"/>
                <w:szCs w:val="10"/>
                <w:color w:val="auto"/>
              </w:rPr>
            </w:pPr>
          </w:p>
        </w:tc>
        <w:tc>
          <w:tcPr>
            <w:tcW w:w="62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8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vMerge w:val="restart"/>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6"/>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5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1"/>
                <w:szCs w:val="21"/>
                <w:color w:val="auto"/>
              </w:rPr>
            </w:pPr>
          </w:p>
        </w:tc>
        <w:tc>
          <w:tcPr>
            <w:tcW w:w="3700" w:type="dxa"/>
            <w:vAlign w:val="bottom"/>
            <w:tcBorders>
              <w:bottom w:val="single" w:sz="8" w:color="0000EE"/>
            </w:tcBorders>
            <w:gridSpan w:val="10"/>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Amended and Restated Certificate of Incorporation</w:t>
              </w:r>
            </w:hyperlink>
          </w:p>
        </w:tc>
        <w:tc>
          <w:tcPr>
            <w:tcW w:w="2140" w:type="dxa"/>
            <w:vAlign w:val="bottom"/>
            <w:gridSpan w:val="11"/>
          </w:tcPr>
          <w:p>
            <w:pPr>
              <w:spacing w:after="0"/>
              <w:rPr>
                <w:sz w:val="21"/>
                <w:szCs w:val="21"/>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9"/>
              </w:rPr>
              <w:t>8-K</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10/29/19</w:t>
            </w:r>
          </w:p>
        </w:tc>
        <w:tc>
          <w:tcPr>
            <w:tcW w:w="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2260" w:type="dxa"/>
            <w:vAlign w:val="bottom"/>
            <w:tcBorders>
              <w:bottom w:val="single" w:sz="8" w:color="0000EE"/>
            </w:tcBorders>
            <w:gridSpan w:val="5"/>
          </w:tcPr>
          <w:p>
            <w:pPr>
              <w:spacing w:after="0"/>
              <w:rPr>
                <w:rFonts w:ascii="Arial" w:cs="Arial" w:eastAsia="Arial" w:hAnsi="Arial"/>
                <w:sz w:val="18"/>
                <w:szCs w:val="18"/>
                <w:color w:val="0000EE"/>
                <w:w w:val="89"/>
              </w:rPr>
            </w:pPr>
            <w:hyperlink r:id="rId60">
              <w:r>
                <w:rPr>
                  <w:rFonts w:ascii="Arial" w:cs="Arial" w:eastAsia="Arial" w:hAnsi="Arial"/>
                  <w:sz w:val="18"/>
                  <w:szCs w:val="18"/>
                  <w:color w:val="0000EE"/>
                  <w:w w:val="89"/>
                </w:rPr>
                <w:t>Amended and Restated Bylaws</w:t>
              </w:r>
            </w:hyperlink>
          </w:p>
        </w:tc>
        <w:tc>
          <w:tcPr>
            <w:tcW w:w="3580" w:type="dxa"/>
            <w:vAlign w:val="bottom"/>
            <w:gridSpan w:val="16"/>
          </w:tcPr>
          <w:p>
            <w:pPr>
              <w:spacing w:after="0"/>
              <w:rPr>
                <w:sz w:val="24"/>
                <w:szCs w:val="24"/>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9"/>
              </w:rPr>
              <w:t>8-K</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09/25/2020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5840" w:type="dxa"/>
            <w:vAlign w:val="bottom"/>
            <w:gridSpan w:val="21"/>
          </w:tcPr>
          <w:p>
            <w:pPr>
              <w:spacing w:after="0"/>
              <w:rPr>
                <w:rFonts w:ascii="Arial" w:cs="Arial" w:eastAsia="Arial" w:hAnsi="Arial"/>
                <w:sz w:val="18"/>
                <w:szCs w:val="18"/>
                <w:color w:val="0000EE"/>
              </w:rPr>
            </w:pPr>
            <w:hyperlink r:id="rId61">
              <w:r>
                <w:rPr>
                  <w:rFonts w:ascii="Arial" w:cs="Arial" w:eastAsia="Arial" w:hAnsi="Arial"/>
                  <w:sz w:val="18"/>
                  <w:szCs w:val="18"/>
                  <w:color w:val="0000EE"/>
                </w:rPr>
                <w:t>Form of Common Stock Certificate</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7"/>
              </w:rPr>
              <w:t>S-1/A</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10/15/19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5840" w:type="dxa"/>
            <w:vAlign w:val="bottom"/>
            <w:gridSpan w:val="21"/>
          </w:tcPr>
          <w:p>
            <w:pPr>
              <w:spacing w:after="0"/>
              <w:rPr>
                <w:rFonts w:ascii="Arial" w:cs="Arial" w:eastAsia="Arial" w:hAnsi="Arial"/>
                <w:sz w:val="18"/>
                <w:szCs w:val="18"/>
                <w:color w:val="0000EE"/>
                <w:w w:val="99"/>
              </w:rPr>
            </w:pPr>
            <w:hyperlink r:id="rId62">
              <w:r>
                <w:rPr>
                  <w:rFonts w:ascii="Arial" w:cs="Arial" w:eastAsia="Arial" w:hAnsi="Arial"/>
                  <w:sz w:val="18"/>
                  <w:szCs w:val="18"/>
                  <w:color w:val="0000EE"/>
                  <w:w w:val="99"/>
                </w:rPr>
                <w:t>Warrant to purchase shares of common stock issued to Takeda Company</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Limited, dated May 7, 2019</w:t>
              </w:r>
            </w:hyperlink>
          </w:p>
        </w:tc>
        <w:tc>
          <w:tcPr>
            <w:tcW w:w="3200" w:type="dxa"/>
            <w:vAlign w:val="bottom"/>
            <w:tcBorders>
              <w:top w:val="single" w:sz="8" w:color="0000EE"/>
            </w:tcBorders>
            <w:gridSpan w:val="10"/>
          </w:tcPr>
          <w:p>
            <w:pPr>
              <w:spacing w:after="0"/>
              <w:rPr>
                <w:sz w:val="17"/>
                <w:szCs w:val="17"/>
                <w:color w:val="auto"/>
              </w:rPr>
            </w:pPr>
          </w:p>
        </w:tc>
        <w:tc>
          <w:tcPr>
            <w:tcW w:w="62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5840" w:type="dxa"/>
            <w:vAlign w:val="bottom"/>
            <w:gridSpan w:val="21"/>
          </w:tcPr>
          <w:p>
            <w:pPr>
              <w:spacing w:after="0"/>
              <w:rPr>
                <w:rFonts w:ascii="Arial" w:cs="Arial" w:eastAsia="Arial" w:hAnsi="Arial"/>
                <w:sz w:val="18"/>
                <w:szCs w:val="18"/>
                <w:color w:val="0000EE"/>
                <w:w w:val="94"/>
              </w:rPr>
            </w:pPr>
            <w:hyperlink r:id="rId63">
              <w:r>
                <w:rPr>
                  <w:rFonts w:ascii="Arial" w:cs="Arial" w:eastAsia="Arial" w:hAnsi="Arial"/>
                  <w:sz w:val="18"/>
                  <w:szCs w:val="18"/>
                  <w:color w:val="0000EE"/>
                  <w:w w:val="94"/>
                </w:rPr>
                <w:t>Warrant to purchase stock issued to Silicon Valley Bank, dated May 14, 2019</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5640" w:type="dxa"/>
            <w:vAlign w:val="bottom"/>
            <w:tcBorders>
              <w:bottom w:val="single" w:sz="8" w:color="0000EE"/>
            </w:tcBorders>
            <w:gridSpan w:val="19"/>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Warrant to purchase stock issued to WestRiver Innovation Lending Fund VIII,</w:t>
              </w:r>
            </w:hyperlink>
          </w:p>
        </w:tc>
        <w:tc>
          <w:tcPr>
            <w:tcW w:w="200" w:type="dxa"/>
            <w:vAlign w:val="bottom"/>
            <w:gridSpan w:val="2"/>
          </w:tcPr>
          <w:p>
            <w:pPr>
              <w:spacing w:after="0"/>
              <w:rPr>
                <w:sz w:val="24"/>
                <w:szCs w:val="24"/>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L.P., dated May 14, 2019</w:t>
              </w:r>
            </w:hyperlink>
          </w:p>
        </w:tc>
        <w:tc>
          <w:tcPr>
            <w:tcW w:w="4020" w:type="dxa"/>
            <w:vAlign w:val="bottom"/>
            <w:gridSpan w:val="19"/>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5840" w:type="dxa"/>
            <w:vAlign w:val="bottom"/>
            <w:gridSpan w:val="21"/>
          </w:tcPr>
          <w:p>
            <w:pPr>
              <w:spacing w:after="0"/>
              <w:rPr>
                <w:rFonts w:ascii="Arial" w:cs="Arial" w:eastAsia="Arial" w:hAnsi="Arial"/>
                <w:sz w:val="18"/>
                <w:szCs w:val="18"/>
                <w:color w:val="0000EE"/>
                <w:w w:val="95"/>
              </w:rPr>
            </w:pPr>
            <w:hyperlink r:id="rId65">
              <w:r>
                <w:rPr>
                  <w:rFonts w:ascii="Arial" w:cs="Arial" w:eastAsia="Arial" w:hAnsi="Arial"/>
                  <w:sz w:val="18"/>
                  <w:szCs w:val="18"/>
                  <w:color w:val="0000EE"/>
                  <w:w w:val="95"/>
                </w:rPr>
                <w:t>Note Purchase Agreement, dated May 7, 2019, by and among the Registrant</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7"/>
              </w:rPr>
              <w:t>S-1/A</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10/15/19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and the other parties party thereto, as amended</w:t>
              </w:r>
            </w:hyperlink>
          </w:p>
        </w:tc>
        <w:tc>
          <w:tcPr>
            <w:tcW w:w="36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3360" w:type="dxa"/>
            <w:vAlign w:val="bottom"/>
            <w:tcBorders>
              <w:top w:val="single" w:sz="8" w:color="0000EE"/>
            </w:tcBorders>
            <w:gridSpan w:val="9"/>
          </w:tcPr>
          <w:p>
            <w:pPr>
              <w:spacing w:after="0"/>
              <w:rPr>
                <w:rFonts w:ascii="Arial" w:cs="Arial" w:eastAsia="Arial" w:hAnsi="Arial"/>
                <w:sz w:val="18"/>
                <w:szCs w:val="18"/>
                <w:color w:val="0000EE"/>
              </w:rPr>
            </w:pPr>
            <w:hyperlink r:id="rId66">
              <w:r>
                <w:rPr>
                  <w:rFonts w:ascii="Arial" w:cs="Arial" w:eastAsia="Arial" w:hAnsi="Arial"/>
                  <w:sz w:val="18"/>
                  <w:szCs w:val="18"/>
                  <w:color w:val="0000EE"/>
                </w:rPr>
                <w:t>Description of Registered Securities</w:t>
              </w:r>
            </w:hyperlink>
          </w:p>
        </w:tc>
        <w:tc>
          <w:tcPr>
            <w:tcW w:w="2480" w:type="dxa"/>
            <w:vAlign w:val="bottom"/>
            <w:gridSpan w:val="12"/>
          </w:tcPr>
          <w:p>
            <w:pPr>
              <w:spacing w:after="0"/>
              <w:rPr>
                <w:sz w:val="24"/>
                <w:szCs w:val="24"/>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4"/>
              </w:rPr>
              <w:t>10-K</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12/31/19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5840" w:type="dxa"/>
            <w:vAlign w:val="bottom"/>
            <w:gridSpan w:val="21"/>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Second Amendment to the Loan and Security Agreement, dated March 11,</w:t>
              </w:r>
            </w:hyperlink>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2021, by and among Silicon Valley Bank, SVB Innovation Credit Fund VIII,</w:t>
              </w:r>
            </w:hyperlink>
          </w:p>
        </w:tc>
        <w:tc>
          <w:tcPr>
            <w:tcW w:w="28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L.P. and the Registrant</w:t>
              </w:r>
            </w:hyperlink>
          </w:p>
        </w:tc>
        <w:tc>
          <w:tcPr>
            <w:tcW w:w="4200" w:type="dxa"/>
            <w:vAlign w:val="bottom"/>
            <w:gridSpan w:val="20"/>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4"/>
                <w:szCs w:val="24"/>
                <w:color w:val="auto"/>
              </w:rPr>
            </w:pPr>
          </w:p>
        </w:tc>
        <w:tc>
          <w:tcPr>
            <w:tcW w:w="560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Chief Executive Officer of Phathom Pharmaceuticals, Inc., as</w:t>
              </w:r>
            </w:hyperlink>
          </w:p>
        </w:tc>
        <w:tc>
          <w:tcPr>
            <w:tcW w:w="24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required by Rule 13a-14(a) or Rule 15d-14(a), as adopted pursuant to Section</w:t>
              </w:r>
            </w:hyperlink>
          </w:p>
        </w:tc>
        <w:tc>
          <w:tcPr>
            <w:tcW w:w="2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302 of the Sarbanes-Oxley Act of 2002.</w:t>
              </w:r>
            </w:hyperlink>
          </w:p>
        </w:tc>
        <w:tc>
          <w:tcPr>
            <w:tcW w:w="2960" w:type="dxa"/>
            <w:vAlign w:val="bottom"/>
            <w:gridSpan w:val="13"/>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4"/>
                <w:szCs w:val="24"/>
                <w:color w:val="auto"/>
              </w:rPr>
            </w:pPr>
          </w:p>
        </w:tc>
        <w:tc>
          <w:tcPr>
            <w:tcW w:w="556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Chief Financial Officer of Phathom Pharmaceuticals, Inc., as</w:t>
              </w:r>
            </w:hyperlink>
          </w:p>
        </w:tc>
        <w:tc>
          <w:tcPr>
            <w:tcW w:w="28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required by Rule 13a-14(a) or Rule 15d-14(a), as adopted pursuant to Section</w:t>
              </w:r>
            </w:hyperlink>
          </w:p>
        </w:tc>
        <w:tc>
          <w:tcPr>
            <w:tcW w:w="2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302 of the Sarbanes-Oxley Act of 2002.</w:t>
              </w:r>
            </w:hyperlink>
          </w:p>
        </w:tc>
        <w:tc>
          <w:tcPr>
            <w:tcW w:w="2960" w:type="dxa"/>
            <w:vAlign w:val="bottom"/>
            <w:gridSpan w:val="13"/>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584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 of Chief Executive Officer pursuant to Section 906 of the</w:t>
              </w:r>
            </w:hyperlink>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Sarbanes-Oxley Act of 2002.</w:t>
              </w:r>
            </w:hyperlink>
          </w:p>
        </w:tc>
        <w:tc>
          <w:tcPr>
            <w:tcW w:w="76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504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Chief Financial Officer pursuant to Section 906 of the</w:t>
              </w:r>
            </w:hyperlink>
          </w:p>
        </w:tc>
        <w:tc>
          <w:tcPr>
            <w:tcW w:w="800" w:type="dxa"/>
            <w:vAlign w:val="bottom"/>
            <w:gridSpan w:val="10"/>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gridSpan w:val="2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Sarbanes-Oxley Act of 2002.</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740" w:type="dxa"/>
            <w:vAlign w:val="bottom"/>
            <w:gridSpan w:val="1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4"/>
                <w:szCs w:val="24"/>
                <w:color w:val="auto"/>
              </w:rPr>
            </w:pPr>
          </w:p>
        </w:tc>
        <w:tc>
          <w:tcPr>
            <w:tcW w:w="5840" w:type="dxa"/>
            <w:vAlign w:val="bottom"/>
            <w:gridSpan w:val="21"/>
          </w:tcPr>
          <w:p>
            <w:pPr>
              <w:spacing w:after="0"/>
              <w:rPr>
                <w:sz w:val="20"/>
                <w:szCs w:val="20"/>
                <w:color w:val="auto"/>
              </w:rPr>
            </w:pPr>
            <w:r>
              <w:rPr>
                <w:rFonts w:ascii="Arial" w:cs="Arial" w:eastAsia="Arial" w:hAnsi="Arial"/>
                <w:sz w:val="18"/>
                <w:szCs w:val="18"/>
                <w:color w:val="auto"/>
              </w:rPr>
              <w:t>XBRL Report Instance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0" w:type="dxa"/>
            <w:vAlign w:val="bottom"/>
          </w:tcPr>
          <w:p>
            <w:pPr>
              <w:spacing w:after="0"/>
              <w:rPr>
                <w:sz w:val="24"/>
                <w:szCs w:val="24"/>
                <w:color w:val="auto"/>
              </w:rPr>
            </w:pPr>
          </w:p>
        </w:tc>
        <w:tc>
          <w:tcPr>
            <w:tcW w:w="584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11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5840" w:type="dxa"/>
            <w:vAlign w:val="bottom"/>
            <w:gridSpan w:val="21"/>
          </w:tcPr>
          <w:p>
            <w:pPr>
              <w:spacing w:after="0"/>
              <w:rPr>
                <w:sz w:val="20"/>
                <w:szCs w:val="20"/>
                <w:color w:val="auto"/>
              </w:rPr>
            </w:pPr>
            <w:r>
              <w:rPr>
                <w:rFonts w:ascii="Arial" w:cs="Arial" w:eastAsia="Arial" w:hAnsi="Arial"/>
                <w:sz w:val="18"/>
                <w:szCs w:val="18"/>
                <w:color w:val="auto"/>
              </w:rPr>
              <w:t>XBRL Taxonomy Calculation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5840" w:type="dxa"/>
            <w:vAlign w:val="bottom"/>
            <w:gridSpan w:val="21"/>
          </w:tcPr>
          <w:p>
            <w:pPr>
              <w:spacing w:after="0"/>
              <w:rPr>
                <w:sz w:val="20"/>
                <w:szCs w:val="20"/>
                <w:color w:val="auto"/>
              </w:rPr>
            </w:pPr>
            <w:r>
              <w:rPr>
                <w:rFonts w:ascii="Arial" w:cs="Arial" w:eastAsia="Arial" w:hAnsi="Arial"/>
                <w:sz w:val="18"/>
                <w:szCs w:val="18"/>
                <w:color w:val="auto"/>
              </w:rPr>
              <w:t>XBRL Taxonomy Label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4"/>
                <w:szCs w:val="24"/>
                <w:color w:val="auto"/>
              </w:rPr>
            </w:pPr>
          </w:p>
        </w:tc>
        <w:tc>
          <w:tcPr>
            <w:tcW w:w="5840" w:type="dxa"/>
            <w:vAlign w:val="bottom"/>
            <w:gridSpan w:val="21"/>
          </w:tcPr>
          <w:p>
            <w:pPr>
              <w:spacing w:after="0"/>
              <w:rPr>
                <w:sz w:val="20"/>
                <w:szCs w:val="20"/>
                <w:color w:val="auto"/>
              </w:rPr>
            </w:pPr>
            <w:r>
              <w:rPr>
                <w:rFonts w:ascii="Arial" w:cs="Arial" w:eastAsia="Arial" w:hAnsi="Arial"/>
                <w:sz w:val="18"/>
                <w:szCs w:val="18"/>
                <w:color w:val="auto"/>
              </w:rPr>
              <w:t>XBRL Presentation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11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00" w:type="dxa"/>
            <w:vAlign w:val="bottom"/>
          </w:tcPr>
          <w:p>
            <w:pPr>
              <w:spacing w:after="0"/>
              <w:rPr>
                <w:sz w:val="24"/>
                <w:szCs w:val="24"/>
                <w:color w:val="auto"/>
              </w:rPr>
            </w:pPr>
          </w:p>
        </w:tc>
        <w:tc>
          <w:tcPr>
            <w:tcW w:w="584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80" w:right="16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580" w:type="dxa"/>
            <w:vAlign w:val="bottom"/>
            <w:gridSpan w:val="2"/>
          </w:tcPr>
          <w:p>
            <w:pPr>
              <w:ind w:left="2420"/>
              <w:spacing w:after="0"/>
              <w:rPr>
                <w:sz w:val="20"/>
                <w:szCs w:val="20"/>
                <w:color w:val="auto"/>
              </w:rPr>
            </w:pPr>
            <w:r>
              <w:rPr>
                <w:rFonts w:ascii="Arial" w:cs="Arial" w:eastAsia="Arial" w:hAnsi="Arial"/>
                <w:sz w:val="18"/>
                <w:szCs w:val="18"/>
                <w:color w:val="auto"/>
              </w:rPr>
              <w:t>PHATHOM PHARMACEUTICALS,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200"/>
              <w:spacing w:after="0"/>
              <w:rPr>
                <w:sz w:val="20"/>
                <w:szCs w:val="20"/>
                <w:color w:val="auto"/>
              </w:rPr>
            </w:pPr>
            <w:r>
              <w:rPr>
                <w:rFonts w:ascii="Arial" w:cs="Arial" w:eastAsia="Arial" w:hAnsi="Arial"/>
                <w:sz w:val="18"/>
                <w:szCs w:val="18"/>
                <w:color w:val="auto"/>
              </w:rPr>
              <w:t>May 11, 2021</w:t>
            </w:r>
          </w:p>
        </w:tc>
        <w:tc>
          <w:tcPr>
            <w:tcW w:w="3000" w:type="dxa"/>
            <w:vAlign w:val="bottom"/>
          </w:tcPr>
          <w:p>
            <w:pPr>
              <w:ind w:left="242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195"/>
        </w:trPr>
        <w:tc>
          <w:tcPr>
            <w:tcW w:w="6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Terrie Curran</w:t>
            </w:r>
          </w:p>
        </w:tc>
      </w:tr>
      <w:tr>
        <w:trPr>
          <w:trHeight w:val="216"/>
        </w:trPr>
        <w:tc>
          <w:tcPr>
            <w:tcW w:w="6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200"/>
              <w:spacing w:after="0"/>
              <w:rPr>
                <w:sz w:val="20"/>
                <w:szCs w:val="20"/>
                <w:color w:val="auto"/>
              </w:rPr>
            </w:pPr>
            <w:r>
              <w:rPr>
                <w:rFonts w:ascii="Arial" w:cs="Arial" w:eastAsia="Arial" w:hAnsi="Arial"/>
                <w:sz w:val="18"/>
                <w:szCs w:val="18"/>
                <w:color w:val="auto"/>
              </w:rPr>
              <w:t>May 11, 2021</w:t>
            </w:r>
          </w:p>
        </w:tc>
        <w:tc>
          <w:tcPr>
            <w:tcW w:w="3000" w:type="dxa"/>
            <w:vAlign w:val="bottom"/>
          </w:tcPr>
          <w:p>
            <w:pPr>
              <w:ind w:left="242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P. Branning</w:t>
            </w:r>
          </w:p>
        </w:tc>
      </w:tr>
      <w:tr>
        <w:trPr>
          <w:trHeight w:val="195"/>
        </w:trPr>
        <w:tc>
          <w:tcPr>
            <w:tcW w:w="6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Todd P. Branning</w:t>
            </w:r>
          </w:p>
        </w:tc>
      </w:tr>
      <w:tr>
        <w:trPr>
          <w:trHeight w:val="216"/>
        </w:trPr>
        <w:tc>
          <w:tcPr>
            <w:tcW w:w="6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6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0" w:type="dxa"/>
            <w:vAlign w:val="bottom"/>
          </w:tcPr>
          <w:p>
            <w:pPr>
              <w:jc w:val="right"/>
              <w:ind w:right="850"/>
              <w:spacing w:after="0"/>
              <w:rPr>
                <w:sz w:val="20"/>
                <w:szCs w:val="20"/>
                <w:color w:val="auto"/>
              </w:rPr>
            </w:pPr>
            <w:r>
              <w:rPr>
                <w:rFonts w:ascii="Arial" w:cs="Arial" w:eastAsia="Arial" w:hAnsi="Arial"/>
                <w:sz w:val="18"/>
                <w:szCs w:val="18"/>
                <w:color w:val="auto"/>
              </w:rPr>
              <w:t>31</w:t>
            </w:r>
          </w:p>
        </w:tc>
        <w:tc>
          <w:tcPr>
            <w:tcW w:w="45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3" w:name="page34"/>
    <w:bookmarkEnd w:id="33"/>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SECOND AMENDMENT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t>
      </w:r>
    </w:p>
    <w:p>
      <w:pPr>
        <w:jc w:val="center"/>
        <w:ind w:right="20"/>
        <w:spacing w:after="0"/>
        <w:rPr>
          <w:sz w:val="20"/>
          <w:szCs w:val="20"/>
          <w:color w:val="auto"/>
        </w:rPr>
      </w:pPr>
      <w:r>
        <w:rPr>
          <w:rFonts w:ascii="Arial" w:cs="Arial" w:eastAsia="Arial" w:hAnsi="Arial"/>
          <w:sz w:val="22"/>
          <w:szCs w:val="22"/>
          <w:b w:val="1"/>
          <w:bCs w:val="1"/>
          <w:color w:val="auto"/>
        </w:rPr>
        <w:t>LOAN AND SECURITY AGREEMENT</w:t>
      </w:r>
    </w:p>
    <w:p>
      <w:pPr>
        <w:spacing w:after="0" w:line="182" w:lineRule="exact"/>
        <w:rPr>
          <w:sz w:val="20"/>
          <w:szCs w:val="20"/>
          <w:color w:val="auto"/>
        </w:rPr>
      </w:pPr>
    </w:p>
    <w:p>
      <w:pPr>
        <w:jc w:val="both"/>
        <w:ind w:right="20" w:firstLine="864"/>
        <w:spacing w:after="0" w:line="247" w:lineRule="auto"/>
        <w:rPr>
          <w:sz w:val="20"/>
          <w:szCs w:val="20"/>
          <w:color w:val="auto"/>
        </w:rPr>
      </w:pPr>
      <w:r>
        <w:rPr>
          <w:rFonts w:ascii="Arial" w:cs="Arial" w:eastAsia="Arial" w:hAnsi="Arial"/>
          <w:sz w:val="21"/>
          <w:szCs w:val="21"/>
          <w:color w:val="auto"/>
        </w:rPr>
        <w:t>This Second Amendment to Loan and Security Agreement (this “</w:t>
      </w:r>
      <w:r>
        <w:rPr>
          <w:rFonts w:ascii="Arial" w:cs="Arial" w:eastAsia="Arial" w:hAnsi="Arial"/>
          <w:sz w:val="21"/>
          <w:szCs w:val="21"/>
          <w:b w:val="1"/>
          <w:bCs w:val="1"/>
          <w:color w:val="auto"/>
        </w:rPr>
        <w:t>Amendment</w:t>
      </w:r>
      <w:r>
        <w:rPr>
          <w:rFonts w:ascii="Arial" w:cs="Arial" w:eastAsia="Arial" w:hAnsi="Arial"/>
          <w:sz w:val="21"/>
          <w:szCs w:val="21"/>
          <w:color w:val="auto"/>
        </w:rPr>
        <w:t>”) is entered into this 11</w:t>
      </w:r>
      <w:r>
        <w:rPr>
          <w:rFonts w:ascii="Arial" w:cs="Arial" w:eastAsia="Arial" w:hAnsi="Arial"/>
          <w:sz w:val="17"/>
          <w:szCs w:val="17"/>
          <w:color w:val="auto"/>
        </w:rPr>
        <w:t>th</w:t>
      </w:r>
      <w:r>
        <w:rPr>
          <w:rFonts w:ascii="Arial" w:cs="Arial" w:eastAsia="Arial" w:hAnsi="Arial"/>
          <w:sz w:val="21"/>
          <w:szCs w:val="21"/>
          <w:color w:val="auto"/>
        </w:rPr>
        <w:t xml:space="preserve"> day of March, 2021, by and among (a) </w:t>
      </w:r>
      <w:r>
        <w:rPr>
          <w:rFonts w:ascii="Arial" w:cs="Arial" w:eastAsia="Arial" w:hAnsi="Arial"/>
          <w:sz w:val="21"/>
          <w:szCs w:val="21"/>
          <w:b w:val="1"/>
          <w:bCs w:val="1"/>
          <w:color w:val="auto"/>
        </w:rPr>
        <w:t>SILICON VALLEY BANK</w:t>
      </w:r>
      <w:r>
        <w:rPr>
          <w:rFonts w:ascii="Arial" w:cs="Arial" w:eastAsia="Arial" w:hAnsi="Arial"/>
          <w:sz w:val="21"/>
          <w:szCs w:val="21"/>
          <w:color w:val="auto"/>
        </w:rPr>
        <w:t>, a California corporation (“</w:t>
      </w:r>
      <w:r>
        <w:rPr>
          <w:rFonts w:ascii="Arial" w:cs="Arial" w:eastAsia="Arial" w:hAnsi="Arial"/>
          <w:sz w:val="21"/>
          <w:szCs w:val="21"/>
          <w:b w:val="1"/>
          <w:bCs w:val="1"/>
          <w:color w:val="auto"/>
        </w:rPr>
        <w:t>SVB</w:t>
      </w:r>
      <w:r>
        <w:rPr>
          <w:rFonts w:ascii="Arial" w:cs="Arial" w:eastAsia="Arial" w:hAnsi="Arial"/>
          <w:sz w:val="21"/>
          <w:szCs w:val="21"/>
          <w:color w:val="auto"/>
        </w:rPr>
        <w:t>”), in its capacity as administrative agent and collateral agent (“</w:t>
      </w:r>
      <w:r>
        <w:rPr>
          <w:rFonts w:ascii="Arial" w:cs="Arial" w:eastAsia="Arial" w:hAnsi="Arial"/>
          <w:sz w:val="21"/>
          <w:szCs w:val="21"/>
          <w:b w:val="1"/>
          <w:bCs w:val="1"/>
          <w:color w:val="auto"/>
        </w:rPr>
        <w:t>Agent</w:t>
      </w:r>
      <w:r>
        <w:rPr>
          <w:rFonts w:ascii="Arial" w:cs="Arial" w:eastAsia="Arial" w:hAnsi="Arial"/>
          <w:sz w:val="21"/>
          <w:szCs w:val="21"/>
          <w:color w:val="auto"/>
        </w:rPr>
        <w:t xml:space="preserve">”), (b) </w:t>
      </w:r>
      <w:r>
        <w:rPr>
          <w:rFonts w:ascii="Arial" w:cs="Arial" w:eastAsia="Arial" w:hAnsi="Arial"/>
          <w:sz w:val="21"/>
          <w:szCs w:val="21"/>
          <w:b w:val="1"/>
          <w:bCs w:val="1"/>
          <w:color w:val="auto"/>
        </w:rPr>
        <w:t>SILICON VALLEY BANK</w:t>
      </w:r>
      <w:r>
        <w:rPr>
          <w:rFonts w:ascii="Arial" w:cs="Arial" w:eastAsia="Arial" w:hAnsi="Arial"/>
          <w:sz w:val="21"/>
          <w:szCs w:val="21"/>
          <w:color w:val="auto"/>
        </w:rPr>
        <w:t xml:space="preserve">, a California corporation, as a lender, (c) </w:t>
      </w:r>
      <w:r>
        <w:rPr>
          <w:rFonts w:ascii="Arial" w:cs="Arial" w:eastAsia="Arial" w:hAnsi="Arial"/>
          <w:sz w:val="21"/>
          <w:szCs w:val="21"/>
          <w:b w:val="1"/>
          <w:bCs w:val="1"/>
          <w:color w:val="auto"/>
        </w:rPr>
        <w:t>SVB INNOVATION</w:t>
      </w:r>
      <w:r>
        <w:rPr>
          <w:rFonts w:ascii="Arial" w:cs="Arial" w:eastAsia="Arial" w:hAnsi="Arial"/>
          <w:sz w:val="21"/>
          <w:szCs w:val="21"/>
          <w:color w:val="auto"/>
        </w:rPr>
        <w:t xml:space="preserve"> </w:t>
      </w:r>
      <w:r>
        <w:rPr>
          <w:rFonts w:ascii="Arial" w:cs="Arial" w:eastAsia="Arial" w:hAnsi="Arial"/>
          <w:sz w:val="21"/>
          <w:szCs w:val="21"/>
          <w:b w:val="1"/>
          <w:bCs w:val="1"/>
          <w:color w:val="auto"/>
        </w:rPr>
        <w:t>CREDIT FUND VIII, L.P</w:t>
      </w:r>
      <w:r>
        <w:rPr>
          <w:rFonts w:ascii="Arial" w:cs="Arial" w:eastAsia="Arial" w:hAnsi="Arial"/>
          <w:sz w:val="21"/>
          <w:szCs w:val="21"/>
          <w:color w:val="auto"/>
        </w:rPr>
        <w:t>., a Delaware limited partnership (“</w:t>
      </w:r>
      <w:r>
        <w:rPr>
          <w:rFonts w:ascii="Arial" w:cs="Arial" w:eastAsia="Arial" w:hAnsi="Arial"/>
          <w:sz w:val="21"/>
          <w:szCs w:val="21"/>
          <w:b w:val="1"/>
          <w:bCs w:val="1"/>
          <w:color w:val="auto"/>
        </w:rPr>
        <w:t>SVB Innovation</w:t>
      </w:r>
      <w:r>
        <w:rPr>
          <w:rFonts w:ascii="Arial" w:cs="Arial" w:eastAsia="Arial" w:hAnsi="Arial"/>
          <w:sz w:val="21"/>
          <w:szCs w:val="21"/>
          <w:color w:val="auto"/>
        </w:rPr>
        <w:t>”), as a lender (SVB and SVB Innovation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the other “ Lenders” from time to time a party hereto are referred to herein collectively as the “</w:t>
      </w:r>
      <w:r>
        <w:rPr>
          <w:rFonts w:ascii="Arial" w:cs="Arial" w:eastAsia="Arial" w:hAnsi="Arial"/>
          <w:sz w:val="21"/>
          <w:szCs w:val="21"/>
          <w:b w:val="1"/>
          <w:bCs w:val="1"/>
          <w:color w:val="auto"/>
        </w:rPr>
        <w:t>Lenders</w:t>
      </w:r>
      <w:r>
        <w:rPr>
          <w:rFonts w:ascii="Arial" w:cs="Arial" w:eastAsia="Arial" w:hAnsi="Arial"/>
          <w:sz w:val="21"/>
          <w:szCs w:val="21"/>
          <w:color w:val="auto"/>
        </w:rPr>
        <w:t>” and each individually as a “</w:t>
      </w:r>
      <w:r>
        <w:rPr>
          <w:rFonts w:ascii="Arial" w:cs="Arial" w:eastAsia="Arial" w:hAnsi="Arial"/>
          <w:sz w:val="21"/>
          <w:szCs w:val="21"/>
          <w:b w:val="1"/>
          <w:bCs w:val="1"/>
          <w:color w:val="auto"/>
        </w:rPr>
        <w:t>Lender</w:t>
      </w:r>
      <w:r>
        <w:rPr>
          <w:rFonts w:ascii="Arial" w:cs="Arial" w:eastAsia="Arial" w:hAnsi="Arial"/>
          <w:sz w:val="21"/>
          <w:szCs w:val="21"/>
          <w:color w:val="auto"/>
        </w:rPr>
        <w:t xml:space="preserve">”), and (d) </w:t>
      </w:r>
      <w:r>
        <w:rPr>
          <w:rFonts w:ascii="Arial" w:cs="Arial" w:eastAsia="Arial" w:hAnsi="Arial"/>
          <w:sz w:val="21"/>
          <w:szCs w:val="21"/>
          <w:b w:val="1"/>
          <w:bCs w:val="1"/>
          <w:color w:val="auto"/>
        </w:rPr>
        <w:t>PHATHOM PHARMACEUTICALS, INC.</w:t>
      </w:r>
      <w:r>
        <w:rPr>
          <w:rFonts w:ascii="Arial" w:cs="Arial" w:eastAsia="Arial" w:hAnsi="Arial"/>
          <w:sz w:val="21"/>
          <w:szCs w:val="21"/>
          <w:color w:val="auto"/>
        </w:rPr>
        <w:t>, a Delaware corporation (“</w:t>
      </w:r>
      <w:r>
        <w:rPr>
          <w:rFonts w:ascii="Arial" w:cs="Arial" w:eastAsia="Arial" w:hAnsi="Arial"/>
          <w:sz w:val="21"/>
          <w:szCs w:val="21"/>
          <w:b w:val="1"/>
          <w:bCs w:val="1"/>
          <w:color w:val="auto"/>
        </w:rPr>
        <w:t>Borrower</w:t>
      </w:r>
      <w:r>
        <w:rPr>
          <w:rFonts w:ascii="Arial" w:cs="Arial" w:eastAsia="Arial" w:hAnsi="Arial"/>
          <w:sz w:val="21"/>
          <w:szCs w:val="21"/>
          <w:color w:val="auto"/>
        </w:rPr>
        <w:t>”), whose address is 100 Campus Drive, Suite 102, Florham Park, New Jersey 07932.</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12" w:lineRule="exact"/>
        <w:rPr>
          <w:sz w:val="20"/>
          <w:szCs w:val="20"/>
          <w:color w:val="auto"/>
        </w:rPr>
      </w:pPr>
    </w:p>
    <w:p>
      <w:pPr>
        <w:jc w:val="both"/>
        <w:ind w:right="20" w:firstLine="872"/>
        <w:spacing w:after="0" w:line="238" w:lineRule="auto"/>
        <w:tabs>
          <w:tab w:leader="none" w:pos="1721"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Borrower, Agent and the Lenders have entered into that certain Loan and Security Agreement dated as of May 14, 2019, as amended by that certain First Amendment to Loan and Security Agreement dated as of March 11, 2020, by and among Borrower, Agent and the Lenders (as the same has been and may from time to time be further amended, modified, supplemented or restated, the “</w:t>
      </w:r>
      <w:r>
        <w:rPr>
          <w:rFonts w:ascii="Arial" w:cs="Arial" w:eastAsia="Arial" w:hAnsi="Arial"/>
          <w:sz w:val="22"/>
          <w:szCs w:val="22"/>
          <w:b w:val="1"/>
          <w:bCs w:val="1"/>
          <w:color w:val="auto"/>
        </w:rPr>
        <w:t>Loan Agreement</w:t>
      </w:r>
      <w:r>
        <w:rPr>
          <w:rFonts w:ascii="Arial" w:cs="Arial" w:eastAsia="Arial" w:hAnsi="Arial"/>
          <w:sz w:val="22"/>
          <w:szCs w:val="22"/>
          <w:color w:val="auto"/>
        </w:rPr>
        <w:t>”).</w:t>
      </w:r>
    </w:p>
    <w:p>
      <w:pPr>
        <w:spacing w:after="0" w:line="184" w:lineRule="exact"/>
        <w:rPr>
          <w:rFonts w:ascii="Arial" w:cs="Arial" w:eastAsia="Arial" w:hAnsi="Arial"/>
          <w:sz w:val="22"/>
          <w:szCs w:val="22"/>
          <w:b w:val="1"/>
          <w:bCs w:val="1"/>
          <w:color w:val="auto"/>
        </w:rPr>
      </w:pPr>
    </w:p>
    <w:p>
      <w:pPr>
        <w:ind w:left="1720" w:hanging="848"/>
        <w:spacing w:after="0"/>
        <w:tabs>
          <w:tab w:leader="none" w:pos="1720"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The Lenders have extended credit to Borrower for the purposes permitted in the Loan Agreement.</w:t>
      </w:r>
    </w:p>
    <w:p>
      <w:pPr>
        <w:spacing w:after="0" w:line="206" w:lineRule="exact"/>
        <w:rPr>
          <w:rFonts w:ascii="Arial" w:cs="Arial" w:eastAsia="Arial" w:hAnsi="Arial"/>
          <w:sz w:val="22"/>
          <w:szCs w:val="22"/>
          <w:b w:val="1"/>
          <w:bCs w:val="1"/>
          <w:color w:val="auto"/>
        </w:rPr>
      </w:pPr>
    </w:p>
    <w:p>
      <w:pPr>
        <w:ind w:right="20" w:firstLine="872"/>
        <w:spacing w:after="0" w:line="250" w:lineRule="auto"/>
        <w:tabs>
          <w:tab w:leader="none" w:pos="1721"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Borrower has requested that the Lenders amend the Loan Agreement to make certain revisions to the Loan Agreement as more fully set forth herein.</w:t>
      </w:r>
    </w:p>
    <w:p>
      <w:pPr>
        <w:spacing w:after="0" w:line="174" w:lineRule="exact"/>
        <w:rPr>
          <w:rFonts w:ascii="Arial" w:cs="Arial" w:eastAsia="Arial" w:hAnsi="Arial"/>
          <w:sz w:val="22"/>
          <w:szCs w:val="22"/>
          <w:b w:val="1"/>
          <w:bCs w:val="1"/>
          <w:color w:val="auto"/>
        </w:rPr>
      </w:pPr>
    </w:p>
    <w:p>
      <w:pPr>
        <w:ind w:right="20" w:firstLine="872"/>
        <w:spacing w:after="0" w:line="328" w:lineRule="auto"/>
        <w:tabs>
          <w:tab w:leader="none" w:pos="1721" w:val="left"/>
        </w:tabs>
        <w:numPr>
          <w:ilvl w:val="0"/>
          <w:numId w:val="8"/>
        </w:numPr>
        <w:rPr>
          <w:rFonts w:ascii="Arial" w:cs="Arial" w:eastAsia="Arial" w:hAnsi="Arial"/>
          <w:sz w:val="19"/>
          <w:szCs w:val="19"/>
          <w:b w:val="1"/>
          <w:bCs w:val="1"/>
          <w:color w:val="auto"/>
        </w:rPr>
      </w:pPr>
      <w:r>
        <w:rPr>
          <w:rFonts w:ascii="Arial" w:cs="Arial" w:eastAsia="Arial" w:hAnsi="Arial"/>
          <w:sz w:val="19"/>
          <w:szCs w:val="19"/>
          <w:color w:val="auto"/>
        </w:rPr>
        <w:t>The Lenders have agreed to so amend certain provisions of the Loan Agreement, but only to the extent, in accordance with the terms, subject to the conditions and in reliance upon the representations and warranties set forth below.</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206" w:lineRule="exact"/>
        <w:rPr>
          <w:sz w:val="20"/>
          <w:szCs w:val="20"/>
          <w:color w:val="auto"/>
        </w:rPr>
      </w:pPr>
    </w:p>
    <w:p>
      <w:pPr>
        <w:ind w:right="40" w:firstLine="864"/>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 receipt and</w:t>
      </w:r>
      <w:r>
        <w:rPr>
          <w:rFonts w:ascii="Arial" w:cs="Arial" w:eastAsia="Arial" w:hAnsi="Arial"/>
          <w:sz w:val="20"/>
          <w:szCs w:val="20"/>
          <w:b w:val="1"/>
          <w:bCs w:val="1"/>
          <w:color w:val="auto"/>
        </w:rPr>
        <w:t xml:space="preserve"> </w:t>
      </w:r>
      <w:r>
        <w:rPr>
          <w:rFonts w:ascii="Arial" w:cs="Arial" w:eastAsia="Arial" w:hAnsi="Arial"/>
          <w:sz w:val="20"/>
          <w:szCs w:val="20"/>
          <w:color w:val="auto"/>
        </w:rPr>
        <w:t>adequacy of which is hereby acknowledged, and intending to be legally bound, the parties hereto agree as follows:</w:t>
      </w:r>
    </w:p>
    <w:p>
      <w:pPr>
        <w:spacing w:after="0" w:line="116" w:lineRule="exact"/>
        <w:rPr>
          <w:sz w:val="20"/>
          <w:szCs w:val="20"/>
          <w:color w:val="auto"/>
        </w:rPr>
      </w:pPr>
    </w:p>
    <w:p>
      <w:pPr>
        <w:ind w:right="40" w:firstLine="872"/>
        <w:spacing w:after="0" w:line="256" w:lineRule="auto"/>
        <w:tabs>
          <w:tab w:leader="none" w:pos="1674"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 meanings given to</w:t>
      </w:r>
      <w:r>
        <w:rPr>
          <w:rFonts w:ascii="Arial" w:cs="Arial" w:eastAsia="Arial" w:hAnsi="Arial"/>
          <w:sz w:val="22"/>
          <w:szCs w:val="22"/>
          <w:b w:val="1"/>
          <w:bCs w:val="1"/>
          <w:color w:val="auto"/>
        </w:rPr>
        <w:t xml:space="preserve"> </w:t>
      </w:r>
      <w:r>
        <w:rPr>
          <w:rFonts w:ascii="Arial" w:cs="Arial" w:eastAsia="Arial" w:hAnsi="Arial"/>
          <w:sz w:val="22"/>
          <w:szCs w:val="22"/>
          <w:color w:val="auto"/>
        </w:rPr>
        <w:t>them in the Loan Agreement.</w:t>
      </w:r>
    </w:p>
    <w:p>
      <w:pPr>
        <w:spacing w:after="0" w:line="162" w:lineRule="exact"/>
        <w:rPr>
          <w:rFonts w:ascii="Arial" w:cs="Arial" w:eastAsia="Arial" w:hAnsi="Arial"/>
          <w:sz w:val="22"/>
          <w:szCs w:val="22"/>
          <w:b w:val="1"/>
          <w:bCs w:val="1"/>
          <w:color w:val="auto"/>
        </w:rPr>
      </w:pPr>
    </w:p>
    <w:p>
      <w:pPr>
        <w:ind w:left="1680" w:hanging="808"/>
        <w:spacing w:after="0"/>
        <w:tabs>
          <w:tab w:leader="none" w:pos="16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to Loan Agreement.</w:t>
      </w:r>
    </w:p>
    <w:p>
      <w:pPr>
        <w:spacing w:after="0" w:line="98" w:lineRule="exact"/>
        <w:rPr>
          <w:sz w:val="20"/>
          <w:szCs w:val="20"/>
          <w:color w:val="auto"/>
        </w:rPr>
      </w:pPr>
    </w:p>
    <w:p>
      <w:pPr>
        <w:ind w:right="20" w:firstLine="1727"/>
        <w:spacing w:after="0" w:line="256" w:lineRule="auto"/>
        <w:rPr>
          <w:sz w:val="20"/>
          <w:szCs w:val="20"/>
          <w:color w:val="auto"/>
        </w:rPr>
      </w:pPr>
      <w:r>
        <w:rPr>
          <w:rFonts w:ascii="Arial" w:cs="Arial" w:eastAsia="Arial" w:hAnsi="Arial"/>
          <w:sz w:val="22"/>
          <w:szCs w:val="22"/>
          <w:b w:val="1"/>
          <w:bCs w:val="1"/>
          <w:color w:val="auto"/>
        </w:rPr>
        <w:t>2.1 Section 11 (Notice)</w:t>
      </w:r>
      <w:r>
        <w:rPr>
          <w:rFonts w:ascii="Arial" w:cs="Arial" w:eastAsia="Arial" w:hAnsi="Arial"/>
          <w:sz w:val="22"/>
          <w:szCs w:val="22"/>
          <w:color w:val="auto"/>
        </w:rPr>
        <w:t>. Section 11 is amended by deleting the notice information for Borrower,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replacing it with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60" w:type="dxa"/>
            <w:vAlign w:val="bottom"/>
          </w:tcPr>
          <w:p>
            <w:pPr>
              <w:ind w:left="1720"/>
              <w:spacing w:after="0"/>
              <w:rPr>
                <w:sz w:val="20"/>
                <w:szCs w:val="20"/>
                <w:color w:val="auto"/>
              </w:rPr>
            </w:pPr>
            <w:r>
              <w:rPr>
                <w:rFonts w:ascii="Arial" w:cs="Arial" w:eastAsia="Arial" w:hAnsi="Arial"/>
                <w:sz w:val="22"/>
                <w:szCs w:val="22"/>
                <w:color w:val="auto"/>
              </w:rPr>
              <w:t>“If to Borrower</w:t>
            </w:r>
          </w:p>
        </w:tc>
        <w:tc>
          <w:tcPr>
            <w:tcW w:w="7100" w:type="dxa"/>
            <w:vAlign w:val="bottom"/>
          </w:tcPr>
          <w:p>
            <w:pPr>
              <w:ind w:left="1120"/>
              <w:spacing w:after="0"/>
              <w:rPr>
                <w:sz w:val="20"/>
                <w:szCs w:val="20"/>
                <w:color w:val="auto"/>
              </w:rPr>
            </w:pPr>
            <w:r>
              <w:rPr>
                <w:rFonts w:ascii="Arial" w:cs="Arial" w:eastAsia="Arial" w:hAnsi="Arial"/>
                <w:sz w:val="22"/>
                <w:szCs w:val="22"/>
                <w:color w:val="auto"/>
              </w:rPr>
              <w:t>Phathom Pharmaceuticals, Inc.</w:t>
            </w:r>
          </w:p>
        </w:tc>
      </w:tr>
      <w:tr>
        <w:trPr>
          <w:trHeight w:val="274"/>
        </w:trPr>
        <w:tc>
          <w:tcPr>
            <w:tcW w:w="4160" w:type="dxa"/>
            <w:vAlign w:val="bottom"/>
          </w:tcPr>
          <w:p>
            <w:pPr>
              <w:spacing w:after="0"/>
              <w:rPr>
                <w:sz w:val="23"/>
                <w:szCs w:val="23"/>
                <w:color w:val="auto"/>
              </w:rPr>
            </w:pPr>
          </w:p>
        </w:tc>
        <w:tc>
          <w:tcPr>
            <w:tcW w:w="7100" w:type="dxa"/>
            <w:vAlign w:val="bottom"/>
          </w:tcPr>
          <w:p>
            <w:pPr>
              <w:ind w:left="1140"/>
              <w:spacing w:after="0"/>
              <w:rPr>
                <w:sz w:val="20"/>
                <w:szCs w:val="20"/>
                <w:color w:val="auto"/>
              </w:rPr>
            </w:pPr>
            <w:r>
              <w:rPr>
                <w:rFonts w:ascii="Arial" w:cs="Arial" w:eastAsia="Arial" w:hAnsi="Arial"/>
                <w:sz w:val="22"/>
                <w:szCs w:val="22"/>
                <w:color w:val="auto"/>
              </w:rPr>
              <w:t>100 Campus Drive, Suite 102</w:t>
            </w:r>
          </w:p>
        </w:tc>
      </w:tr>
      <w:tr>
        <w:trPr>
          <w:trHeight w:val="537"/>
        </w:trPr>
        <w:tc>
          <w:tcPr>
            <w:tcW w:w="416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4" w:name="page35"/>
    <w:bookmarkEnd w:id="34"/>
    <w:p>
      <w:pPr>
        <w:ind w:left="5300"/>
        <w:spacing w:after="0"/>
        <w:rPr>
          <w:sz w:val="20"/>
          <w:szCs w:val="20"/>
          <w:color w:val="auto"/>
        </w:rPr>
      </w:pPr>
      <w:r>
        <w:rPr>
          <w:rFonts w:ascii="Arial" w:cs="Arial" w:eastAsia="Arial" w:hAnsi="Arial"/>
          <w:sz w:val="22"/>
          <w:szCs w:val="22"/>
          <w:color w:val="auto"/>
        </w:rPr>
        <w:t>Florham Park, NJ 07932</w:t>
      </w:r>
    </w:p>
    <w:p>
      <w:pPr>
        <w:ind w:left="5300"/>
        <w:spacing w:after="0" w:line="238" w:lineRule="auto"/>
        <w:rPr>
          <w:sz w:val="20"/>
          <w:szCs w:val="20"/>
          <w:color w:val="auto"/>
        </w:rPr>
      </w:pPr>
      <w:r>
        <w:rPr>
          <w:rFonts w:ascii="Arial" w:cs="Arial" w:eastAsia="Arial" w:hAnsi="Arial"/>
          <w:sz w:val="22"/>
          <w:szCs w:val="22"/>
          <w:color w:val="auto"/>
        </w:rPr>
        <w:t>Attn: Todd Branning</w:t>
      </w:r>
    </w:p>
    <w:p>
      <w:pPr>
        <w:ind w:left="4440"/>
        <w:spacing w:after="0"/>
        <w:rPr>
          <w:sz w:val="20"/>
          <w:szCs w:val="20"/>
          <w:color w:val="auto"/>
        </w:rPr>
      </w:pPr>
      <w:r>
        <w:rPr>
          <w:rFonts w:ascii="Arial" w:cs="Arial" w:eastAsia="Arial" w:hAnsi="Arial"/>
          <w:sz w:val="22"/>
          <w:szCs w:val="22"/>
          <w:color w:val="auto"/>
        </w:rPr>
        <w:t>Email: tbranning@phathompharma.com”</w:t>
      </w:r>
    </w:p>
    <w:p>
      <w:pPr>
        <w:spacing w:after="0" w:line="182"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2.2 Section 11 (Notice)</w:t>
      </w:r>
      <w:r>
        <w:rPr>
          <w:rFonts w:ascii="Arial" w:cs="Arial" w:eastAsia="Arial" w:hAnsi="Arial"/>
          <w:sz w:val="22"/>
          <w:szCs w:val="22"/>
          <w:color w:val="auto"/>
        </w:rPr>
        <w:t>. Section 11 is amended by deleting the notice information for WestRiver,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replacing it with the following:</w:t>
      </w:r>
    </w:p>
    <w:p>
      <w:pPr>
        <w:spacing w:after="0" w:line="168" w:lineRule="exact"/>
        <w:rPr>
          <w:sz w:val="20"/>
          <w:szCs w:val="20"/>
          <w:color w:val="auto"/>
        </w:rPr>
      </w:pPr>
    </w:p>
    <w:p>
      <w:pPr>
        <w:ind w:left="1740"/>
        <w:spacing w:after="0"/>
        <w:tabs>
          <w:tab w:leader="none" w:pos="4340" w:val="left"/>
        </w:tabs>
        <w:rPr>
          <w:sz w:val="20"/>
          <w:szCs w:val="20"/>
          <w:color w:val="auto"/>
        </w:rPr>
      </w:pPr>
      <w:r>
        <w:rPr>
          <w:rFonts w:ascii="Arial" w:cs="Arial" w:eastAsia="Arial" w:hAnsi="Arial"/>
          <w:sz w:val="22"/>
          <w:szCs w:val="22"/>
          <w:color w:val="auto"/>
        </w:rPr>
        <w:t>“If to SVB Innovation:</w:t>
      </w:r>
      <w:r>
        <w:rPr>
          <w:sz w:val="20"/>
          <w:szCs w:val="20"/>
          <w:color w:val="auto"/>
        </w:rPr>
        <w:tab/>
      </w:r>
      <w:r>
        <w:rPr>
          <w:rFonts w:ascii="Arial" w:cs="Arial" w:eastAsia="Arial" w:hAnsi="Arial"/>
          <w:sz w:val="19"/>
          <w:szCs w:val="19"/>
          <w:color w:val="auto"/>
        </w:rPr>
        <w:t>SVB Innovation Credit Fund VIII, L.P.</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c/o SVB Capital</w:t>
      </w:r>
    </w:p>
    <w:p>
      <w:pPr>
        <w:ind w:left="5300"/>
        <w:spacing w:after="0" w:line="238" w:lineRule="auto"/>
        <w:rPr>
          <w:sz w:val="20"/>
          <w:szCs w:val="20"/>
          <w:color w:val="auto"/>
        </w:rPr>
      </w:pPr>
      <w:r>
        <w:rPr>
          <w:rFonts w:ascii="Arial" w:cs="Arial" w:eastAsia="Arial" w:hAnsi="Arial"/>
          <w:sz w:val="22"/>
          <w:szCs w:val="22"/>
          <w:color w:val="auto"/>
        </w:rPr>
        <w:t>2770 Sand Hill Road</w:t>
      </w:r>
    </w:p>
    <w:p>
      <w:pPr>
        <w:ind w:left="5300"/>
        <w:spacing w:after="0" w:line="230" w:lineRule="auto"/>
        <w:rPr>
          <w:sz w:val="20"/>
          <w:szCs w:val="20"/>
          <w:color w:val="auto"/>
        </w:rPr>
      </w:pPr>
      <w:r>
        <w:rPr>
          <w:rFonts w:ascii="Arial" w:cs="Arial" w:eastAsia="Arial" w:hAnsi="Arial"/>
          <w:sz w:val="22"/>
          <w:szCs w:val="22"/>
          <w:color w:val="auto"/>
        </w:rPr>
        <w:t>Menlo Park, California 94025</w:t>
      </w:r>
    </w:p>
    <w:p>
      <w:pPr>
        <w:ind w:left="5300"/>
        <w:spacing w:after="0" w:line="231" w:lineRule="auto"/>
        <w:rPr>
          <w:sz w:val="20"/>
          <w:szCs w:val="20"/>
          <w:color w:val="auto"/>
        </w:rPr>
      </w:pPr>
      <w:r>
        <w:rPr>
          <w:rFonts w:ascii="Arial" w:cs="Arial" w:eastAsia="Arial" w:hAnsi="Arial"/>
          <w:sz w:val="22"/>
          <w:szCs w:val="22"/>
          <w:color w:val="auto"/>
        </w:rPr>
        <w:t>Attn: SVB Capital Finance and Operations</w:t>
      </w:r>
    </w:p>
    <w:p>
      <w:pPr>
        <w:ind w:left="5300"/>
        <w:spacing w:after="0" w:line="230" w:lineRule="auto"/>
        <w:rPr>
          <w:sz w:val="20"/>
          <w:szCs w:val="20"/>
          <w:color w:val="auto"/>
        </w:rPr>
      </w:pPr>
      <w:r>
        <w:rPr>
          <w:rFonts w:ascii="Arial" w:cs="Arial" w:eastAsia="Arial" w:hAnsi="Arial"/>
          <w:sz w:val="22"/>
          <w:szCs w:val="22"/>
          <w:color w:val="auto"/>
        </w:rPr>
        <w:t>Email: svbcapitalcredit@svbank.com</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svbcapcreditfinance@svb.com”</w:t>
      </w:r>
    </w:p>
    <w:p>
      <w:pPr>
        <w:spacing w:after="0" w:line="182"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 xml:space="preserve">2.3 Section 14 </w:t>
      </w:r>
      <w:r>
        <w:rPr>
          <w:rFonts w:ascii="Arial" w:cs="Arial" w:eastAsia="Arial" w:hAnsi="Arial"/>
          <w:sz w:val="22"/>
          <w:szCs w:val="22"/>
          <w:color w:val="auto"/>
        </w:rPr>
        <w:t>(</w:t>
      </w:r>
      <w:r>
        <w:rPr>
          <w:rFonts w:ascii="Arial" w:cs="Arial" w:eastAsia="Arial" w:hAnsi="Arial"/>
          <w:sz w:val="22"/>
          <w:szCs w:val="22"/>
          <w:b w:val="1"/>
          <w:bCs w:val="1"/>
          <w:color w:val="auto"/>
        </w:rPr>
        <w:t>Definitions</w:t>
      </w:r>
      <w:r>
        <w:rPr>
          <w:rFonts w:ascii="Arial" w:cs="Arial" w:eastAsia="Arial" w:hAnsi="Arial"/>
          <w:sz w:val="22"/>
          <w:szCs w:val="22"/>
          <w:color w:val="auto"/>
        </w:rPr>
        <w:t>). The following new term and its definition are inserted to appear</w:t>
      </w:r>
      <w:r>
        <w:rPr>
          <w:rFonts w:ascii="Arial" w:cs="Arial" w:eastAsia="Arial" w:hAnsi="Arial"/>
          <w:sz w:val="22"/>
          <w:szCs w:val="22"/>
          <w:b w:val="1"/>
          <w:bCs w:val="1"/>
          <w:color w:val="auto"/>
        </w:rPr>
        <w:t xml:space="preserve"> </w:t>
      </w:r>
      <w:r>
        <w:rPr>
          <w:rFonts w:ascii="Arial" w:cs="Arial" w:eastAsia="Arial" w:hAnsi="Arial"/>
          <w:sz w:val="22"/>
          <w:szCs w:val="22"/>
          <w:color w:val="auto"/>
        </w:rPr>
        <w:t>alphabetically in Section 14.1 thereof:</w:t>
      </w:r>
    </w:p>
    <w:p>
      <w:pPr>
        <w:spacing w:after="0" w:line="16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w:t>
      </w:r>
      <w:r>
        <w:rPr>
          <w:rFonts w:ascii="Arial" w:cs="Arial" w:eastAsia="Arial" w:hAnsi="Arial"/>
          <w:sz w:val="19"/>
          <w:szCs w:val="19"/>
          <w:b w:val="1"/>
          <w:bCs w:val="1"/>
          <w:color w:val="auto"/>
        </w:rPr>
        <w:t>SVB Innovation</w:t>
      </w:r>
      <w:r>
        <w:rPr>
          <w:rFonts w:ascii="Arial" w:cs="Arial" w:eastAsia="Arial" w:hAnsi="Arial"/>
          <w:sz w:val="19"/>
          <w:szCs w:val="19"/>
          <w:color w:val="auto"/>
        </w:rPr>
        <w:t>” is SVB Innovation Credit Fund VIII, L.P., a Delaware limited partnership.”</w:t>
      </w:r>
    </w:p>
    <w:p>
      <w:pPr>
        <w:spacing w:after="0" w:line="206" w:lineRule="exact"/>
        <w:rPr>
          <w:sz w:val="20"/>
          <w:szCs w:val="20"/>
          <w:color w:val="auto"/>
        </w:rPr>
      </w:pPr>
    </w:p>
    <w:p>
      <w:pPr>
        <w:ind w:right="20" w:firstLine="1727"/>
        <w:spacing w:after="0" w:line="256" w:lineRule="auto"/>
        <w:rPr>
          <w:sz w:val="20"/>
          <w:szCs w:val="20"/>
          <w:color w:val="auto"/>
        </w:rPr>
      </w:pPr>
      <w:r>
        <w:rPr>
          <w:rFonts w:ascii="Arial" w:cs="Arial" w:eastAsia="Arial" w:hAnsi="Arial"/>
          <w:sz w:val="22"/>
          <w:szCs w:val="22"/>
          <w:b w:val="1"/>
          <w:bCs w:val="1"/>
          <w:color w:val="auto"/>
        </w:rPr>
        <w:t xml:space="preserve">2.4 Section 14 </w:t>
      </w:r>
      <w:r>
        <w:rPr>
          <w:rFonts w:ascii="Arial" w:cs="Arial" w:eastAsia="Arial" w:hAnsi="Arial"/>
          <w:sz w:val="22"/>
          <w:szCs w:val="22"/>
          <w:color w:val="auto"/>
        </w:rPr>
        <w:t>(</w:t>
      </w:r>
      <w:r>
        <w:rPr>
          <w:rFonts w:ascii="Arial" w:cs="Arial" w:eastAsia="Arial" w:hAnsi="Arial"/>
          <w:sz w:val="22"/>
          <w:szCs w:val="22"/>
          <w:b w:val="1"/>
          <w:bCs w:val="1"/>
          <w:color w:val="auto"/>
        </w:rPr>
        <w:t>Definitions</w:t>
      </w:r>
      <w:r>
        <w:rPr>
          <w:rFonts w:ascii="Arial" w:cs="Arial" w:eastAsia="Arial" w:hAnsi="Arial"/>
          <w:sz w:val="22"/>
          <w:szCs w:val="22"/>
          <w:color w:val="auto"/>
        </w:rPr>
        <w:t>). The term “WestRiver” and its definition are deleted in their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from Section 14.1 thereof.</w:t>
      </w:r>
    </w:p>
    <w:p>
      <w:pPr>
        <w:spacing w:after="0" w:line="162"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 xml:space="preserve">Section 14 </w:t>
      </w:r>
      <w:r>
        <w:rPr>
          <w:rFonts w:ascii="Arial" w:cs="Arial" w:eastAsia="Arial" w:hAnsi="Arial"/>
          <w:sz w:val="19"/>
          <w:szCs w:val="19"/>
          <w:color w:val="auto"/>
        </w:rPr>
        <w:t>(</w:t>
      </w:r>
      <w:r>
        <w:rPr>
          <w:rFonts w:ascii="Arial" w:cs="Arial" w:eastAsia="Arial" w:hAnsi="Arial"/>
          <w:sz w:val="19"/>
          <w:szCs w:val="19"/>
          <w:b w:val="1"/>
          <w:bCs w:val="1"/>
          <w:color w:val="auto"/>
        </w:rPr>
        <w:t>Definitions</w:t>
      </w:r>
      <w:r>
        <w:rPr>
          <w:rFonts w:ascii="Arial" w:cs="Arial" w:eastAsia="Arial" w:hAnsi="Arial"/>
          <w:sz w:val="19"/>
          <w:szCs w:val="19"/>
          <w:color w:val="auto"/>
        </w:rPr>
        <w:t>). The following terms and their respective definitions set forth in Section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14.1 are amended in their entirety and replaced with the following:</w:t>
      </w:r>
    </w:p>
    <w:p>
      <w:pPr>
        <w:spacing w:after="0" w:line="182" w:lineRule="exact"/>
        <w:rPr>
          <w:sz w:val="20"/>
          <w:szCs w:val="20"/>
          <w:color w:val="auto"/>
        </w:rPr>
      </w:pPr>
    </w:p>
    <w:p>
      <w:pPr>
        <w:jc w:val="both"/>
        <w:ind w:left="1740"/>
        <w:spacing w:after="0" w:line="289" w:lineRule="auto"/>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First Extension Event</w:t>
      </w:r>
      <w:r>
        <w:rPr>
          <w:rFonts w:ascii="Arial" w:cs="Arial" w:eastAsia="Arial" w:hAnsi="Arial"/>
          <w:sz w:val="19"/>
          <w:szCs w:val="19"/>
          <w:color w:val="auto"/>
        </w:rPr>
        <w:t>” means (a) Borrower has provided Agent, on or prior to August 1, 2021, with evidence reasonably satisfactory to Agent in Agent’s reasonable discretion that Borrower has received positive data with respect to Borrower’ s phase 3 clinical trial for Vonoprazan in treatment of Helicobacter Pylori Infection sufficient to file an NDA with the FDA and (b) the Term B Loan Advance has been made.”</w:t>
      </w:r>
    </w:p>
    <w:p>
      <w:pPr>
        <w:spacing w:after="0" w:line="135" w:lineRule="exact"/>
        <w:rPr>
          <w:sz w:val="20"/>
          <w:szCs w:val="20"/>
          <w:color w:val="auto"/>
        </w:rPr>
      </w:pPr>
    </w:p>
    <w:p>
      <w:pPr>
        <w:jc w:val="both"/>
        <w:ind w:left="1740"/>
        <w:spacing w:after="0" w:line="243"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Lender Intercreditor Agreement</w:t>
      </w:r>
      <w:r>
        <w:rPr>
          <w:rFonts w:ascii="Arial" w:cs="Arial" w:eastAsia="Arial" w:hAnsi="Arial"/>
          <w:sz w:val="22"/>
          <w:szCs w:val="22"/>
          <w:color w:val="auto"/>
        </w:rPr>
        <w:t>” is, collectively, any and all intercreditor agreement, master arrangement agreement or similar agreement by and between SVB Innovation and SVB, as each may be amended from time to time in accordance with the provisions thereof.”</w:t>
      </w:r>
    </w:p>
    <w:p>
      <w:pPr>
        <w:spacing w:after="0" w:line="176" w:lineRule="exact"/>
        <w:rPr>
          <w:sz w:val="20"/>
          <w:szCs w:val="20"/>
          <w:color w:val="auto"/>
        </w:rPr>
      </w:pPr>
    </w:p>
    <w:p>
      <w:pPr>
        <w:jc w:val="both"/>
        <w:ind w:left="1740"/>
        <w:spacing w:after="0" w:line="239"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Repayment Schedule</w:t>
      </w:r>
      <w:r>
        <w:rPr>
          <w:rFonts w:ascii="Arial" w:cs="Arial" w:eastAsia="Arial" w:hAnsi="Arial"/>
          <w:sz w:val="22"/>
          <w:szCs w:val="22"/>
          <w:color w:val="auto"/>
        </w:rPr>
        <w:t>” means the period of time equal to thirty-four (34) consecutive months, which shall be reduced to a period of time equal to twenty-nine (29) consecutive months upon the occurrence of the First Extension Event, and which shall be further reduced to a period of time equal to eighteen (18) calendar months upon the occurrence of the Second Extension Event.”</w:t>
      </w:r>
    </w:p>
    <w:p>
      <w:pPr>
        <w:spacing w:after="0" w:line="180" w:lineRule="exact"/>
        <w:rPr>
          <w:sz w:val="20"/>
          <w:szCs w:val="20"/>
          <w:color w:val="auto"/>
        </w:rPr>
      </w:pPr>
    </w:p>
    <w:p>
      <w:pPr>
        <w:ind w:left="1740"/>
        <w:spacing w:after="0" w:line="256"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Term Loan Amortization Date</w:t>
      </w:r>
      <w:r>
        <w:rPr>
          <w:rFonts w:ascii="Arial" w:cs="Arial" w:eastAsia="Arial" w:hAnsi="Arial"/>
          <w:sz w:val="22"/>
          <w:szCs w:val="22"/>
          <w:color w:val="auto"/>
        </w:rPr>
        <w:t>” is August 1, 2021, which shall be extended to January 1, 2022 upon the occurrence of the First Extension Event,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5" w:name="page36"/>
    <w:bookmarkEnd w:id="35"/>
    <w:p>
      <w:pPr>
        <w:ind w:left="1740"/>
        <w:spacing w:after="0"/>
        <w:rPr>
          <w:sz w:val="20"/>
          <w:szCs w:val="20"/>
          <w:color w:val="auto"/>
        </w:rPr>
      </w:pPr>
      <w:r>
        <w:rPr>
          <w:rFonts w:ascii="Arial" w:cs="Arial" w:eastAsia="Arial" w:hAnsi="Arial"/>
          <w:sz w:val="19"/>
          <w:szCs w:val="19"/>
          <w:color w:val="auto"/>
        </w:rPr>
        <w:t>which shall be further extended to December 1, 2022 upon the occurrence of the Second Extension Event.”</w:t>
      </w:r>
    </w:p>
    <w:p>
      <w:pPr>
        <w:spacing w:after="0" w:line="235" w:lineRule="exact"/>
        <w:rPr>
          <w:sz w:val="20"/>
          <w:szCs w:val="20"/>
          <w:color w:val="auto"/>
        </w:rPr>
      </w:pPr>
    </w:p>
    <w:p>
      <w:pPr>
        <w:jc w:val="both"/>
        <w:ind w:left="1740"/>
        <w:spacing w:after="0" w:line="239" w:lineRule="auto"/>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Warrant</w:t>
      </w:r>
      <w:r>
        <w:rPr>
          <w:rFonts w:ascii="Arial" w:cs="Arial" w:eastAsia="Arial" w:hAnsi="Arial"/>
          <w:sz w:val="22"/>
          <w:szCs w:val="22"/>
          <w:color w:val="auto"/>
        </w:rPr>
        <w:t>” means, collectively, (a) that certain warrant to purchase stock dated as of May 14, 2019 between Borrower and SVB and (b) that certain warrant to purchase stock dated as of May 14, 2019 between Borrower and SVB Innovation, in each case, as may be amended, modified, supplemented and/or restated from time to time.”</w:t>
      </w:r>
    </w:p>
    <w:p>
      <w:pPr>
        <w:spacing w:after="0" w:line="180" w:lineRule="exact"/>
        <w:rPr>
          <w:sz w:val="20"/>
          <w:szCs w:val="20"/>
          <w:color w:val="auto"/>
        </w:rPr>
      </w:pPr>
    </w:p>
    <w:p>
      <w:pPr>
        <w:ind w:firstLine="1727"/>
        <w:spacing w:after="0" w:line="280" w:lineRule="auto"/>
        <w:rPr>
          <w:sz w:val="20"/>
          <w:szCs w:val="20"/>
          <w:color w:val="auto"/>
        </w:rPr>
      </w:pPr>
      <w:r>
        <w:rPr>
          <w:rFonts w:ascii="Arial" w:cs="Arial" w:eastAsia="Arial" w:hAnsi="Arial"/>
          <w:sz w:val="19"/>
          <w:szCs w:val="19"/>
          <w:b w:val="1"/>
          <w:bCs w:val="1"/>
          <w:color w:val="auto"/>
        </w:rPr>
        <w:t>2.6 Schedule 1 (Lenders and Commitments)</w:t>
      </w:r>
      <w:r>
        <w:rPr>
          <w:rFonts w:ascii="Arial" w:cs="Arial" w:eastAsia="Arial" w:hAnsi="Arial"/>
          <w:sz w:val="19"/>
          <w:szCs w:val="19"/>
          <w:color w:val="auto"/>
        </w:rPr>
        <w:t>. The Schedule 1 (Lenders and Commitments)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Loan Agreement is amended in its entirety and replaced with the Schedule 1 (Lenders and Commitments) appearing on </w:t>
      </w:r>
      <w:r>
        <w:rPr>
          <w:rFonts w:ascii="Arial" w:cs="Arial" w:eastAsia="Arial" w:hAnsi="Arial"/>
          <w:sz w:val="19"/>
          <w:szCs w:val="19"/>
          <w:u w:val="single" w:color="auto"/>
          <w:color w:val="auto"/>
        </w:rPr>
        <w:t>Schedule</w:t>
      </w:r>
    </w:p>
    <w:p>
      <w:pPr>
        <w:ind w:left="180" w:hanging="172"/>
        <w:spacing w:after="0"/>
        <w:tabs>
          <w:tab w:leader="none" w:pos="180" w:val="left"/>
        </w:tabs>
        <w:numPr>
          <w:ilvl w:val="0"/>
          <w:numId w:val="13"/>
        </w:numPr>
        <w:rPr>
          <w:rFonts w:ascii="Arial" w:cs="Arial" w:eastAsia="Arial" w:hAnsi="Arial"/>
          <w:sz w:val="22"/>
          <w:szCs w:val="22"/>
          <w:u w:val="single" w:color="auto"/>
          <w:color w:val="auto"/>
        </w:rPr>
      </w:pPr>
      <w:r>
        <w:rPr>
          <w:rFonts w:ascii="Arial" w:cs="Arial" w:eastAsia="Arial" w:hAnsi="Arial"/>
          <w:sz w:val="22"/>
          <w:szCs w:val="22"/>
          <w:color w:val="auto"/>
        </w:rPr>
        <w:t>hereto.</w:t>
      </w:r>
    </w:p>
    <w:p>
      <w:pPr>
        <w:spacing w:after="0" w:line="182" w:lineRule="exact"/>
        <w:rPr>
          <w:sz w:val="20"/>
          <w:szCs w:val="20"/>
          <w:color w:val="auto"/>
        </w:rPr>
      </w:pPr>
    </w:p>
    <w:p>
      <w:pPr>
        <w:ind w:right="20" w:firstLine="1727"/>
        <w:spacing w:after="0" w:line="334" w:lineRule="auto"/>
        <w:rPr>
          <w:sz w:val="20"/>
          <w:szCs w:val="20"/>
          <w:color w:val="auto"/>
        </w:rPr>
      </w:pPr>
      <w:r>
        <w:rPr>
          <w:rFonts w:ascii="Arial" w:cs="Arial" w:eastAsia="Arial" w:hAnsi="Arial"/>
          <w:sz w:val="19"/>
          <w:szCs w:val="19"/>
          <w:b w:val="1"/>
          <w:bCs w:val="1"/>
          <w:color w:val="auto"/>
        </w:rPr>
        <w:t>2.7 Exhibit B (Compliance Certificate)</w:t>
      </w:r>
      <w:r>
        <w:rPr>
          <w:rFonts w:ascii="Arial" w:cs="Arial" w:eastAsia="Arial" w:hAnsi="Arial"/>
          <w:sz w:val="19"/>
          <w:szCs w:val="19"/>
          <w:color w:val="auto"/>
        </w:rPr>
        <w:t>. The Compliance Certificate appearing as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B</w:t>
      </w:r>
      <w:r>
        <w:rPr>
          <w:rFonts w:ascii="Arial" w:cs="Arial" w:eastAsia="Arial" w:hAnsi="Arial"/>
          <w:sz w:val="19"/>
          <w:szCs w:val="19"/>
          <w:b w:val="1"/>
          <w:bCs w:val="1"/>
          <w:color w:val="auto"/>
        </w:rPr>
        <w:t xml:space="preserve"> </w:t>
      </w:r>
      <w:r>
        <w:rPr>
          <w:rFonts w:ascii="Arial" w:cs="Arial" w:eastAsia="Arial" w:hAnsi="Arial"/>
          <w:sz w:val="19"/>
          <w:szCs w:val="19"/>
          <w:color w:val="auto"/>
        </w:rPr>
        <w:t>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Loan Agreement is amended in its entirety and replaced with the Compliance Certificate appearing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hereto.</w:t>
      </w:r>
    </w:p>
    <w:p>
      <w:pPr>
        <w:spacing w:after="0" w:line="200" w:lineRule="exact"/>
        <w:rPr>
          <w:sz w:val="20"/>
          <w:szCs w:val="20"/>
          <w:color w:val="auto"/>
        </w:rPr>
      </w:pPr>
    </w:p>
    <w:p>
      <w:pPr>
        <w:spacing w:after="0" w:line="353" w:lineRule="exact"/>
        <w:rPr>
          <w:sz w:val="20"/>
          <w:szCs w:val="20"/>
          <w:color w:val="auto"/>
        </w:rPr>
      </w:pPr>
    </w:p>
    <w:p>
      <w:pPr>
        <w:ind w:left="1680" w:hanging="808"/>
        <w:spacing w:after="0"/>
        <w:tabs>
          <w:tab w:leader="none" w:pos="168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206" w:lineRule="exact"/>
        <w:rPr>
          <w:sz w:val="20"/>
          <w:szCs w:val="20"/>
          <w:color w:val="auto"/>
        </w:rPr>
      </w:pPr>
    </w:p>
    <w:p>
      <w:pPr>
        <w:jc w:val="both"/>
        <w:ind w:firstLine="1727"/>
        <w:spacing w:after="0" w:line="254" w:lineRule="auto"/>
        <w:rPr>
          <w:sz w:val="20"/>
          <w:szCs w:val="20"/>
          <w:color w:val="auto"/>
        </w:rPr>
      </w:pPr>
      <w:r>
        <w:rPr>
          <w:rFonts w:ascii="Arial" w:cs="Arial" w:eastAsia="Arial" w:hAnsi="Arial"/>
          <w:sz w:val="21"/>
          <w:szCs w:val="21"/>
          <w:b w:val="1"/>
          <w:bCs w:val="1"/>
          <w:color w:val="auto"/>
        </w:rPr>
        <w:t xml:space="preserve">3.1 </w:t>
      </w:r>
      <w:r>
        <w:rPr>
          <w:rFonts w:ascii="Arial" w:cs="Arial" w:eastAsia="Arial" w:hAnsi="Arial"/>
          <w:sz w:val="21"/>
          <w:szCs w:val="21"/>
          <w:color w:val="auto"/>
        </w:rPr>
        <w:t>The amendments set forth in Section 2 above are effective for the purposes set forth herein and</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limited precisely as written and shall not be deemed to (a) be a consent to any amendment, waiver or modification of any other term or condition of any Loan Document, or (b) otherwise prejudice any right or remedy which Agent or the Lenders may now have or may have in the future under or in connection with any Loan Document.</w:t>
      </w:r>
    </w:p>
    <w:p>
      <w:pPr>
        <w:spacing w:after="0" w:line="16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 the Loan Documents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terms, conditions, representations, warranties, covenants and agreements set forth in the Loan Documents, except as herein amended, are hereby ratified and confirmed and shall remain in full force and effect.</w:t>
      </w:r>
    </w:p>
    <w:p>
      <w:pPr>
        <w:spacing w:after="0" w:line="177" w:lineRule="exact"/>
        <w:rPr>
          <w:sz w:val="20"/>
          <w:szCs w:val="20"/>
          <w:color w:val="auto"/>
        </w:rPr>
      </w:pPr>
    </w:p>
    <w:p>
      <w:pPr>
        <w:ind w:right="20" w:firstLine="872"/>
        <w:spacing w:after="0" w:line="256" w:lineRule="auto"/>
        <w:tabs>
          <w:tab w:leader="none" w:pos="1674"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To induce Agent and the Lenders to enter into this Amendment, Borrower</w:t>
      </w:r>
      <w:r>
        <w:rPr>
          <w:rFonts w:ascii="Arial" w:cs="Arial" w:eastAsia="Arial" w:hAnsi="Arial"/>
          <w:sz w:val="22"/>
          <w:szCs w:val="22"/>
          <w:b w:val="1"/>
          <w:bCs w:val="1"/>
          <w:color w:val="auto"/>
        </w:rPr>
        <w:t xml:space="preserve"> </w:t>
      </w:r>
      <w:r>
        <w:rPr>
          <w:rFonts w:ascii="Arial" w:cs="Arial" w:eastAsia="Arial" w:hAnsi="Arial"/>
          <w:sz w:val="22"/>
          <w:szCs w:val="22"/>
          <w:color w:val="auto"/>
        </w:rPr>
        <w:t>hereby represents and warrants to Agent and the Lenders as follows:</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Immediately after giving effect to this Amendment (a) the representations and warranties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0"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Borrower has the power and authority to execute and deliver this Amendment and to perform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the Loan Agreement, as amended by this Amendment;</w:t>
      </w:r>
    </w:p>
    <w:p>
      <w:pPr>
        <w:spacing w:after="0" w:line="16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22"/>
          <w:szCs w:val="22"/>
          <w:color w:val="auto"/>
        </w:rPr>
        <w:t>The organizational documents of Borrower delivered to Agent on or prior to the date hereof remain</w:t>
      </w:r>
      <w:r>
        <w:rPr>
          <w:rFonts w:ascii="Arial" w:cs="Arial" w:eastAsia="Arial" w:hAnsi="Arial"/>
          <w:sz w:val="22"/>
          <w:szCs w:val="22"/>
          <w:b w:val="1"/>
          <w:bCs w:val="1"/>
          <w:color w:val="auto"/>
        </w:rPr>
        <w:t xml:space="preserve"> </w:t>
      </w:r>
      <w:r>
        <w:rPr>
          <w:rFonts w:ascii="Arial" w:cs="Arial" w:eastAsia="Arial" w:hAnsi="Arial"/>
          <w:sz w:val="22"/>
          <w:szCs w:val="22"/>
          <w:color w:val="auto"/>
        </w:rPr>
        <w:t>true, accurate and complete and have not been amended, supplemented or restated and are and continue to be in full force and effect;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6" w:name="page37"/>
    <w:bookmarkEnd w:id="36"/>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have been duly authorized;</w:t>
      </w:r>
    </w:p>
    <w:p>
      <w:pPr>
        <w:spacing w:after="0" w:line="162"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do not and will not contravene (a) any material Requirement of Law, (b) any material agreement with a Person binding on Borrower, (c) any applicable material order, judgment or decree of any court or other governmental or public body or authority, or subdivision thereof, binding on Borrower, or (d) the organizational documents of Borrower;</w:t>
      </w:r>
    </w:p>
    <w:p>
      <w:pPr>
        <w:spacing w:after="0" w:line="182"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4.6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(or are being obtained pursuant to Section 6.1(b) of the Loan Agreement); and</w:t>
      </w:r>
    </w:p>
    <w:p>
      <w:pPr>
        <w:spacing w:after="0" w:line="18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 and is the binding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0" w:lineRule="exact"/>
        <w:rPr>
          <w:sz w:val="20"/>
          <w:szCs w:val="20"/>
          <w:color w:val="auto"/>
        </w:rPr>
      </w:pPr>
    </w:p>
    <w:p>
      <w:pPr>
        <w:ind w:left="1680" w:hanging="808"/>
        <w:spacing w:after="0"/>
        <w:tabs>
          <w:tab w:leader="none" w:pos="16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872"/>
        <w:spacing w:after="0" w:line="239" w:lineRule="auto"/>
        <w:tabs>
          <w:tab w:leader="none" w:pos="1674"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Post-Closing Conditions</w:t>
      </w:r>
      <w:r>
        <w:rPr>
          <w:rFonts w:ascii="Arial" w:cs="Arial" w:eastAsia="Arial" w:hAnsi="Arial"/>
          <w:sz w:val="22"/>
          <w:szCs w:val="22"/>
          <w:color w:val="auto"/>
        </w:rPr>
        <w:t>. Within thirty (30) days of the date of this Amendment, Borrower shall deliver to</w:t>
      </w:r>
      <w:r>
        <w:rPr>
          <w:rFonts w:ascii="Arial" w:cs="Arial" w:eastAsia="Arial" w:hAnsi="Arial"/>
          <w:sz w:val="22"/>
          <w:szCs w:val="22"/>
          <w:b w:val="1"/>
          <w:bCs w:val="1"/>
          <w:color w:val="auto"/>
        </w:rPr>
        <w:t xml:space="preserve"> </w:t>
      </w:r>
      <w:r>
        <w:rPr>
          <w:rFonts w:ascii="Arial" w:cs="Arial" w:eastAsia="Arial" w:hAnsi="Arial"/>
          <w:sz w:val="22"/>
          <w:szCs w:val="22"/>
          <w:color w:val="auto"/>
        </w:rPr>
        <w:t>Bank evidence satisfactory to Bank that the insurance endorsements required by Section 6.5 of the Loan Agreement are in full force and effect, together with appropriate evidence showing lender loss payable and/or additional insured clauses or endorsements in favor of Bank.</w:t>
      </w:r>
    </w:p>
    <w:p>
      <w:pPr>
        <w:spacing w:after="0" w:line="180" w:lineRule="exact"/>
        <w:rPr>
          <w:rFonts w:ascii="Arial" w:cs="Arial" w:eastAsia="Arial" w:hAnsi="Arial"/>
          <w:sz w:val="22"/>
          <w:szCs w:val="22"/>
          <w:b w:val="1"/>
          <w:bCs w:val="1"/>
          <w:color w:val="auto"/>
        </w:rPr>
      </w:pPr>
    </w:p>
    <w:p>
      <w:pPr>
        <w:jc w:val="both"/>
        <w:ind w:firstLine="872"/>
        <w:spacing w:after="0" w:line="239" w:lineRule="auto"/>
        <w:tabs>
          <w:tab w:leader="none" w:pos="1674"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 agreement about this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80" w:lineRule="exact"/>
        <w:rPr>
          <w:rFonts w:ascii="Arial" w:cs="Arial" w:eastAsia="Arial" w:hAnsi="Arial"/>
          <w:sz w:val="22"/>
          <w:szCs w:val="22"/>
          <w:b w:val="1"/>
          <w:bCs w:val="1"/>
          <w:color w:val="auto"/>
        </w:rPr>
      </w:pPr>
    </w:p>
    <w:p>
      <w:pPr>
        <w:ind w:firstLine="872"/>
        <w:spacing w:after="0" w:line="256" w:lineRule="auto"/>
        <w:tabs>
          <w:tab w:leader="none" w:pos="1674"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 and all of such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taken together shall be deemed to constitute one and the same instrument.</w:t>
      </w:r>
    </w:p>
    <w:p>
      <w:pPr>
        <w:spacing w:after="0" w:line="162" w:lineRule="exact"/>
        <w:rPr>
          <w:rFonts w:ascii="Arial" w:cs="Arial" w:eastAsia="Arial" w:hAnsi="Arial"/>
          <w:sz w:val="22"/>
          <w:szCs w:val="22"/>
          <w:b w:val="1"/>
          <w:bCs w:val="1"/>
          <w:color w:val="auto"/>
        </w:rPr>
      </w:pPr>
    </w:p>
    <w:p>
      <w:pPr>
        <w:jc w:val="both"/>
        <w:ind w:firstLine="872"/>
        <w:spacing w:after="0" w:line="243" w:lineRule="auto"/>
        <w:tabs>
          <w:tab w:leader="none" w:pos="1674"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w:t>
      </w:r>
      <w:r>
        <w:rPr>
          <w:rFonts w:ascii="Arial" w:cs="Arial" w:eastAsia="Arial" w:hAnsi="Arial"/>
          <w:sz w:val="22"/>
          <w:szCs w:val="22"/>
          <w:color w:val="auto"/>
        </w:rPr>
        <w:t>. This Amendment shall be deemed effective upon (a) the due execution and delivery to Agent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Amendment by each party hereto and (b) Borrower’s payment to Agent of Agent’s and the Lenders’ reasonable legal fees and expenses incurred in connection with this Amendment.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ind w:firstLine="864"/>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PHATHOM PHARMACEUTICALS,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Terrie Curran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Terrie Curran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Executive Officer and President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 as Agent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/s/ Kristine Rohmer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-17780</wp:posOffset>
            </wp:positionV>
            <wp:extent cx="11163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Name: Kristine Rohmer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/s/ Kristine Rohmer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-17780</wp:posOffset>
            </wp:positionV>
            <wp:extent cx="11163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Name: Kristine Rohmer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SVB INNOVATION CREDIT FUND VIII, L.P.</w:t>
      </w:r>
    </w:p>
    <w:p>
      <w:pPr>
        <w:spacing w:after="0" w:line="238" w:lineRule="auto"/>
        <w:rPr>
          <w:sz w:val="20"/>
          <w:szCs w:val="20"/>
          <w:color w:val="auto"/>
        </w:rPr>
      </w:pPr>
      <w:r>
        <w:rPr>
          <w:rFonts w:ascii="Arial" w:cs="Arial" w:eastAsia="Arial" w:hAnsi="Arial"/>
          <w:sz w:val="22"/>
          <w:szCs w:val="22"/>
          <w:color w:val="auto"/>
        </w:rPr>
        <w:t>By: SVB Innovation Credit Partners VIII, LLC, a</w:t>
      </w:r>
    </w:p>
    <w:p>
      <w:pPr>
        <w:spacing w:after="0" w:line="230" w:lineRule="auto"/>
        <w:rPr>
          <w:sz w:val="20"/>
          <w:szCs w:val="20"/>
          <w:color w:val="auto"/>
        </w:rPr>
      </w:pPr>
      <w:r>
        <w:rPr>
          <w:rFonts w:ascii="Arial" w:cs="Arial" w:eastAsia="Arial" w:hAnsi="Arial"/>
          <w:sz w:val="22"/>
          <w:szCs w:val="22"/>
          <w:color w:val="auto"/>
        </w:rPr>
        <w:t>Delaware limited liability company, its General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Partner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60" w:type="dxa"/>
            <w:vAlign w:val="bottom"/>
            <w:gridSpan w:val="2"/>
          </w:tcPr>
          <w:p>
            <w:pPr>
              <w:spacing w:after="0"/>
              <w:rPr>
                <w:sz w:val="20"/>
                <w:szCs w:val="20"/>
                <w:color w:val="auto"/>
              </w:rPr>
            </w:pPr>
            <w:r>
              <w:rPr>
                <w:rFonts w:ascii="Arial" w:cs="Arial" w:eastAsia="Arial" w:hAnsi="Arial"/>
                <w:sz w:val="22"/>
                <w:szCs w:val="22"/>
                <w:color w:val="auto"/>
              </w:rPr>
              <w:t>By /s/ J.P. Michael</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_</w:t>
            </w:r>
          </w:p>
        </w:tc>
      </w:tr>
      <w:tr>
        <w:trPr>
          <w:trHeight w:val="20"/>
        </w:trPr>
        <w:tc>
          <w:tcPr>
            <w:tcW w:w="2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2"/>
        </w:trPr>
        <w:tc>
          <w:tcPr>
            <w:tcW w:w="3260" w:type="dxa"/>
            <w:vAlign w:val="bottom"/>
            <w:gridSpan w:val="2"/>
          </w:tcPr>
          <w:p>
            <w:pPr>
              <w:spacing w:after="0" w:line="242" w:lineRule="exact"/>
              <w:rPr>
                <w:sz w:val="20"/>
                <w:szCs w:val="20"/>
                <w:color w:val="auto"/>
              </w:rPr>
            </w:pPr>
            <w:r>
              <w:rPr>
                <w:rFonts w:ascii="Arial" w:cs="Arial" w:eastAsia="Arial" w:hAnsi="Arial"/>
                <w:sz w:val="22"/>
                <w:szCs w:val="22"/>
                <w:color w:val="auto"/>
              </w:rPr>
              <w:t>Name: J.P. Michael</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4"/>
        </w:trPr>
        <w:tc>
          <w:tcPr>
            <w:tcW w:w="3260" w:type="dxa"/>
            <w:vAlign w:val="bottom"/>
            <w:gridSpan w:val="2"/>
          </w:tcPr>
          <w:p>
            <w:pPr>
              <w:spacing w:after="0"/>
              <w:rPr>
                <w:sz w:val="20"/>
                <w:szCs w:val="20"/>
                <w:color w:val="auto"/>
              </w:rPr>
            </w:pPr>
            <w:r>
              <w:rPr>
                <w:rFonts w:ascii="Arial" w:cs="Arial" w:eastAsia="Arial" w:hAnsi="Arial"/>
                <w:sz w:val="22"/>
                <w:szCs w:val="22"/>
                <w:color w:val="auto"/>
              </w:rPr>
              <w:t>Title: Senior Managing Director</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Second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74"/>
        </w:trPr>
        <w:tc>
          <w:tcPr>
            <w:tcW w:w="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120" w:type="dxa"/>
            <w:vAlign w:val="bottom"/>
            <w:gridSpan w:val="6"/>
          </w:tcPr>
          <w:p>
            <w:pPr>
              <w:ind w:left="640"/>
              <w:spacing w:after="0"/>
              <w:rPr>
                <w:sz w:val="20"/>
                <w:szCs w:val="20"/>
                <w:color w:val="auto"/>
              </w:rPr>
            </w:pPr>
            <w:r>
              <w:rPr>
                <w:rFonts w:ascii="Arial" w:cs="Arial" w:eastAsia="Arial" w:hAnsi="Arial"/>
                <w:sz w:val="22"/>
                <w:szCs w:val="22"/>
                <w:color w:val="auto"/>
              </w:rPr>
              <w:t>Schedule 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3"/>
        </w:trPr>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97"/>
              </w:rPr>
              <w:t>SCHEDULE 1</w:t>
            </w:r>
          </w:p>
        </w:tc>
        <w:tc>
          <w:tcPr>
            <w:tcW w:w="8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80" w:type="dxa"/>
            <w:vAlign w:val="bottom"/>
            <w:gridSpan w:val="13"/>
          </w:tcPr>
          <w:p>
            <w:pPr>
              <w:jc w:val="center"/>
              <w:ind w:right="2580"/>
              <w:spacing w:after="0"/>
              <w:rPr>
                <w:sz w:val="20"/>
                <w:szCs w:val="20"/>
                <w:color w:val="auto"/>
              </w:rPr>
            </w:pPr>
            <w:r>
              <w:rPr>
                <w:rFonts w:ascii="Arial" w:cs="Arial" w:eastAsia="Arial" w:hAnsi="Arial"/>
                <w:sz w:val="22"/>
                <w:szCs w:val="22"/>
                <w:b w:val="1"/>
                <w:bCs w:val="1"/>
                <w:color w:val="auto"/>
              </w:rPr>
              <w:t>LENDERS AND COMMITMENTS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tcBorders>
              <w:top w:val="single" w:sz="8" w:color="auto"/>
            </w:tcBorders>
            <w:gridSpan w:val="7"/>
          </w:tcPr>
          <w:p>
            <w:pPr>
              <w:jc w:val="center"/>
              <w:spacing w:after="0"/>
              <w:rPr>
                <w:sz w:val="20"/>
                <w:szCs w:val="20"/>
                <w:color w:val="auto"/>
              </w:rPr>
            </w:pPr>
            <w:r>
              <w:rPr>
                <w:rFonts w:ascii="Arial" w:cs="Arial" w:eastAsia="Arial" w:hAnsi="Arial"/>
                <w:sz w:val="22"/>
                <w:szCs w:val="22"/>
                <w:b w:val="1"/>
                <w:bCs w:val="1"/>
                <w:color w:val="auto"/>
              </w:rPr>
              <w:t>TERM LOAN COMMITMENTS</w:t>
            </w:r>
          </w:p>
        </w:tc>
        <w:tc>
          <w:tcPr>
            <w:tcW w:w="1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Borders>
              <w:right w:val="single" w:sz="8" w:color="auto"/>
            </w:tcBorders>
            <w:gridSpan w:val="3"/>
          </w:tcPr>
          <w:p>
            <w:pPr>
              <w:jc w:val="center"/>
              <w:ind w:right="1100"/>
              <w:spacing w:after="0" w:line="183" w:lineRule="exact"/>
              <w:rPr>
                <w:sz w:val="20"/>
                <w:szCs w:val="20"/>
                <w:color w:val="auto"/>
              </w:rPr>
            </w:pPr>
            <w:r>
              <w:rPr>
                <w:rFonts w:ascii="Arial" w:cs="Arial" w:eastAsia="Arial" w:hAnsi="Arial"/>
                <w:sz w:val="21"/>
                <w:szCs w:val="21"/>
                <w:b w:val="1"/>
                <w:bCs w:val="1"/>
                <w:color w:val="auto"/>
                <w:w w:val="97"/>
              </w:rPr>
              <w:t>Lender</w:t>
            </w:r>
          </w:p>
        </w:tc>
        <w:tc>
          <w:tcPr>
            <w:tcW w:w="3460" w:type="dxa"/>
            <w:vAlign w:val="bottom"/>
            <w:tcBorders>
              <w:right w:val="single" w:sz="8" w:color="auto"/>
            </w:tcBorders>
            <w:gridSpan w:val="7"/>
          </w:tcPr>
          <w:p>
            <w:pPr>
              <w:jc w:val="center"/>
              <w:ind w:right="40"/>
              <w:spacing w:after="0" w:line="183" w:lineRule="exact"/>
              <w:rPr>
                <w:sz w:val="20"/>
                <w:szCs w:val="20"/>
                <w:color w:val="auto"/>
              </w:rPr>
            </w:pPr>
            <w:r>
              <w:rPr>
                <w:rFonts w:ascii="Arial" w:cs="Arial" w:eastAsia="Arial" w:hAnsi="Arial"/>
                <w:sz w:val="21"/>
                <w:szCs w:val="21"/>
                <w:b w:val="1"/>
                <w:bCs w:val="1"/>
                <w:color w:val="auto"/>
                <w:w w:val="95"/>
              </w:rPr>
              <w:t>Term Loan Commitment</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Borders>
              <w:right w:val="single" w:sz="8" w:color="auto"/>
            </w:tcBorders>
            <w:gridSpan w:val="5"/>
          </w:tcPr>
          <w:p>
            <w:pPr>
              <w:jc w:val="center"/>
              <w:ind w:right="400"/>
              <w:spacing w:after="0" w:line="183" w:lineRule="exact"/>
              <w:rPr>
                <w:sz w:val="20"/>
                <w:szCs w:val="20"/>
                <w:color w:val="auto"/>
              </w:rPr>
            </w:pPr>
            <w:r>
              <w:rPr>
                <w:rFonts w:ascii="Arial" w:cs="Arial" w:eastAsia="Arial" w:hAnsi="Arial"/>
                <w:sz w:val="21"/>
                <w:szCs w:val="21"/>
                <w:b w:val="1"/>
                <w:bCs w:val="1"/>
                <w:color w:val="auto"/>
                <w:w w:val="96"/>
              </w:rPr>
              <w:t>Term Loan Commitment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center"/>
              <w:ind w:right="660"/>
              <w:spacing w:after="0" w:line="195" w:lineRule="exact"/>
              <w:rPr>
                <w:sz w:val="20"/>
                <w:szCs w:val="20"/>
                <w:color w:val="auto"/>
              </w:rPr>
            </w:pPr>
            <w:r>
              <w:rPr>
                <w:rFonts w:ascii="Arial" w:cs="Arial" w:eastAsia="Arial" w:hAnsi="Arial"/>
                <w:sz w:val="22"/>
                <w:szCs w:val="22"/>
                <w:b w:val="1"/>
                <w:bCs w:val="1"/>
                <w:color w:val="auto"/>
                <w:w w:val="85"/>
              </w:rPr>
              <w:t>Percentage</w:t>
            </w:r>
          </w:p>
        </w:tc>
        <w:tc>
          <w:tcPr>
            <w:tcW w:w="40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96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22"/>
                <w:szCs w:val="22"/>
                <w:color w:val="auto"/>
                <w:w w:val="91"/>
              </w:rPr>
              <w:t>Silicon Valley Bank</w:t>
            </w:r>
          </w:p>
        </w:tc>
        <w:tc>
          <w:tcPr>
            <w:tcW w:w="2860" w:type="dxa"/>
            <w:vAlign w:val="bottom"/>
            <w:gridSpan w:val="5"/>
          </w:tcPr>
          <w:p>
            <w:pPr>
              <w:jc w:val="center"/>
              <w:ind w:left="455"/>
              <w:spacing w:after="0"/>
              <w:rPr>
                <w:sz w:val="20"/>
                <w:szCs w:val="20"/>
                <w:color w:val="auto"/>
              </w:rPr>
            </w:pPr>
            <w:r>
              <w:rPr>
                <w:rFonts w:ascii="Arial" w:cs="Arial" w:eastAsia="Arial" w:hAnsi="Arial"/>
                <w:sz w:val="22"/>
                <w:szCs w:val="22"/>
                <w:color w:val="auto"/>
                <w:w w:val="87"/>
              </w:rPr>
              <w:t>$25,000,000.00</w:t>
            </w:r>
          </w:p>
        </w:tc>
        <w:tc>
          <w:tcPr>
            <w:tcW w:w="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center"/>
              <w:ind w:left="555"/>
              <w:spacing w:after="0"/>
              <w:rPr>
                <w:sz w:val="20"/>
                <w:szCs w:val="20"/>
                <w:color w:val="auto"/>
              </w:rPr>
            </w:pPr>
            <w:r>
              <w:rPr>
                <w:rFonts w:ascii="Arial" w:cs="Arial" w:eastAsia="Arial" w:hAnsi="Arial"/>
                <w:sz w:val="22"/>
                <w:szCs w:val="22"/>
                <w:color w:val="auto"/>
                <w:w w:val="89"/>
              </w:rPr>
              <w:t>50.0%</w:t>
            </w:r>
          </w:p>
        </w:tc>
        <w:tc>
          <w:tcPr>
            <w:tcW w:w="6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60" w:type="dxa"/>
            <w:vAlign w:val="bottom"/>
            <w:tcBorders>
              <w:right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96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5"/>
          </w:tcPr>
          <w:p>
            <w:pPr>
              <w:jc w:val="center"/>
              <w:ind w:right="20"/>
              <w:spacing w:after="0" w:line="174" w:lineRule="exact"/>
              <w:rPr>
                <w:sz w:val="20"/>
                <w:szCs w:val="20"/>
                <w:color w:val="auto"/>
              </w:rPr>
            </w:pPr>
            <w:r>
              <w:rPr>
                <w:rFonts w:ascii="Arial" w:cs="Arial" w:eastAsia="Arial" w:hAnsi="Arial"/>
                <w:sz w:val="19"/>
                <w:szCs w:val="19"/>
                <w:color w:val="auto"/>
              </w:rPr>
              <w:t>SVB Innovation Credit Fund</w:t>
            </w:r>
          </w:p>
        </w:tc>
        <w:tc>
          <w:tcPr>
            <w:tcW w:w="2860" w:type="dxa"/>
            <w:vAlign w:val="bottom"/>
            <w:gridSpan w:val="5"/>
            <w:vMerge w:val="restart"/>
          </w:tcPr>
          <w:p>
            <w:pPr>
              <w:jc w:val="center"/>
              <w:ind w:left="455"/>
              <w:spacing w:after="0"/>
              <w:rPr>
                <w:sz w:val="20"/>
                <w:szCs w:val="20"/>
                <w:color w:val="auto"/>
              </w:rPr>
            </w:pPr>
            <w:r>
              <w:rPr>
                <w:rFonts w:ascii="Arial" w:cs="Arial" w:eastAsia="Arial" w:hAnsi="Arial"/>
                <w:sz w:val="22"/>
                <w:szCs w:val="22"/>
                <w:color w:val="auto"/>
                <w:w w:val="87"/>
              </w:rPr>
              <w:t>$25,000,000.00</w:t>
            </w: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3"/>
            <w:vMerge w:val="restart"/>
          </w:tcPr>
          <w:p>
            <w:pPr>
              <w:jc w:val="center"/>
              <w:ind w:left="555"/>
              <w:spacing w:after="0"/>
              <w:rPr>
                <w:sz w:val="20"/>
                <w:szCs w:val="20"/>
                <w:color w:val="auto"/>
              </w:rPr>
            </w:pPr>
            <w:r>
              <w:rPr>
                <w:rFonts w:ascii="Arial" w:cs="Arial" w:eastAsia="Arial" w:hAnsi="Arial"/>
                <w:sz w:val="22"/>
                <w:szCs w:val="22"/>
                <w:color w:val="auto"/>
                <w:w w:val="89"/>
              </w:rPr>
              <w:t>50.0%</w:t>
            </w:r>
          </w:p>
        </w:tc>
        <w:tc>
          <w:tcPr>
            <w:tcW w:w="66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96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22"/>
                <w:szCs w:val="22"/>
                <w:color w:val="auto"/>
                <w:w w:val="97"/>
              </w:rPr>
              <w:t>VIII, L.P.</w:t>
            </w:r>
          </w:p>
        </w:tc>
        <w:tc>
          <w:tcPr>
            <w:tcW w:w="2860" w:type="dxa"/>
            <w:vAlign w:val="bottom"/>
            <w:gridSpan w:val="5"/>
            <w:vMerge w:val="continue"/>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60" w:type="dxa"/>
            <w:vAlign w:val="bottom"/>
            <w:gridSpan w:val="3"/>
            <w:vMerge w:val="continue"/>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960" w:type="dxa"/>
            <w:vAlign w:val="bottom"/>
            <w:tcBorders>
              <w:right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gridSpan w:val="5"/>
          </w:tcPr>
          <w:p>
            <w:pPr>
              <w:jc w:val="center"/>
              <w:ind w:right="20"/>
              <w:spacing w:after="0" w:line="183" w:lineRule="exact"/>
              <w:rPr>
                <w:sz w:val="20"/>
                <w:szCs w:val="20"/>
                <w:color w:val="auto"/>
              </w:rPr>
            </w:pPr>
            <w:r>
              <w:rPr>
                <w:rFonts w:ascii="Arial" w:cs="Arial" w:eastAsia="Arial" w:hAnsi="Arial"/>
                <w:sz w:val="21"/>
                <w:szCs w:val="21"/>
                <w:b w:val="1"/>
                <w:bCs w:val="1"/>
                <w:color w:val="auto"/>
              </w:rPr>
              <w:t>TOTAL</w:t>
            </w:r>
          </w:p>
        </w:tc>
        <w:tc>
          <w:tcPr>
            <w:tcW w:w="2860" w:type="dxa"/>
            <w:vAlign w:val="bottom"/>
            <w:gridSpan w:val="5"/>
          </w:tcPr>
          <w:p>
            <w:pPr>
              <w:jc w:val="center"/>
              <w:ind w:left="455"/>
              <w:spacing w:after="0" w:line="183" w:lineRule="exact"/>
              <w:rPr>
                <w:sz w:val="20"/>
                <w:szCs w:val="20"/>
                <w:color w:val="auto"/>
              </w:rPr>
            </w:pPr>
            <w:r>
              <w:rPr>
                <w:rFonts w:ascii="Arial" w:cs="Arial" w:eastAsia="Arial" w:hAnsi="Arial"/>
                <w:sz w:val="21"/>
                <w:szCs w:val="21"/>
                <w:b w:val="1"/>
                <w:bCs w:val="1"/>
                <w:color w:val="auto"/>
                <w:w w:val="91"/>
              </w:rPr>
              <w:t>$50,000,000.00</w:t>
            </w: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gridSpan w:val="4"/>
          </w:tcPr>
          <w:p>
            <w:pPr>
              <w:jc w:val="center"/>
              <w:ind w:right="20"/>
              <w:spacing w:after="0" w:line="183" w:lineRule="exact"/>
              <w:rPr>
                <w:sz w:val="20"/>
                <w:szCs w:val="20"/>
                <w:color w:val="auto"/>
              </w:rPr>
            </w:pPr>
            <w:r>
              <w:rPr>
                <w:rFonts w:ascii="Arial" w:cs="Arial" w:eastAsia="Arial" w:hAnsi="Arial"/>
                <w:sz w:val="21"/>
                <w:szCs w:val="21"/>
                <w:b w:val="1"/>
                <w:bCs w:val="1"/>
                <w:color w:val="auto"/>
                <w:w w:val="95"/>
              </w:rPr>
              <w:t>100.0000%</w:t>
            </w:r>
          </w:p>
        </w:tc>
        <w:tc>
          <w:tcPr>
            <w:tcW w:w="40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9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39" w:right="319" w:bottom="1440" w:gutter="0" w:footer="0" w:header="0"/>
        </w:sectPr>
      </w:pPr>
    </w:p>
    <w:bookmarkStart w:id="39" w:name="page40"/>
    <w:bookmarkEnd w:id="39"/>
    <w:p>
      <w:pPr>
        <w:jc w:val="center"/>
        <w:ind w:right="-99"/>
        <w:spacing w:after="0"/>
        <w:rPr>
          <w:sz w:val="20"/>
          <w:szCs w:val="20"/>
          <w:color w:val="auto"/>
        </w:rPr>
      </w:pPr>
      <w:r>
        <w:rPr>
          <w:rFonts w:ascii="Arial" w:cs="Arial" w:eastAsia="Arial" w:hAnsi="Arial"/>
          <w:sz w:val="22"/>
          <w:szCs w:val="22"/>
          <w:color w:val="auto"/>
        </w:rPr>
        <w:t>Schedule 2</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COMPLIANCE CERTIFICATE</w:t>
      </w:r>
    </w:p>
    <w:p>
      <w:pPr>
        <w:sectPr>
          <w:pgSz w:w="11900" w:h="16838" w:orient="portrait"/>
          <w:cols w:equalWidth="0" w:num="1">
            <w:col w:w="11340"/>
          </w:cols>
          <w:pgMar w:left="220" w:top="523"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SILICON VALLEY BANK, as Agent, SVB, and SVB INNOVATION</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FROM: PHATHOM PHARMACEUTICALS,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453" w:lineRule="exact"/>
        <w:rPr>
          <w:sz w:val="20"/>
          <w:szCs w:val="20"/>
          <w:color w:val="auto"/>
        </w:rPr>
      </w:pPr>
    </w:p>
    <w:p>
      <w:pPr>
        <w:sectPr>
          <w:pgSz w:w="11900" w:h="16838" w:orient="portrait"/>
          <w:cols w:equalWidth="0" w:num="2">
            <w:col w:w="6100" w:space="640"/>
            <w:col w:w="4600"/>
          </w:cols>
          <w:pgMar w:left="220" w:top="523" w:right="339" w:bottom="1440" w:gutter="0" w:footer="0" w:header="0"/>
          <w:type w:val="continuous"/>
        </w:sectPr>
      </w:pPr>
    </w:p>
    <w:p>
      <w:pPr>
        <w:spacing w:after="0" w:line="7" w:lineRule="exact"/>
        <w:rPr>
          <w:sz w:val="20"/>
          <w:szCs w:val="20"/>
          <w:color w:val="auto"/>
        </w:rPr>
      </w:pPr>
    </w:p>
    <w:p>
      <w:pPr>
        <w:jc w:val="both"/>
        <w:ind w:left="100" w:firstLine="864"/>
        <w:spacing w:after="0" w:line="266" w:lineRule="auto"/>
        <w:rPr>
          <w:sz w:val="20"/>
          <w:szCs w:val="20"/>
          <w:color w:val="auto"/>
        </w:rPr>
      </w:pPr>
      <w:r>
        <w:rPr>
          <w:rFonts w:ascii="Arial" w:cs="Arial" w:eastAsia="Arial" w:hAnsi="Arial"/>
          <w:sz w:val="18"/>
          <w:szCs w:val="18"/>
          <w:color w:val="auto"/>
        </w:rPr>
        <w:t>The undersigned authorized officer of PHATHOM PHARMACEUTICALS, INC. (“</w:t>
      </w:r>
      <w:r>
        <w:rPr>
          <w:rFonts w:ascii="Arial" w:cs="Arial" w:eastAsia="Arial" w:hAnsi="Arial"/>
          <w:sz w:val="18"/>
          <w:szCs w:val="18"/>
          <w:b w:val="1"/>
          <w:bCs w:val="1"/>
          <w:color w:val="auto"/>
        </w:rPr>
        <w:t>Borrower</w:t>
      </w:r>
      <w:r>
        <w:rPr>
          <w:rFonts w:ascii="Arial" w:cs="Arial" w:eastAsia="Arial" w:hAnsi="Arial"/>
          <w:sz w:val="18"/>
          <w:szCs w:val="18"/>
          <w:color w:val="auto"/>
        </w:rPr>
        <w:t>”) certifies solely as an officer of Borrower, and not in any individual capacity, that under the terms and conditions of the Loan and Security Agreement among Borrower, SVB, and SVB Innovation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80" w:lineRule="exact"/>
        <w:rPr>
          <w:sz w:val="20"/>
          <w:szCs w:val="20"/>
          <w:color w:val="auto"/>
        </w:rPr>
      </w:pPr>
    </w:p>
    <w:p>
      <w:pPr>
        <w:jc w:val="both"/>
        <w:ind w:left="100" w:firstLine="872"/>
        <w:spacing w:after="0" w:line="269" w:lineRule="auto"/>
        <w:tabs>
          <w:tab w:leader="none" w:pos="1238"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Borrower is in compliance for the period ending _______________ with all required covenants except as noted below, (2) there are no Events of Default except as noted below, (3) all representations and warranties in the Agreement are true and correct in all material respects on this date except as noted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those representations and warranties expressly referring to a specific date shall be true, accurate and complete in all material respects as of such date, (4) Borrower, and each of its Subsidiaries, has timely filed all required foreign, federal, state and local Tax returns and reports, and Borrower has timely paid all foreign, federal, state and local Taxes, assessments, deposits and contributions owed by Borrower except as otherwise permitted pursuant to the terms of Section 5.8 of the Agreement or as noted below, and (5) no Liens have been levied or claims made against Borrower or any of its Subsidiaries relating to unpaid employee payroll or benefits of which Borrower has not previously provided written notification to Agent except as noted below, and (6) no Liens have been levied or claims made against Borrower or any of its Subsidiaries relating to unpaid employee payroll or benefits of which Borrower has not previously provided written notification to Agent except as noted below.</w:t>
      </w:r>
    </w:p>
    <w:p>
      <w:pPr>
        <w:spacing w:after="0" w:line="182" w:lineRule="exact"/>
        <w:rPr>
          <w:sz w:val="20"/>
          <w:szCs w:val="20"/>
          <w:color w:val="auto"/>
        </w:rPr>
      </w:pPr>
    </w:p>
    <w:p>
      <w:pPr>
        <w:jc w:val="both"/>
        <w:ind w:left="100" w:firstLine="864"/>
        <w:spacing w:after="0" w:line="255" w:lineRule="auto"/>
        <w:rPr>
          <w:sz w:val="20"/>
          <w:szCs w:val="20"/>
          <w:color w:val="auto"/>
        </w:rPr>
      </w:pPr>
      <w:r>
        <w:rPr>
          <w:rFonts w:ascii="Arial" w:cs="Arial" w:eastAsia="Arial" w:hAnsi="Arial"/>
          <w:sz w:val="18"/>
          <w:szCs w:val="18"/>
          <w:color w:val="auto"/>
        </w:rPr>
        <w:t>Attached are the required documents supporting the certification. The undersigned certifies solely as an officer of Borrower, and not in any individual capacity,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(subject to Section 3.2(b) with respect to representations and warranties, as applicable), and that compliance is determined not just at the date this certificate is delivered. Capitalized terms used but not otherwise defined herein shall have the meanings given them in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indicate compliance status by circling Yes/No under “Complies” column.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Borders>
              <w:top w:val="single" w:sz="8" w:color="auto"/>
              <w:right w:val="single" w:sz="8" w:color="auto"/>
            </w:tcBorders>
            <w:gridSpan w:val="4"/>
          </w:tcPr>
          <w:p>
            <w:pPr>
              <w:spacing w:after="0" w:line="189" w:lineRule="exact"/>
              <w:rPr>
                <w:sz w:val="20"/>
                <w:szCs w:val="20"/>
                <w:color w:val="auto"/>
              </w:rPr>
            </w:pPr>
            <w:r>
              <w:rPr>
                <w:rFonts w:ascii="Arial" w:cs="Arial" w:eastAsia="Arial" w:hAnsi="Arial"/>
                <w:sz w:val="18"/>
                <w:szCs w:val="18"/>
                <w:b w:val="1"/>
                <w:bCs w:val="1"/>
                <w:color w:val="auto"/>
              </w:rPr>
              <w:t>orting Covenants</w:t>
            </w:r>
          </w:p>
        </w:tc>
        <w:tc>
          <w:tcPr>
            <w:tcW w:w="3020" w:type="dxa"/>
            <w:vAlign w:val="bottom"/>
            <w:tcBorders>
              <w:top w:val="single" w:sz="8" w:color="auto"/>
              <w:right w:val="single" w:sz="8" w:color="auto"/>
            </w:tcBorders>
            <w:gridSpan w:val="3"/>
          </w:tcPr>
          <w:p>
            <w:pPr>
              <w:ind w:left="980"/>
              <w:spacing w:after="0" w:line="189" w:lineRule="exact"/>
              <w:rPr>
                <w:sz w:val="20"/>
                <w:szCs w:val="20"/>
                <w:color w:val="auto"/>
              </w:rPr>
            </w:pPr>
            <w:r>
              <w:rPr>
                <w:rFonts w:ascii="Arial" w:cs="Arial" w:eastAsia="Arial" w:hAnsi="Arial"/>
                <w:sz w:val="18"/>
                <w:szCs w:val="18"/>
                <w:b w:val="1"/>
                <w:bCs w:val="1"/>
                <w:color w:val="auto"/>
              </w:rPr>
              <w:t>Required</w:t>
            </w:r>
          </w:p>
        </w:tc>
        <w:tc>
          <w:tcPr>
            <w:tcW w:w="320" w:type="dxa"/>
            <w:vAlign w:val="bottom"/>
            <w:tcBorders>
              <w:top w:val="single" w:sz="8" w:color="auto"/>
            </w:tcBorders>
          </w:tcPr>
          <w:p>
            <w:pPr>
              <w:spacing w:after="0"/>
              <w:rPr>
                <w:sz w:val="16"/>
                <w:szCs w:val="16"/>
                <w:color w:val="auto"/>
              </w:rPr>
            </w:pPr>
          </w:p>
        </w:tc>
        <w:tc>
          <w:tcPr>
            <w:tcW w:w="1380" w:type="dxa"/>
            <w:vAlign w:val="bottom"/>
            <w:tcBorders>
              <w:top w:val="single" w:sz="8" w:color="auto"/>
              <w:right w:val="single" w:sz="8" w:color="auto"/>
            </w:tcBorders>
            <w:gridSpan w:val="3"/>
          </w:tcPr>
          <w:p>
            <w:pPr>
              <w:jc w:val="center"/>
              <w:ind w:right="660"/>
              <w:spacing w:after="0" w:line="189" w:lineRule="exact"/>
              <w:rPr>
                <w:sz w:val="20"/>
                <w:szCs w:val="20"/>
                <w:color w:val="auto"/>
              </w:rPr>
            </w:pPr>
            <w:r>
              <w:rPr>
                <w:rFonts w:ascii="Arial" w:cs="Arial" w:eastAsia="Arial" w:hAnsi="Arial"/>
                <w:sz w:val="18"/>
                <w:szCs w:val="18"/>
                <w:b w:val="1"/>
                <w:bCs w:val="1"/>
                <w:color w:val="auto"/>
                <w:w w:val="88"/>
              </w:rPr>
              <w:t>Complies</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r>
      <w:tr>
        <w:trPr>
          <w:trHeight w:val="195"/>
        </w:trPr>
        <w:tc>
          <w:tcPr>
            <w:tcW w:w="41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rPr>
              <w:t>ncial statements with</w:t>
            </w:r>
          </w:p>
        </w:tc>
        <w:tc>
          <w:tcPr>
            <w:tcW w:w="302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Monthly within 30 days; upon IPO,</w:t>
            </w:r>
          </w:p>
        </w:tc>
        <w:tc>
          <w:tcPr>
            <w:tcW w:w="320" w:type="dxa"/>
            <w:vAlign w:val="bottom"/>
          </w:tcPr>
          <w:p>
            <w:pPr>
              <w:spacing w:after="0"/>
              <w:rPr>
                <w:sz w:val="16"/>
                <w:szCs w:val="16"/>
                <w:color w:val="auto"/>
              </w:rPr>
            </w:pPr>
          </w:p>
        </w:tc>
        <w:tc>
          <w:tcPr>
            <w:tcW w:w="540" w:type="dxa"/>
            <w:vAlign w:val="bottom"/>
          </w:tcPr>
          <w:p>
            <w:pPr>
              <w:jc w:val="center"/>
              <w:ind w:left="70"/>
              <w:spacing w:after="0" w:line="195" w:lineRule="exact"/>
              <w:rPr>
                <w:sz w:val="20"/>
                <w:szCs w:val="20"/>
                <w:color w:val="auto"/>
              </w:rPr>
            </w:pPr>
            <w:r>
              <w:rPr>
                <w:rFonts w:ascii="Arial" w:cs="Arial" w:eastAsia="Arial" w:hAnsi="Arial"/>
                <w:sz w:val="18"/>
                <w:szCs w:val="18"/>
                <w:color w:val="auto"/>
                <w:w w:val="83"/>
              </w:rPr>
              <w:t>Yes</w:t>
            </w:r>
          </w:p>
        </w:tc>
        <w:tc>
          <w:tcPr>
            <w:tcW w:w="84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No</w:t>
            </w:r>
          </w:p>
        </w:tc>
      </w:tr>
      <w:tr>
        <w:trPr>
          <w:trHeight w:val="220"/>
        </w:trPr>
        <w:tc>
          <w:tcPr>
            <w:tcW w:w="412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pliance Certificate</w:t>
            </w:r>
          </w:p>
        </w:tc>
        <w:tc>
          <w:tcPr>
            <w:tcW w:w="302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quarterly within 45 days (Q4 within</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r>
      <w:tr>
        <w:trPr>
          <w:trHeight w:val="209"/>
        </w:trPr>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90 days)</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r>
      <w:tr>
        <w:trPr>
          <w:trHeight w:val="198"/>
        </w:trPr>
        <w:tc>
          <w:tcPr>
            <w:tcW w:w="4120" w:type="dxa"/>
            <w:vAlign w:val="bottom"/>
            <w:tcBorders>
              <w:right w:val="single" w:sz="8" w:color="auto"/>
            </w:tcBorders>
            <w:gridSpan w:val="4"/>
          </w:tcPr>
          <w:p>
            <w:pPr>
              <w:spacing w:after="0" w:line="198" w:lineRule="exact"/>
              <w:rPr>
                <w:sz w:val="20"/>
                <w:szCs w:val="20"/>
                <w:color w:val="auto"/>
              </w:rPr>
            </w:pPr>
            <w:r>
              <w:rPr>
                <w:rFonts w:ascii="Arial" w:cs="Arial" w:eastAsia="Arial" w:hAnsi="Arial"/>
                <w:sz w:val="18"/>
                <w:szCs w:val="18"/>
                <w:color w:val="auto"/>
              </w:rPr>
              <w:t>ual financial statement (CPA Audited)</w:t>
            </w:r>
          </w:p>
        </w:tc>
        <w:tc>
          <w:tcPr>
            <w:tcW w:w="3020" w:type="dxa"/>
            <w:vAlign w:val="bottom"/>
            <w:tcBorders>
              <w:right w:val="single" w:sz="8" w:color="auto"/>
            </w:tcBorders>
            <w:gridSpan w:val="3"/>
          </w:tcPr>
          <w:p>
            <w:pPr>
              <w:spacing w:after="0" w:line="198" w:lineRule="exact"/>
              <w:rPr>
                <w:sz w:val="20"/>
                <w:szCs w:val="20"/>
                <w:color w:val="auto"/>
              </w:rPr>
            </w:pPr>
            <w:r>
              <w:rPr>
                <w:rFonts w:ascii="Arial" w:cs="Arial" w:eastAsia="Arial" w:hAnsi="Arial"/>
                <w:sz w:val="18"/>
                <w:szCs w:val="18"/>
                <w:color w:val="auto"/>
              </w:rPr>
              <w:t>FYE within 180 days (beginning FY</w:t>
            </w:r>
          </w:p>
        </w:tc>
        <w:tc>
          <w:tcPr>
            <w:tcW w:w="320" w:type="dxa"/>
            <w:vAlign w:val="bottom"/>
          </w:tcPr>
          <w:p>
            <w:pPr>
              <w:spacing w:after="0"/>
              <w:rPr>
                <w:sz w:val="17"/>
                <w:szCs w:val="17"/>
                <w:color w:val="auto"/>
              </w:rPr>
            </w:pPr>
          </w:p>
        </w:tc>
        <w:tc>
          <w:tcPr>
            <w:tcW w:w="540" w:type="dxa"/>
            <w:vAlign w:val="bottom"/>
          </w:tcPr>
          <w:p>
            <w:pPr>
              <w:jc w:val="center"/>
              <w:ind w:left="70"/>
              <w:spacing w:after="0" w:line="198" w:lineRule="exact"/>
              <w:rPr>
                <w:sz w:val="20"/>
                <w:szCs w:val="20"/>
                <w:color w:val="auto"/>
              </w:rPr>
            </w:pPr>
            <w:r>
              <w:rPr>
                <w:rFonts w:ascii="Arial" w:cs="Arial" w:eastAsia="Arial" w:hAnsi="Arial"/>
                <w:sz w:val="18"/>
                <w:szCs w:val="18"/>
                <w:color w:val="auto"/>
                <w:w w:val="83"/>
              </w:rPr>
              <w:t>Yes</w:t>
            </w:r>
          </w:p>
        </w:tc>
        <w:tc>
          <w:tcPr>
            <w:tcW w:w="840" w:type="dxa"/>
            <w:vAlign w:val="bottom"/>
            <w:tcBorders>
              <w:right w:val="single" w:sz="8" w:color="auto"/>
            </w:tcBorders>
            <w:gridSpan w:val="2"/>
          </w:tcPr>
          <w:p>
            <w:pPr>
              <w:ind w:left="80"/>
              <w:spacing w:after="0" w:line="198" w:lineRule="exact"/>
              <w:rPr>
                <w:sz w:val="20"/>
                <w:szCs w:val="20"/>
                <w:color w:val="auto"/>
              </w:rPr>
            </w:pPr>
            <w:r>
              <w:rPr>
                <w:rFonts w:ascii="Arial" w:cs="Arial" w:eastAsia="Arial" w:hAnsi="Arial"/>
                <w:sz w:val="18"/>
                <w:szCs w:val="18"/>
                <w:color w:val="auto"/>
              </w:rPr>
              <w:t>No</w:t>
            </w:r>
          </w:p>
        </w:tc>
      </w:tr>
      <w:tr>
        <w:trPr>
          <w:trHeight w:val="230"/>
        </w:trPr>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r>
      <w:tr>
        <w:trPr>
          <w:trHeight w:val="210"/>
        </w:trPr>
        <w:tc>
          <w:tcPr>
            <w:tcW w:w="4120" w:type="dxa"/>
            <w:vAlign w:val="bottom"/>
            <w:tcBorders>
              <w:bottom w:val="single" w:sz="8" w:color="auto"/>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d 10</w:t>
            </w:r>
            <w:r>
              <w:rPr>
                <w:rFonts w:ascii="MS PGothic" w:cs="MS PGothic" w:eastAsia="MS PGothic" w:hAnsi="MS PGothic"/>
                <w:sz w:val="18"/>
                <w:szCs w:val="18"/>
                <w:color w:val="auto"/>
              </w:rPr>
              <w:t>‑</w:t>
            </w:r>
            <w:r>
              <w:rPr>
                <w:rFonts w:ascii="Arial" w:cs="Arial" w:eastAsia="Arial" w:hAnsi="Arial"/>
                <w:sz w:val="18"/>
                <w:szCs w:val="18"/>
                <w:color w:val="auto"/>
              </w:rPr>
              <w:t>Q, 10</w:t>
            </w:r>
            <w:r>
              <w:rPr>
                <w:rFonts w:ascii="MS PGothic" w:cs="MS PGothic" w:eastAsia="MS PGothic" w:hAnsi="MS PGothic"/>
                <w:sz w:val="18"/>
                <w:szCs w:val="18"/>
                <w:color w:val="auto"/>
              </w:rPr>
              <w:t>‑</w:t>
            </w:r>
            <w:r>
              <w:rPr>
                <w:rFonts w:ascii="Arial" w:cs="Arial" w:eastAsia="Arial" w:hAnsi="Arial"/>
                <w:sz w:val="18"/>
                <w:szCs w:val="18"/>
                <w:color w:val="auto"/>
              </w:rPr>
              <w:t>K and 8-K</w:t>
            </w:r>
          </w:p>
        </w:tc>
        <w:tc>
          <w:tcPr>
            <w:tcW w:w="30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Within 5 days after filing with SEC</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3"/>
              </w:rPr>
              <w:t>Yes</w:t>
            </w:r>
          </w:p>
        </w:tc>
        <w:tc>
          <w:tcPr>
            <w:tcW w:w="84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No</w:t>
            </w:r>
          </w:p>
        </w:tc>
      </w:tr>
      <w:tr>
        <w:trPr>
          <w:trHeight w:val="195"/>
        </w:trPr>
        <w:tc>
          <w:tcPr>
            <w:tcW w:w="41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rPr>
              <w:t>rd-Approved Projections</w:t>
            </w:r>
          </w:p>
        </w:tc>
        <w:tc>
          <w:tcPr>
            <w:tcW w:w="302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3"/>
              </w:rPr>
              <w:t>FYE within 60 days and within 7 days of</w:t>
            </w:r>
          </w:p>
        </w:tc>
        <w:tc>
          <w:tcPr>
            <w:tcW w:w="320" w:type="dxa"/>
            <w:vAlign w:val="bottom"/>
          </w:tcPr>
          <w:p>
            <w:pPr>
              <w:spacing w:after="0"/>
              <w:rPr>
                <w:sz w:val="16"/>
                <w:szCs w:val="16"/>
                <w:color w:val="auto"/>
              </w:rPr>
            </w:pPr>
          </w:p>
        </w:tc>
        <w:tc>
          <w:tcPr>
            <w:tcW w:w="540" w:type="dxa"/>
            <w:vAlign w:val="bottom"/>
          </w:tcPr>
          <w:p>
            <w:pPr>
              <w:jc w:val="center"/>
              <w:ind w:left="70"/>
              <w:spacing w:after="0" w:line="195" w:lineRule="exact"/>
              <w:rPr>
                <w:sz w:val="20"/>
                <w:szCs w:val="20"/>
                <w:color w:val="auto"/>
              </w:rPr>
            </w:pPr>
            <w:r>
              <w:rPr>
                <w:rFonts w:ascii="Arial" w:cs="Arial" w:eastAsia="Arial" w:hAnsi="Arial"/>
                <w:sz w:val="18"/>
                <w:szCs w:val="18"/>
                <w:color w:val="auto"/>
                <w:w w:val="83"/>
              </w:rPr>
              <w:t>Yes</w:t>
            </w:r>
          </w:p>
        </w:tc>
        <w:tc>
          <w:tcPr>
            <w:tcW w:w="84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changes</w:t>
            </w: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r>
      <w:tr>
        <w:trPr>
          <w:trHeight w:val="385"/>
        </w:trPr>
        <w:tc>
          <w:tcPr>
            <w:tcW w:w="10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Other Matters</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 there been any amendments of or other changes to the capitalization table of Borrower and to the Operating Documents</w:t>
      </w:r>
    </w:p>
    <w:p>
      <w:pPr>
        <w:spacing w:after="0" w:line="23" w:lineRule="exact"/>
        <w:rPr>
          <w:sz w:val="20"/>
          <w:szCs w:val="20"/>
          <w:color w:val="auto"/>
        </w:rPr>
      </w:pPr>
    </w:p>
    <w:p>
      <w:pPr>
        <w:ind w:right="480" w:hanging="4"/>
        <w:spacing w:after="0" w:line="250" w:lineRule="auto"/>
        <w:rPr>
          <w:sz w:val="20"/>
          <w:szCs w:val="20"/>
          <w:color w:val="auto"/>
        </w:rPr>
      </w:pPr>
      <w:r>
        <w:rPr>
          <w:rFonts w:ascii="Arial" w:cs="Arial" w:eastAsia="Arial" w:hAnsi="Arial"/>
          <w:sz w:val="18"/>
          <w:szCs w:val="18"/>
          <w:color w:val="auto"/>
        </w:rPr>
        <w:t>Borrower or any of its Subsidiaries? If yes, provide copies of any such amendments or changes with this Compliance</w:t>
      </w:r>
      <w:r>
        <w:rPr>
          <w:sz w:val="20"/>
          <w:szCs w:val="20"/>
          <w:color w:val="auto"/>
        </w:rPr>
        <w:t xml:space="preserve"> </w:t>
      </w:r>
      <w:r>
        <w:rPr>
          <w:rFonts w:ascii="Arial" w:cs="Arial" w:eastAsia="Arial" w:hAnsi="Arial"/>
          <w:sz w:val="18"/>
          <w:szCs w:val="18"/>
          <w:color w:val="auto"/>
        </w:rPr>
        <w:t>Yes No 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741680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40"/>
          </w:cols>
          <w:pgMar w:left="220" w:top="523" w:right="339" w:bottom="1440" w:gutter="0" w:footer="0" w:header="0"/>
          <w:type w:val="continuous"/>
        </w:sectPr>
      </w:pPr>
    </w:p>
    <w:bookmarkStart w:id="40" w:name="page41"/>
    <w:bookmarkEnd w:id="40"/>
    <w:p>
      <w:pPr>
        <w:ind w:left="880"/>
        <w:spacing w:after="0"/>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color w:val="auto"/>
              </w:rPr>
              <w:t>PHATHOM PHARMACEUTICALS, INC.</w:t>
            </w:r>
          </w:p>
        </w:tc>
        <w:tc>
          <w:tcPr>
            <w:tcW w:w="4200" w:type="dxa"/>
            <w:vAlign w:val="bottom"/>
            <w:gridSpan w:val="6"/>
          </w:tcPr>
          <w:p>
            <w:pPr>
              <w:ind w:left="1320"/>
              <w:spacing w:after="0"/>
              <w:rPr>
                <w:sz w:val="20"/>
                <w:szCs w:val="20"/>
                <w:color w:val="auto"/>
              </w:rPr>
            </w:pPr>
            <w:r>
              <w:rPr>
                <w:rFonts w:ascii="Arial" w:cs="Arial" w:eastAsia="Arial" w:hAnsi="Arial"/>
                <w:sz w:val="18"/>
                <w:szCs w:val="18"/>
                <w:b w:val="1"/>
                <w:bCs w:val="1"/>
                <w:color w:val="auto"/>
              </w:rPr>
              <w:t>AGENT USE ONLY</w:t>
            </w:r>
          </w:p>
        </w:tc>
        <w:tc>
          <w:tcPr>
            <w:tcW w:w="0" w:type="dxa"/>
            <w:vAlign w:val="bottom"/>
          </w:tcPr>
          <w:p>
            <w:pPr>
              <w:spacing w:after="0"/>
              <w:rPr>
                <w:sz w:val="1"/>
                <w:szCs w:val="1"/>
                <w:color w:val="auto"/>
              </w:rPr>
            </w:pPr>
          </w:p>
        </w:tc>
      </w:tr>
      <w:tr>
        <w:trPr>
          <w:trHeight w:val="392"/>
        </w:trPr>
        <w:tc>
          <w:tcPr>
            <w:tcW w:w="446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200" w:type="dxa"/>
            <w:vAlign w:val="bottom"/>
            <w:gridSpan w:val="6"/>
          </w:tcPr>
          <w:p>
            <w:pPr>
              <w:ind w:left="1320"/>
              <w:spacing w:after="0"/>
              <w:rPr>
                <w:sz w:val="20"/>
                <w:szCs w:val="20"/>
                <w:color w:val="auto"/>
              </w:rPr>
            </w:pPr>
            <w:r>
              <w:rPr>
                <w:rFonts w:ascii="Arial" w:cs="Arial" w:eastAsia="Arial" w:hAnsi="Arial"/>
                <w:sz w:val="18"/>
                <w:szCs w:val="18"/>
                <w:color w:val="auto"/>
                <w:w w:val="89"/>
              </w:rPr>
              <w:t>Received by: _____________________</w:t>
            </w:r>
          </w:p>
        </w:tc>
        <w:tc>
          <w:tcPr>
            <w:tcW w:w="0" w:type="dxa"/>
            <w:vAlign w:val="bottom"/>
          </w:tcPr>
          <w:p>
            <w:pPr>
              <w:spacing w:after="0"/>
              <w:rPr>
                <w:sz w:val="1"/>
                <w:szCs w:val="1"/>
                <w:color w:val="auto"/>
              </w:rPr>
            </w:pPr>
          </w:p>
        </w:tc>
      </w:tr>
      <w:tr>
        <w:trPr>
          <w:trHeight w:val="222"/>
        </w:trPr>
        <w:tc>
          <w:tcPr>
            <w:tcW w:w="446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Borders>
              <w:top w:val="single" w:sz="8" w:color="auto"/>
            </w:tcBorders>
            <w:gridSpan w:val="3"/>
          </w:tcPr>
          <w:p>
            <w:pPr>
              <w:ind w:left="300"/>
              <w:spacing w:after="0"/>
              <w:rPr>
                <w:sz w:val="20"/>
                <w:szCs w:val="20"/>
                <w:color w:val="auto"/>
              </w:rPr>
            </w:pPr>
            <w:r>
              <w:rPr>
                <w:rFonts w:ascii="Arial" w:cs="Arial" w:eastAsia="Arial" w:hAnsi="Arial"/>
                <w:sz w:val="12"/>
                <w:szCs w:val="12"/>
                <w:color w:val="auto"/>
              </w:rPr>
              <w:t>AUTHORIZED SIGNER</w:t>
            </w:r>
          </w:p>
        </w:tc>
        <w:tc>
          <w:tcPr>
            <w:tcW w:w="0" w:type="dxa"/>
            <w:vAlign w:val="bottom"/>
          </w:tcPr>
          <w:p>
            <w:pPr>
              <w:spacing w:after="0"/>
              <w:rPr>
                <w:sz w:val="1"/>
                <w:szCs w:val="1"/>
                <w:color w:val="auto"/>
              </w:rPr>
            </w:pPr>
          </w:p>
        </w:tc>
      </w:tr>
      <w:tr>
        <w:trPr>
          <w:trHeight w:val="190"/>
        </w:trPr>
        <w:tc>
          <w:tcPr>
            <w:tcW w:w="446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4200" w:type="dxa"/>
            <w:vAlign w:val="bottom"/>
            <w:gridSpan w:val="6"/>
          </w:tcPr>
          <w:p>
            <w:pPr>
              <w:ind w:left="1320"/>
              <w:spacing w:after="0" w:line="190" w:lineRule="exact"/>
              <w:rPr>
                <w:sz w:val="20"/>
                <w:szCs w:val="20"/>
                <w:color w:val="auto"/>
              </w:rPr>
            </w:pPr>
            <w:r>
              <w:rPr>
                <w:rFonts w:ascii="Arial" w:cs="Arial" w:eastAsia="Arial" w:hAnsi="Arial"/>
                <w:sz w:val="18"/>
                <w:szCs w:val="18"/>
                <w:color w:val="auto"/>
                <w:w w:val="95"/>
              </w:rPr>
              <w:t>Date: _________________________</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1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vMerge w:val="continue"/>
          </w:tcPr>
          <w:p>
            <w:pPr>
              <w:spacing w:after="0"/>
              <w:rPr>
                <w:sz w:val="20"/>
                <w:szCs w:val="20"/>
                <w:color w:val="auto"/>
              </w:rPr>
            </w:pPr>
          </w:p>
        </w:tc>
        <w:tc>
          <w:tcPr>
            <w:tcW w:w="4200" w:type="dxa"/>
            <w:vAlign w:val="bottom"/>
            <w:gridSpan w:val="6"/>
            <w:vMerge w:val="restart"/>
          </w:tcPr>
          <w:p>
            <w:pPr>
              <w:ind w:left="1320"/>
              <w:spacing w:after="0"/>
              <w:rPr>
                <w:sz w:val="20"/>
                <w:szCs w:val="20"/>
                <w:color w:val="auto"/>
              </w:rPr>
            </w:pPr>
            <w:r>
              <w:rPr>
                <w:rFonts w:ascii="Arial" w:cs="Arial" w:eastAsia="Arial" w:hAnsi="Arial"/>
                <w:sz w:val="18"/>
                <w:szCs w:val="18"/>
                <w:color w:val="auto"/>
                <w:w w:val="91"/>
              </w:rPr>
              <w:t>Verified: ________________________</w:t>
            </w: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5"/>
                <w:szCs w:val="15"/>
                <w:color w:val="auto"/>
              </w:rPr>
            </w:pPr>
          </w:p>
        </w:tc>
        <w:tc>
          <w:tcPr>
            <w:tcW w:w="42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ind w:left="300"/>
              <w:spacing w:after="0"/>
              <w:rPr>
                <w:sz w:val="20"/>
                <w:szCs w:val="20"/>
                <w:color w:val="auto"/>
              </w:rPr>
            </w:pPr>
            <w:r>
              <w:rPr>
                <w:rFonts w:ascii="Arial" w:cs="Arial" w:eastAsia="Arial" w:hAnsi="Arial"/>
                <w:sz w:val="12"/>
                <w:szCs w:val="12"/>
                <w:color w:val="auto"/>
              </w:rPr>
              <w:t>AUTHORIZED SIGNER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460" w:type="dxa"/>
            <w:vAlign w:val="bottom"/>
          </w:tcPr>
          <w:p>
            <w:pPr>
              <w:spacing w:after="0"/>
              <w:rPr>
                <w:sz w:val="16"/>
                <w:szCs w:val="16"/>
                <w:color w:val="auto"/>
              </w:rPr>
            </w:pPr>
          </w:p>
        </w:tc>
        <w:tc>
          <w:tcPr>
            <w:tcW w:w="4200" w:type="dxa"/>
            <w:vAlign w:val="bottom"/>
            <w:gridSpan w:val="6"/>
          </w:tcPr>
          <w:p>
            <w:pPr>
              <w:ind w:left="1320"/>
              <w:spacing w:after="0" w:line="194" w:lineRule="exact"/>
              <w:rPr>
                <w:sz w:val="20"/>
                <w:szCs w:val="20"/>
                <w:color w:val="auto"/>
              </w:rPr>
            </w:pPr>
            <w:r>
              <w:rPr>
                <w:rFonts w:ascii="Arial" w:cs="Arial" w:eastAsia="Arial" w:hAnsi="Arial"/>
                <w:sz w:val="18"/>
                <w:szCs w:val="18"/>
                <w:color w:val="auto"/>
                <w:w w:val="95"/>
              </w:rPr>
              <w:t>Date: _________________________</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60" w:type="dxa"/>
            <w:vAlign w:val="bottom"/>
          </w:tcPr>
          <w:p>
            <w:pPr>
              <w:spacing w:after="0"/>
              <w:rPr>
                <w:sz w:val="24"/>
                <w:szCs w:val="24"/>
                <w:color w:val="auto"/>
              </w:rPr>
            </w:pPr>
          </w:p>
        </w:tc>
        <w:tc>
          <w:tcPr>
            <w:tcW w:w="4200" w:type="dxa"/>
            <w:vAlign w:val="bottom"/>
            <w:gridSpan w:val="6"/>
          </w:tcPr>
          <w:p>
            <w:pPr>
              <w:ind w:left="1320"/>
              <w:spacing w:after="0"/>
              <w:rPr>
                <w:sz w:val="20"/>
                <w:szCs w:val="20"/>
                <w:color w:val="auto"/>
              </w:rPr>
            </w:pPr>
            <w:r>
              <w:rPr>
                <w:rFonts w:ascii="Arial" w:cs="Arial" w:eastAsia="Arial" w:hAnsi="Arial"/>
                <w:sz w:val="18"/>
                <w:szCs w:val="18"/>
                <w:color w:val="auto"/>
              </w:rPr>
              <w:t>Compliance Status:Yes   No</w:t>
            </w:r>
          </w:p>
        </w:tc>
        <w:tc>
          <w:tcPr>
            <w:tcW w:w="0" w:type="dxa"/>
            <w:vAlign w:val="bottom"/>
          </w:tcPr>
          <w:p>
            <w:pPr>
              <w:spacing w:after="0"/>
              <w:rPr>
                <w:sz w:val="1"/>
                <w:szCs w:val="1"/>
                <w:color w:val="auto"/>
              </w:rPr>
            </w:pPr>
          </w:p>
        </w:tc>
      </w:tr>
    </w:tbl>
    <w:p>
      <w:pPr>
        <w:sectPr>
          <w:pgSz w:w="11900" w:h="16838" w:orient="portrait"/>
          <w:cols w:equalWidth="0" w:num="1">
            <w:col w:w="11220"/>
          </w:cols>
          <w:pgMar w:left="320" w:top="1421"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Terrie Curran, certify that:</w:t>
      </w:r>
    </w:p>
    <w:p>
      <w:pPr>
        <w:spacing w:after="0" w:line="225"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010000"/>
        </w:rPr>
      </w:pPr>
    </w:p>
    <w:p>
      <w:pPr>
        <w:jc w:val="both"/>
        <w:ind w:left="580" w:right="180" w:hanging="572"/>
        <w:spacing w:after="0" w:line="263" w:lineRule="auto"/>
        <w:tabs>
          <w:tab w:leader="none" w:pos="580"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010000"/>
        </w:rPr>
      </w:pPr>
    </w:p>
    <w:p>
      <w:pPr>
        <w:ind w:left="580" w:right="140" w:hanging="572"/>
        <w:spacing w:after="0" w:line="308" w:lineRule="auto"/>
        <w:tabs>
          <w:tab w:leader="none" w:pos="580" w:val="left"/>
        </w:tabs>
        <w:numPr>
          <w:ilvl w:val="0"/>
          <w:numId w:val="18"/>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010000"/>
        </w:rPr>
      </w:pPr>
    </w:p>
    <w:p>
      <w:pPr>
        <w:ind w:left="580" w:right="380" w:hanging="572"/>
        <w:spacing w:after="0" w:line="277" w:lineRule="auto"/>
        <w:tabs>
          <w:tab w:leader="none" w:pos="580"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010000"/>
        </w:rPr>
      </w:pPr>
    </w:p>
    <w:p>
      <w:pPr>
        <w:ind w:left="1160" w:right="40" w:hanging="572"/>
        <w:spacing w:after="0" w:line="263" w:lineRule="auto"/>
        <w:tabs>
          <w:tab w:leader="none" w:pos="116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010000"/>
        </w:rPr>
      </w:pPr>
    </w:p>
    <w:p>
      <w:pPr>
        <w:ind w:left="1160" w:hanging="572"/>
        <w:spacing w:after="0"/>
        <w:tabs>
          <w:tab w:leader="none" w:pos="1160" w:val="left"/>
        </w:tabs>
        <w:numPr>
          <w:ilvl w:val="1"/>
          <w:numId w:val="18"/>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jc w:val="both"/>
        <w:ind w:left="1160" w:right="340" w:hanging="572"/>
        <w:spacing w:after="0" w:line="342" w:lineRule="auto"/>
        <w:tabs>
          <w:tab w:leader="none" w:pos="1160" w:val="left"/>
        </w:tabs>
        <w:numPr>
          <w:ilvl w:val="1"/>
          <w:numId w:val="18"/>
        </w:numPr>
        <w:rPr>
          <w:rFonts w:ascii="Arial" w:cs="Arial" w:eastAsia="Arial" w:hAnsi="Arial"/>
          <w:sz w:val="16"/>
          <w:szCs w:val="16"/>
          <w:color w:val="010000"/>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010000"/>
        </w:rPr>
      </w:pPr>
    </w:p>
    <w:p>
      <w:pPr>
        <w:ind w:left="1160" w:right="40" w:hanging="572"/>
        <w:spacing w:after="0" w:line="263" w:lineRule="auto"/>
        <w:tabs>
          <w:tab w:leader="none" w:pos="116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010000"/>
        </w:rPr>
      </w:pPr>
    </w:p>
    <w:p>
      <w:pPr>
        <w:ind w:left="580" w:right="80" w:hanging="572"/>
        <w:spacing w:after="0" w:line="308" w:lineRule="auto"/>
        <w:tabs>
          <w:tab w:leader="none" w:pos="580" w:val="left"/>
        </w:tabs>
        <w:numPr>
          <w:ilvl w:val="0"/>
          <w:numId w:val="18"/>
        </w:numPr>
        <w:rPr>
          <w:rFonts w:ascii="Arial" w:cs="Arial" w:eastAsia="Arial" w:hAnsi="Arial"/>
          <w:sz w:val="17"/>
          <w:szCs w:val="17"/>
          <w:color w:val="010000"/>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010000"/>
        </w:rPr>
      </w:pPr>
    </w:p>
    <w:p>
      <w:pPr>
        <w:ind w:left="1160" w:right="580" w:hanging="572"/>
        <w:spacing w:after="0" w:line="342" w:lineRule="auto"/>
        <w:tabs>
          <w:tab w:leader="none" w:pos="1160" w:val="left"/>
        </w:tabs>
        <w:numPr>
          <w:ilvl w:val="1"/>
          <w:numId w:val="18"/>
        </w:numPr>
        <w:rPr>
          <w:rFonts w:ascii="Arial" w:cs="Arial" w:eastAsia="Arial" w:hAnsi="Arial"/>
          <w:sz w:val="16"/>
          <w:szCs w:val="16"/>
          <w:color w:val="010000"/>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010000"/>
        </w:rPr>
      </w:pPr>
    </w:p>
    <w:p>
      <w:pPr>
        <w:ind w:left="1160" w:right="280" w:hanging="572"/>
        <w:spacing w:after="0" w:line="277"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11,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Terrie Curran</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Branning, certify that:</w:t>
      </w:r>
    </w:p>
    <w:p>
      <w:pPr>
        <w:spacing w:after="0" w:line="225"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010000"/>
        </w:rPr>
      </w:pPr>
    </w:p>
    <w:p>
      <w:pPr>
        <w:jc w:val="both"/>
        <w:ind w:left="580" w:right="180" w:hanging="572"/>
        <w:spacing w:after="0" w:line="263" w:lineRule="auto"/>
        <w:tabs>
          <w:tab w:leader="none" w:pos="58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010000"/>
        </w:rPr>
      </w:pPr>
    </w:p>
    <w:p>
      <w:pPr>
        <w:ind w:left="580" w:right="140" w:hanging="572"/>
        <w:spacing w:after="0" w:line="308" w:lineRule="auto"/>
        <w:tabs>
          <w:tab w:leader="none" w:pos="580" w:val="left"/>
        </w:tabs>
        <w:numPr>
          <w:ilvl w:val="0"/>
          <w:numId w:val="19"/>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010000"/>
        </w:rPr>
      </w:pPr>
    </w:p>
    <w:p>
      <w:pPr>
        <w:ind w:left="580" w:right="380" w:hanging="572"/>
        <w:spacing w:after="0" w:line="277" w:lineRule="auto"/>
        <w:tabs>
          <w:tab w:leader="none" w:pos="58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010000"/>
        </w:rPr>
      </w:pPr>
    </w:p>
    <w:p>
      <w:pPr>
        <w:ind w:left="1160" w:right="40" w:hanging="572"/>
        <w:spacing w:after="0" w:line="263" w:lineRule="auto"/>
        <w:tabs>
          <w:tab w:leader="none" w:pos="116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010000"/>
        </w:rPr>
      </w:pPr>
    </w:p>
    <w:p>
      <w:pPr>
        <w:ind w:left="1160" w:hanging="572"/>
        <w:spacing w:after="0"/>
        <w:tabs>
          <w:tab w:leader="none" w:pos="1160" w:val="left"/>
        </w:tabs>
        <w:numPr>
          <w:ilvl w:val="1"/>
          <w:numId w:val="19"/>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jc w:val="both"/>
        <w:ind w:left="1160" w:right="340" w:hanging="572"/>
        <w:spacing w:after="0" w:line="342" w:lineRule="auto"/>
        <w:tabs>
          <w:tab w:leader="none" w:pos="1160" w:val="left"/>
        </w:tabs>
        <w:numPr>
          <w:ilvl w:val="1"/>
          <w:numId w:val="19"/>
        </w:numPr>
        <w:rPr>
          <w:rFonts w:ascii="Arial" w:cs="Arial" w:eastAsia="Arial" w:hAnsi="Arial"/>
          <w:sz w:val="16"/>
          <w:szCs w:val="16"/>
          <w:color w:val="010000"/>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010000"/>
        </w:rPr>
      </w:pPr>
    </w:p>
    <w:p>
      <w:pPr>
        <w:ind w:left="1160" w:right="40" w:hanging="572"/>
        <w:spacing w:after="0" w:line="263" w:lineRule="auto"/>
        <w:tabs>
          <w:tab w:leader="none" w:pos="116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010000"/>
        </w:rPr>
      </w:pPr>
    </w:p>
    <w:p>
      <w:pPr>
        <w:ind w:left="580" w:right="80" w:hanging="572"/>
        <w:spacing w:after="0" w:line="308" w:lineRule="auto"/>
        <w:tabs>
          <w:tab w:leader="none" w:pos="580" w:val="left"/>
        </w:tabs>
        <w:numPr>
          <w:ilvl w:val="0"/>
          <w:numId w:val="19"/>
        </w:numPr>
        <w:rPr>
          <w:rFonts w:ascii="Arial" w:cs="Arial" w:eastAsia="Arial" w:hAnsi="Arial"/>
          <w:sz w:val="17"/>
          <w:szCs w:val="17"/>
          <w:color w:val="010000"/>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010000"/>
        </w:rPr>
      </w:pPr>
    </w:p>
    <w:p>
      <w:pPr>
        <w:ind w:left="1160" w:right="580" w:hanging="572"/>
        <w:spacing w:after="0" w:line="342" w:lineRule="auto"/>
        <w:tabs>
          <w:tab w:leader="none" w:pos="1160" w:val="left"/>
        </w:tabs>
        <w:numPr>
          <w:ilvl w:val="1"/>
          <w:numId w:val="19"/>
        </w:numPr>
        <w:rPr>
          <w:rFonts w:ascii="Arial" w:cs="Arial" w:eastAsia="Arial" w:hAnsi="Arial"/>
          <w:sz w:val="16"/>
          <w:szCs w:val="16"/>
          <w:color w:val="010000"/>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010000"/>
        </w:rPr>
      </w:pPr>
    </w:p>
    <w:p>
      <w:pPr>
        <w:ind w:left="1160" w:right="280" w:hanging="572"/>
        <w:spacing w:after="0" w:line="277"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11,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P. Branning</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Todd P. Branning</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51" w:right="339" w:bottom="1440" w:gutter="0" w:footer="0" w:header="0"/>
        </w:sectPr>
      </w:pPr>
    </w:p>
    <w:bookmarkStart w:id="43" w:name="page44"/>
    <w:bookmarkEnd w:id="43"/>
    <w:p>
      <w:pPr>
        <w:ind w:left="10260"/>
        <w:spacing w:after="0"/>
        <w:rPr>
          <w:sz w:val="20"/>
          <w:szCs w:val="20"/>
          <w:color w:val="auto"/>
        </w:rPr>
      </w:pPr>
      <w:r>
        <w:rPr>
          <w:rFonts w:ascii="Arial" w:cs="Arial" w:eastAsia="Arial" w:hAnsi="Arial"/>
          <w:sz w:val="17"/>
          <w:szCs w:val="17"/>
          <w:b w:val="1"/>
          <w:bCs w:val="1"/>
          <w:color w:val="auto"/>
        </w:rPr>
        <w:t>Exhibit 32.1</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firstLine="950"/>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March 31, 2021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162" w:lineRule="exact"/>
        <w:rPr>
          <w:sz w:val="20"/>
          <w:szCs w:val="20"/>
          <w:color w:val="auto"/>
        </w:rPr>
      </w:pPr>
    </w:p>
    <w:p>
      <w:pPr>
        <w:ind w:left="960" w:right="60" w:hanging="95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960" w:right="660" w:hanging="95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May 11, 2021</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222"/>
        </w:trPr>
        <w:tc>
          <w:tcPr>
            <w:tcW w:w="40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Terrie Curran</w:t>
            </w:r>
          </w:p>
        </w:tc>
      </w:tr>
      <w:tr>
        <w:trPr>
          <w:trHeight w:val="230"/>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15" w:lineRule="exact"/>
        <w:rPr>
          <w:sz w:val="20"/>
          <w:szCs w:val="20"/>
          <w:color w:val="auto"/>
        </w:rPr>
      </w:pPr>
    </w:p>
    <w:p>
      <w:pPr>
        <w:ind w:right="320" w:firstLine="95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20"/>
          </w:cols>
          <w:pgMar w:left="320" w:top="121"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200" w:firstLine="950"/>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March 31, 2021 as filed with the Securities and Exchange Commission on the date hereof (the “Report”), I, Todd P. Branning, as Chief Financial Officer of the Company, certify, pursuant to 18 U.S.C. Section 1350, as adopted pursuant to Section 906 of the Sarbanes-Oxley Act of 2002, to my knowledge, that:</w:t>
      </w:r>
    </w:p>
    <w:p>
      <w:pPr>
        <w:spacing w:after="0" w:line="162" w:lineRule="exact"/>
        <w:rPr>
          <w:sz w:val="20"/>
          <w:szCs w:val="20"/>
          <w:color w:val="auto"/>
        </w:rPr>
      </w:pPr>
    </w:p>
    <w:p>
      <w:pPr>
        <w:ind w:left="960" w:right="40" w:hanging="952"/>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960" w:right="640" w:hanging="952"/>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May 11, 2021</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P. Branning</w:t>
            </w:r>
          </w:p>
        </w:tc>
      </w:tr>
      <w:tr>
        <w:trPr>
          <w:trHeight w:val="222"/>
        </w:trPr>
        <w:tc>
          <w:tcPr>
            <w:tcW w:w="40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Todd P. Branning</w:t>
            </w:r>
          </w:p>
        </w:tc>
      </w:tr>
      <w:tr>
        <w:trPr>
          <w:trHeight w:val="230"/>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ind w:right="300" w:firstLine="95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Roman"/>
      <w:start w:val="3"/>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upperLetter"/>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ldblquote"/>
      <w:numFmt w:val="bullet"/>
      <w:start w:val="1"/>
    </w:lvl>
  </w:abstractNum>
  <w:abstractNum w:abstractNumId="10">
    <w:nsid w:val="6B68079A"/>
    <w:multiLevelType w:val="hybridMultilevel"/>
    <w:lvl w:ilvl="0">
      <w:lvlJc w:val="left"/>
      <w:lvlText w:val="\ldblquote"/>
      <w:numFmt w:val="bullet"/>
      <w:start w:val="1"/>
    </w:lvl>
  </w:abstractNum>
  <w:abstractNum w:abstractNumId="11">
    <w:nsid w:val="4E6AFB66"/>
    <w:multiLevelType w:val="hybridMultilevel"/>
    <w:lvl w:ilvl="0">
      <w:lvlJc w:val="left"/>
      <w:lvlText w:val="\ldblquote"/>
      <w:numFmt w:val="bullet"/>
      <w:start w:val="1"/>
    </w:lvl>
  </w:abstractNum>
  <w:abstractNum w:abstractNumId="12">
    <w:nsid w:val="25E45D32"/>
    <w:multiLevelType w:val="hybridMultilevel"/>
    <w:lvl w:ilvl="0">
      <w:lvlJc w:val="left"/>
      <w:lvlText w:val="1"/>
      <w:numFmt w:val="bullet"/>
      <w:start w:val="1"/>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4"/>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59" Type="http://schemas.openxmlformats.org/officeDocument/2006/relationships/hyperlink" Target="http://www.sec.gov/Archives/edgar/data/1783183/000119312519277761/d795888dex31.htm" TargetMode="External"/><Relationship Id="rId60" Type="http://schemas.openxmlformats.org/officeDocument/2006/relationships/hyperlink" Target="http://www.sec.gov/Archives/edgar/data/0001783183/000119312520254563/d10693dex31.htm" TargetMode="External"/><Relationship Id="rId61" Type="http://schemas.openxmlformats.org/officeDocument/2006/relationships/hyperlink" Target="http://www.sec.gov/Archives/edgar/data/1783183/000119312519267053/d63338dex41.htm" TargetMode="External"/><Relationship Id="rId62" Type="http://schemas.openxmlformats.org/officeDocument/2006/relationships/hyperlink" Target="http://www.sec.gov/Archives/edgar/data/1783183/000119312519258922/d63338dex42.htm" TargetMode="External"/><Relationship Id="rId63" Type="http://schemas.openxmlformats.org/officeDocument/2006/relationships/hyperlink" Target="http://www.sec.gov/Archives/edgar/data/1783183/000119312519258922/d63338dex43.htm" TargetMode="External"/><Relationship Id="rId64" Type="http://schemas.openxmlformats.org/officeDocument/2006/relationships/hyperlink" Target="http://www.sec.gov/Archives/edgar/data/1783183/000119312519258922/d63338dex44.htm" TargetMode="External"/><Relationship Id="rId65" Type="http://schemas.openxmlformats.org/officeDocument/2006/relationships/hyperlink" Target="http://www.sec.gov/Archives/edgar/data/1783183/000119312519267053/d63338dex45.htm" TargetMode="External"/><Relationship Id="rId66" Type="http://schemas.openxmlformats.org/officeDocument/2006/relationships/hyperlink" Target="http://www.sec.gov/Archives/edgar/data/1783183/000156459020011712/phat-ex46_14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2021-05-11T07:19:24Z</dcterms:created>
  <dcterms:modified xsi:type="dcterms:W3CDTF">2021-05-11T07:19:24Z</dcterms:modified>
</cp:coreProperties>
</file>