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64135</wp:posOffset>
            </wp:positionV>
            <wp:extent cx="18516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96520</wp:posOffset>
            </wp:positionV>
            <wp:extent cx="1851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95" w:lineRule="exact"/>
        <w:rPr>
          <w:sz w:val="24"/>
          <w:szCs w:val="24"/>
          <w:color w:val="auto"/>
        </w:rPr>
      </w:pPr>
    </w:p>
    <w:p>
      <w:pPr>
        <w:ind w:left="520" w:right="300" w:hanging="512"/>
        <w:spacing w:after="0" w:line="262" w:lineRule="auto"/>
        <w:tabs>
          <w:tab w:leader="none" w:pos="44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520" w:right="300" w:hanging="512"/>
        <w:spacing w:after="0" w:line="262" w:lineRule="auto"/>
        <w:tabs>
          <w:tab w:leader="none" w:pos="443"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480"/>
        <w:spacing w:after="0"/>
        <w:tabs>
          <w:tab w:leader="none" w:pos="6700" w:val="left"/>
          <w:tab w:leader="none" w:pos="7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-5080</wp:posOffset>
            </wp:positionV>
            <wp:extent cx="1180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001-39094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PHATHOM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8" w:lineRule="exact"/>
        <w:rPr>
          <w:sz w:val="24"/>
          <w:szCs w:val="24"/>
          <w:color w:val="auto"/>
        </w:rPr>
      </w:pPr>
    </w:p>
    <w:tbl>
      <w:tblPr>
        <w:tblLayout w:type="fixed"/>
        <w:tblInd w:w="1580" w:type="dxa"/>
        <w:tblCellMar>
          <w:top w:w="0" w:type="dxa"/>
          <w:left w:w="0" w:type="dxa"/>
          <w:bottom w:w="0" w:type="dxa"/>
          <w:right w:w="0" w:type="dxa"/>
        </w:tblCellMar>
      </w:tblPr>
      <w:tr>
        <w:trPr>
          <w:trHeight w:val="238"/>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82-4151574</w:t>
            </w:r>
          </w:p>
        </w:tc>
      </w:tr>
      <w:tr>
        <w:trPr>
          <w:trHeight w:val="151"/>
        </w:trPr>
        <w:tc>
          <w:tcPr>
            <w:tcW w:w="4360" w:type="dxa"/>
            <w:vAlign w:val="bottom"/>
          </w:tcPr>
          <w:p>
            <w:pPr>
              <w:jc w:val="center"/>
              <w:ind w:right="191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2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9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47"/>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100 Campus Drive, Suite 102</w:t>
            </w:r>
          </w:p>
        </w:tc>
        <w:tc>
          <w:tcPr>
            <w:tcW w:w="3120" w:type="dxa"/>
            <w:vAlign w:val="bottom"/>
          </w:tcPr>
          <w:p>
            <w:pPr>
              <w:spacing w:after="0"/>
              <w:rPr>
                <w:sz w:val="24"/>
                <w:szCs w:val="24"/>
                <w:color w:val="auto"/>
              </w:rPr>
            </w:pPr>
          </w:p>
        </w:tc>
      </w:tr>
      <w:tr>
        <w:trPr>
          <w:trHeight w:val="238"/>
        </w:trPr>
        <w:tc>
          <w:tcPr>
            <w:tcW w:w="4360" w:type="dxa"/>
            <w:vAlign w:val="bottom"/>
          </w:tcPr>
          <w:p>
            <w:pPr>
              <w:jc w:val="center"/>
              <w:ind w:right="1959"/>
              <w:spacing w:after="0"/>
              <w:rPr>
                <w:sz w:val="20"/>
                <w:szCs w:val="20"/>
                <w:color w:val="auto"/>
              </w:rPr>
            </w:pPr>
            <w:r>
              <w:rPr>
                <w:rFonts w:ascii="Times New Roman" w:cs="Times New Roman" w:eastAsia="Times New Roman" w:hAnsi="Times New Roman"/>
                <w:sz w:val="18"/>
                <w:szCs w:val="18"/>
                <w:b w:val="1"/>
                <w:bCs w:val="1"/>
                <w:color w:val="auto"/>
                <w:w w:val="99"/>
              </w:rPr>
              <w:t>Florham Park, New Jersey</w:t>
            </w:r>
          </w:p>
        </w:tc>
        <w:tc>
          <w:tcPr>
            <w:tcW w:w="31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07932</w:t>
            </w:r>
          </w:p>
        </w:tc>
      </w:tr>
      <w:tr>
        <w:trPr>
          <w:trHeight w:val="193"/>
        </w:trPr>
        <w:tc>
          <w:tcPr>
            <w:tcW w:w="436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55"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(877) 742-8466</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20" w:type="dxa"/>
            <w:vAlign w:val="bottom"/>
          </w:tcPr>
          <w:p>
            <w:pPr>
              <w:spacing w:after="0"/>
              <w:rPr>
                <w:sz w:val="13"/>
                <w:szCs w:val="13"/>
                <w:color w:val="auto"/>
              </w:rPr>
            </w:pPr>
          </w:p>
        </w:tc>
        <w:tc>
          <w:tcPr>
            <w:tcW w:w="4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PHAT</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right="2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5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2020"/>
        <w:spacing w:after="0" w:line="27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8, 2023, the registrant had 43,614,075 </w:t>
      </w:r>
      <w:r>
        <w:rPr>
          <w:rFonts w:ascii="Times New Roman" w:cs="Times New Roman" w:eastAsia="Times New Roman" w:hAnsi="Times New Roman"/>
          <w:sz w:val="16"/>
          <w:szCs w:val="16"/>
          <w:color w:val="auto"/>
        </w:rPr>
        <w:t>s</w:t>
      </w:r>
      <w:r>
        <w:rPr>
          <w:rFonts w:ascii="Times New Roman" w:cs="Times New Roman" w:eastAsia="Times New Roman" w:hAnsi="Times New Roman"/>
          <w:sz w:val="18"/>
          <w:szCs w:val="18"/>
          <w:color w:val="auto"/>
        </w:rPr>
        <w:t>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 w:name="page2"/>
    <w:bookmarkEnd w:id="1"/>
    <w:p>
      <w:pPr>
        <w:jc w:val="center"/>
        <w:ind w:left="420"/>
        <w:spacing w:after="0"/>
        <w:rPr>
          <w:sz w:val="20"/>
          <w:szCs w:val="20"/>
          <w:color w:val="auto"/>
        </w:rPr>
      </w:pPr>
      <w:r>
        <w:rPr>
          <w:rFonts w:ascii="Calibri" w:cs="Calibri" w:eastAsia="Calibri" w:hAnsi="Calibri"/>
          <w:sz w:val="18"/>
          <w:szCs w:val="18"/>
          <w:b w:val="1"/>
          <w:bCs w:val="1"/>
          <w:color w:val="231F20"/>
        </w:rPr>
        <w:t>TABLE OF CONTENTS</w:t>
      </w:r>
    </w:p>
    <w:p>
      <w:pPr>
        <w:spacing w:after="0" w:line="239" w:lineRule="exact"/>
        <w:rPr>
          <w:sz w:val="20"/>
          <w:szCs w:val="20"/>
          <w:color w:val="auto"/>
        </w:rPr>
      </w:pPr>
    </w:p>
    <w:p>
      <w:pPr>
        <w:ind w:left="40"/>
        <w:spacing w:after="0"/>
        <w:rPr>
          <w:sz w:val="20"/>
          <w:szCs w:val="20"/>
          <w:color w:val="auto"/>
        </w:rPr>
      </w:pPr>
      <w:r>
        <w:rPr>
          <w:rFonts w:ascii="Calibri" w:cs="Calibri" w:eastAsia="Calibri" w:hAnsi="Calibri"/>
          <w:sz w:val="18"/>
          <w:szCs w:val="18"/>
          <w:b w:val="1"/>
          <w:bCs w:val="1"/>
          <w:u w:val="single" w:color="auto"/>
          <w:color w:val="0000FF"/>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-19050</wp:posOffset>
            </wp:positionV>
            <wp:extent cx="1550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0670" cy="82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 w:type="dxa"/>
            <w:vAlign w:val="bottom"/>
          </w:tcPr>
          <w:p>
            <w:pPr>
              <w:spacing w:after="0"/>
              <w:rPr>
                <w:sz w:val="19"/>
                <w:szCs w:val="19"/>
                <w:color w:val="auto"/>
              </w:rPr>
            </w:pPr>
          </w:p>
        </w:tc>
        <w:tc>
          <w:tcPr>
            <w:tcW w:w="1620" w:type="dxa"/>
            <w:vAlign w:val="bottom"/>
          </w:tcPr>
          <w:p>
            <w:pPr>
              <w:ind w:left="560"/>
              <w:spacing w:after="0"/>
              <w:rPr>
                <w:sz w:val="20"/>
                <w:szCs w:val="20"/>
                <w:color w:val="auto"/>
              </w:rPr>
            </w:pPr>
            <w:r>
              <w:rPr>
                <w:rFonts w:ascii="Calibri" w:cs="Calibri" w:eastAsia="Calibri" w:hAnsi="Calibri"/>
                <w:sz w:val="18"/>
                <w:szCs w:val="18"/>
                <w:color w:val="auto"/>
              </w:rPr>
              <w:t>Item 1</w:t>
            </w:r>
          </w:p>
        </w:tc>
        <w:tc>
          <w:tcPr>
            <w:tcW w:w="7780" w:type="dxa"/>
            <w:vAlign w:val="bottom"/>
            <w:gridSpan w:val="16"/>
          </w:tcPr>
          <w:p>
            <w:pPr>
              <w:spacing w:after="0"/>
              <w:rPr>
                <w:sz w:val="20"/>
                <w:szCs w:val="20"/>
                <w:color w:val="auto"/>
              </w:rPr>
            </w:pPr>
            <w:r>
              <w:rPr>
                <w:rFonts w:ascii="Calibri" w:cs="Calibri" w:eastAsia="Calibri" w:hAnsi="Calibri"/>
                <w:sz w:val="18"/>
                <w:szCs w:val="18"/>
                <w:color w:val="0000FF"/>
              </w:rPr>
              <w:t>Financial Statements (unaudited)</w:t>
            </w:r>
          </w:p>
        </w:tc>
        <w:tc>
          <w:tcPr>
            <w:tcW w:w="1800" w:type="dxa"/>
            <w:vAlign w:val="bottom"/>
          </w:tcPr>
          <w:p>
            <w:pPr>
              <w:jc w:val="right"/>
              <w:spacing w:after="0"/>
              <w:rPr>
                <w:sz w:val="20"/>
                <w:szCs w:val="20"/>
                <w:color w:val="auto"/>
              </w:rPr>
            </w:pPr>
            <w:r>
              <w:rPr>
                <w:rFonts w:ascii="Calibri" w:cs="Calibri" w:eastAsia="Calibri" w:hAnsi="Calibri"/>
                <w:sz w:val="18"/>
                <w:szCs w:val="18"/>
                <w:color w:val="auto"/>
              </w:rPr>
              <w:t>F-1</w:t>
            </w:r>
          </w:p>
        </w:tc>
      </w:tr>
      <w:tr>
        <w:trPr>
          <w:trHeight w:val="250"/>
        </w:trPr>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20" w:type="dxa"/>
            <w:vAlign w:val="bottom"/>
            <w:tcBorders>
              <w:top w:val="single" w:sz="8" w:color="0000FF"/>
              <w:bottom w:val="single" w:sz="8" w:color="0000EE"/>
            </w:tcBorders>
            <w:gridSpan w:val="4"/>
          </w:tcPr>
          <w:p>
            <w:pPr>
              <w:spacing w:after="0"/>
              <w:rPr>
                <w:sz w:val="20"/>
                <w:szCs w:val="20"/>
                <w:color w:val="auto"/>
              </w:rPr>
            </w:pPr>
            <w:r>
              <w:rPr>
                <w:rFonts w:ascii="Calibri" w:cs="Calibri" w:eastAsia="Calibri" w:hAnsi="Calibri"/>
                <w:sz w:val="18"/>
                <w:szCs w:val="18"/>
                <w:color w:val="0000FF"/>
                <w:w w:val="99"/>
              </w:rPr>
              <w:t>Balance Sheets</w:t>
            </w:r>
          </w:p>
        </w:tc>
        <w:tc>
          <w:tcPr>
            <w:tcW w:w="1240" w:type="dxa"/>
            <w:vAlign w:val="bottom"/>
            <w:tcBorders>
              <w:top w:val="single" w:sz="8" w:color="0000FF"/>
            </w:tcBorders>
            <w:gridSpan w:val="6"/>
          </w:tcPr>
          <w:p>
            <w:pPr>
              <w:spacing w:after="0"/>
              <w:rPr>
                <w:sz w:val="21"/>
                <w:szCs w:val="21"/>
                <w:color w:val="auto"/>
              </w:rPr>
            </w:pPr>
          </w:p>
        </w:tc>
        <w:tc>
          <w:tcPr>
            <w:tcW w:w="5420" w:type="dxa"/>
            <w:vAlign w:val="bottom"/>
            <w:gridSpan w:val="6"/>
          </w:tcPr>
          <w:p>
            <w:pPr>
              <w:spacing w:after="0"/>
              <w:rPr>
                <w:sz w:val="21"/>
                <w:szCs w:val="21"/>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auto"/>
              </w:rPr>
              <w:t>F-1</w:t>
            </w:r>
          </w:p>
        </w:tc>
      </w:tr>
      <w:tr>
        <w:trPr>
          <w:trHeight w:val="250"/>
        </w:trPr>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680" w:type="dxa"/>
            <w:vAlign w:val="bottom"/>
            <w:tcBorders>
              <w:bottom w:val="single" w:sz="8" w:color="0000EE"/>
            </w:tcBorders>
            <w:gridSpan w:val="13"/>
          </w:tcPr>
          <w:p>
            <w:pPr>
              <w:spacing w:after="0"/>
              <w:rPr>
                <w:sz w:val="20"/>
                <w:szCs w:val="20"/>
                <w:color w:val="auto"/>
              </w:rPr>
            </w:pPr>
            <w:r>
              <w:rPr>
                <w:rFonts w:ascii="Calibri" w:cs="Calibri" w:eastAsia="Calibri" w:hAnsi="Calibri"/>
                <w:sz w:val="18"/>
                <w:szCs w:val="18"/>
                <w:color w:val="0000FF"/>
                <w:w w:val="99"/>
              </w:rPr>
              <w:t>Statements of Operatons and Comprehensive Loss</w:t>
            </w:r>
          </w:p>
        </w:tc>
        <w:tc>
          <w:tcPr>
            <w:tcW w:w="4100" w:type="dxa"/>
            <w:vAlign w:val="bottom"/>
            <w:gridSpan w:val="3"/>
          </w:tcPr>
          <w:p>
            <w:pPr>
              <w:spacing w:after="0"/>
              <w:rPr>
                <w:sz w:val="21"/>
                <w:szCs w:val="21"/>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auto"/>
              </w:rPr>
              <w:t>F-2</w:t>
            </w:r>
          </w:p>
        </w:tc>
      </w:tr>
      <w:tr>
        <w:trPr>
          <w:trHeight w:val="250"/>
        </w:trPr>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100" w:type="dxa"/>
            <w:vAlign w:val="bottom"/>
            <w:tcBorders>
              <w:bottom w:val="single" w:sz="8" w:color="0000FF"/>
            </w:tcBorders>
            <w:gridSpan w:val="12"/>
          </w:tcPr>
          <w:p>
            <w:pPr>
              <w:spacing w:after="0"/>
              <w:rPr>
                <w:sz w:val="20"/>
                <w:szCs w:val="20"/>
                <w:color w:val="auto"/>
              </w:rPr>
            </w:pPr>
            <w:r>
              <w:rPr>
                <w:rFonts w:ascii="Calibri" w:cs="Calibri" w:eastAsia="Calibri" w:hAnsi="Calibri"/>
                <w:sz w:val="18"/>
                <w:szCs w:val="18"/>
                <w:color w:val="0000FF"/>
                <w:w w:val="98"/>
              </w:rPr>
              <w:t>Statements of Stockholders’ Equity (Defcit)</w:t>
            </w:r>
          </w:p>
        </w:tc>
        <w:tc>
          <w:tcPr>
            <w:tcW w:w="4680" w:type="dxa"/>
            <w:vAlign w:val="bottom"/>
            <w:gridSpan w:val="4"/>
          </w:tcPr>
          <w:p>
            <w:pPr>
              <w:spacing w:after="0"/>
              <w:rPr>
                <w:sz w:val="21"/>
                <w:szCs w:val="21"/>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auto"/>
              </w:rPr>
              <w:t>F-3</w:t>
            </w:r>
          </w:p>
        </w:tc>
      </w:tr>
      <w:tr>
        <w:trPr>
          <w:trHeight w:val="250"/>
        </w:trPr>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780" w:type="dxa"/>
            <w:vAlign w:val="bottom"/>
            <w:gridSpan w:val="16"/>
          </w:tcPr>
          <w:p>
            <w:pPr>
              <w:spacing w:after="0"/>
              <w:rPr>
                <w:sz w:val="20"/>
                <w:szCs w:val="20"/>
                <w:color w:val="auto"/>
              </w:rPr>
            </w:pPr>
            <w:r>
              <w:rPr>
                <w:rFonts w:ascii="Calibri" w:cs="Calibri" w:eastAsia="Calibri" w:hAnsi="Calibri"/>
                <w:sz w:val="18"/>
                <w:szCs w:val="18"/>
                <w:color w:val="0000FF"/>
              </w:rPr>
              <w:t>Statements of Cash Flows</w:t>
            </w:r>
          </w:p>
        </w:tc>
        <w:tc>
          <w:tcPr>
            <w:tcW w:w="1800" w:type="dxa"/>
            <w:vAlign w:val="bottom"/>
          </w:tcPr>
          <w:p>
            <w:pPr>
              <w:jc w:val="right"/>
              <w:spacing w:after="0"/>
              <w:rPr>
                <w:sz w:val="20"/>
                <w:szCs w:val="20"/>
                <w:color w:val="auto"/>
              </w:rPr>
            </w:pPr>
            <w:r>
              <w:rPr>
                <w:rFonts w:ascii="Calibri" w:cs="Calibri" w:eastAsia="Calibri" w:hAnsi="Calibri"/>
                <w:sz w:val="18"/>
                <w:szCs w:val="18"/>
                <w:color w:val="auto"/>
              </w:rPr>
              <w:t>F-4</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780" w:type="dxa"/>
            <w:vAlign w:val="bottom"/>
            <w:gridSpan w:val="16"/>
          </w:tcPr>
          <w:p>
            <w:pPr>
              <w:spacing w:after="0"/>
              <w:rPr>
                <w:sz w:val="20"/>
                <w:szCs w:val="20"/>
                <w:color w:val="auto"/>
              </w:rPr>
            </w:pPr>
            <w:r>
              <w:rPr>
                <w:rFonts w:ascii="Calibri" w:cs="Calibri" w:eastAsia="Calibri" w:hAnsi="Calibri"/>
                <w:sz w:val="18"/>
                <w:szCs w:val="18"/>
                <w:color w:val="0000FF"/>
              </w:rPr>
              <w:t>Notes to Unaudited Financial Statements</w:t>
            </w:r>
          </w:p>
        </w:tc>
        <w:tc>
          <w:tcPr>
            <w:tcW w:w="1800" w:type="dxa"/>
            <w:vAlign w:val="bottom"/>
          </w:tcPr>
          <w:p>
            <w:pPr>
              <w:jc w:val="right"/>
              <w:spacing w:after="0"/>
              <w:rPr>
                <w:sz w:val="20"/>
                <w:szCs w:val="20"/>
                <w:color w:val="auto"/>
              </w:rPr>
            </w:pPr>
            <w:r>
              <w:rPr>
                <w:rFonts w:ascii="Calibri" w:cs="Calibri" w:eastAsia="Calibri" w:hAnsi="Calibri"/>
                <w:sz w:val="18"/>
                <w:szCs w:val="18"/>
                <w:color w:val="auto"/>
              </w:rPr>
              <w:t>F-5</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Calibri" w:cs="Calibri" w:eastAsia="Calibri" w:hAnsi="Calibri"/>
                <w:sz w:val="18"/>
                <w:szCs w:val="18"/>
                <w:color w:val="auto"/>
              </w:rPr>
              <w:t>Item 2</w:t>
            </w:r>
          </w:p>
        </w:tc>
        <w:tc>
          <w:tcPr>
            <w:tcW w:w="6240" w:type="dxa"/>
            <w:vAlign w:val="bottom"/>
            <w:tcBorders>
              <w:bottom w:val="single" w:sz="8" w:color="0000FF"/>
            </w:tcBorders>
            <w:gridSpan w:val="15"/>
          </w:tcPr>
          <w:p>
            <w:pPr>
              <w:spacing w:after="0"/>
              <w:rPr>
                <w:sz w:val="20"/>
                <w:szCs w:val="20"/>
                <w:color w:val="auto"/>
              </w:rPr>
            </w:pPr>
            <w:r>
              <w:rPr>
                <w:rFonts w:ascii="Calibri" w:cs="Calibri" w:eastAsia="Calibri" w:hAnsi="Calibri"/>
                <w:sz w:val="18"/>
                <w:szCs w:val="18"/>
                <w:color w:val="0000FF"/>
                <w:w w:val="98"/>
              </w:rPr>
              <w:t>Management’s Discussion and Analysis of Financial Conditon and Results of Operatons</w:t>
            </w:r>
          </w:p>
        </w:tc>
        <w:tc>
          <w:tcPr>
            <w:tcW w:w="15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auto"/>
              </w:rPr>
              <w:t>22</w:t>
            </w: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Calibri" w:cs="Calibri" w:eastAsia="Calibri" w:hAnsi="Calibri"/>
                <w:sz w:val="18"/>
                <w:szCs w:val="18"/>
                <w:color w:val="auto"/>
              </w:rPr>
              <w:t>Item 3</w:t>
            </w:r>
          </w:p>
        </w:tc>
        <w:tc>
          <w:tcPr>
            <w:tcW w:w="4220" w:type="dxa"/>
            <w:vAlign w:val="bottom"/>
            <w:tcBorders>
              <w:bottom w:val="single" w:sz="8" w:color="0000FF"/>
            </w:tcBorders>
            <w:gridSpan w:val="14"/>
          </w:tcPr>
          <w:p>
            <w:pPr>
              <w:spacing w:after="0"/>
              <w:rPr>
                <w:sz w:val="20"/>
                <w:szCs w:val="20"/>
                <w:color w:val="auto"/>
              </w:rPr>
            </w:pPr>
            <w:r>
              <w:rPr>
                <w:rFonts w:ascii="Calibri" w:cs="Calibri" w:eastAsia="Calibri" w:hAnsi="Calibri"/>
                <w:sz w:val="18"/>
                <w:szCs w:val="18"/>
                <w:color w:val="0000FF"/>
                <w:w w:val="99"/>
              </w:rPr>
              <w:t>Quanttatve and Qualitatve Disclosures About Market Risk</w:t>
            </w:r>
          </w:p>
        </w:tc>
        <w:tc>
          <w:tcPr>
            <w:tcW w:w="3560" w:type="dxa"/>
            <w:vAlign w:val="bottom"/>
            <w:gridSpan w:val="2"/>
          </w:tcPr>
          <w:p>
            <w:pPr>
              <w:spacing w:after="0"/>
              <w:rPr>
                <w:sz w:val="21"/>
                <w:szCs w:val="21"/>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auto"/>
              </w:rPr>
              <w:t>32</w:t>
            </w: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Calibri" w:cs="Calibri" w:eastAsia="Calibri" w:hAnsi="Calibri"/>
                <w:sz w:val="18"/>
                <w:szCs w:val="18"/>
                <w:color w:val="auto"/>
              </w:rPr>
              <w:t>Item 4</w:t>
            </w:r>
          </w:p>
        </w:tc>
        <w:tc>
          <w:tcPr>
            <w:tcW w:w="1860" w:type="dxa"/>
            <w:vAlign w:val="bottom"/>
            <w:tcBorders>
              <w:bottom w:val="single" w:sz="8" w:color="0000FF"/>
            </w:tcBorders>
            <w:gridSpan w:val="8"/>
          </w:tcPr>
          <w:p>
            <w:pPr>
              <w:spacing w:after="0"/>
              <w:rPr>
                <w:sz w:val="20"/>
                <w:szCs w:val="20"/>
                <w:color w:val="auto"/>
              </w:rPr>
            </w:pPr>
            <w:r>
              <w:rPr>
                <w:rFonts w:ascii="Calibri" w:cs="Calibri" w:eastAsia="Calibri" w:hAnsi="Calibri"/>
                <w:sz w:val="18"/>
                <w:szCs w:val="18"/>
                <w:color w:val="0000FF"/>
              </w:rPr>
              <w:t>Controls and Procedures</w:t>
            </w:r>
          </w:p>
        </w:tc>
        <w:tc>
          <w:tcPr>
            <w:tcW w:w="5920" w:type="dxa"/>
            <w:vAlign w:val="bottom"/>
            <w:gridSpan w:val="8"/>
          </w:tcPr>
          <w:p>
            <w:pPr>
              <w:spacing w:after="0"/>
              <w:rPr>
                <w:sz w:val="21"/>
                <w:szCs w:val="21"/>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auto"/>
              </w:rPr>
              <w:t>32</w:t>
            </w:r>
          </w:p>
        </w:tc>
      </w:tr>
      <w:tr>
        <w:trPr>
          <w:trHeight w:val="439"/>
        </w:trPr>
        <w:tc>
          <w:tcPr>
            <w:tcW w:w="9440" w:type="dxa"/>
            <w:vAlign w:val="bottom"/>
            <w:gridSpan w:val="18"/>
          </w:tcPr>
          <w:p>
            <w:pPr>
              <w:ind w:left="40"/>
              <w:spacing w:after="0"/>
              <w:rPr>
                <w:sz w:val="20"/>
                <w:szCs w:val="20"/>
                <w:color w:val="auto"/>
              </w:rPr>
            </w:pPr>
            <w:r>
              <w:rPr>
                <w:rFonts w:ascii="Calibri" w:cs="Calibri" w:eastAsia="Calibri" w:hAnsi="Calibri"/>
                <w:sz w:val="18"/>
                <w:szCs w:val="18"/>
                <w:b w:val="1"/>
                <w:bCs w:val="1"/>
                <w:color w:val="0000FF"/>
              </w:rPr>
              <w:t>PART II. OTHER INFORMATION</w:t>
            </w:r>
          </w:p>
        </w:tc>
        <w:tc>
          <w:tcPr>
            <w:tcW w:w="18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620" w:type="dxa"/>
            <w:vAlign w:val="bottom"/>
          </w:tcPr>
          <w:p>
            <w:pPr>
              <w:ind w:left="560"/>
              <w:spacing w:after="0"/>
              <w:rPr>
                <w:sz w:val="20"/>
                <w:szCs w:val="20"/>
                <w:color w:val="auto"/>
              </w:rPr>
            </w:pPr>
            <w:r>
              <w:rPr>
                <w:rFonts w:ascii="Calibri" w:cs="Calibri" w:eastAsia="Calibri" w:hAnsi="Calibri"/>
                <w:sz w:val="18"/>
                <w:szCs w:val="18"/>
                <w:color w:val="auto"/>
              </w:rPr>
              <w:t>Item 1</w:t>
            </w:r>
          </w:p>
        </w:tc>
        <w:tc>
          <w:tcPr>
            <w:tcW w:w="7780" w:type="dxa"/>
            <w:vAlign w:val="bottom"/>
            <w:gridSpan w:val="16"/>
          </w:tcPr>
          <w:p>
            <w:pPr>
              <w:spacing w:after="0"/>
              <w:rPr>
                <w:sz w:val="20"/>
                <w:szCs w:val="20"/>
                <w:color w:val="auto"/>
              </w:rPr>
            </w:pPr>
            <w:r>
              <w:rPr>
                <w:rFonts w:ascii="Calibri" w:cs="Calibri" w:eastAsia="Calibri" w:hAnsi="Calibri"/>
                <w:sz w:val="18"/>
                <w:szCs w:val="18"/>
                <w:color w:val="0000FF"/>
              </w:rPr>
              <w:t>Legal Proceedings</w:t>
            </w:r>
          </w:p>
        </w:tc>
        <w:tc>
          <w:tcPr>
            <w:tcW w:w="1800" w:type="dxa"/>
            <w:vAlign w:val="bottom"/>
          </w:tcPr>
          <w:p>
            <w:pPr>
              <w:jc w:val="right"/>
              <w:spacing w:after="0"/>
              <w:rPr>
                <w:sz w:val="20"/>
                <w:szCs w:val="20"/>
                <w:color w:val="auto"/>
              </w:rPr>
            </w:pPr>
            <w:r>
              <w:rPr>
                <w:rFonts w:ascii="Calibri" w:cs="Calibri" w:eastAsia="Calibri" w:hAnsi="Calibri"/>
                <w:sz w:val="18"/>
                <w:szCs w:val="18"/>
                <w:color w:val="auto"/>
              </w:rPr>
              <w:t>33</w:t>
            </w: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Calibri" w:cs="Calibri" w:eastAsia="Calibri" w:hAnsi="Calibri"/>
                <w:sz w:val="18"/>
                <w:szCs w:val="18"/>
                <w:color w:val="auto"/>
              </w:rPr>
              <w:t>Item 1A</w:t>
            </w:r>
          </w:p>
        </w:tc>
        <w:tc>
          <w:tcPr>
            <w:tcW w:w="1280" w:type="dxa"/>
            <w:vAlign w:val="bottom"/>
            <w:tcBorders>
              <w:top w:val="single" w:sz="8" w:color="0000FF"/>
            </w:tcBorders>
            <w:gridSpan w:val="5"/>
          </w:tcPr>
          <w:p>
            <w:pPr>
              <w:spacing w:after="0"/>
              <w:rPr>
                <w:sz w:val="20"/>
                <w:szCs w:val="20"/>
                <w:color w:val="auto"/>
              </w:rPr>
            </w:pPr>
            <w:r>
              <w:rPr>
                <w:rFonts w:ascii="Calibri" w:cs="Calibri" w:eastAsia="Calibri" w:hAnsi="Calibri"/>
                <w:sz w:val="18"/>
                <w:szCs w:val="18"/>
                <w:color w:val="0000FF"/>
              </w:rPr>
              <w:t>Risk Factors</w:t>
            </w:r>
          </w:p>
        </w:tc>
        <w:tc>
          <w:tcPr>
            <w:tcW w:w="6500" w:type="dxa"/>
            <w:vAlign w:val="bottom"/>
            <w:gridSpan w:val="11"/>
          </w:tcPr>
          <w:p>
            <w:pPr>
              <w:spacing w:after="0"/>
              <w:rPr>
                <w:sz w:val="21"/>
                <w:szCs w:val="21"/>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auto"/>
              </w:rPr>
              <w:t>33</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Calibri" w:cs="Calibri" w:eastAsia="Calibri" w:hAnsi="Calibri"/>
                <w:sz w:val="18"/>
                <w:szCs w:val="18"/>
                <w:color w:val="auto"/>
              </w:rPr>
              <w:t>Item 2</w:t>
            </w:r>
          </w:p>
        </w:tc>
        <w:tc>
          <w:tcPr>
            <w:tcW w:w="7780" w:type="dxa"/>
            <w:vAlign w:val="bottom"/>
            <w:gridSpan w:val="16"/>
          </w:tcPr>
          <w:p>
            <w:pPr>
              <w:spacing w:after="0"/>
              <w:rPr>
                <w:sz w:val="20"/>
                <w:szCs w:val="20"/>
                <w:color w:val="auto"/>
              </w:rPr>
            </w:pPr>
            <w:r>
              <w:rPr>
                <w:rFonts w:ascii="Calibri" w:cs="Calibri" w:eastAsia="Calibri" w:hAnsi="Calibri"/>
                <w:sz w:val="18"/>
                <w:szCs w:val="18"/>
                <w:color w:val="0000FF"/>
              </w:rPr>
              <w:t>Unregistered Sales of Equity Securites and Use of Proceeds</w:t>
            </w:r>
          </w:p>
        </w:tc>
        <w:tc>
          <w:tcPr>
            <w:tcW w:w="1800" w:type="dxa"/>
            <w:vAlign w:val="bottom"/>
          </w:tcPr>
          <w:p>
            <w:pPr>
              <w:jc w:val="right"/>
              <w:spacing w:after="0"/>
              <w:rPr>
                <w:sz w:val="20"/>
                <w:szCs w:val="20"/>
                <w:color w:val="auto"/>
              </w:rPr>
            </w:pPr>
            <w:r>
              <w:rPr>
                <w:rFonts w:ascii="Calibri" w:cs="Calibri" w:eastAsia="Calibri" w:hAnsi="Calibri"/>
                <w:sz w:val="18"/>
                <w:szCs w:val="18"/>
                <w:color w:val="auto"/>
              </w:rPr>
              <w:t>33</w:t>
            </w: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Calibri" w:cs="Calibri" w:eastAsia="Calibri" w:hAnsi="Calibri"/>
                <w:sz w:val="18"/>
                <w:szCs w:val="18"/>
                <w:color w:val="auto"/>
              </w:rPr>
              <w:t>Item 3</w:t>
            </w:r>
          </w:p>
        </w:tc>
        <w:tc>
          <w:tcPr>
            <w:tcW w:w="4220" w:type="dxa"/>
            <w:vAlign w:val="bottom"/>
            <w:tcBorders>
              <w:top w:val="single" w:sz="8" w:color="0000FF"/>
            </w:tcBorders>
            <w:gridSpan w:val="14"/>
          </w:tcPr>
          <w:p>
            <w:pPr>
              <w:spacing w:after="0"/>
              <w:rPr>
                <w:sz w:val="20"/>
                <w:szCs w:val="20"/>
                <w:color w:val="auto"/>
              </w:rPr>
            </w:pPr>
            <w:r>
              <w:rPr>
                <w:rFonts w:ascii="Calibri" w:cs="Calibri" w:eastAsia="Calibri" w:hAnsi="Calibri"/>
                <w:sz w:val="18"/>
                <w:szCs w:val="18"/>
                <w:color w:val="0000FF"/>
              </w:rPr>
              <w:t>Defaults Upon Senior Securites</w:t>
            </w:r>
          </w:p>
        </w:tc>
        <w:tc>
          <w:tcPr>
            <w:tcW w:w="3560" w:type="dxa"/>
            <w:vAlign w:val="bottom"/>
            <w:gridSpan w:val="2"/>
          </w:tcPr>
          <w:p>
            <w:pPr>
              <w:spacing w:after="0"/>
              <w:rPr>
                <w:sz w:val="21"/>
                <w:szCs w:val="21"/>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auto"/>
              </w:rPr>
              <w:t>33</w:t>
            </w: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Calibri" w:cs="Calibri" w:eastAsia="Calibri" w:hAnsi="Calibri"/>
                <w:sz w:val="18"/>
                <w:szCs w:val="18"/>
                <w:color w:val="auto"/>
              </w:rPr>
              <w:t>Item 4</w:t>
            </w:r>
          </w:p>
        </w:tc>
        <w:tc>
          <w:tcPr>
            <w:tcW w:w="1700" w:type="dxa"/>
            <w:vAlign w:val="bottom"/>
            <w:tcBorders>
              <w:top w:val="single" w:sz="8" w:color="0000FF"/>
              <w:bottom w:val="single" w:sz="8" w:color="0000FF"/>
            </w:tcBorders>
            <w:gridSpan w:val="7"/>
          </w:tcPr>
          <w:p>
            <w:pPr>
              <w:spacing w:after="0"/>
              <w:rPr>
                <w:sz w:val="20"/>
                <w:szCs w:val="20"/>
                <w:color w:val="auto"/>
              </w:rPr>
            </w:pPr>
            <w:r>
              <w:rPr>
                <w:rFonts w:ascii="Calibri" w:cs="Calibri" w:eastAsia="Calibri" w:hAnsi="Calibri"/>
                <w:sz w:val="18"/>
                <w:szCs w:val="18"/>
                <w:color w:val="0000FF"/>
                <w:w w:val="96"/>
              </w:rPr>
              <w:t>Mine Safety Disclosures</w:t>
            </w:r>
          </w:p>
        </w:tc>
        <w:tc>
          <w:tcPr>
            <w:tcW w:w="540" w:type="dxa"/>
            <w:vAlign w:val="bottom"/>
            <w:tcBorders>
              <w:top w:val="single" w:sz="8" w:color="0000FF"/>
            </w:tcBorders>
            <w:gridSpan w:val="2"/>
          </w:tcPr>
          <w:p>
            <w:pPr>
              <w:spacing w:after="0"/>
              <w:rPr>
                <w:sz w:val="21"/>
                <w:szCs w:val="21"/>
                <w:color w:val="auto"/>
              </w:rPr>
            </w:pPr>
          </w:p>
        </w:tc>
        <w:tc>
          <w:tcPr>
            <w:tcW w:w="5540" w:type="dxa"/>
            <w:vAlign w:val="bottom"/>
            <w:gridSpan w:val="7"/>
          </w:tcPr>
          <w:p>
            <w:pPr>
              <w:spacing w:after="0"/>
              <w:rPr>
                <w:sz w:val="21"/>
                <w:szCs w:val="21"/>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auto"/>
              </w:rPr>
              <w:t>33</w:t>
            </w: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Calibri" w:cs="Calibri" w:eastAsia="Calibri" w:hAnsi="Calibri"/>
                <w:sz w:val="18"/>
                <w:szCs w:val="18"/>
                <w:color w:val="auto"/>
              </w:rPr>
              <w:t>Item 5</w:t>
            </w:r>
          </w:p>
        </w:tc>
        <w:tc>
          <w:tcPr>
            <w:tcW w:w="7780" w:type="dxa"/>
            <w:vAlign w:val="bottom"/>
            <w:gridSpan w:val="16"/>
          </w:tcPr>
          <w:p>
            <w:pPr>
              <w:spacing w:after="0"/>
              <w:rPr>
                <w:sz w:val="20"/>
                <w:szCs w:val="20"/>
                <w:color w:val="auto"/>
              </w:rPr>
            </w:pPr>
            <w:r>
              <w:rPr>
                <w:rFonts w:ascii="Calibri" w:cs="Calibri" w:eastAsia="Calibri" w:hAnsi="Calibri"/>
                <w:sz w:val="18"/>
                <w:szCs w:val="18"/>
                <w:color w:val="0000FF"/>
              </w:rPr>
              <w:t>Other Informaton</w:t>
            </w:r>
          </w:p>
        </w:tc>
        <w:tc>
          <w:tcPr>
            <w:tcW w:w="1800" w:type="dxa"/>
            <w:vAlign w:val="bottom"/>
          </w:tcPr>
          <w:p>
            <w:pPr>
              <w:jc w:val="right"/>
              <w:spacing w:after="0"/>
              <w:rPr>
                <w:sz w:val="20"/>
                <w:szCs w:val="20"/>
                <w:color w:val="auto"/>
              </w:rPr>
            </w:pPr>
            <w:r>
              <w:rPr>
                <w:rFonts w:ascii="Calibri" w:cs="Calibri" w:eastAsia="Calibri" w:hAnsi="Calibri"/>
                <w:sz w:val="18"/>
                <w:szCs w:val="18"/>
                <w:color w:val="auto"/>
              </w:rPr>
              <w:t>33</w:t>
            </w:r>
          </w:p>
        </w:tc>
      </w:tr>
      <w:tr>
        <w:trPr>
          <w:trHeight w:val="250"/>
        </w:trPr>
        <w:tc>
          <w:tcPr>
            <w:tcW w:w="40" w:type="dxa"/>
            <w:vAlign w:val="bottom"/>
          </w:tcPr>
          <w:p>
            <w:pPr>
              <w:spacing w:after="0"/>
              <w:rPr>
                <w:sz w:val="21"/>
                <w:szCs w:val="21"/>
                <w:color w:val="auto"/>
              </w:rPr>
            </w:pPr>
          </w:p>
        </w:tc>
        <w:tc>
          <w:tcPr>
            <w:tcW w:w="1620" w:type="dxa"/>
            <w:vAlign w:val="bottom"/>
          </w:tcPr>
          <w:p>
            <w:pPr>
              <w:ind w:left="560"/>
              <w:spacing w:after="0"/>
              <w:rPr>
                <w:sz w:val="20"/>
                <w:szCs w:val="20"/>
                <w:color w:val="auto"/>
              </w:rPr>
            </w:pPr>
            <w:r>
              <w:rPr>
                <w:rFonts w:ascii="Calibri" w:cs="Calibri" w:eastAsia="Calibri" w:hAnsi="Calibri"/>
                <w:sz w:val="18"/>
                <w:szCs w:val="18"/>
                <w:color w:val="auto"/>
              </w:rPr>
              <w:t>Item 6</w:t>
            </w:r>
          </w:p>
        </w:tc>
        <w:tc>
          <w:tcPr>
            <w:tcW w:w="1300" w:type="dxa"/>
            <w:vAlign w:val="bottom"/>
            <w:tcBorders>
              <w:top w:val="single" w:sz="8" w:color="0000FF"/>
            </w:tcBorders>
            <w:gridSpan w:val="6"/>
          </w:tcPr>
          <w:p>
            <w:pPr>
              <w:spacing w:after="0"/>
              <w:rPr>
                <w:sz w:val="20"/>
                <w:szCs w:val="20"/>
                <w:color w:val="auto"/>
              </w:rPr>
            </w:pPr>
            <w:r>
              <w:rPr>
                <w:rFonts w:ascii="Calibri" w:cs="Calibri" w:eastAsia="Calibri" w:hAnsi="Calibri"/>
                <w:sz w:val="18"/>
                <w:szCs w:val="18"/>
                <w:color w:val="0000FF"/>
              </w:rPr>
              <w:t>Exhibits</w:t>
            </w:r>
          </w:p>
        </w:tc>
        <w:tc>
          <w:tcPr>
            <w:tcW w:w="6480" w:type="dxa"/>
            <w:vAlign w:val="bottom"/>
            <w:gridSpan w:val="10"/>
          </w:tcPr>
          <w:p>
            <w:pPr>
              <w:spacing w:after="0"/>
              <w:rPr>
                <w:sz w:val="21"/>
                <w:szCs w:val="21"/>
                <w:color w:val="auto"/>
              </w:rPr>
            </w:pPr>
          </w:p>
        </w:tc>
        <w:tc>
          <w:tcPr>
            <w:tcW w:w="1800" w:type="dxa"/>
            <w:vAlign w:val="bottom"/>
          </w:tcPr>
          <w:p>
            <w:pPr>
              <w:jc w:val="right"/>
              <w:spacing w:after="0"/>
              <w:rPr>
                <w:sz w:val="20"/>
                <w:szCs w:val="20"/>
                <w:color w:val="auto"/>
              </w:rPr>
            </w:pPr>
            <w:r>
              <w:rPr>
                <w:rFonts w:ascii="Calibri" w:cs="Calibri" w:eastAsia="Calibri" w:hAnsi="Calibri"/>
                <w:sz w:val="18"/>
                <w:szCs w:val="18"/>
                <w:color w:val="auto"/>
              </w:rPr>
              <w:t>35</w:t>
            </w:r>
          </w:p>
        </w:tc>
      </w:tr>
      <w:tr>
        <w:trPr>
          <w:trHeight w:val="20"/>
        </w:trPr>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20" w:type="dxa"/>
            <w:vAlign w:val="bottom"/>
            <w:gridSpan w:val="1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7780" w:type="dxa"/>
            <w:vAlign w:val="bottom"/>
            <w:gridSpan w:val="16"/>
          </w:tcPr>
          <w:p>
            <w:pPr>
              <w:spacing w:after="0"/>
              <w:rPr>
                <w:sz w:val="20"/>
                <w:szCs w:val="20"/>
                <w:color w:val="auto"/>
              </w:rPr>
            </w:pPr>
            <w:r>
              <w:rPr>
                <w:rFonts w:ascii="Calibri" w:cs="Calibri" w:eastAsia="Calibri" w:hAnsi="Calibri"/>
                <w:sz w:val="18"/>
                <w:szCs w:val="18"/>
                <w:color w:val="0000FF"/>
              </w:rPr>
              <w:t>Signatures</w:t>
            </w:r>
          </w:p>
        </w:tc>
        <w:tc>
          <w:tcPr>
            <w:tcW w:w="1800" w:type="dxa"/>
            <w:vAlign w:val="bottom"/>
          </w:tcPr>
          <w:p>
            <w:pPr>
              <w:jc w:val="right"/>
              <w:spacing w:after="0"/>
              <w:rPr>
                <w:sz w:val="20"/>
                <w:szCs w:val="20"/>
                <w:color w:val="auto"/>
              </w:rPr>
            </w:pPr>
            <w:r>
              <w:rPr>
                <w:rFonts w:ascii="Calibri" w:cs="Calibri" w:eastAsia="Calibri" w:hAnsi="Calibri"/>
                <w:sz w:val="18"/>
                <w:szCs w:val="18"/>
                <w:color w:val="auto"/>
              </w:rPr>
              <w:t>37</w:t>
            </w:r>
          </w:p>
        </w:tc>
      </w:tr>
      <w:tr>
        <w:trPr>
          <w:trHeight w:val="824"/>
        </w:trPr>
        <w:tc>
          <w:tcPr>
            <w:tcW w:w="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7940" w:type="dxa"/>
            <w:vAlign w:val="bottom"/>
          </w:tcPr>
          <w:p>
            <w:pPr>
              <w:jc w:val="center"/>
              <w:ind w:left="3210"/>
              <w:spacing w:after="0"/>
              <w:rPr>
                <w:sz w:val="20"/>
                <w:szCs w:val="20"/>
                <w:color w:val="auto"/>
              </w:rPr>
            </w:pPr>
            <w:r>
              <w:rPr>
                <w:rFonts w:ascii="Calibri" w:cs="Calibri" w:eastAsia="Calibri" w:hAnsi="Calibri"/>
                <w:sz w:val="18"/>
                <w:szCs w:val="18"/>
                <w:b w:val="1"/>
                <w:bCs w:val="1"/>
                <w:color w:val="auto"/>
                <w:w w:val="96"/>
              </w:rPr>
              <w:t>PART I. FINANCIAL INFORMATION</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92"/>
        </w:trPr>
        <w:tc>
          <w:tcPr>
            <w:tcW w:w="7940" w:type="dxa"/>
            <w:vAlign w:val="bottom"/>
          </w:tcPr>
          <w:p>
            <w:pPr>
              <w:spacing w:after="0"/>
              <w:rPr>
                <w:sz w:val="20"/>
                <w:szCs w:val="20"/>
                <w:color w:val="auto"/>
              </w:rPr>
            </w:pPr>
            <w:r>
              <w:rPr>
                <w:rFonts w:ascii="Calibri" w:cs="Calibri" w:eastAsia="Calibri" w:hAnsi="Calibri"/>
                <w:sz w:val="18"/>
                <w:szCs w:val="18"/>
                <w:b w:val="1"/>
                <w:bCs w:val="1"/>
                <w:color w:val="auto"/>
              </w:rPr>
              <w:t>Item 1. Financial Statements (unaudited)</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7940" w:type="dxa"/>
            <w:vAlign w:val="bottom"/>
          </w:tcPr>
          <w:p>
            <w:pPr>
              <w:jc w:val="center"/>
              <w:ind w:left="3210"/>
              <w:spacing w:after="0" w:line="216" w:lineRule="exact"/>
              <w:rPr>
                <w:sz w:val="20"/>
                <w:szCs w:val="20"/>
                <w:color w:val="auto"/>
              </w:rPr>
            </w:pPr>
            <w:r>
              <w:rPr>
                <w:rFonts w:ascii="Calibri" w:cs="Calibri" w:eastAsia="Calibri" w:hAnsi="Calibri"/>
                <w:sz w:val="18"/>
                <w:szCs w:val="18"/>
                <w:b w:val="1"/>
                <w:bCs w:val="1"/>
                <w:color w:val="auto"/>
                <w:w w:val="96"/>
              </w:rPr>
              <w:t>PHATHOM PHARMACEUTICALS, INC.</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940" w:type="dxa"/>
            <w:vAlign w:val="bottom"/>
          </w:tcPr>
          <w:p>
            <w:pPr>
              <w:jc w:val="center"/>
              <w:ind w:left="3190"/>
              <w:spacing w:after="0" w:line="216" w:lineRule="exact"/>
              <w:rPr>
                <w:sz w:val="20"/>
                <w:szCs w:val="20"/>
                <w:color w:val="auto"/>
              </w:rPr>
            </w:pPr>
            <w:r>
              <w:rPr>
                <w:rFonts w:ascii="Calibri" w:cs="Calibri" w:eastAsia="Calibri" w:hAnsi="Calibri"/>
                <w:sz w:val="18"/>
                <w:szCs w:val="18"/>
                <w:b w:val="1"/>
                <w:bCs w:val="1"/>
                <w:color w:val="auto"/>
                <w:w w:val="97"/>
              </w:rPr>
              <w:t>Balance Sheets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940" w:type="dxa"/>
            <w:vAlign w:val="bottom"/>
          </w:tcPr>
          <w:p>
            <w:pPr>
              <w:jc w:val="center"/>
              <w:ind w:left="3210"/>
              <w:spacing w:after="0" w:line="216" w:lineRule="exact"/>
              <w:rPr>
                <w:sz w:val="20"/>
                <w:szCs w:val="20"/>
                <w:color w:val="auto"/>
              </w:rPr>
            </w:pPr>
            <w:r>
              <w:rPr>
                <w:rFonts w:ascii="Calibri" w:cs="Calibri" w:eastAsia="Calibri" w:hAnsi="Calibri"/>
                <w:sz w:val="18"/>
                <w:szCs w:val="18"/>
                <w:b w:val="1"/>
                <w:bCs w:val="1"/>
                <w:color w:val="auto"/>
                <w:w w:val="97"/>
              </w:rPr>
              <w:t>(Unaudited)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940" w:type="dxa"/>
            <w:vAlign w:val="bottom"/>
          </w:tcPr>
          <w:p>
            <w:pPr>
              <w:jc w:val="center"/>
              <w:ind w:left="3210"/>
              <w:spacing w:after="0" w:line="216" w:lineRule="exact"/>
              <w:rPr>
                <w:sz w:val="20"/>
                <w:szCs w:val="20"/>
                <w:color w:val="auto"/>
              </w:rPr>
            </w:pPr>
            <w:r>
              <w:rPr>
                <w:rFonts w:ascii="Calibri" w:cs="Calibri" w:eastAsia="Calibri" w:hAnsi="Calibri"/>
                <w:sz w:val="18"/>
                <w:szCs w:val="18"/>
                <w:b w:val="1"/>
                <w:bCs w:val="1"/>
                <w:color w:val="auto"/>
                <w:w w:val="97"/>
              </w:rPr>
              <w:t>(in thousands, except share and par value amounts)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500"/>
        </w:trPr>
        <w:tc>
          <w:tcPr>
            <w:tcW w:w="7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390"/>
              <w:spacing w:after="0"/>
              <w:rPr>
                <w:sz w:val="20"/>
                <w:szCs w:val="20"/>
                <w:color w:val="auto"/>
              </w:rPr>
            </w:pPr>
            <w:r>
              <w:rPr>
                <w:rFonts w:ascii="Calibri" w:cs="Calibri" w:eastAsia="Calibri" w:hAnsi="Calibri"/>
                <w:sz w:val="18"/>
                <w:szCs w:val="18"/>
                <w:b w:val="1"/>
                <w:bCs w:val="1"/>
                <w:color w:val="auto"/>
              </w:rPr>
              <w:t>March 31,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3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7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ind w:right="590"/>
              <w:spacing w:after="0" w:line="216" w:lineRule="exact"/>
              <w:rPr>
                <w:sz w:val="20"/>
                <w:szCs w:val="20"/>
                <w:color w:val="auto"/>
              </w:rPr>
            </w:pPr>
            <w:r>
              <w:rPr>
                <w:rFonts w:ascii="Calibri" w:cs="Calibri" w:eastAsia="Calibri" w:hAnsi="Calibri"/>
                <w:sz w:val="18"/>
                <w:szCs w:val="18"/>
                <w:b w:val="1"/>
                <w:bCs w:val="1"/>
                <w:color w:val="auto"/>
              </w:rPr>
              <w:t>2023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550"/>
              <w:spacing w:after="0" w:line="216" w:lineRule="exact"/>
              <w:rPr>
                <w:sz w:val="20"/>
                <w:szCs w:val="20"/>
                <w:color w:val="auto"/>
              </w:rPr>
            </w:pPr>
            <w:r>
              <w:rPr>
                <w:rFonts w:ascii="Calibri" w:cs="Calibri" w:eastAsia="Calibri" w:hAnsi="Calibri"/>
                <w:sz w:val="18"/>
                <w:szCs w:val="18"/>
                <w:b w:val="1"/>
                <w:bCs w:val="1"/>
                <w:color w:val="auto"/>
              </w:rPr>
              <w:t>2022</w:t>
            </w:r>
          </w:p>
        </w:tc>
      </w:tr>
      <w:tr>
        <w:trPr>
          <w:trHeight w:val="37"/>
        </w:trPr>
        <w:tc>
          <w:tcPr>
            <w:tcW w:w="79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17"/>
        </w:trPr>
        <w:tc>
          <w:tcPr>
            <w:tcW w:w="79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b w:val="1"/>
                <w:bCs w:val="1"/>
                <w:color w:val="auto"/>
              </w:rPr>
              <w:t>Assets</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r>
      <w:tr>
        <w:trPr>
          <w:trHeight w:val="215"/>
        </w:trPr>
        <w:tc>
          <w:tcPr>
            <w:tcW w:w="794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8"/>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79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Cash and cash equivalents</w:t>
            </w: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3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129,574</w:t>
            </w:r>
          </w:p>
        </w:tc>
        <w:tc>
          <w:tcPr>
            <w:tcW w:w="320" w:type="dxa"/>
            <w:vAlign w:val="bottom"/>
            <w:tcBorders>
              <w:bottom w:val="single" w:sz="8" w:color="CFF0FC"/>
            </w:tcBorders>
            <w:gridSpan w:val="2"/>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155,385</w:t>
            </w:r>
          </w:p>
        </w:tc>
      </w:tr>
      <w:tr>
        <w:trPr>
          <w:trHeight w:val="215"/>
        </w:trPr>
        <w:tc>
          <w:tcPr>
            <w:tcW w:w="7940" w:type="dxa"/>
            <w:vAlign w:val="bottom"/>
          </w:tcPr>
          <w:p>
            <w:pPr>
              <w:ind w:left="20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240" w:type="dxa"/>
            <w:vAlign w:val="bottom"/>
          </w:tcPr>
          <w:p>
            <w:pPr>
              <w:spacing w:after="0"/>
              <w:rPr>
                <w:sz w:val="18"/>
                <w:szCs w:val="18"/>
                <w:color w:val="auto"/>
              </w:rPr>
            </w:pPr>
          </w:p>
        </w:tc>
        <w:tc>
          <w:tcPr>
            <w:tcW w:w="13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10,269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5,127</w:t>
            </w:r>
          </w:p>
        </w:tc>
      </w:tr>
      <w:tr>
        <w:trPr>
          <w:trHeight w:val="28"/>
        </w:trPr>
        <w:tc>
          <w:tcPr>
            <w:tcW w:w="7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6"/>
        </w:trPr>
        <w:tc>
          <w:tcPr>
            <w:tcW w:w="79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current assets</w:t>
            </w:r>
          </w:p>
        </w:tc>
        <w:tc>
          <w:tcPr>
            <w:tcW w:w="24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139,843</w:t>
            </w:r>
          </w:p>
        </w:tc>
        <w:tc>
          <w:tcPr>
            <w:tcW w:w="1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160,512</w:t>
            </w:r>
          </w:p>
        </w:tc>
      </w:tr>
      <w:tr>
        <w:trPr>
          <w:trHeight w:val="215"/>
        </w:trPr>
        <w:tc>
          <w:tcPr>
            <w:tcW w:w="7940" w:type="dxa"/>
            <w:vAlign w:val="bottom"/>
          </w:tcPr>
          <w:p>
            <w:pPr>
              <w:ind w:left="20"/>
              <w:spacing w:after="0" w:line="215" w:lineRule="exact"/>
              <w:rPr>
                <w:sz w:val="20"/>
                <w:szCs w:val="20"/>
                <w:color w:val="auto"/>
              </w:rPr>
            </w:pPr>
            <w:r>
              <w:rPr>
                <w:rFonts w:ascii="Calibri" w:cs="Calibri" w:eastAsia="Calibri" w:hAnsi="Calibri"/>
                <w:sz w:val="18"/>
                <w:szCs w:val="18"/>
                <w:color w:val="auto"/>
              </w:rPr>
              <w:t>Property, plant and equipment, net</w:t>
            </w:r>
          </w:p>
        </w:tc>
        <w:tc>
          <w:tcPr>
            <w:tcW w:w="240" w:type="dxa"/>
            <w:vAlign w:val="bottom"/>
          </w:tcPr>
          <w:p>
            <w:pPr>
              <w:spacing w:after="0"/>
              <w:rPr>
                <w:sz w:val="18"/>
                <w:szCs w:val="18"/>
                <w:color w:val="auto"/>
              </w:rPr>
            </w:pPr>
          </w:p>
        </w:tc>
        <w:tc>
          <w:tcPr>
            <w:tcW w:w="13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1,275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1,207</w:t>
            </w:r>
          </w:p>
        </w:tc>
      </w:tr>
      <w:tr>
        <w:trPr>
          <w:trHeight w:val="28"/>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79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Operatng lease right-of-use assets</w:t>
            </w:r>
          </w:p>
        </w:tc>
        <w:tc>
          <w:tcPr>
            <w:tcW w:w="2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2,088</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2,287</w:t>
            </w:r>
          </w:p>
        </w:tc>
      </w:tr>
      <w:tr>
        <w:trPr>
          <w:trHeight w:val="215"/>
        </w:trPr>
        <w:tc>
          <w:tcPr>
            <w:tcW w:w="7940" w:type="dxa"/>
            <w:vAlign w:val="bottom"/>
          </w:tcPr>
          <w:p>
            <w:pPr>
              <w:ind w:left="20"/>
              <w:spacing w:after="0" w:line="215" w:lineRule="exact"/>
              <w:rPr>
                <w:sz w:val="20"/>
                <w:szCs w:val="20"/>
                <w:color w:val="auto"/>
              </w:rPr>
            </w:pPr>
            <w:r>
              <w:rPr>
                <w:rFonts w:ascii="Calibri" w:cs="Calibri" w:eastAsia="Calibri" w:hAnsi="Calibri"/>
                <w:sz w:val="18"/>
                <w:szCs w:val="18"/>
                <w:color w:val="auto"/>
              </w:rPr>
              <w:t>Restricted cash</w:t>
            </w:r>
          </w:p>
        </w:tc>
        <w:tc>
          <w:tcPr>
            <w:tcW w:w="240" w:type="dxa"/>
            <w:vAlign w:val="bottom"/>
          </w:tcPr>
          <w:p>
            <w:pPr>
              <w:spacing w:after="0"/>
              <w:rPr>
                <w:sz w:val="18"/>
                <w:szCs w:val="18"/>
                <w:color w:val="auto"/>
              </w:rPr>
            </w:pPr>
          </w:p>
        </w:tc>
        <w:tc>
          <w:tcPr>
            <w:tcW w:w="13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505</w:t>
            </w:r>
          </w:p>
        </w:tc>
      </w:tr>
      <w:tr>
        <w:trPr>
          <w:trHeight w:val="28"/>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8"/>
        </w:trPr>
        <w:tc>
          <w:tcPr>
            <w:tcW w:w="79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long-term assets</w:t>
            </w: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299</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299</w:t>
            </w:r>
          </w:p>
        </w:tc>
      </w:tr>
      <w:tr>
        <w:trPr>
          <w:trHeight w:val="208"/>
        </w:trPr>
        <w:tc>
          <w:tcPr>
            <w:tcW w:w="794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assets</w:t>
            </w:r>
          </w:p>
        </w:tc>
        <w:tc>
          <w:tcPr>
            <w:tcW w:w="2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13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144,010</w:t>
            </w: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164,810</w:t>
            </w:r>
          </w:p>
        </w:tc>
      </w:tr>
      <w:tr>
        <w:trPr>
          <w:trHeight w:val="28"/>
        </w:trPr>
        <w:tc>
          <w:tcPr>
            <w:tcW w:w="7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7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r>
      <w:tr>
        <w:trPr>
          <w:trHeight w:val="215"/>
        </w:trPr>
        <w:tc>
          <w:tcPr>
            <w:tcW w:w="794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Liabilites and Stockholders’ Equity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8"/>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79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Current liabilites:</w:t>
            </w:r>
          </w:p>
        </w:tc>
        <w:tc>
          <w:tcPr>
            <w:tcW w:w="2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r>
      <w:tr>
        <w:trPr>
          <w:trHeight w:val="215"/>
        </w:trPr>
        <w:tc>
          <w:tcPr>
            <w:tcW w:w="7940" w:type="dxa"/>
            <w:vAlign w:val="bottom"/>
          </w:tcPr>
          <w:p>
            <w:pPr>
              <w:ind w:left="200"/>
              <w:spacing w:after="0" w:line="215" w:lineRule="exact"/>
              <w:rPr>
                <w:sz w:val="20"/>
                <w:szCs w:val="20"/>
                <w:color w:val="auto"/>
              </w:rPr>
            </w:pPr>
            <w:r>
              <w:rPr>
                <w:rFonts w:ascii="Calibri" w:cs="Calibri" w:eastAsia="Calibri" w:hAnsi="Calibri"/>
                <w:sz w:val="18"/>
                <w:szCs w:val="18"/>
                <w:color w:val="auto"/>
              </w:rPr>
              <w:t>Accounts payable (including related party amounts of $78 and $35, respectvely)</w:t>
            </w: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3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4,805</w:t>
            </w:r>
          </w:p>
        </w:tc>
        <w:tc>
          <w:tcPr>
            <w:tcW w:w="32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4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9,997</w:t>
            </w:r>
          </w:p>
        </w:tc>
      </w:tr>
      <w:tr>
        <w:trPr>
          <w:trHeight w:val="28"/>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79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Accrued expenses (including related party amounts of $2,608 and $2,499, respectvely)</w:t>
            </w:r>
          </w:p>
        </w:tc>
        <w:tc>
          <w:tcPr>
            <w:tcW w:w="2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8,015</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14,678</w:t>
            </w:r>
          </w:p>
        </w:tc>
      </w:tr>
      <w:tr>
        <w:trPr>
          <w:trHeight w:val="215"/>
        </w:trPr>
        <w:tc>
          <w:tcPr>
            <w:tcW w:w="7940" w:type="dxa"/>
            <w:vAlign w:val="bottom"/>
          </w:tcPr>
          <w:p>
            <w:pPr>
              <w:ind w:left="200"/>
              <w:spacing w:after="0" w:line="215" w:lineRule="exact"/>
              <w:rPr>
                <w:sz w:val="20"/>
                <w:szCs w:val="20"/>
                <w:color w:val="auto"/>
              </w:rPr>
            </w:pPr>
            <w:r>
              <w:rPr>
                <w:rFonts w:ascii="Calibri" w:cs="Calibri" w:eastAsia="Calibri" w:hAnsi="Calibri"/>
                <w:sz w:val="18"/>
                <w:szCs w:val="18"/>
                <w:color w:val="auto"/>
              </w:rPr>
              <w:t>Accrued interest</w:t>
            </w:r>
          </w:p>
        </w:tc>
        <w:tc>
          <w:tcPr>
            <w:tcW w:w="240" w:type="dxa"/>
            <w:vAlign w:val="bottom"/>
          </w:tcPr>
          <w:p>
            <w:pPr>
              <w:spacing w:after="0"/>
              <w:rPr>
                <w:sz w:val="18"/>
                <w:szCs w:val="18"/>
                <w:color w:val="auto"/>
              </w:rPr>
            </w:pPr>
          </w:p>
        </w:tc>
        <w:tc>
          <w:tcPr>
            <w:tcW w:w="13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911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854</w:t>
            </w:r>
          </w:p>
        </w:tc>
      </w:tr>
      <w:tr>
        <w:trPr>
          <w:trHeight w:val="28"/>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8"/>
        </w:trPr>
        <w:tc>
          <w:tcPr>
            <w:tcW w:w="79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Operatng lease liabilites, current</w:t>
            </w: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712</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708</w:t>
            </w:r>
          </w:p>
        </w:tc>
      </w:tr>
      <w:tr>
        <w:trPr>
          <w:trHeight w:val="208"/>
        </w:trPr>
        <w:tc>
          <w:tcPr>
            <w:tcW w:w="794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current liabilites</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14,443</w:t>
            </w: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26,237</w:t>
            </w:r>
          </w:p>
        </w:tc>
      </w:tr>
      <w:tr>
        <w:trPr>
          <w:trHeight w:val="28"/>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7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15"/>
        </w:trPr>
        <w:tc>
          <w:tcPr>
            <w:tcW w:w="794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debt, net of discount</w:t>
            </w:r>
          </w:p>
        </w:tc>
        <w:tc>
          <w:tcPr>
            <w:tcW w:w="240" w:type="dxa"/>
            <w:vAlign w:val="bottom"/>
          </w:tcPr>
          <w:p>
            <w:pPr>
              <w:spacing w:after="0"/>
              <w:rPr>
                <w:sz w:val="18"/>
                <w:szCs w:val="18"/>
                <w:color w:val="auto"/>
              </w:rPr>
            </w:pPr>
          </w:p>
        </w:tc>
        <w:tc>
          <w:tcPr>
            <w:tcW w:w="13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96,638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95,264</w:t>
            </w:r>
          </w:p>
        </w:tc>
      </w:tr>
      <w:tr>
        <w:trPr>
          <w:trHeight w:val="28"/>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3"/>
        </w:trPr>
        <w:tc>
          <w:tcPr>
            <w:tcW w:w="79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Revenue interest fnancing liability</w:t>
            </w:r>
          </w:p>
        </w:tc>
        <w:tc>
          <w:tcPr>
            <w:tcW w:w="2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114,679</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109,525</w:t>
            </w:r>
          </w:p>
        </w:tc>
      </w:tr>
      <w:tr>
        <w:trPr>
          <w:trHeight w:val="215"/>
        </w:trPr>
        <w:tc>
          <w:tcPr>
            <w:tcW w:w="794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lease liabilites</w:t>
            </w:r>
          </w:p>
        </w:tc>
        <w:tc>
          <w:tcPr>
            <w:tcW w:w="240" w:type="dxa"/>
            <w:vAlign w:val="bottom"/>
          </w:tcPr>
          <w:p>
            <w:pPr>
              <w:spacing w:after="0"/>
              <w:rPr>
                <w:sz w:val="18"/>
                <w:szCs w:val="18"/>
                <w:color w:val="auto"/>
              </w:rPr>
            </w:pPr>
          </w:p>
        </w:tc>
        <w:tc>
          <w:tcPr>
            <w:tcW w:w="13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945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1,098</w:t>
            </w:r>
          </w:p>
        </w:tc>
      </w:tr>
      <w:tr>
        <w:trPr>
          <w:trHeight w:val="28"/>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8"/>
        </w:trPr>
        <w:tc>
          <w:tcPr>
            <w:tcW w:w="79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Other long-term liabilites</w:t>
            </w: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7,500</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7,500</w:t>
            </w:r>
          </w:p>
        </w:tc>
      </w:tr>
      <w:tr>
        <w:trPr>
          <w:trHeight w:val="208"/>
        </w:trPr>
        <w:tc>
          <w:tcPr>
            <w:tcW w:w="794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liabilites</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234,205</w:t>
            </w: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239,624</w:t>
            </w:r>
          </w:p>
        </w:tc>
      </w:tr>
      <w:tr>
        <w:trPr>
          <w:trHeight w:val="28"/>
        </w:trPr>
        <w:tc>
          <w:tcPr>
            <w:tcW w:w="7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6"/>
        </w:trPr>
        <w:tc>
          <w:tcPr>
            <w:tcW w:w="7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r>
      <w:tr>
        <w:trPr>
          <w:trHeight w:val="215"/>
        </w:trPr>
        <w:tc>
          <w:tcPr>
            <w:tcW w:w="7940" w:type="dxa"/>
            <w:vAlign w:val="bottom"/>
          </w:tcPr>
          <w:p>
            <w:pPr>
              <w:ind w:left="20"/>
              <w:spacing w:after="0" w:line="215" w:lineRule="exact"/>
              <w:rPr>
                <w:sz w:val="20"/>
                <w:szCs w:val="20"/>
                <w:color w:val="auto"/>
              </w:rPr>
            </w:pPr>
            <w:r>
              <w:rPr>
                <w:rFonts w:ascii="Calibri" w:cs="Calibri" w:eastAsia="Calibri" w:hAnsi="Calibri"/>
                <w:sz w:val="18"/>
                <w:szCs w:val="18"/>
                <w:color w:val="auto"/>
              </w:rPr>
              <w:t>Commitments and contngencies (Note 4)</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8"/>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7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r>
      <w:tr>
        <w:trPr>
          <w:trHeight w:val="215"/>
        </w:trPr>
        <w:tc>
          <w:tcPr>
            <w:tcW w:w="7940" w:type="dxa"/>
            <w:vAlign w:val="bottom"/>
          </w:tcPr>
          <w:p>
            <w:pPr>
              <w:ind w:left="20"/>
              <w:spacing w:after="0" w:line="215" w:lineRule="exact"/>
              <w:rPr>
                <w:sz w:val="20"/>
                <w:szCs w:val="20"/>
                <w:color w:val="auto"/>
              </w:rPr>
            </w:pPr>
            <w:r>
              <w:rPr>
                <w:rFonts w:ascii="Calibri" w:cs="Calibri" w:eastAsia="Calibri" w:hAnsi="Calibri"/>
                <w:sz w:val="18"/>
                <w:szCs w:val="18"/>
                <w:color w:val="auto"/>
              </w:rPr>
              <w:t>Stockholders’ equity:</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8"/>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7"/>
        </w:trPr>
        <w:tc>
          <w:tcPr>
            <w:tcW w:w="7940" w:type="dxa"/>
            <w:vAlign w:val="bottom"/>
            <w:shd w:val="clear" w:color="auto" w:fill="CFF0FC"/>
          </w:tcPr>
          <w:p>
            <w:pPr>
              <w:ind w:left="200"/>
              <w:spacing w:after="0" w:line="207" w:lineRule="exact"/>
              <w:rPr>
                <w:sz w:val="20"/>
                <w:szCs w:val="20"/>
                <w:color w:val="auto"/>
              </w:rPr>
            </w:pPr>
            <w:r>
              <w:rPr>
                <w:rFonts w:ascii="Calibri" w:cs="Calibri" w:eastAsia="Calibri" w:hAnsi="Calibri"/>
                <w:sz w:val="18"/>
                <w:szCs w:val="18"/>
                <w:color w:val="auto"/>
                <w:w w:val="99"/>
              </w:rPr>
              <w:t>Preferred stock, $0.0001 par value; authorized shares — 40,000,000 at March 31, 2023 and December 31,</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r>
      <w:tr>
        <w:trPr>
          <w:trHeight w:val="232"/>
        </w:trPr>
        <w:tc>
          <w:tcPr>
            <w:tcW w:w="79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2022; no shares issued and outstanding at March 31, 2023 and December 31, 2022</w:t>
            </w:r>
          </w:p>
        </w:tc>
        <w:tc>
          <w:tcPr>
            <w:tcW w:w="2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07"/>
        </w:trPr>
        <w:tc>
          <w:tcPr>
            <w:tcW w:w="7940" w:type="dxa"/>
            <w:vAlign w:val="bottom"/>
          </w:tcPr>
          <w:p>
            <w:pPr>
              <w:ind w:left="200"/>
              <w:spacing w:after="0" w:line="207" w:lineRule="exact"/>
              <w:rPr>
                <w:sz w:val="20"/>
                <w:szCs w:val="20"/>
                <w:color w:val="auto"/>
              </w:rPr>
            </w:pPr>
            <w:r>
              <w:rPr>
                <w:rFonts w:ascii="Calibri" w:cs="Calibri" w:eastAsia="Calibri" w:hAnsi="Calibri"/>
                <w:sz w:val="18"/>
                <w:szCs w:val="18"/>
                <w:color w:val="auto"/>
              </w:rPr>
              <w:t>Common stock, $0.0001 par value; authorized shares — 400,000,000 at March 31, 2023 and December</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5"/>
        </w:trPr>
        <w:tc>
          <w:tcPr>
            <w:tcW w:w="7940" w:type="dxa"/>
            <w:vAlign w:val="bottom"/>
          </w:tcPr>
          <w:p>
            <w:pPr>
              <w:ind w:left="200"/>
              <w:spacing w:after="0" w:line="215" w:lineRule="exact"/>
              <w:rPr>
                <w:sz w:val="20"/>
                <w:szCs w:val="20"/>
                <w:color w:val="auto"/>
              </w:rPr>
            </w:pPr>
            <w:r>
              <w:rPr>
                <w:rFonts w:ascii="Calibri" w:cs="Calibri" w:eastAsia="Calibri" w:hAnsi="Calibri"/>
                <w:sz w:val="18"/>
                <w:szCs w:val="18"/>
                <w:color w:val="auto"/>
              </w:rPr>
              <w:t>31, 2022; issued shares — 43,602,984 and 41,723,308 at March 31, 2023 and December 31, 2022,</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940" w:type="dxa"/>
            <w:vAlign w:val="bottom"/>
          </w:tcPr>
          <w:p>
            <w:pPr>
              <w:ind w:left="200"/>
              <w:spacing w:after="0" w:line="216" w:lineRule="exact"/>
              <w:rPr>
                <w:sz w:val="20"/>
                <w:szCs w:val="20"/>
                <w:color w:val="auto"/>
              </w:rPr>
            </w:pPr>
            <w:r>
              <w:rPr>
                <w:rFonts w:ascii="Calibri" w:cs="Calibri" w:eastAsia="Calibri" w:hAnsi="Calibri"/>
                <w:sz w:val="18"/>
                <w:szCs w:val="18"/>
                <w:color w:val="auto"/>
              </w:rPr>
              <w:t>respectvely; outstanding shares — 43,571,140 and 41,468,871 at March 31, 2023 and December 31,</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7940" w:type="dxa"/>
            <w:vAlign w:val="bottom"/>
          </w:tcPr>
          <w:p>
            <w:pPr>
              <w:ind w:left="200"/>
              <w:spacing w:after="0" w:line="216" w:lineRule="exact"/>
              <w:rPr>
                <w:sz w:val="20"/>
                <w:szCs w:val="20"/>
                <w:color w:val="auto"/>
              </w:rPr>
            </w:pPr>
            <w:r>
              <w:rPr>
                <w:rFonts w:ascii="Calibri" w:cs="Calibri" w:eastAsia="Calibri" w:hAnsi="Calibri"/>
                <w:sz w:val="18"/>
                <w:szCs w:val="18"/>
                <w:color w:val="auto"/>
              </w:rPr>
              <w:t>2022, respectvely</w:t>
            </w:r>
          </w:p>
        </w:tc>
        <w:tc>
          <w:tcPr>
            <w:tcW w:w="240" w:type="dxa"/>
            <w:vAlign w:val="bottom"/>
          </w:tcPr>
          <w:p>
            <w:pPr>
              <w:spacing w:after="0"/>
              <w:rPr>
                <w:sz w:val="18"/>
                <w:szCs w:val="18"/>
                <w:color w:val="auto"/>
              </w:rPr>
            </w:pPr>
          </w:p>
        </w:tc>
        <w:tc>
          <w:tcPr>
            <w:tcW w:w="134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3</w:t>
            </w:r>
          </w:p>
        </w:tc>
      </w:tr>
      <w:tr>
        <w:trPr>
          <w:trHeight w:val="37"/>
        </w:trPr>
        <w:tc>
          <w:tcPr>
            <w:tcW w:w="7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23"/>
        </w:trPr>
        <w:tc>
          <w:tcPr>
            <w:tcW w:w="79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Treasury stock — 19 shares at March 31, 2023 and December 31, 2022, respectvely</w:t>
            </w:r>
          </w:p>
        </w:tc>
        <w:tc>
          <w:tcPr>
            <w:tcW w:w="240" w:type="dxa"/>
            <w:vAlign w:val="bottom"/>
            <w:tcBorders>
              <w:bottom w:val="single" w:sz="8" w:color="CFF0FC"/>
            </w:tcBorders>
            <w:shd w:val="clear" w:color="auto" w:fill="CFF0FC"/>
          </w:tcPr>
          <w:p>
            <w:pPr>
              <w:spacing w:after="0"/>
              <w:rPr>
                <w:sz w:val="19"/>
                <w:szCs w:val="19"/>
                <w:color w:val="auto"/>
              </w:rPr>
            </w:pPr>
          </w:p>
        </w:tc>
        <w:tc>
          <w:tcPr>
            <w:tcW w:w="13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940" w:type="dxa"/>
            <w:vAlign w:val="bottom"/>
          </w:tcPr>
          <w:p>
            <w:pPr>
              <w:ind w:left="200"/>
              <w:spacing w:after="0" w:line="215" w:lineRule="exact"/>
              <w:rPr>
                <w:sz w:val="20"/>
                <w:szCs w:val="20"/>
                <w:color w:val="auto"/>
              </w:rPr>
            </w:pPr>
            <w:r>
              <w:rPr>
                <w:rFonts w:ascii="Calibri" w:cs="Calibri" w:eastAsia="Calibri" w:hAnsi="Calibri"/>
                <w:sz w:val="18"/>
                <w:szCs w:val="18"/>
                <w:color w:val="auto"/>
              </w:rPr>
              <w:t>Additonal paid-in capital</w:t>
            </w:r>
          </w:p>
        </w:tc>
        <w:tc>
          <w:tcPr>
            <w:tcW w:w="240" w:type="dxa"/>
            <w:vAlign w:val="bottom"/>
          </w:tcPr>
          <w:p>
            <w:pPr>
              <w:spacing w:after="0"/>
              <w:rPr>
                <w:sz w:val="18"/>
                <w:szCs w:val="18"/>
                <w:color w:val="auto"/>
              </w:rPr>
            </w:pPr>
          </w:p>
        </w:tc>
        <w:tc>
          <w:tcPr>
            <w:tcW w:w="13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674,708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652,276</w:t>
            </w:r>
          </w:p>
        </w:tc>
      </w:tr>
      <w:tr>
        <w:trPr>
          <w:trHeight w:val="28"/>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8"/>
        </w:trPr>
        <w:tc>
          <w:tcPr>
            <w:tcW w:w="794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Accumulated defcit</w:t>
            </w:r>
          </w:p>
        </w:tc>
        <w:tc>
          <w:tcPr>
            <w:tcW w:w="2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(764,907 )</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(727,093 )</w:t>
            </w:r>
          </w:p>
        </w:tc>
      </w:tr>
      <w:tr>
        <w:trPr>
          <w:trHeight w:val="208"/>
        </w:trPr>
        <w:tc>
          <w:tcPr>
            <w:tcW w:w="794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stockholders’ (defcit) equity</w:t>
            </w: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(90,195 )</w:t>
            </w:r>
          </w:p>
        </w:tc>
        <w:tc>
          <w:tcPr>
            <w:tcW w:w="1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(74,814 )</w:t>
            </w:r>
          </w:p>
        </w:tc>
      </w:tr>
      <w:tr>
        <w:trPr>
          <w:trHeight w:val="28"/>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400" w:type="dxa"/>
            <w:vAlign w:val="bottom"/>
          </w:tcPr>
          <w:p>
            <w:pPr>
              <w:spacing w:after="0"/>
              <w:rPr>
                <w:sz w:val="2"/>
                <w:szCs w:val="2"/>
                <w:color w:val="auto"/>
              </w:rPr>
            </w:pPr>
          </w:p>
        </w:tc>
      </w:tr>
      <w:tr>
        <w:trPr>
          <w:trHeight w:val="261"/>
        </w:trPr>
        <w:tc>
          <w:tcPr>
            <w:tcW w:w="79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Total liabilites and stockholders’ equity</w:t>
            </w:r>
          </w:p>
        </w:tc>
        <w:tc>
          <w:tcPr>
            <w:tcW w:w="240" w:type="dxa"/>
            <w:vAlign w:val="bottom"/>
            <w:tcBorders>
              <w:top w:val="single" w:sz="8" w:color="auto"/>
              <w:bottom w:val="single" w:sz="8" w:color="CFF0FC"/>
            </w:tcBorders>
            <w:shd w:val="clear" w:color="auto" w:fill="CFF0FC"/>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1340" w:type="dxa"/>
            <w:vAlign w:val="bottom"/>
            <w:tcBorders>
              <w:top w:val="single" w:sz="8" w:color="auto"/>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144,010</w:t>
            </w:r>
          </w:p>
        </w:tc>
        <w:tc>
          <w:tcPr>
            <w:tcW w:w="1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1400" w:type="dxa"/>
            <w:vAlign w:val="bottom"/>
            <w:tcBorders>
              <w:top w:val="single" w:sz="8" w:color="auto"/>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rPr>
              <w:t>164,810</w:t>
            </w:r>
          </w:p>
        </w:tc>
      </w:tr>
      <w:tr>
        <w:trPr>
          <w:trHeight w:val="20"/>
        </w:trPr>
        <w:tc>
          <w:tcPr>
            <w:tcW w:w="7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-4662805</wp:posOffset>
            </wp:positionV>
            <wp:extent cx="111125"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-3394075</wp:posOffset>
            </wp:positionV>
            <wp:extent cx="11112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1631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-2459355</wp:posOffset>
            </wp:positionV>
            <wp:extent cx="1111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-351155</wp:posOffset>
            </wp:positionV>
            <wp:extent cx="11112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-25400</wp:posOffset>
            </wp:positionV>
            <wp:extent cx="1111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111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See accompanying notes.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 w:name="page4"/>
    <w:bookmarkEnd w:id="3"/>
    <w:p>
      <w:pPr>
        <w:jc w:val="center"/>
        <w:ind w:right="40"/>
        <w:spacing w:after="0"/>
        <w:rPr>
          <w:sz w:val="20"/>
          <w:szCs w:val="20"/>
          <w:color w:val="auto"/>
        </w:rPr>
      </w:pPr>
      <w:r>
        <w:rPr>
          <w:rFonts w:ascii="Calibri" w:cs="Calibri" w:eastAsia="Calibri" w:hAnsi="Calibri"/>
          <w:sz w:val="18"/>
          <w:szCs w:val="18"/>
          <w:b w:val="1"/>
          <w:bCs w:val="1"/>
          <w:color w:val="auto"/>
        </w:rPr>
        <w:t>PHATHOM PHARMACEUTICALS, INC.</w:t>
      </w:r>
    </w:p>
    <w:p>
      <w:pPr>
        <w:jc w:val="center"/>
        <w:ind w:right="40"/>
        <w:spacing w:after="0" w:line="235" w:lineRule="auto"/>
        <w:rPr>
          <w:sz w:val="20"/>
          <w:szCs w:val="20"/>
          <w:color w:val="auto"/>
        </w:rPr>
      </w:pPr>
      <w:r>
        <w:rPr>
          <w:rFonts w:ascii="Calibri" w:cs="Calibri" w:eastAsia="Calibri" w:hAnsi="Calibri"/>
          <w:sz w:val="18"/>
          <w:szCs w:val="18"/>
          <w:b w:val="1"/>
          <w:bCs w:val="1"/>
          <w:color w:val="auto"/>
        </w:rPr>
        <w:t>Statements of Operatons and Comprehensive Loss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 and per share amounts)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gridSpan w:val="4"/>
          </w:tcPr>
          <w:p>
            <w:pPr>
              <w:jc w:val="right"/>
              <w:ind w:right="970"/>
              <w:spacing w:after="0"/>
              <w:rPr>
                <w:sz w:val="20"/>
                <w:szCs w:val="20"/>
                <w:color w:val="auto"/>
              </w:rPr>
            </w:pPr>
            <w:r>
              <w:rPr>
                <w:rFonts w:ascii="Calibri" w:cs="Calibri" w:eastAsia="Calibri" w:hAnsi="Calibri"/>
                <w:sz w:val="18"/>
                <w:szCs w:val="18"/>
                <w:b w:val="1"/>
                <w:bCs w:val="1"/>
                <w:color w:val="auto"/>
              </w:rPr>
              <w:t>Three Months Ended</w:t>
            </w:r>
          </w:p>
        </w:tc>
      </w:tr>
      <w:tr>
        <w:trPr>
          <w:trHeight w:val="216"/>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00" w:type="dxa"/>
            <w:vAlign w:val="bottom"/>
            <w:gridSpan w:val="3"/>
          </w:tcPr>
          <w:p>
            <w:pPr>
              <w:jc w:val="right"/>
              <w:ind w:right="90"/>
              <w:spacing w:after="0" w:line="216" w:lineRule="exact"/>
              <w:rPr>
                <w:sz w:val="20"/>
                <w:szCs w:val="20"/>
                <w:color w:val="auto"/>
              </w:rPr>
            </w:pPr>
            <w:r>
              <w:rPr>
                <w:rFonts w:ascii="Calibri" w:cs="Calibri" w:eastAsia="Calibri" w:hAnsi="Calibri"/>
                <w:sz w:val="18"/>
                <w:szCs w:val="18"/>
                <w:b w:val="1"/>
                <w:bCs w:val="1"/>
                <w:color w:val="auto"/>
              </w:rPr>
              <w:t>March 31,</w:t>
            </w:r>
          </w:p>
        </w:tc>
        <w:tc>
          <w:tcPr>
            <w:tcW w:w="1260" w:type="dxa"/>
            <w:vAlign w:val="bottom"/>
          </w:tcPr>
          <w:p>
            <w:pPr>
              <w:spacing w:after="0"/>
              <w:rPr>
                <w:sz w:val="18"/>
                <w:szCs w:val="18"/>
                <w:color w:val="auto"/>
              </w:rPr>
            </w:pPr>
          </w:p>
        </w:tc>
      </w:tr>
      <w:tr>
        <w:trPr>
          <w:trHeight w:val="37"/>
        </w:trPr>
        <w:tc>
          <w:tcPr>
            <w:tcW w:w="77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208"/>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630"/>
              <w:spacing w:after="0" w:line="208" w:lineRule="exact"/>
              <w:rPr>
                <w:sz w:val="20"/>
                <w:szCs w:val="20"/>
                <w:color w:val="auto"/>
              </w:rPr>
            </w:pPr>
            <w:r>
              <w:rPr>
                <w:rFonts w:ascii="Calibri" w:cs="Calibri" w:eastAsia="Calibri" w:hAnsi="Calibri"/>
                <w:sz w:val="18"/>
                <w:szCs w:val="18"/>
                <w:b w:val="1"/>
                <w:bCs w:val="1"/>
                <w:color w:val="auto"/>
              </w:rPr>
              <w:t>2023</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610"/>
              <w:spacing w:after="0" w:line="208" w:lineRule="exact"/>
              <w:rPr>
                <w:sz w:val="20"/>
                <w:szCs w:val="20"/>
                <w:color w:val="auto"/>
              </w:rPr>
            </w:pPr>
            <w:r>
              <w:rPr>
                <w:rFonts w:ascii="Calibri" w:cs="Calibri" w:eastAsia="Calibri" w:hAnsi="Calibri"/>
                <w:sz w:val="18"/>
                <w:szCs w:val="18"/>
                <w:b w:val="1"/>
                <w:bCs w:val="1"/>
                <w:color w:val="auto"/>
              </w:rPr>
              <w:t>2022</w:t>
            </w:r>
          </w:p>
        </w:tc>
      </w:tr>
      <w:tr>
        <w:trPr>
          <w:trHeight w:val="28"/>
        </w:trPr>
        <w:tc>
          <w:tcPr>
            <w:tcW w:w="7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77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Operatng expenses:</w:t>
            </w:r>
          </w:p>
        </w:tc>
        <w:tc>
          <w:tcPr>
            <w:tcW w:w="3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spacing w:after="0"/>
              <w:rPr>
                <w:sz w:val="18"/>
                <w:szCs w:val="18"/>
                <w:color w:val="auto"/>
              </w:rPr>
            </w:pP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Research and development (includes related party amounts of $175 and $1,430, respectvely)</w:t>
            </w:r>
          </w:p>
        </w:tc>
        <w:tc>
          <w:tcPr>
            <w:tcW w:w="360" w:type="dxa"/>
            <w:vAlign w:val="bottom"/>
          </w:tcPr>
          <w:p>
            <w:pPr>
              <w:jc w:val="right"/>
              <w:ind w:right="170"/>
              <w:spacing w:after="0" w:line="215" w:lineRule="exact"/>
              <w:rPr>
                <w:sz w:val="20"/>
                <w:szCs w:val="20"/>
                <w:color w:val="auto"/>
              </w:rPr>
            </w:pPr>
            <w:r>
              <w:rPr>
                <w:rFonts w:ascii="Calibri" w:cs="Calibri" w:eastAsia="Calibri" w:hAnsi="Calibri"/>
                <w:sz w:val="18"/>
                <w:szCs w:val="18"/>
                <w:color w:val="auto"/>
                <w:w w:val="87"/>
              </w:rPr>
              <w:t>$</w:t>
            </w: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11,479</w:t>
            </w:r>
          </w:p>
        </w:tc>
        <w:tc>
          <w:tcPr>
            <w:tcW w:w="580" w:type="dxa"/>
            <w:vAlign w:val="bottom"/>
            <w:gridSpan w:val="2"/>
          </w:tcPr>
          <w:p>
            <w:pPr>
              <w:jc w:val="right"/>
              <w:ind w:right="210"/>
              <w:spacing w:after="0" w:line="215" w:lineRule="exact"/>
              <w:rPr>
                <w:sz w:val="20"/>
                <w:szCs w:val="20"/>
                <w:color w:val="auto"/>
              </w:rPr>
            </w:pPr>
            <w:r>
              <w:rPr>
                <w:rFonts w:ascii="Calibri" w:cs="Calibri" w:eastAsia="Calibri" w:hAnsi="Calibri"/>
                <w:sz w:val="18"/>
                <w:szCs w:val="18"/>
                <w:color w:val="auto"/>
              </w:rPr>
              <w:t>$</w:t>
            </w:r>
          </w:p>
        </w:tc>
        <w:tc>
          <w:tcPr>
            <w:tcW w:w="12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17,660</w:t>
            </w:r>
          </w:p>
        </w:tc>
      </w:tr>
      <w:tr>
        <w:trPr>
          <w:trHeight w:val="28"/>
        </w:trPr>
        <w:tc>
          <w:tcPr>
            <w:tcW w:w="7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8"/>
        </w:trPr>
        <w:tc>
          <w:tcPr>
            <w:tcW w:w="77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General and administratve (includes related party amounts of $3 and $0, respectvely)</w:t>
            </w:r>
          </w:p>
        </w:tc>
        <w:tc>
          <w:tcPr>
            <w:tcW w:w="3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18,598</w:t>
            </w: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20,246</w:t>
            </w:r>
          </w:p>
        </w:tc>
      </w:tr>
      <w:tr>
        <w:trPr>
          <w:trHeight w:val="208"/>
        </w:trPr>
        <w:tc>
          <w:tcPr>
            <w:tcW w:w="77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operatng expenses</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30,077</w:t>
            </w:r>
          </w:p>
        </w:tc>
        <w:tc>
          <w:tcPr>
            <w:tcW w:w="18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rPr>
              <w:t>37,906</w:t>
            </w:r>
          </w:p>
        </w:tc>
      </w:tr>
      <w:tr>
        <w:trPr>
          <w:trHeight w:val="28"/>
        </w:trPr>
        <w:tc>
          <w:tcPr>
            <w:tcW w:w="7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6"/>
        </w:trPr>
        <w:tc>
          <w:tcPr>
            <w:tcW w:w="7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8"/>
        </w:trPr>
        <w:tc>
          <w:tcPr>
            <w:tcW w:w="772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Loss from operatons</w:t>
            </w:r>
          </w:p>
        </w:tc>
        <w:tc>
          <w:tcPr>
            <w:tcW w:w="3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(30,077 )</w:t>
            </w: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(37,906 )</w:t>
            </w:r>
          </w:p>
        </w:tc>
      </w:tr>
      <w:tr>
        <w:trPr>
          <w:trHeight w:val="443"/>
        </w:trPr>
        <w:tc>
          <w:tcPr>
            <w:tcW w:w="7720" w:type="dxa"/>
            <w:vAlign w:val="bottom"/>
            <w:tcBorders>
              <w:top w:val="single" w:sz="8" w:color="CFF0FC"/>
            </w:tcBorders>
          </w:tcPr>
          <w:p>
            <w:pPr>
              <w:ind w:left="20"/>
              <w:spacing w:after="0"/>
              <w:rPr>
                <w:sz w:val="20"/>
                <w:szCs w:val="20"/>
                <w:color w:val="auto"/>
              </w:rPr>
            </w:pPr>
            <w:r>
              <w:rPr>
                <w:rFonts w:ascii="Calibri" w:cs="Calibri" w:eastAsia="Calibri" w:hAnsi="Calibri"/>
                <w:sz w:val="18"/>
                <w:szCs w:val="18"/>
                <w:color w:val="auto"/>
              </w:rPr>
              <w:t>Other income (expense):</w:t>
            </w:r>
          </w:p>
        </w:tc>
        <w:tc>
          <w:tcPr>
            <w:tcW w:w="3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37"/>
        </w:trPr>
        <w:tc>
          <w:tcPr>
            <w:tcW w:w="7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23"/>
        </w:trPr>
        <w:tc>
          <w:tcPr>
            <w:tcW w:w="77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Interest income</w:t>
            </w:r>
          </w:p>
        </w:tc>
        <w:tc>
          <w:tcPr>
            <w:tcW w:w="36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1,460</w:t>
            </w:r>
          </w:p>
        </w:tc>
        <w:tc>
          <w:tcPr>
            <w:tcW w:w="1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7</w:t>
            </w:r>
          </w:p>
        </w:tc>
      </w:tr>
      <w:tr>
        <w:trPr>
          <w:trHeight w:val="215"/>
        </w:trPr>
        <w:tc>
          <w:tcPr>
            <w:tcW w:w="7720" w:type="dxa"/>
            <w:vAlign w:val="bottom"/>
          </w:tcPr>
          <w:p>
            <w:pPr>
              <w:ind w:left="200"/>
              <w:spacing w:after="0" w:line="215" w:lineRule="exact"/>
              <w:rPr>
                <w:sz w:val="20"/>
                <w:szCs w:val="20"/>
                <w:color w:val="auto"/>
              </w:rPr>
            </w:pPr>
            <w:r>
              <w:rPr>
                <w:rFonts w:ascii="Calibri" w:cs="Calibri" w:eastAsia="Calibri" w:hAnsi="Calibri"/>
                <w:sz w:val="18"/>
                <w:szCs w:val="18"/>
                <w:color w:val="auto"/>
              </w:rPr>
              <w:t>Interest expense</w:t>
            </w:r>
          </w:p>
        </w:tc>
        <w:tc>
          <w:tcPr>
            <w:tcW w:w="360" w:type="dxa"/>
            <w:vAlign w:val="bottom"/>
          </w:tcPr>
          <w:p>
            <w:pPr>
              <w:spacing w:after="0"/>
              <w:rPr>
                <w:sz w:val="18"/>
                <w:szCs w:val="18"/>
                <w:color w:val="auto"/>
              </w:rPr>
            </w:pPr>
          </w:p>
        </w:tc>
        <w:tc>
          <w:tcPr>
            <w:tcW w:w="1320" w:type="dxa"/>
            <w:vAlign w:val="bottom"/>
          </w:tcPr>
          <w:p>
            <w:pPr>
              <w:jc w:val="right"/>
              <w:spacing w:after="0" w:line="215" w:lineRule="exact"/>
              <w:rPr>
                <w:sz w:val="20"/>
                <w:szCs w:val="20"/>
                <w:color w:val="auto"/>
              </w:rPr>
            </w:pPr>
            <w:r>
              <w:rPr>
                <w:rFonts w:ascii="Calibri" w:cs="Calibri" w:eastAsia="Calibri" w:hAnsi="Calibri"/>
                <w:sz w:val="18"/>
                <w:szCs w:val="18"/>
                <w:color w:val="auto"/>
              </w:rPr>
              <w:t>(9,217 )</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line="215" w:lineRule="exact"/>
              <w:rPr>
                <w:sz w:val="20"/>
                <w:szCs w:val="20"/>
                <w:color w:val="auto"/>
              </w:rPr>
            </w:pPr>
            <w:r>
              <w:rPr>
                <w:rFonts w:ascii="Calibri" w:cs="Calibri" w:eastAsia="Calibri" w:hAnsi="Calibri"/>
                <w:sz w:val="18"/>
                <w:szCs w:val="18"/>
                <w:color w:val="auto"/>
              </w:rPr>
              <w:t>(2,759 )</w:t>
            </w:r>
          </w:p>
        </w:tc>
      </w:tr>
      <w:tr>
        <w:trPr>
          <w:trHeight w:val="28"/>
        </w:trPr>
        <w:tc>
          <w:tcPr>
            <w:tcW w:w="7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8"/>
        </w:trPr>
        <w:tc>
          <w:tcPr>
            <w:tcW w:w="77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Other income (expense)</w:t>
            </w:r>
          </w:p>
        </w:tc>
        <w:tc>
          <w:tcPr>
            <w:tcW w:w="3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20</w:t>
            </w: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(7 )</w:t>
            </w:r>
          </w:p>
        </w:tc>
      </w:tr>
      <w:tr>
        <w:trPr>
          <w:trHeight w:val="208"/>
        </w:trPr>
        <w:tc>
          <w:tcPr>
            <w:tcW w:w="77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Total other expense</w:t>
            </w:r>
          </w:p>
        </w:tc>
        <w:tc>
          <w:tcPr>
            <w:tcW w:w="3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(7,737 )</w:t>
            </w:r>
          </w:p>
        </w:tc>
        <w:tc>
          <w:tcPr>
            <w:tcW w:w="180" w:type="dxa"/>
            <w:vAlign w:val="bottom"/>
            <w:tcBorders>
              <w:top w:val="single" w:sz="8" w:color="CFF0F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(2,759 )</w:t>
            </w:r>
          </w:p>
        </w:tc>
      </w:tr>
      <w:tr>
        <w:trPr>
          <w:trHeight w:val="28"/>
        </w:trPr>
        <w:tc>
          <w:tcPr>
            <w:tcW w:w="7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r>
      <w:tr>
        <w:trPr>
          <w:trHeight w:val="281"/>
        </w:trPr>
        <w:tc>
          <w:tcPr>
            <w:tcW w:w="77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loss and comprehensive loss</w:t>
            </w:r>
          </w:p>
        </w:tc>
        <w:tc>
          <w:tcPr>
            <w:tcW w:w="360" w:type="dxa"/>
            <w:vAlign w:val="bottom"/>
            <w:tcBorders>
              <w:top w:val="single" w:sz="8" w:color="auto"/>
              <w:bottom w:val="single" w:sz="8" w:color="CFF0FC"/>
            </w:tcBorders>
            <w:shd w:val="clear" w:color="auto" w:fill="CFF0FC"/>
          </w:tcPr>
          <w:p>
            <w:pPr>
              <w:jc w:val="right"/>
              <w:ind w:right="170"/>
              <w:spacing w:after="0" w:line="208" w:lineRule="exact"/>
              <w:rPr>
                <w:sz w:val="20"/>
                <w:szCs w:val="20"/>
                <w:color w:val="auto"/>
              </w:rPr>
            </w:pPr>
            <w:r>
              <w:rPr>
                <w:rFonts w:ascii="Calibri" w:cs="Calibri" w:eastAsia="Calibri" w:hAnsi="Calibri"/>
                <w:sz w:val="18"/>
                <w:szCs w:val="18"/>
                <w:color w:val="auto"/>
                <w:w w:val="87"/>
              </w:rPr>
              <w:t>$</w:t>
            </w:r>
          </w:p>
        </w:tc>
        <w:tc>
          <w:tcPr>
            <w:tcW w:w="13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(37,814 )</w:t>
            </w:r>
          </w:p>
        </w:tc>
        <w:tc>
          <w:tcPr>
            <w:tcW w:w="1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CFF0FC"/>
            </w:tcBorders>
            <w:shd w:val="clear" w:color="auto" w:fill="CFF0FC"/>
          </w:tcPr>
          <w:p>
            <w:pPr>
              <w:jc w:val="right"/>
              <w:ind w:right="210"/>
              <w:spacing w:after="0" w:line="208" w:lineRule="exact"/>
              <w:rPr>
                <w:sz w:val="20"/>
                <w:szCs w:val="20"/>
                <w:color w:val="auto"/>
              </w:rPr>
            </w:pPr>
            <w:r>
              <w:rPr>
                <w:rFonts w:ascii="Calibri" w:cs="Calibri" w:eastAsia="Calibri" w:hAnsi="Calibri"/>
                <w:sz w:val="18"/>
                <w:szCs w:val="18"/>
                <w:color w:val="auto"/>
                <w:w w:val="87"/>
              </w:rPr>
              <w:t>$</w:t>
            </w:r>
          </w:p>
        </w:tc>
        <w:tc>
          <w:tcPr>
            <w:tcW w:w="12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(40,665 )</w:t>
            </w:r>
          </w:p>
        </w:tc>
      </w:tr>
      <w:tr>
        <w:trPr>
          <w:trHeight w:val="195"/>
        </w:trPr>
        <w:tc>
          <w:tcPr>
            <w:tcW w:w="7720" w:type="dxa"/>
            <w:vAlign w:val="bottom"/>
            <w:tcBorders>
              <w:top w:val="single" w:sz="8" w:color="CFF0FC"/>
            </w:tcBorders>
          </w:tcPr>
          <w:p>
            <w:pPr>
              <w:ind w:left="20"/>
              <w:spacing w:after="0" w:line="196" w:lineRule="exact"/>
              <w:rPr>
                <w:sz w:val="20"/>
                <w:szCs w:val="20"/>
                <w:color w:val="auto"/>
              </w:rPr>
            </w:pPr>
            <w:r>
              <w:rPr>
                <w:rFonts w:ascii="Calibri" w:cs="Calibri" w:eastAsia="Calibri" w:hAnsi="Calibri"/>
                <w:sz w:val="18"/>
                <w:szCs w:val="18"/>
                <w:color w:val="auto"/>
              </w:rPr>
              <w:t>Net loss per share, basic and diluted</w:t>
            </w:r>
          </w:p>
        </w:tc>
        <w:tc>
          <w:tcPr>
            <w:tcW w:w="360" w:type="dxa"/>
            <w:vAlign w:val="bottom"/>
            <w:tcBorders>
              <w:top w:val="single" w:sz="8" w:color="auto"/>
            </w:tcBorders>
          </w:tcPr>
          <w:p>
            <w:pPr>
              <w:jc w:val="right"/>
              <w:ind w:right="170"/>
              <w:spacing w:after="0" w:line="196" w:lineRule="exact"/>
              <w:rPr>
                <w:sz w:val="20"/>
                <w:szCs w:val="20"/>
                <w:color w:val="auto"/>
              </w:rPr>
            </w:pPr>
            <w:r>
              <w:rPr>
                <w:rFonts w:ascii="Calibri" w:cs="Calibri" w:eastAsia="Calibri" w:hAnsi="Calibri"/>
                <w:sz w:val="18"/>
                <w:szCs w:val="18"/>
                <w:color w:val="auto"/>
                <w:w w:val="87"/>
              </w:rPr>
              <w:t>$</w:t>
            </w:r>
          </w:p>
        </w:tc>
        <w:tc>
          <w:tcPr>
            <w:tcW w:w="132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(0.89 )</w:t>
            </w:r>
          </w:p>
        </w:tc>
        <w:tc>
          <w:tcPr>
            <w:tcW w:w="180" w:type="dxa"/>
            <w:vAlign w:val="bottom"/>
            <w:tcBorders>
              <w:top w:val="single" w:sz="8" w:color="CFF0FC"/>
            </w:tcBorders>
          </w:tcPr>
          <w:p>
            <w:pPr>
              <w:spacing w:after="0"/>
              <w:rPr>
                <w:sz w:val="16"/>
                <w:szCs w:val="16"/>
                <w:color w:val="auto"/>
              </w:rPr>
            </w:pPr>
          </w:p>
        </w:tc>
        <w:tc>
          <w:tcPr>
            <w:tcW w:w="400" w:type="dxa"/>
            <w:vAlign w:val="bottom"/>
            <w:tcBorders>
              <w:top w:val="single" w:sz="8" w:color="auto"/>
            </w:tcBorders>
          </w:tcPr>
          <w:p>
            <w:pPr>
              <w:jc w:val="right"/>
              <w:ind w:right="210"/>
              <w:spacing w:after="0" w:line="196" w:lineRule="exact"/>
              <w:rPr>
                <w:sz w:val="20"/>
                <w:szCs w:val="20"/>
                <w:color w:val="auto"/>
              </w:rPr>
            </w:pPr>
            <w:r>
              <w:rPr>
                <w:rFonts w:ascii="Calibri" w:cs="Calibri" w:eastAsia="Calibri" w:hAnsi="Calibri"/>
                <w:sz w:val="18"/>
                <w:szCs w:val="18"/>
                <w:color w:val="auto"/>
                <w:w w:val="87"/>
              </w:rPr>
              <w:t>$</w:t>
            </w:r>
          </w:p>
        </w:tc>
        <w:tc>
          <w:tcPr>
            <w:tcW w:w="1260" w:type="dxa"/>
            <w:vAlign w:val="bottom"/>
            <w:tcBorders>
              <w:top w:val="single" w:sz="8" w:color="auto"/>
            </w:tcBorders>
          </w:tcPr>
          <w:p>
            <w:pPr>
              <w:jc w:val="right"/>
              <w:spacing w:after="0" w:line="196" w:lineRule="exact"/>
              <w:rPr>
                <w:sz w:val="20"/>
                <w:szCs w:val="20"/>
                <w:color w:val="auto"/>
              </w:rPr>
            </w:pPr>
            <w:r>
              <w:rPr>
                <w:rFonts w:ascii="Calibri" w:cs="Calibri" w:eastAsia="Calibri" w:hAnsi="Calibri"/>
                <w:sz w:val="18"/>
                <w:szCs w:val="18"/>
                <w:color w:val="auto"/>
              </w:rPr>
              <w:t>(1.07 )</w:t>
            </w:r>
          </w:p>
        </w:tc>
      </w:tr>
      <w:tr>
        <w:trPr>
          <w:trHeight w:val="28"/>
        </w:trPr>
        <w:tc>
          <w:tcPr>
            <w:tcW w:w="7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8"/>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Calibri" w:cs="Calibri" w:eastAsia="Calibri" w:hAnsi="Calibri"/>
                <w:sz w:val="18"/>
                <w:szCs w:val="18"/>
                <w:color w:val="auto"/>
              </w:rPr>
              <w:t>Weighted-average shares of common stock outstanding, basic and diluted</w:t>
            </w:r>
          </w:p>
        </w:tc>
        <w:tc>
          <w:tcPr>
            <w:tcW w:w="36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Calibri" w:cs="Calibri" w:eastAsia="Calibri" w:hAnsi="Calibri"/>
                <w:sz w:val="18"/>
                <w:szCs w:val="18"/>
                <w:color w:val="auto"/>
              </w:rPr>
              <w:t>42,354,520</w:t>
            </w:r>
          </w:p>
        </w:tc>
        <w:tc>
          <w:tcPr>
            <w:tcW w:w="1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CFF0FC"/>
            </w:tcBorders>
            <w:shd w:val="clear" w:color="auto" w:fill="CFF0FC"/>
          </w:tcPr>
          <w:p>
            <w:pPr>
              <w:jc w:val="right"/>
              <w:ind w:right="30"/>
              <w:spacing w:after="0" w:line="196" w:lineRule="exact"/>
              <w:rPr>
                <w:sz w:val="20"/>
                <w:szCs w:val="20"/>
                <w:color w:val="auto"/>
              </w:rPr>
            </w:pPr>
            <w:r>
              <w:rPr>
                <w:rFonts w:ascii="Calibri" w:cs="Calibri" w:eastAsia="Calibri" w:hAnsi="Calibri"/>
                <w:sz w:val="18"/>
                <w:szCs w:val="18"/>
                <w:color w:val="auto"/>
              </w:rPr>
              <w:t>38,036,960</w:t>
            </w: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5958840</wp:posOffset>
            </wp:positionH>
            <wp:positionV relativeFrom="paragraph">
              <wp:posOffset>-2618105</wp:posOffset>
            </wp:positionV>
            <wp:extent cx="117856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78560" cy="1968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-1971040</wp:posOffset>
            </wp:positionV>
            <wp:extent cx="111125" cy="3257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3257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-1490980</wp:posOffset>
            </wp:positionV>
            <wp:extent cx="111125" cy="316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31686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-710565</wp:posOffset>
            </wp:positionV>
            <wp:extent cx="1111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-385445</wp:posOffset>
            </wp:positionV>
            <wp:extent cx="111125"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20574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 w:name="page5"/>
    <w:bookmarkEnd w:id="4"/>
    <w:p>
      <w:pPr>
        <w:jc w:val="center"/>
        <w:ind w:right="40"/>
        <w:spacing w:after="0"/>
        <w:rPr>
          <w:sz w:val="20"/>
          <w:szCs w:val="20"/>
          <w:color w:val="auto"/>
        </w:rPr>
      </w:pPr>
      <w:r>
        <w:rPr>
          <w:rFonts w:ascii="Calibri" w:cs="Calibri" w:eastAsia="Calibri" w:hAnsi="Calibri"/>
          <w:sz w:val="18"/>
          <w:szCs w:val="18"/>
          <w:b w:val="1"/>
          <w:bCs w:val="1"/>
          <w:color w:val="auto"/>
        </w:rPr>
        <w:t>PHATHOM PHARMACEUTICALS, INC.</w:t>
      </w:r>
    </w:p>
    <w:p>
      <w:pPr>
        <w:jc w:val="center"/>
        <w:spacing w:after="0" w:line="235" w:lineRule="auto"/>
        <w:rPr>
          <w:sz w:val="20"/>
          <w:szCs w:val="20"/>
          <w:color w:val="auto"/>
        </w:rPr>
      </w:pPr>
      <w:r>
        <w:rPr>
          <w:rFonts w:ascii="Calibri" w:cs="Calibri" w:eastAsia="Calibri" w:hAnsi="Calibri"/>
          <w:sz w:val="18"/>
          <w:szCs w:val="18"/>
          <w:b w:val="1"/>
          <w:bCs w:val="1"/>
          <w:color w:val="auto"/>
        </w:rPr>
        <w:t>Statements of Stockholders’ Equity (Defcit)</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(in thousands, except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center"/>
              <w:ind w:left="59"/>
              <w:spacing w:after="0"/>
              <w:rPr>
                <w:sz w:val="20"/>
                <w:szCs w:val="20"/>
                <w:color w:val="auto"/>
              </w:rPr>
            </w:pPr>
            <w:r>
              <w:rPr>
                <w:rFonts w:ascii="Calibri" w:cs="Calibri" w:eastAsia="Calibri" w:hAnsi="Calibri"/>
                <w:sz w:val="16"/>
                <w:szCs w:val="16"/>
                <w:b w:val="1"/>
                <w:bCs w:val="1"/>
                <w:color w:val="auto"/>
              </w:rPr>
              <w:t>Treasury</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Calibri" w:cs="Calibri" w:eastAsia="Calibri" w:hAnsi="Calibri"/>
                <w:sz w:val="16"/>
                <w:szCs w:val="16"/>
                <w:b w:val="1"/>
                <w:bCs w:val="1"/>
                <w:color w:val="auto"/>
              </w:rPr>
              <w:t>Additonal</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39"/>
              <w:spacing w:after="0"/>
              <w:rPr>
                <w:sz w:val="20"/>
                <w:szCs w:val="20"/>
                <w:color w:val="auto"/>
              </w:rPr>
            </w:pPr>
            <w:r>
              <w:rPr>
                <w:rFonts w:ascii="Calibri" w:cs="Calibri" w:eastAsia="Calibri" w:hAnsi="Calibri"/>
                <w:sz w:val="16"/>
                <w:szCs w:val="16"/>
                <w:b w:val="1"/>
                <w:bCs w:val="1"/>
                <w:color w:val="auto"/>
                <w:w w:val="94"/>
              </w:rPr>
              <w:t>Total</w:t>
            </w:r>
          </w:p>
        </w:tc>
        <w:tc>
          <w:tcPr>
            <w:tcW w:w="0" w:type="dxa"/>
            <w:vAlign w:val="bottom"/>
          </w:tcPr>
          <w:p>
            <w:pPr>
              <w:spacing w:after="0"/>
              <w:rPr>
                <w:sz w:val="1"/>
                <w:szCs w:val="1"/>
                <w:color w:val="auto"/>
              </w:rPr>
            </w:pPr>
          </w:p>
        </w:tc>
      </w:tr>
      <w:tr>
        <w:trPr>
          <w:trHeight w:val="207"/>
        </w:trPr>
        <w:tc>
          <w:tcPr>
            <w:tcW w:w="3740" w:type="dxa"/>
            <w:vAlign w:val="bottom"/>
          </w:tcPr>
          <w:p>
            <w:pPr>
              <w:spacing w:after="0"/>
              <w:rPr>
                <w:sz w:val="18"/>
                <w:szCs w:val="18"/>
                <w:color w:val="auto"/>
              </w:rPr>
            </w:pPr>
          </w:p>
        </w:tc>
        <w:tc>
          <w:tcPr>
            <w:tcW w:w="1920" w:type="dxa"/>
            <w:vAlign w:val="bottom"/>
            <w:gridSpan w:val="3"/>
          </w:tcPr>
          <w:p>
            <w:pPr>
              <w:jc w:val="right"/>
              <w:ind w:right="299"/>
              <w:spacing w:after="0" w:line="193" w:lineRule="exact"/>
              <w:rPr>
                <w:sz w:val="20"/>
                <w:szCs w:val="20"/>
                <w:color w:val="auto"/>
              </w:rPr>
            </w:pPr>
            <w:r>
              <w:rPr>
                <w:rFonts w:ascii="Calibri" w:cs="Calibri" w:eastAsia="Calibri" w:hAnsi="Calibri"/>
                <w:sz w:val="16"/>
                <w:szCs w:val="16"/>
                <w:b w:val="1"/>
                <w:bCs w:val="1"/>
                <w:color w:val="auto"/>
              </w:rPr>
              <w:t>Common Stock</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center"/>
              <w:ind w:left="99"/>
              <w:spacing w:after="0" w:line="193" w:lineRule="exact"/>
              <w:rPr>
                <w:sz w:val="20"/>
                <w:szCs w:val="20"/>
                <w:color w:val="auto"/>
              </w:rPr>
            </w:pPr>
            <w:r>
              <w:rPr>
                <w:rFonts w:ascii="Calibri" w:cs="Calibri" w:eastAsia="Calibri" w:hAnsi="Calibri"/>
                <w:sz w:val="16"/>
                <w:szCs w:val="16"/>
                <w:b w:val="1"/>
                <w:bCs w:val="1"/>
                <w:color w:val="auto"/>
              </w:rPr>
              <w:t>Stock</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Calibri" w:cs="Calibri" w:eastAsia="Calibri" w:hAnsi="Calibri"/>
                <w:sz w:val="16"/>
                <w:szCs w:val="16"/>
                <w:b w:val="1"/>
                <w:bCs w:val="1"/>
                <w:color w:val="auto"/>
              </w:rPr>
              <w:t>Paid-in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439"/>
              <w:spacing w:after="0"/>
              <w:rPr>
                <w:sz w:val="20"/>
                <w:szCs w:val="20"/>
                <w:color w:val="auto"/>
              </w:rPr>
            </w:pPr>
            <w:r>
              <w:rPr>
                <w:rFonts w:ascii="Calibri" w:cs="Calibri" w:eastAsia="Calibri" w:hAnsi="Calibri"/>
                <w:sz w:val="16"/>
                <w:szCs w:val="16"/>
                <w:b w:val="1"/>
                <w:bCs w:val="1"/>
                <w:color w:val="auto"/>
              </w:rPr>
              <w:t>Accumulated</w:t>
            </w:r>
          </w:p>
        </w:tc>
        <w:tc>
          <w:tcPr>
            <w:tcW w:w="1140" w:type="dxa"/>
            <w:vAlign w:val="bottom"/>
            <w:gridSpan w:val="2"/>
          </w:tcPr>
          <w:p>
            <w:pPr>
              <w:jc w:val="center"/>
              <w:ind w:right="119"/>
              <w:spacing w:after="0"/>
              <w:rPr>
                <w:sz w:val="20"/>
                <w:szCs w:val="20"/>
                <w:color w:val="auto"/>
              </w:rPr>
            </w:pPr>
            <w:r>
              <w:rPr>
                <w:rFonts w:ascii="Calibri" w:cs="Calibri" w:eastAsia="Calibri" w:hAnsi="Calibri"/>
                <w:sz w:val="16"/>
                <w:szCs w:val="16"/>
                <w:b w:val="1"/>
                <w:bCs w:val="1"/>
                <w:color w:val="auto"/>
                <w:w w:val="99"/>
              </w:rPr>
              <w:t>Stockholders’</w:t>
            </w:r>
          </w:p>
        </w:tc>
        <w:tc>
          <w:tcPr>
            <w:tcW w:w="0" w:type="dxa"/>
            <w:vAlign w:val="bottom"/>
          </w:tcPr>
          <w:p>
            <w:pPr>
              <w:spacing w:after="0"/>
              <w:rPr>
                <w:sz w:val="1"/>
                <w:szCs w:val="1"/>
                <w:color w:val="auto"/>
              </w:rPr>
            </w:pPr>
          </w:p>
        </w:tc>
      </w:tr>
      <w:tr>
        <w:trPr>
          <w:trHeight w:val="28"/>
        </w:trPr>
        <w:tc>
          <w:tcPr>
            <w:tcW w:w="3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restart"/>
          </w:tcPr>
          <w:p>
            <w:pPr>
              <w:jc w:val="right"/>
              <w:ind w:right="199"/>
              <w:spacing w:after="0"/>
              <w:rPr>
                <w:sz w:val="20"/>
                <w:szCs w:val="20"/>
                <w:color w:val="auto"/>
              </w:rPr>
            </w:pPr>
            <w:r>
              <w:rPr>
                <w:rFonts w:ascii="Calibri" w:cs="Calibri" w:eastAsia="Calibri" w:hAnsi="Calibri"/>
                <w:sz w:val="16"/>
                <w:szCs w:val="16"/>
                <w:b w:val="1"/>
                <w:bCs w:val="1"/>
                <w:color w:val="auto"/>
              </w:rPr>
              <w:t>Capital</w:t>
            </w: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3"/>
            <w:vMerge w:val="restart"/>
          </w:tcPr>
          <w:p>
            <w:pPr>
              <w:jc w:val="center"/>
              <w:ind w:right="439"/>
              <w:spacing w:after="0"/>
              <w:rPr>
                <w:sz w:val="20"/>
                <w:szCs w:val="20"/>
                <w:color w:val="auto"/>
              </w:rPr>
            </w:pPr>
            <w:r>
              <w:rPr>
                <w:rFonts w:ascii="Calibri" w:cs="Calibri" w:eastAsia="Calibri" w:hAnsi="Calibri"/>
                <w:sz w:val="16"/>
                <w:szCs w:val="16"/>
                <w:b w:val="1"/>
                <w:bCs w:val="1"/>
                <w:color w:val="auto"/>
              </w:rPr>
              <w:t>Defcit</w:t>
            </w:r>
          </w:p>
        </w:tc>
        <w:tc>
          <w:tcPr>
            <w:tcW w:w="1140" w:type="dxa"/>
            <w:vAlign w:val="bottom"/>
            <w:gridSpan w:val="2"/>
            <w:vMerge w:val="restart"/>
          </w:tcPr>
          <w:p>
            <w:pPr>
              <w:jc w:val="center"/>
              <w:ind w:right="119"/>
              <w:spacing w:after="0"/>
              <w:rPr>
                <w:sz w:val="20"/>
                <w:szCs w:val="20"/>
                <w:color w:val="auto"/>
              </w:rPr>
            </w:pPr>
            <w:r>
              <w:rPr>
                <w:rFonts w:ascii="Calibri" w:cs="Calibri" w:eastAsia="Calibri" w:hAnsi="Calibri"/>
                <w:sz w:val="16"/>
                <w:szCs w:val="16"/>
                <w:b w:val="1"/>
                <w:bCs w:val="1"/>
                <w:color w:val="auto"/>
                <w:w w:val="99"/>
              </w:rPr>
              <w:t>Equity</w:t>
            </w: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920" w:type="dxa"/>
            <w:vAlign w:val="bottom"/>
          </w:tcPr>
          <w:p>
            <w:pPr>
              <w:jc w:val="right"/>
              <w:ind w:right="159"/>
              <w:spacing w:after="0" w:line="187" w:lineRule="exact"/>
              <w:rPr>
                <w:sz w:val="20"/>
                <w:szCs w:val="20"/>
                <w:color w:val="auto"/>
              </w:rPr>
            </w:pPr>
            <w:r>
              <w:rPr>
                <w:rFonts w:ascii="Calibri" w:cs="Calibri" w:eastAsia="Calibri" w:hAnsi="Calibri"/>
                <w:sz w:val="16"/>
                <w:szCs w:val="16"/>
                <w:b w:val="1"/>
                <w:bCs w:val="1"/>
                <w:color w:val="auto"/>
              </w:rPr>
              <w:t>Shares</w:t>
            </w:r>
          </w:p>
        </w:tc>
        <w:tc>
          <w:tcPr>
            <w:tcW w:w="300" w:type="dxa"/>
            <w:vAlign w:val="bottom"/>
          </w:tcPr>
          <w:p>
            <w:pPr>
              <w:spacing w:after="0"/>
              <w:rPr>
                <w:sz w:val="16"/>
                <w:szCs w:val="16"/>
                <w:color w:val="auto"/>
              </w:rPr>
            </w:pPr>
          </w:p>
        </w:tc>
        <w:tc>
          <w:tcPr>
            <w:tcW w:w="70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Amount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center"/>
              <w:ind w:left="99"/>
              <w:spacing w:after="0" w:line="187" w:lineRule="exact"/>
              <w:rPr>
                <w:sz w:val="20"/>
                <w:szCs w:val="20"/>
                <w:color w:val="auto"/>
              </w:rPr>
            </w:pPr>
            <w:r>
              <w:rPr>
                <w:rFonts w:ascii="Calibri" w:cs="Calibri" w:eastAsia="Calibri" w:hAnsi="Calibri"/>
                <w:sz w:val="16"/>
                <w:szCs w:val="16"/>
                <w:b w:val="1"/>
                <w:bCs w:val="1"/>
                <w:color w:val="auto"/>
              </w:rPr>
              <w:t>Shares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740" w:type="dxa"/>
            <w:vAlign w:val="bottom"/>
            <w:vMerge w:val="restart"/>
          </w:tcPr>
          <w:p>
            <w:pPr>
              <w:ind w:left="20"/>
              <w:spacing w:after="0"/>
              <w:rPr>
                <w:sz w:val="20"/>
                <w:szCs w:val="20"/>
                <w:color w:val="auto"/>
              </w:rPr>
            </w:pPr>
            <w:r>
              <w:rPr>
                <w:rFonts w:ascii="Calibri" w:cs="Calibri" w:eastAsia="Calibri" w:hAnsi="Calibri"/>
                <w:sz w:val="16"/>
                <w:szCs w:val="16"/>
                <w:color w:val="auto"/>
              </w:rPr>
              <w:t>Balance at December 31, 2022</w:t>
            </w:r>
          </w:p>
        </w:tc>
        <w:tc>
          <w:tcPr>
            <w:tcW w:w="9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vMerge w:val="restart"/>
          </w:tcPr>
          <w:p>
            <w:pPr>
              <w:jc w:val="right"/>
              <w:ind w:right="139"/>
              <w:spacing w:after="0"/>
              <w:rPr>
                <w:sz w:val="20"/>
                <w:szCs w:val="20"/>
                <w:color w:val="auto"/>
              </w:rPr>
            </w:pPr>
            <w:r>
              <w:rPr>
                <w:rFonts w:ascii="Calibri" w:cs="Calibri" w:eastAsia="Calibri" w:hAnsi="Calibri"/>
                <w:sz w:val="16"/>
                <w:szCs w:val="16"/>
                <w:color w:val="auto"/>
                <w:w w:val="81"/>
              </w:rPr>
              <w:t>)</w:t>
            </w: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vMerge w:val="restart"/>
          </w:tcPr>
          <w:p>
            <w:pPr>
              <w:jc w:val="right"/>
              <w:spacing w:after="0"/>
              <w:rPr>
                <w:sz w:val="20"/>
                <w:szCs w:val="20"/>
                <w:color w:val="auto"/>
              </w:rPr>
            </w:pPr>
            <w:r>
              <w:rPr>
                <w:rFonts w:ascii="Calibri" w:cs="Calibri" w:eastAsia="Calibri" w:hAnsi="Calibri"/>
                <w:sz w:val="16"/>
                <w:szCs w:val="16"/>
                <w:color w:val="auto"/>
                <w:w w:val="81"/>
              </w:rPr>
              <w:t>)</w:t>
            </w:r>
          </w:p>
        </w:tc>
        <w:tc>
          <w:tcPr>
            <w:tcW w:w="0" w:type="dxa"/>
            <w:vAlign w:val="bottom"/>
          </w:tcPr>
          <w:p>
            <w:pPr>
              <w:spacing w:after="0"/>
              <w:rPr>
                <w:sz w:val="1"/>
                <w:szCs w:val="1"/>
                <w:color w:val="auto"/>
              </w:rPr>
            </w:pPr>
          </w:p>
        </w:tc>
      </w:tr>
      <w:tr>
        <w:trPr>
          <w:trHeight w:val="187"/>
        </w:trPr>
        <w:tc>
          <w:tcPr>
            <w:tcW w:w="3740" w:type="dxa"/>
            <w:vAlign w:val="bottom"/>
            <w:vMerge w:val="continue"/>
          </w:tcPr>
          <w:p>
            <w:pPr>
              <w:spacing w:after="0"/>
              <w:rPr>
                <w:sz w:val="16"/>
                <w:szCs w:val="16"/>
                <w:color w:val="auto"/>
              </w:rPr>
            </w:pPr>
          </w:p>
        </w:tc>
        <w:tc>
          <w:tcPr>
            <w:tcW w:w="920" w:type="dxa"/>
            <w:vAlign w:val="bottom"/>
          </w:tcPr>
          <w:p>
            <w:pPr>
              <w:jc w:val="right"/>
              <w:spacing w:after="0" w:line="187" w:lineRule="exact"/>
              <w:rPr>
                <w:sz w:val="20"/>
                <w:szCs w:val="20"/>
                <w:color w:val="auto"/>
              </w:rPr>
            </w:pPr>
            <w:r>
              <w:rPr>
                <w:rFonts w:ascii="Calibri" w:cs="Calibri" w:eastAsia="Calibri" w:hAnsi="Calibri"/>
                <w:sz w:val="16"/>
                <w:szCs w:val="16"/>
                <w:color w:val="auto"/>
              </w:rPr>
              <w:t>41,468,871</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jc w:val="right"/>
              <w:spacing w:after="0" w:line="187" w:lineRule="exact"/>
              <w:rPr>
                <w:sz w:val="20"/>
                <w:szCs w:val="20"/>
                <w:color w:val="auto"/>
              </w:rPr>
            </w:pPr>
            <w:r>
              <w:rPr>
                <w:rFonts w:ascii="Calibri" w:cs="Calibri" w:eastAsia="Calibri" w:hAnsi="Calibri"/>
                <w:sz w:val="16"/>
                <w:szCs w:val="16"/>
                <w:color w:val="auto"/>
              </w:rPr>
              <w:t>3</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jc w:val="right"/>
              <w:spacing w:after="0" w:line="187" w:lineRule="exact"/>
              <w:rPr>
                <w:sz w:val="20"/>
                <w:szCs w:val="20"/>
                <w:color w:val="auto"/>
              </w:rPr>
            </w:pPr>
            <w:r>
              <w:rPr>
                <w:rFonts w:ascii="Calibri" w:cs="Calibri" w:eastAsia="Calibri" w:hAnsi="Calibri"/>
                <w:sz w:val="16"/>
                <w:szCs w:val="16"/>
                <w:color w:val="auto"/>
                <w:w w:val="85"/>
              </w:rPr>
              <w:t>19</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87" w:lineRule="exact"/>
              <w:rPr>
                <w:sz w:val="20"/>
                <w:szCs w:val="20"/>
                <w:color w:val="auto"/>
              </w:rPr>
            </w:pPr>
            <w:r>
              <w:rPr>
                <w:rFonts w:ascii="Calibri" w:cs="Calibri" w:eastAsia="Calibri" w:hAnsi="Calibri"/>
                <w:sz w:val="16"/>
                <w:szCs w:val="16"/>
                <w:color w:val="auto"/>
              </w:rPr>
              <w:t>652,276</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line="187" w:lineRule="exact"/>
              <w:rPr>
                <w:sz w:val="20"/>
                <w:szCs w:val="20"/>
                <w:color w:val="auto"/>
              </w:rPr>
            </w:pPr>
            <w:r>
              <w:rPr>
                <w:rFonts w:ascii="Calibri" w:cs="Calibri" w:eastAsia="Calibri" w:hAnsi="Calibri"/>
                <w:sz w:val="16"/>
                <w:szCs w:val="16"/>
                <w:color w:val="auto"/>
              </w:rPr>
              <w:t>(727,093</w:t>
            </w:r>
          </w:p>
        </w:tc>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Calibri" w:cs="Calibri" w:eastAsia="Calibri" w:hAnsi="Calibri"/>
                <w:sz w:val="16"/>
                <w:szCs w:val="16"/>
                <w:color w:val="auto"/>
              </w:rPr>
              <w:t>(74,814</w:t>
            </w: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gridSpan w:val="3"/>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gridSpan w:val="3"/>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401(k) matching contributon</w:t>
            </w:r>
          </w:p>
        </w:tc>
        <w:tc>
          <w:tcPr>
            <w:tcW w:w="9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52,130</w:t>
            </w:r>
          </w:p>
        </w:tc>
        <w:tc>
          <w:tcPr>
            <w:tcW w:w="3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3"/>
            <w:shd w:val="clear" w:color="auto" w:fill="CFF0FC"/>
          </w:tcPr>
          <w:p>
            <w:pPr>
              <w:jc w:val="right"/>
              <w:ind w:right="899"/>
              <w:spacing w:after="0" w:line="193" w:lineRule="exact"/>
              <w:rPr>
                <w:sz w:val="20"/>
                <w:szCs w:val="20"/>
                <w:color w:val="auto"/>
              </w:rPr>
            </w:pPr>
            <w:r>
              <w:rPr>
                <w:rFonts w:ascii="Calibri" w:cs="Calibri" w:eastAsia="Calibri" w:hAnsi="Calibri"/>
                <w:sz w:val="16"/>
                <w:szCs w:val="16"/>
                <w:color w:val="auto"/>
                <w:w w:val="96"/>
              </w:rPr>
              <w:t>—</w:t>
            </w:r>
          </w:p>
        </w:tc>
        <w:tc>
          <w:tcPr>
            <w:tcW w:w="1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456</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3"/>
            <w:shd w:val="clear" w:color="auto" w:fill="CFF0FC"/>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10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456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20"/>
              <w:spacing w:after="0" w:line="193" w:lineRule="exact"/>
              <w:rPr>
                <w:sz w:val="20"/>
                <w:szCs w:val="20"/>
                <w:color w:val="auto"/>
              </w:rPr>
            </w:pPr>
            <w:r>
              <w:rPr>
                <w:rFonts w:ascii="Calibri" w:cs="Calibri" w:eastAsia="Calibri" w:hAnsi="Calibri"/>
                <w:sz w:val="16"/>
                <w:szCs w:val="16"/>
                <w:color w:val="auto"/>
              </w:rPr>
              <w:t>Vestng of restricted shares and restricted stock units</w:t>
            </w: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414,119</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gridSpan w:val="3"/>
          </w:tcPr>
          <w:p>
            <w:pPr>
              <w:jc w:val="right"/>
              <w:ind w:right="899"/>
              <w:spacing w:after="0" w:line="193" w:lineRule="exact"/>
              <w:rPr>
                <w:sz w:val="20"/>
                <w:szCs w:val="20"/>
                <w:color w:val="auto"/>
              </w:rPr>
            </w:pPr>
            <w:r>
              <w:rPr>
                <w:rFonts w:ascii="Calibri" w:cs="Calibri" w:eastAsia="Calibri" w:hAnsi="Calibri"/>
                <w:sz w:val="16"/>
                <w:szCs w:val="16"/>
                <w:color w:val="auto"/>
                <w:w w:val="96"/>
              </w:rPr>
              <w:t>—</w:t>
            </w:r>
          </w:p>
        </w:tc>
        <w:tc>
          <w:tcPr>
            <w:tcW w:w="180" w:type="dxa"/>
            <w:vAlign w:val="bottom"/>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1140" w:type="dxa"/>
            <w:vAlign w:val="bottom"/>
            <w:gridSpan w:val="2"/>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gridSpan w:val="3"/>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gridSpan w:val="3"/>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Stock-based compensaton</w:t>
            </w:r>
          </w:p>
        </w:tc>
        <w:tc>
          <w:tcPr>
            <w:tcW w:w="9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3"/>
            <w:shd w:val="clear" w:color="auto" w:fill="CFF0FC"/>
          </w:tcPr>
          <w:p>
            <w:pPr>
              <w:jc w:val="right"/>
              <w:ind w:right="899"/>
              <w:spacing w:after="0" w:line="193" w:lineRule="exact"/>
              <w:rPr>
                <w:sz w:val="20"/>
                <w:szCs w:val="20"/>
                <w:color w:val="auto"/>
              </w:rPr>
            </w:pPr>
            <w:r>
              <w:rPr>
                <w:rFonts w:ascii="Calibri" w:cs="Calibri" w:eastAsia="Calibri" w:hAnsi="Calibri"/>
                <w:sz w:val="16"/>
                <w:szCs w:val="16"/>
                <w:color w:val="auto"/>
                <w:w w:val="96"/>
              </w:rPr>
              <w:t>—</w:t>
            </w:r>
          </w:p>
        </w:tc>
        <w:tc>
          <w:tcPr>
            <w:tcW w:w="1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7,048</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3"/>
            <w:shd w:val="clear" w:color="auto" w:fill="CFF0FC"/>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10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7,048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20"/>
              <w:spacing w:after="0" w:line="193" w:lineRule="exact"/>
              <w:rPr>
                <w:sz w:val="20"/>
                <w:szCs w:val="20"/>
                <w:color w:val="auto"/>
              </w:rPr>
            </w:pPr>
            <w:r>
              <w:rPr>
                <w:rFonts w:ascii="Calibri" w:cs="Calibri" w:eastAsia="Calibri" w:hAnsi="Calibri"/>
                <w:sz w:val="16"/>
                <w:szCs w:val="16"/>
                <w:color w:val="auto"/>
              </w:rPr>
              <w:t>ESPP shares issued</w:t>
            </w: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121,801</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gridSpan w:val="3"/>
          </w:tcPr>
          <w:p>
            <w:pPr>
              <w:jc w:val="right"/>
              <w:ind w:right="899"/>
              <w:spacing w:after="0" w:line="193" w:lineRule="exact"/>
              <w:rPr>
                <w:sz w:val="20"/>
                <w:szCs w:val="20"/>
                <w:color w:val="auto"/>
              </w:rPr>
            </w:pPr>
            <w:r>
              <w:rPr>
                <w:rFonts w:ascii="Calibri" w:cs="Calibri" w:eastAsia="Calibri" w:hAnsi="Calibri"/>
                <w:sz w:val="16"/>
                <w:szCs w:val="16"/>
                <w:color w:val="auto"/>
                <w:w w:val="96"/>
              </w:rPr>
              <w:t>—</w:t>
            </w:r>
          </w:p>
        </w:tc>
        <w:tc>
          <w:tcPr>
            <w:tcW w:w="180" w:type="dxa"/>
            <w:vAlign w:val="bottom"/>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856</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856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gridSpan w:val="3"/>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Issuance of common stock under ATM facility</w:t>
            </w:r>
          </w:p>
        </w:tc>
        <w:tc>
          <w:tcPr>
            <w:tcW w:w="9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1,514,219</w:t>
            </w:r>
          </w:p>
        </w:tc>
        <w:tc>
          <w:tcPr>
            <w:tcW w:w="3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w:t>
            </w:r>
          </w:p>
        </w:tc>
        <w:tc>
          <w:tcPr>
            <w:tcW w:w="26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14,072</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3"/>
            <w:shd w:val="clear" w:color="auto" w:fill="CFF0FC"/>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10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14,073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20"/>
              <w:spacing w:after="0" w:line="193" w:lineRule="exact"/>
              <w:rPr>
                <w:sz w:val="20"/>
                <w:szCs w:val="20"/>
                <w:color w:val="auto"/>
              </w:rPr>
            </w:pPr>
            <w:r>
              <w:rPr>
                <w:rFonts w:ascii="Calibri" w:cs="Calibri" w:eastAsia="Calibri" w:hAnsi="Calibri"/>
                <w:sz w:val="16"/>
                <w:szCs w:val="16"/>
                <w:color w:val="auto"/>
              </w:rPr>
              <w:t>Net loss</w:t>
            </w: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gridSpan w:val="3"/>
          </w:tcPr>
          <w:p>
            <w:pPr>
              <w:jc w:val="right"/>
              <w:ind w:right="899"/>
              <w:spacing w:after="0" w:line="193" w:lineRule="exact"/>
              <w:rPr>
                <w:sz w:val="20"/>
                <w:szCs w:val="20"/>
                <w:color w:val="auto"/>
              </w:rPr>
            </w:pPr>
            <w:r>
              <w:rPr>
                <w:rFonts w:ascii="Calibri" w:cs="Calibri" w:eastAsia="Calibri" w:hAnsi="Calibri"/>
                <w:sz w:val="16"/>
                <w:szCs w:val="16"/>
                <w:color w:val="auto"/>
                <w:w w:val="96"/>
              </w:rPr>
              <w:t>—</w:t>
            </w:r>
          </w:p>
        </w:tc>
        <w:tc>
          <w:tcPr>
            <w:tcW w:w="180" w:type="dxa"/>
            <w:vAlign w:val="bottom"/>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39"/>
              <w:spacing w:after="0" w:line="193" w:lineRule="exact"/>
              <w:rPr>
                <w:sz w:val="20"/>
                <w:szCs w:val="20"/>
                <w:color w:val="auto"/>
              </w:rPr>
            </w:pPr>
            <w:r>
              <w:rPr>
                <w:rFonts w:ascii="Calibri" w:cs="Calibri" w:eastAsia="Calibri" w:hAnsi="Calibri"/>
                <w:sz w:val="16"/>
                <w:szCs w:val="16"/>
                <w:color w:val="auto"/>
              </w:rPr>
              <w:t>(37,814 )</w:t>
            </w:r>
          </w:p>
        </w:tc>
        <w:tc>
          <w:tcPr>
            <w:tcW w:w="100" w:type="dxa"/>
            <w:vAlign w:val="bottom"/>
          </w:tcPr>
          <w:p>
            <w:pPr>
              <w:spacing w:after="0"/>
              <w:rPr>
                <w:sz w:val="16"/>
                <w:szCs w:val="16"/>
                <w:color w:val="auto"/>
              </w:rPr>
            </w:pPr>
          </w:p>
        </w:tc>
        <w:tc>
          <w:tcPr>
            <w:tcW w:w="1140" w:type="dxa"/>
            <w:vAlign w:val="bottom"/>
            <w:gridSpan w:val="2"/>
          </w:tcPr>
          <w:p>
            <w:pPr>
              <w:jc w:val="right"/>
              <w:spacing w:after="0" w:line="193" w:lineRule="exact"/>
              <w:rPr>
                <w:sz w:val="20"/>
                <w:szCs w:val="20"/>
                <w:color w:val="auto"/>
              </w:rPr>
            </w:pPr>
            <w:r>
              <w:rPr>
                <w:rFonts w:ascii="Calibri" w:cs="Calibri" w:eastAsia="Calibri" w:hAnsi="Calibri"/>
                <w:sz w:val="16"/>
                <w:szCs w:val="16"/>
                <w:color w:val="auto"/>
              </w:rPr>
              <w:t>(37,814 )</w:t>
            </w: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1400" w:type="dxa"/>
            <w:vAlign w:val="bottom"/>
            <w:gridSpan w:val="3"/>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Balance at March 31, 2023</w:t>
            </w:r>
          </w:p>
        </w:tc>
        <w:tc>
          <w:tcPr>
            <w:tcW w:w="92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43,571,140</w:t>
            </w:r>
          </w:p>
        </w:tc>
        <w:tc>
          <w:tcPr>
            <w:tcW w:w="3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top w:val="single" w:sz="8" w:color="auto"/>
              <w:bottom w:val="single" w:sz="8" w:color="CFF0FC"/>
            </w:tcBorders>
            <w:shd w:val="clear" w:color="auto" w:fill="CFF0FC"/>
          </w:tcPr>
          <w:p>
            <w:pPr>
              <w:jc w:val="right"/>
              <w:ind w:right="519"/>
              <w:spacing w:after="0" w:line="187" w:lineRule="exact"/>
              <w:rPr>
                <w:sz w:val="20"/>
                <w:szCs w:val="20"/>
                <w:color w:val="auto"/>
              </w:rPr>
            </w:pPr>
            <w:r>
              <w:rPr>
                <w:rFonts w:ascii="Calibri" w:cs="Calibri" w:eastAsia="Calibri" w:hAnsi="Calibri"/>
                <w:sz w:val="16"/>
                <w:szCs w:val="16"/>
                <w:color w:val="auto"/>
                <w:w w:val="97"/>
              </w:rPr>
              <w:t>$</w:t>
            </w:r>
          </w:p>
        </w:tc>
        <w:tc>
          <w:tcPr>
            <w:tcW w:w="16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4</w:t>
            </w:r>
          </w:p>
        </w:tc>
        <w:tc>
          <w:tcPr>
            <w:tcW w:w="2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top w:val="single" w:sz="8" w:color="auto"/>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85"/>
              </w:rPr>
              <w:t>19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0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674,708</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2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(764,907</w:t>
            </w:r>
          </w:p>
        </w:tc>
        <w:tc>
          <w:tcPr>
            <w:tcW w:w="280" w:type="dxa"/>
            <w:vAlign w:val="bottom"/>
            <w:tcBorders>
              <w:bottom w:val="single" w:sz="8" w:color="CFF0FC"/>
            </w:tcBorders>
            <w:shd w:val="clear" w:color="auto" w:fill="CFF0FC"/>
          </w:tcPr>
          <w:p>
            <w:pPr>
              <w:jc w:val="right"/>
              <w:ind w:right="139"/>
              <w:spacing w:after="0" w:line="187" w:lineRule="exact"/>
              <w:rPr>
                <w:sz w:val="20"/>
                <w:szCs w:val="20"/>
                <w:color w:val="auto"/>
              </w:rPr>
            </w:pPr>
            <w:r>
              <w:rPr>
                <w:rFonts w:ascii="Calibri" w:cs="Calibri" w:eastAsia="Calibri" w:hAnsi="Calibri"/>
                <w:sz w:val="16"/>
                <w:szCs w:val="16"/>
                <w:color w:val="auto"/>
                <w:w w:val="81"/>
              </w:rPr>
              <w:t>)</w:t>
            </w:r>
          </w:p>
        </w:tc>
        <w:tc>
          <w:tcPr>
            <w:tcW w:w="10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4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(90,195</w:t>
            </w:r>
          </w:p>
        </w:tc>
        <w:tc>
          <w:tcPr>
            <w:tcW w:w="1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81"/>
              </w:rPr>
              <w:t>)</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-25400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-8255</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-25400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-8255</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center"/>
              <w:ind w:left="59"/>
              <w:spacing w:after="0"/>
              <w:rPr>
                <w:sz w:val="20"/>
                <w:szCs w:val="20"/>
                <w:color w:val="auto"/>
              </w:rPr>
            </w:pPr>
            <w:r>
              <w:rPr>
                <w:rFonts w:ascii="Calibri" w:cs="Calibri" w:eastAsia="Calibri" w:hAnsi="Calibri"/>
                <w:sz w:val="16"/>
                <w:szCs w:val="16"/>
                <w:b w:val="1"/>
                <w:bCs w:val="1"/>
                <w:color w:val="auto"/>
              </w:rPr>
              <w:t>Treasury</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99"/>
              <w:spacing w:after="0"/>
              <w:rPr>
                <w:sz w:val="20"/>
                <w:szCs w:val="20"/>
                <w:color w:val="auto"/>
              </w:rPr>
            </w:pPr>
            <w:r>
              <w:rPr>
                <w:rFonts w:ascii="Calibri" w:cs="Calibri" w:eastAsia="Calibri" w:hAnsi="Calibri"/>
                <w:sz w:val="16"/>
                <w:szCs w:val="16"/>
                <w:b w:val="1"/>
                <w:bCs w:val="1"/>
                <w:color w:val="auto"/>
              </w:rPr>
              <w:t>Additonal</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Calibri" w:cs="Calibri" w:eastAsia="Calibri" w:hAnsi="Calibri"/>
                <w:sz w:val="16"/>
                <w:szCs w:val="16"/>
                <w:b w:val="1"/>
                <w:bCs w:val="1"/>
                <w:color w:val="auto"/>
                <w:w w:val="94"/>
              </w:rPr>
              <w:t>Total</w:t>
            </w:r>
          </w:p>
        </w:tc>
        <w:tc>
          <w:tcPr>
            <w:tcW w:w="0" w:type="dxa"/>
            <w:vAlign w:val="bottom"/>
          </w:tcPr>
          <w:p>
            <w:pPr>
              <w:spacing w:after="0"/>
              <w:rPr>
                <w:sz w:val="1"/>
                <w:szCs w:val="1"/>
                <w:color w:val="auto"/>
              </w:rPr>
            </w:pPr>
          </w:p>
        </w:tc>
      </w:tr>
      <w:tr>
        <w:trPr>
          <w:trHeight w:val="207"/>
        </w:trPr>
        <w:tc>
          <w:tcPr>
            <w:tcW w:w="3740" w:type="dxa"/>
            <w:vAlign w:val="bottom"/>
          </w:tcPr>
          <w:p>
            <w:pPr>
              <w:spacing w:after="0"/>
              <w:rPr>
                <w:sz w:val="18"/>
                <w:szCs w:val="18"/>
                <w:color w:val="auto"/>
              </w:rPr>
            </w:pPr>
          </w:p>
        </w:tc>
        <w:tc>
          <w:tcPr>
            <w:tcW w:w="1920" w:type="dxa"/>
            <w:vAlign w:val="bottom"/>
            <w:gridSpan w:val="3"/>
          </w:tcPr>
          <w:p>
            <w:pPr>
              <w:jc w:val="right"/>
              <w:ind w:right="299"/>
              <w:spacing w:after="0" w:line="193" w:lineRule="exact"/>
              <w:rPr>
                <w:sz w:val="20"/>
                <w:szCs w:val="20"/>
                <w:color w:val="auto"/>
              </w:rPr>
            </w:pPr>
            <w:r>
              <w:rPr>
                <w:rFonts w:ascii="Calibri" w:cs="Calibri" w:eastAsia="Calibri" w:hAnsi="Calibri"/>
                <w:sz w:val="16"/>
                <w:szCs w:val="16"/>
                <w:b w:val="1"/>
                <w:bCs w:val="1"/>
                <w:color w:val="auto"/>
              </w:rPr>
              <w:t>Common Stock</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center"/>
              <w:ind w:left="99"/>
              <w:spacing w:after="0" w:line="193" w:lineRule="exact"/>
              <w:rPr>
                <w:sz w:val="20"/>
                <w:szCs w:val="20"/>
                <w:color w:val="auto"/>
              </w:rPr>
            </w:pPr>
            <w:r>
              <w:rPr>
                <w:rFonts w:ascii="Calibri" w:cs="Calibri" w:eastAsia="Calibri" w:hAnsi="Calibri"/>
                <w:sz w:val="16"/>
                <w:szCs w:val="16"/>
                <w:b w:val="1"/>
                <w:bCs w:val="1"/>
                <w:color w:val="auto"/>
              </w:rPr>
              <w:t>Stock</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Calibri" w:cs="Calibri" w:eastAsia="Calibri" w:hAnsi="Calibri"/>
                <w:sz w:val="16"/>
                <w:szCs w:val="16"/>
                <w:b w:val="1"/>
                <w:bCs w:val="1"/>
                <w:color w:val="auto"/>
              </w:rPr>
              <w:t>Paid-in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center"/>
              <w:ind w:right="439"/>
              <w:spacing w:after="0"/>
              <w:rPr>
                <w:sz w:val="20"/>
                <w:szCs w:val="20"/>
                <w:color w:val="auto"/>
              </w:rPr>
            </w:pPr>
            <w:r>
              <w:rPr>
                <w:rFonts w:ascii="Calibri" w:cs="Calibri" w:eastAsia="Calibri" w:hAnsi="Calibri"/>
                <w:sz w:val="16"/>
                <w:szCs w:val="16"/>
                <w:b w:val="1"/>
                <w:bCs w:val="1"/>
                <w:color w:val="auto"/>
              </w:rPr>
              <w:t>Accumulated</w:t>
            </w:r>
          </w:p>
        </w:tc>
        <w:tc>
          <w:tcPr>
            <w:tcW w:w="1140" w:type="dxa"/>
            <w:vAlign w:val="bottom"/>
            <w:gridSpan w:val="2"/>
          </w:tcPr>
          <w:p>
            <w:pPr>
              <w:jc w:val="center"/>
              <w:ind w:right="200"/>
              <w:spacing w:after="0"/>
              <w:rPr>
                <w:sz w:val="20"/>
                <w:szCs w:val="20"/>
                <w:color w:val="auto"/>
              </w:rPr>
            </w:pPr>
            <w:r>
              <w:rPr>
                <w:rFonts w:ascii="Calibri" w:cs="Calibri" w:eastAsia="Calibri" w:hAnsi="Calibri"/>
                <w:sz w:val="16"/>
                <w:szCs w:val="16"/>
                <w:b w:val="1"/>
                <w:bCs w:val="1"/>
                <w:color w:val="auto"/>
                <w:w w:val="99"/>
              </w:rPr>
              <w:t>Stockholders’</w:t>
            </w:r>
          </w:p>
        </w:tc>
        <w:tc>
          <w:tcPr>
            <w:tcW w:w="0" w:type="dxa"/>
            <w:vAlign w:val="bottom"/>
          </w:tcPr>
          <w:p>
            <w:pPr>
              <w:spacing w:after="0"/>
              <w:rPr>
                <w:sz w:val="1"/>
                <w:szCs w:val="1"/>
                <w:color w:val="auto"/>
              </w:rPr>
            </w:pPr>
          </w:p>
        </w:tc>
      </w:tr>
      <w:tr>
        <w:trPr>
          <w:trHeight w:val="28"/>
        </w:trPr>
        <w:tc>
          <w:tcPr>
            <w:tcW w:w="3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restart"/>
          </w:tcPr>
          <w:p>
            <w:pPr>
              <w:jc w:val="right"/>
              <w:ind w:right="199"/>
              <w:spacing w:after="0"/>
              <w:rPr>
                <w:sz w:val="20"/>
                <w:szCs w:val="20"/>
                <w:color w:val="auto"/>
              </w:rPr>
            </w:pPr>
            <w:r>
              <w:rPr>
                <w:rFonts w:ascii="Calibri" w:cs="Calibri" w:eastAsia="Calibri" w:hAnsi="Calibri"/>
                <w:sz w:val="16"/>
                <w:szCs w:val="16"/>
                <w:b w:val="1"/>
                <w:bCs w:val="1"/>
                <w:color w:val="auto"/>
              </w:rPr>
              <w:t>Capital</w:t>
            </w: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3"/>
            <w:vMerge w:val="restart"/>
          </w:tcPr>
          <w:p>
            <w:pPr>
              <w:jc w:val="center"/>
              <w:ind w:right="439"/>
              <w:spacing w:after="0"/>
              <w:rPr>
                <w:sz w:val="20"/>
                <w:szCs w:val="20"/>
                <w:color w:val="auto"/>
              </w:rPr>
            </w:pPr>
            <w:r>
              <w:rPr>
                <w:rFonts w:ascii="Calibri" w:cs="Calibri" w:eastAsia="Calibri" w:hAnsi="Calibri"/>
                <w:sz w:val="16"/>
                <w:szCs w:val="16"/>
                <w:b w:val="1"/>
                <w:bCs w:val="1"/>
                <w:color w:val="auto"/>
              </w:rPr>
              <w:t>Defcit</w:t>
            </w:r>
          </w:p>
        </w:tc>
        <w:tc>
          <w:tcPr>
            <w:tcW w:w="1140" w:type="dxa"/>
            <w:vAlign w:val="bottom"/>
            <w:gridSpan w:val="2"/>
            <w:vMerge w:val="restart"/>
          </w:tcPr>
          <w:p>
            <w:pPr>
              <w:jc w:val="center"/>
              <w:ind w:right="200"/>
              <w:spacing w:after="0"/>
              <w:rPr>
                <w:sz w:val="20"/>
                <w:szCs w:val="20"/>
                <w:color w:val="auto"/>
              </w:rPr>
            </w:pPr>
            <w:r>
              <w:rPr>
                <w:rFonts w:ascii="Calibri" w:cs="Calibri" w:eastAsia="Calibri" w:hAnsi="Calibri"/>
                <w:sz w:val="16"/>
                <w:szCs w:val="16"/>
                <w:b w:val="1"/>
                <w:bCs w:val="1"/>
                <w:color w:val="auto"/>
                <w:w w:val="99"/>
              </w:rPr>
              <w:t>Equity</w:t>
            </w: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920" w:type="dxa"/>
            <w:vAlign w:val="bottom"/>
          </w:tcPr>
          <w:p>
            <w:pPr>
              <w:jc w:val="right"/>
              <w:ind w:right="159"/>
              <w:spacing w:after="0" w:line="187" w:lineRule="exact"/>
              <w:rPr>
                <w:sz w:val="20"/>
                <w:szCs w:val="20"/>
                <w:color w:val="auto"/>
              </w:rPr>
            </w:pPr>
            <w:r>
              <w:rPr>
                <w:rFonts w:ascii="Calibri" w:cs="Calibri" w:eastAsia="Calibri" w:hAnsi="Calibri"/>
                <w:sz w:val="16"/>
                <w:szCs w:val="16"/>
                <w:b w:val="1"/>
                <w:bCs w:val="1"/>
                <w:color w:val="auto"/>
              </w:rPr>
              <w:t>Shares</w:t>
            </w:r>
          </w:p>
        </w:tc>
        <w:tc>
          <w:tcPr>
            <w:tcW w:w="300" w:type="dxa"/>
            <w:vAlign w:val="bottom"/>
          </w:tcPr>
          <w:p>
            <w:pPr>
              <w:spacing w:after="0"/>
              <w:rPr>
                <w:sz w:val="16"/>
                <w:szCs w:val="16"/>
                <w:color w:val="auto"/>
              </w:rPr>
            </w:pPr>
          </w:p>
        </w:tc>
        <w:tc>
          <w:tcPr>
            <w:tcW w:w="70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Amount</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center"/>
              <w:ind w:left="99"/>
              <w:spacing w:after="0" w:line="187" w:lineRule="exact"/>
              <w:rPr>
                <w:sz w:val="20"/>
                <w:szCs w:val="20"/>
                <w:color w:val="auto"/>
              </w:rPr>
            </w:pPr>
            <w:r>
              <w:rPr>
                <w:rFonts w:ascii="Calibri" w:cs="Calibri" w:eastAsia="Calibri" w:hAnsi="Calibri"/>
                <w:sz w:val="16"/>
                <w:szCs w:val="16"/>
                <w:b w:val="1"/>
                <w:bCs w:val="1"/>
                <w:color w:val="auto"/>
              </w:rPr>
              <w:t>Shares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740" w:type="dxa"/>
            <w:vAlign w:val="bottom"/>
            <w:vMerge w:val="restart"/>
          </w:tcPr>
          <w:p>
            <w:pPr>
              <w:ind w:left="20"/>
              <w:spacing w:after="0"/>
              <w:rPr>
                <w:sz w:val="20"/>
                <w:szCs w:val="20"/>
                <w:color w:val="auto"/>
              </w:rPr>
            </w:pPr>
            <w:r>
              <w:rPr>
                <w:rFonts w:ascii="Calibri" w:cs="Calibri" w:eastAsia="Calibri" w:hAnsi="Calibri"/>
                <w:sz w:val="16"/>
                <w:szCs w:val="16"/>
                <w:color w:val="auto"/>
              </w:rPr>
              <w:t>Balance at December 31, 2021</w:t>
            </w:r>
          </w:p>
        </w:tc>
        <w:tc>
          <w:tcPr>
            <w:tcW w:w="9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80" w:type="dxa"/>
            <w:vAlign w:val="bottom"/>
            <w:vMerge w:val="restart"/>
          </w:tcPr>
          <w:p>
            <w:pPr>
              <w:jc w:val="right"/>
              <w:ind w:right="139"/>
              <w:spacing w:after="0"/>
              <w:rPr>
                <w:sz w:val="20"/>
                <w:szCs w:val="20"/>
                <w:color w:val="auto"/>
              </w:rPr>
            </w:pPr>
            <w:r>
              <w:rPr>
                <w:rFonts w:ascii="Calibri" w:cs="Calibri" w:eastAsia="Calibri" w:hAnsi="Calibri"/>
                <w:sz w:val="16"/>
                <w:szCs w:val="16"/>
                <w:color w:val="auto"/>
                <w:w w:val="81"/>
              </w:rPr>
              <w:t>)</w:t>
            </w: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740" w:type="dxa"/>
            <w:vAlign w:val="bottom"/>
            <w:vMerge w:val="continue"/>
          </w:tcPr>
          <w:p>
            <w:pPr>
              <w:spacing w:after="0"/>
              <w:rPr>
                <w:sz w:val="16"/>
                <w:szCs w:val="16"/>
                <w:color w:val="auto"/>
              </w:rPr>
            </w:pPr>
          </w:p>
        </w:tc>
        <w:tc>
          <w:tcPr>
            <w:tcW w:w="920" w:type="dxa"/>
            <w:vAlign w:val="bottom"/>
          </w:tcPr>
          <w:p>
            <w:pPr>
              <w:jc w:val="right"/>
              <w:spacing w:after="0" w:line="187" w:lineRule="exact"/>
              <w:rPr>
                <w:sz w:val="20"/>
                <w:szCs w:val="20"/>
                <w:color w:val="auto"/>
              </w:rPr>
            </w:pPr>
            <w:r>
              <w:rPr>
                <w:rFonts w:ascii="Calibri" w:cs="Calibri" w:eastAsia="Calibri" w:hAnsi="Calibri"/>
                <w:sz w:val="16"/>
                <w:szCs w:val="16"/>
                <w:color w:val="auto"/>
              </w:rPr>
              <w:t>30,511,226</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jc w:val="right"/>
              <w:spacing w:after="0" w:line="187" w:lineRule="exact"/>
              <w:rPr>
                <w:sz w:val="20"/>
                <w:szCs w:val="20"/>
                <w:color w:val="auto"/>
              </w:rPr>
            </w:pPr>
            <w:r>
              <w:rPr>
                <w:rFonts w:ascii="Calibri" w:cs="Calibri" w:eastAsia="Calibri" w:hAnsi="Calibri"/>
                <w:sz w:val="16"/>
                <w:szCs w:val="16"/>
                <w:color w:val="auto"/>
              </w:rPr>
              <w:t>3</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jc w:val="right"/>
              <w:spacing w:after="0" w:line="187" w:lineRule="exact"/>
              <w:rPr>
                <w:sz w:val="20"/>
                <w:szCs w:val="20"/>
                <w:color w:val="auto"/>
              </w:rPr>
            </w:pPr>
            <w:r>
              <w:rPr>
                <w:rFonts w:ascii="Calibri" w:cs="Calibri" w:eastAsia="Calibri" w:hAnsi="Calibri"/>
                <w:sz w:val="16"/>
                <w:szCs w:val="16"/>
                <w:color w:val="auto"/>
              </w:rPr>
              <w:t>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87" w:lineRule="exact"/>
              <w:rPr>
                <w:sz w:val="20"/>
                <w:szCs w:val="20"/>
                <w:color w:val="auto"/>
              </w:rPr>
            </w:pPr>
            <w:r>
              <w:rPr>
                <w:rFonts w:ascii="Calibri" w:cs="Calibri" w:eastAsia="Calibri" w:hAnsi="Calibri"/>
                <w:sz w:val="16"/>
                <w:szCs w:val="16"/>
                <w:color w:val="auto"/>
              </w:rPr>
              <w:t>601,523</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line="187" w:lineRule="exact"/>
              <w:rPr>
                <w:sz w:val="20"/>
                <w:szCs w:val="20"/>
                <w:color w:val="auto"/>
              </w:rPr>
            </w:pPr>
            <w:r>
              <w:rPr>
                <w:rFonts w:ascii="Calibri" w:cs="Calibri" w:eastAsia="Calibri" w:hAnsi="Calibri"/>
                <w:sz w:val="16"/>
                <w:szCs w:val="16"/>
                <w:color w:val="auto"/>
              </w:rPr>
              <w:t>(529,370</w:t>
            </w:r>
          </w:p>
        </w:tc>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87" w:lineRule="exact"/>
              <w:rPr>
                <w:sz w:val="20"/>
                <w:szCs w:val="20"/>
                <w:color w:val="auto"/>
              </w:rPr>
            </w:pPr>
            <w:r>
              <w:rPr>
                <w:rFonts w:ascii="Calibri" w:cs="Calibri" w:eastAsia="Calibri" w:hAnsi="Calibri"/>
                <w:sz w:val="16"/>
                <w:szCs w:val="16"/>
                <w:color w:val="auto"/>
              </w:rPr>
              <w:t>72,156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gridSpan w:val="3"/>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gridSpan w:val="3"/>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Cashless exercise of common stock warrants</w:t>
            </w:r>
          </w:p>
        </w:tc>
        <w:tc>
          <w:tcPr>
            <w:tcW w:w="9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7,359,285</w:t>
            </w:r>
          </w:p>
        </w:tc>
        <w:tc>
          <w:tcPr>
            <w:tcW w:w="3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3"/>
            <w:shd w:val="clear" w:color="auto" w:fill="CFF0FC"/>
          </w:tcPr>
          <w:p>
            <w:pPr>
              <w:jc w:val="right"/>
              <w:ind w:right="899"/>
              <w:spacing w:after="0" w:line="193" w:lineRule="exact"/>
              <w:rPr>
                <w:sz w:val="20"/>
                <w:szCs w:val="20"/>
                <w:color w:val="auto"/>
              </w:rPr>
            </w:pPr>
            <w:r>
              <w:rPr>
                <w:rFonts w:ascii="Calibri" w:cs="Calibri" w:eastAsia="Calibri" w:hAnsi="Calibri"/>
                <w:sz w:val="16"/>
                <w:szCs w:val="16"/>
                <w:color w:val="auto"/>
                <w:w w:val="96"/>
              </w:rPr>
              <w:t>—</w:t>
            </w:r>
          </w:p>
        </w:tc>
        <w:tc>
          <w:tcPr>
            <w:tcW w:w="1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w w:val="85"/>
              </w:rPr>
              <w:t>18</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3"/>
            <w:shd w:val="clear" w:color="auto" w:fill="CFF0FC"/>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1140" w:type="dxa"/>
            <w:vAlign w:val="bottom"/>
            <w:tcBorders>
              <w:bottom w:val="single" w:sz="8" w:color="CFF0FC"/>
            </w:tcBorders>
            <w:gridSpan w:val="2"/>
            <w:shd w:val="clear" w:color="auto" w:fill="CFF0FC"/>
          </w:tcPr>
          <w:p>
            <w:pPr>
              <w:jc w:val="right"/>
              <w:ind w:right="12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3"/>
        </w:trPr>
        <w:tc>
          <w:tcPr>
            <w:tcW w:w="3740" w:type="dxa"/>
            <w:vAlign w:val="bottom"/>
          </w:tcPr>
          <w:p>
            <w:pPr>
              <w:ind w:left="20"/>
              <w:spacing w:after="0" w:line="193" w:lineRule="exact"/>
              <w:rPr>
                <w:sz w:val="20"/>
                <w:szCs w:val="20"/>
                <w:color w:val="auto"/>
              </w:rPr>
            </w:pPr>
            <w:r>
              <w:rPr>
                <w:rFonts w:ascii="Calibri" w:cs="Calibri" w:eastAsia="Calibri" w:hAnsi="Calibri"/>
                <w:sz w:val="16"/>
                <w:szCs w:val="16"/>
                <w:color w:val="auto"/>
              </w:rPr>
              <w:t>401(k) matching contributon</w:t>
            </w: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16,756</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gridSpan w:val="3"/>
          </w:tcPr>
          <w:p>
            <w:pPr>
              <w:jc w:val="right"/>
              <w:ind w:right="899"/>
              <w:spacing w:after="0" w:line="193" w:lineRule="exact"/>
              <w:rPr>
                <w:sz w:val="20"/>
                <w:szCs w:val="20"/>
                <w:color w:val="auto"/>
              </w:rPr>
            </w:pPr>
            <w:r>
              <w:rPr>
                <w:rFonts w:ascii="Calibri" w:cs="Calibri" w:eastAsia="Calibri" w:hAnsi="Calibri"/>
                <w:sz w:val="16"/>
                <w:szCs w:val="16"/>
                <w:color w:val="auto"/>
                <w:w w:val="96"/>
              </w:rPr>
              <w:t>—</w:t>
            </w:r>
          </w:p>
        </w:tc>
        <w:tc>
          <w:tcPr>
            <w:tcW w:w="180" w:type="dxa"/>
            <w:vAlign w:val="bottom"/>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254</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254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gridSpan w:val="3"/>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gridSpan w:val="3"/>
          </w:tcPr>
          <w:p>
            <w:pPr>
              <w:spacing w:after="0"/>
              <w:rPr>
                <w:sz w:val="3"/>
                <w:szCs w:val="3"/>
                <w:color w:val="auto"/>
              </w:rPr>
            </w:pPr>
          </w:p>
        </w:tc>
        <w:tc>
          <w:tcPr>
            <w:tcW w:w="114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Vestng of restricted shares and restricted stock units</w:t>
            </w:r>
          </w:p>
        </w:tc>
        <w:tc>
          <w:tcPr>
            <w:tcW w:w="9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222,595</w:t>
            </w:r>
          </w:p>
        </w:tc>
        <w:tc>
          <w:tcPr>
            <w:tcW w:w="3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3"/>
            <w:shd w:val="clear" w:color="auto" w:fill="CFF0FC"/>
          </w:tcPr>
          <w:p>
            <w:pPr>
              <w:jc w:val="right"/>
              <w:ind w:right="899"/>
              <w:spacing w:after="0" w:line="193" w:lineRule="exact"/>
              <w:rPr>
                <w:sz w:val="20"/>
                <w:szCs w:val="20"/>
                <w:color w:val="auto"/>
              </w:rPr>
            </w:pPr>
            <w:r>
              <w:rPr>
                <w:rFonts w:ascii="Calibri" w:cs="Calibri" w:eastAsia="Calibri" w:hAnsi="Calibri"/>
                <w:sz w:val="16"/>
                <w:szCs w:val="16"/>
                <w:color w:val="auto"/>
                <w:w w:val="96"/>
              </w:rPr>
              <w:t>—</w:t>
            </w:r>
          </w:p>
        </w:tc>
        <w:tc>
          <w:tcPr>
            <w:tcW w:w="1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3"/>
            <w:shd w:val="clear" w:color="auto" w:fill="CFF0FC"/>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1140" w:type="dxa"/>
            <w:vAlign w:val="bottom"/>
            <w:tcBorders>
              <w:bottom w:val="single" w:sz="8" w:color="CFF0FC"/>
            </w:tcBorders>
            <w:gridSpan w:val="2"/>
            <w:shd w:val="clear" w:color="auto" w:fill="CFF0FC"/>
          </w:tcPr>
          <w:p>
            <w:pPr>
              <w:jc w:val="right"/>
              <w:ind w:right="120"/>
              <w:spacing w:after="0" w:line="193" w:lineRule="exact"/>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3"/>
        </w:trPr>
        <w:tc>
          <w:tcPr>
            <w:tcW w:w="3740" w:type="dxa"/>
            <w:vAlign w:val="bottom"/>
          </w:tcPr>
          <w:p>
            <w:pPr>
              <w:ind w:left="20"/>
              <w:spacing w:after="0" w:line="193" w:lineRule="exact"/>
              <w:rPr>
                <w:sz w:val="20"/>
                <w:szCs w:val="20"/>
                <w:color w:val="auto"/>
              </w:rPr>
            </w:pPr>
            <w:r>
              <w:rPr>
                <w:rFonts w:ascii="Calibri" w:cs="Calibri" w:eastAsia="Calibri" w:hAnsi="Calibri"/>
                <w:sz w:val="16"/>
                <w:szCs w:val="16"/>
                <w:color w:val="auto"/>
              </w:rPr>
              <w:t>Stock-based compensaton</w:t>
            </w: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gridSpan w:val="3"/>
          </w:tcPr>
          <w:p>
            <w:pPr>
              <w:jc w:val="right"/>
              <w:ind w:right="899"/>
              <w:spacing w:after="0" w:line="193" w:lineRule="exact"/>
              <w:rPr>
                <w:sz w:val="20"/>
                <w:szCs w:val="20"/>
                <w:color w:val="auto"/>
              </w:rPr>
            </w:pPr>
            <w:r>
              <w:rPr>
                <w:rFonts w:ascii="Calibri" w:cs="Calibri" w:eastAsia="Calibri" w:hAnsi="Calibri"/>
                <w:sz w:val="16"/>
                <w:szCs w:val="16"/>
                <w:color w:val="auto"/>
                <w:w w:val="96"/>
              </w:rPr>
              <w:t>—</w:t>
            </w:r>
          </w:p>
        </w:tc>
        <w:tc>
          <w:tcPr>
            <w:tcW w:w="180" w:type="dxa"/>
            <w:vAlign w:val="bottom"/>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5,775</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5,775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40" w:type="dxa"/>
            <w:vAlign w:val="bottom"/>
            <w:gridSpan w:val="3"/>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gridSpan w:val="3"/>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ESPP shares issued</w:t>
            </w:r>
          </w:p>
        </w:tc>
        <w:tc>
          <w:tcPr>
            <w:tcW w:w="9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39,951</w:t>
            </w:r>
          </w:p>
        </w:tc>
        <w:tc>
          <w:tcPr>
            <w:tcW w:w="3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3"/>
            <w:shd w:val="clear" w:color="auto" w:fill="CFF0FC"/>
          </w:tcPr>
          <w:p>
            <w:pPr>
              <w:jc w:val="right"/>
              <w:ind w:right="899"/>
              <w:spacing w:after="0" w:line="193" w:lineRule="exact"/>
              <w:rPr>
                <w:sz w:val="20"/>
                <w:szCs w:val="20"/>
                <w:color w:val="auto"/>
              </w:rPr>
            </w:pPr>
            <w:r>
              <w:rPr>
                <w:rFonts w:ascii="Calibri" w:cs="Calibri" w:eastAsia="Calibri" w:hAnsi="Calibri"/>
                <w:sz w:val="16"/>
                <w:szCs w:val="16"/>
                <w:color w:val="auto"/>
                <w:w w:val="96"/>
              </w:rPr>
              <w:t>—</w:t>
            </w:r>
          </w:p>
        </w:tc>
        <w:tc>
          <w:tcPr>
            <w:tcW w:w="1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515</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gridSpan w:val="3"/>
            <w:shd w:val="clear" w:color="auto" w:fill="CFF0FC"/>
          </w:tcPr>
          <w:p>
            <w:pPr>
              <w:jc w:val="right"/>
              <w:ind w:right="319"/>
              <w:spacing w:after="0" w:line="193" w:lineRule="exact"/>
              <w:rPr>
                <w:sz w:val="20"/>
                <w:szCs w:val="20"/>
                <w:color w:val="auto"/>
              </w:rPr>
            </w:pPr>
            <w:r>
              <w:rPr>
                <w:rFonts w:ascii="Calibri" w:cs="Calibri" w:eastAsia="Calibri" w:hAnsi="Calibri"/>
                <w:sz w:val="16"/>
                <w:szCs w:val="16"/>
                <w:color w:val="auto"/>
              </w:rPr>
              <w:t>—</w:t>
            </w:r>
          </w:p>
        </w:tc>
        <w:tc>
          <w:tcPr>
            <w:tcW w:w="10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40" w:type="dxa"/>
            <w:vAlign w:val="bottom"/>
          </w:tcPr>
          <w:p>
            <w:pPr>
              <w:ind w:left="20"/>
              <w:spacing w:after="0" w:line="193" w:lineRule="exact"/>
              <w:rPr>
                <w:sz w:val="20"/>
                <w:szCs w:val="20"/>
                <w:color w:val="auto"/>
              </w:rPr>
            </w:pPr>
            <w:r>
              <w:rPr>
                <w:rFonts w:ascii="Calibri" w:cs="Calibri" w:eastAsia="Calibri" w:hAnsi="Calibri"/>
                <w:sz w:val="16"/>
                <w:szCs w:val="16"/>
                <w:color w:val="auto"/>
              </w:rPr>
              <w:t>Net loss</w:t>
            </w:r>
          </w:p>
        </w:tc>
        <w:tc>
          <w:tcPr>
            <w:tcW w:w="9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40" w:type="dxa"/>
            <w:vAlign w:val="bottom"/>
            <w:gridSpan w:val="3"/>
          </w:tcPr>
          <w:p>
            <w:pPr>
              <w:jc w:val="right"/>
              <w:ind w:right="899"/>
              <w:spacing w:after="0" w:line="193" w:lineRule="exact"/>
              <w:rPr>
                <w:sz w:val="20"/>
                <w:szCs w:val="20"/>
                <w:color w:val="auto"/>
              </w:rPr>
            </w:pPr>
            <w:r>
              <w:rPr>
                <w:rFonts w:ascii="Calibri" w:cs="Calibri" w:eastAsia="Calibri" w:hAnsi="Calibri"/>
                <w:sz w:val="16"/>
                <w:szCs w:val="16"/>
                <w:color w:val="auto"/>
                <w:w w:val="96"/>
              </w:rPr>
              <w:t>—</w:t>
            </w:r>
          </w:p>
        </w:tc>
        <w:tc>
          <w:tcPr>
            <w:tcW w:w="180" w:type="dxa"/>
            <w:vAlign w:val="bottom"/>
          </w:tcPr>
          <w:p>
            <w:pPr>
              <w:jc w:val="right"/>
              <w:spacing w:after="0" w:line="193" w:lineRule="exact"/>
              <w:rPr>
                <w:sz w:val="20"/>
                <w:szCs w:val="20"/>
                <w:color w:val="auto"/>
              </w:rPr>
            </w:pPr>
            <w:r>
              <w:rPr>
                <w:rFonts w:ascii="Calibri" w:cs="Calibri" w:eastAsia="Calibri" w:hAnsi="Calibri"/>
                <w:sz w:val="16"/>
                <w:szCs w:val="16"/>
                <w:color w:val="auto"/>
                <w:w w:val="96"/>
              </w:rPr>
              <w: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39"/>
              <w:spacing w:after="0" w:line="193" w:lineRule="exact"/>
              <w:rPr>
                <w:sz w:val="20"/>
                <w:szCs w:val="20"/>
                <w:color w:val="auto"/>
              </w:rPr>
            </w:pPr>
            <w:r>
              <w:rPr>
                <w:rFonts w:ascii="Calibri" w:cs="Calibri" w:eastAsia="Calibri" w:hAnsi="Calibri"/>
                <w:sz w:val="16"/>
                <w:szCs w:val="16"/>
                <w:color w:val="auto"/>
              </w:rPr>
              <w:t>(40,665 )</w:t>
            </w:r>
          </w:p>
        </w:tc>
        <w:tc>
          <w:tcPr>
            <w:tcW w:w="100" w:type="dxa"/>
            <w:vAlign w:val="bottom"/>
          </w:tcPr>
          <w:p>
            <w:pPr>
              <w:spacing w:after="0"/>
              <w:rPr>
                <w:sz w:val="16"/>
                <w:szCs w:val="16"/>
                <w:color w:val="auto"/>
              </w:rPr>
            </w:pPr>
          </w:p>
        </w:tc>
        <w:tc>
          <w:tcPr>
            <w:tcW w:w="114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(40,665 )</w:t>
            </w:r>
          </w:p>
        </w:tc>
        <w:tc>
          <w:tcPr>
            <w:tcW w:w="0" w:type="dxa"/>
            <w:vAlign w:val="bottom"/>
          </w:tcPr>
          <w:p>
            <w:pPr>
              <w:spacing w:after="0"/>
              <w:rPr>
                <w:sz w:val="1"/>
                <w:szCs w:val="1"/>
                <w:color w:val="auto"/>
              </w:rPr>
            </w:pPr>
          </w:p>
        </w:tc>
      </w:tr>
      <w:tr>
        <w:trPr>
          <w:trHeight w:val="36"/>
        </w:trPr>
        <w:tc>
          <w:tcPr>
            <w:tcW w:w="3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gridSpan w:val="2"/>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1400" w:type="dxa"/>
            <w:vAlign w:val="bottom"/>
            <w:gridSpan w:val="3"/>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Balance at March 31, 2022</w:t>
            </w:r>
          </w:p>
        </w:tc>
        <w:tc>
          <w:tcPr>
            <w:tcW w:w="92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38,149,813</w:t>
            </w:r>
          </w:p>
        </w:tc>
        <w:tc>
          <w:tcPr>
            <w:tcW w:w="30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top w:val="single" w:sz="8" w:color="auto"/>
              <w:bottom w:val="single" w:sz="8" w:color="CFF0FC"/>
            </w:tcBorders>
            <w:shd w:val="clear" w:color="auto" w:fill="CFF0FC"/>
          </w:tcPr>
          <w:p>
            <w:pPr>
              <w:jc w:val="right"/>
              <w:ind w:right="519"/>
              <w:spacing w:after="0" w:line="187" w:lineRule="exact"/>
              <w:rPr>
                <w:sz w:val="20"/>
                <w:szCs w:val="20"/>
                <w:color w:val="auto"/>
              </w:rPr>
            </w:pPr>
            <w:r>
              <w:rPr>
                <w:rFonts w:ascii="Calibri" w:cs="Calibri" w:eastAsia="Calibri" w:hAnsi="Calibri"/>
                <w:sz w:val="16"/>
                <w:szCs w:val="16"/>
                <w:color w:val="auto"/>
                <w:w w:val="97"/>
              </w:rPr>
              <w:t>$</w:t>
            </w:r>
          </w:p>
        </w:tc>
        <w:tc>
          <w:tcPr>
            <w:tcW w:w="16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w:t>
            </w:r>
          </w:p>
        </w:tc>
        <w:tc>
          <w:tcPr>
            <w:tcW w:w="26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top w:val="single" w:sz="8" w:color="auto"/>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85"/>
              </w:rPr>
              <w:t>19</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90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608,067</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2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(570,035</w:t>
            </w:r>
          </w:p>
        </w:tc>
        <w:tc>
          <w:tcPr>
            <w:tcW w:w="280" w:type="dxa"/>
            <w:vAlign w:val="bottom"/>
            <w:tcBorders>
              <w:bottom w:val="single" w:sz="8" w:color="CFF0FC"/>
            </w:tcBorders>
            <w:shd w:val="clear" w:color="auto" w:fill="CFF0FC"/>
          </w:tcPr>
          <w:p>
            <w:pPr>
              <w:jc w:val="right"/>
              <w:ind w:right="139"/>
              <w:spacing w:after="0" w:line="187" w:lineRule="exact"/>
              <w:rPr>
                <w:sz w:val="20"/>
                <w:szCs w:val="20"/>
                <w:color w:val="auto"/>
              </w:rPr>
            </w:pPr>
            <w:r>
              <w:rPr>
                <w:rFonts w:ascii="Calibri" w:cs="Calibri" w:eastAsia="Calibri" w:hAnsi="Calibri"/>
                <w:sz w:val="16"/>
                <w:szCs w:val="16"/>
                <w:color w:val="auto"/>
                <w:w w:val="81"/>
              </w:rPr>
              <w:t>)</w:t>
            </w:r>
          </w:p>
        </w:tc>
        <w:tc>
          <w:tcPr>
            <w:tcW w:w="10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w w:val="97"/>
              </w:rPr>
              <w:t>$</w:t>
            </w:r>
          </w:p>
        </w:tc>
        <w:tc>
          <w:tcPr>
            <w:tcW w:w="1040" w:type="dxa"/>
            <w:vAlign w:val="bottom"/>
            <w:tcBorders>
              <w:top w:val="single" w:sz="8" w:color="auto"/>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38,035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-25400</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-8255</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-25400</wp:posOffset>
            </wp:positionV>
            <wp:extent cx="774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-8255</wp:posOffset>
            </wp:positionV>
            <wp:extent cx="77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-25400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 w:name="page6"/>
    <w:bookmarkEnd w:id="5"/>
    <w:p>
      <w:pPr>
        <w:jc w:val="center"/>
        <w:ind w:right="40"/>
        <w:spacing w:after="0"/>
        <w:rPr>
          <w:sz w:val="20"/>
          <w:szCs w:val="20"/>
          <w:color w:val="auto"/>
        </w:rPr>
      </w:pPr>
      <w:r>
        <w:rPr>
          <w:rFonts w:ascii="Calibri" w:cs="Calibri" w:eastAsia="Calibri" w:hAnsi="Calibri"/>
          <w:sz w:val="18"/>
          <w:szCs w:val="18"/>
          <w:b w:val="1"/>
          <w:bCs w:val="1"/>
          <w:color w:val="auto"/>
        </w:rPr>
        <w:t>PHATHOM PHARMACEUTICALS,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Statements of Cash Flows</w:t>
      </w:r>
    </w:p>
    <w:p>
      <w:pPr>
        <w:jc w:val="center"/>
        <w:spacing w:after="0" w:line="236" w:lineRule="auto"/>
        <w:rPr>
          <w:sz w:val="20"/>
          <w:szCs w:val="20"/>
          <w:color w:val="auto"/>
        </w:rPr>
      </w:pPr>
      <w:r>
        <w:rPr>
          <w:rFonts w:ascii="Calibri" w:cs="Calibri" w:eastAsia="Calibri" w:hAnsi="Calibri"/>
          <w:sz w:val="18"/>
          <w:szCs w:val="18"/>
          <w:b w:val="1"/>
          <w:bCs w:val="1"/>
          <w:color w:val="auto"/>
        </w:rPr>
        <w:t>(Unaudited)</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Calibri" w:cs="Calibri" w:eastAsia="Calibri" w:hAnsi="Calibri"/>
                <w:sz w:val="16"/>
                <w:szCs w:val="16"/>
                <w:b w:val="1"/>
                <w:bCs w:val="1"/>
                <w:color w:val="auto"/>
              </w:rPr>
              <w:t>Three Months Ended</w:t>
            </w:r>
          </w:p>
        </w:tc>
        <w:tc>
          <w:tcPr>
            <w:tcW w:w="1060" w:type="dxa"/>
            <w:vAlign w:val="bottom"/>
          </w:tcPr>
          <w:p>
            <w:pPr>
              <w:spacing w:after="0"/>
              <w:rPr>
                <w:sz w:val="16"/>
                <w:szCs w:val="16"/>
                <w:color w:val="auto"/>
              </w:rPr>
            </w:pPr>
          </w:p>
        </w:tc>
      </w:tr>
      <w:tr>
        <w:trPr>
          <w:trHeight w:val="203"/>
        </w:trPr>
        <w:tc>
          <w:tcPr>
            <w:tcW w:w="7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gridSpan w:val="3"/>
          </w:tcPr>
          <w:p>
            <w:pPr>
              <w:jc w:val="right"/>
              <w:ind w:right="299"/>
              <w:spacing w:after="0"/>
              <w:rPr>
                <w:sz w:val="20"/>
                <w:szCs w:val="20"/>
                <w:color w:val="auto"/>
              </w:rPr>
            </w:pPr>
            <w:r>
              <w:rPr>
                <w:rFonts w:ascii="Calibri" w:cs="Calibri" w:eastAsia="Calibri" w:hAnsi="Calibri"/>
                <w:sz w:val="16"/>
                <w:szCs w:val="16"/>
                <w:b w:val="1"/>
                <w:bCs w:val="1"/>
                <w:color w:val="auto"/>
              </w:rPr>
              <w:t>March 31,</w:t>
            </w:r>
          </w:p>
        </w:tc>
        <w:tc>
          <w:tcPr>
            <w:tcW w:w="1060" w:type="dxa"/>
            <w:vAlign w:val="bottom"/>
          </w:tcPr>
          <w:p>
            <w:pPr>
              <w:spacing w:after="0"/>
              <w:rPr>
                <w:sz w:val="17"/>
                <w:szCs w:val="17"/>
                <w:color w:val="auto"/>
              </w:rPr>
            </w:pPr>
          </w:p>
        </w:tc>
      </w:tr>
      <w:tr>
        <w:trPr>
          <w:trHeight w:val="41"/>
        </w:trPr>
        <w:tc>
          <w:tcPr>
            <w:tcW w:w="78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7"/>
        </w:trPr>
        <w:tc>
          <w:tcPr>
            <w:tcW w:w="7800" w:type="dxa"/>
            <w:vAlign w:val="bottom"/>
          </w:tcPr>
          <w:p>
            <w:pPr>
              <w:spacing w:after="0"/>
              <w:rPr>
                <w:sz w:val="16"/>
                <w:szCs w:val="16"/>
                <w:color w:val="auto"/>
              </w:rPr>
            </w:pPr>
          </w:p>
        </w:tc>
        <w:tc>
          <w:tcPr>
            <w:tcW w:w="940" w:type="dxa"/>
            <w:vAlign w:val="bottom"/>
          </w:tcPr>
          <w:p>
            <w:pPr>
              <w:jc w:val="right"/>
              <w:spacing w:after="0" w:line="187" w:lineRule="exact"/>
              <w:rPr>
                <w:sz w:val="20"/>
                <w:szCs w:val="20"/>
                <w:color w:val="auto"/>
              </w:rPr>
            </w:pPr>
            <w:r>
              <w:rPr>
                <w:rFonts w:ascii="Calibri" w:cs="Calibri" w:eastAsia="Calibri" w:hAnsi="Calibri"/>
                <w:sz w:val="16"/>
                <w:szCs w:val="16"/>
                <w:b w:val="1"/>
                <w:bCs w:val="1"/>
                <w:color w:val="auto"/>
              </w:rPr>
              <w:t>2023</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ind w:right="619"/>
              <w:spacing w:after="0" w:line="187" w:lineRule="exact"/>
              <w:rPr>
                <w:sz w:val="20"/>
                <w:szCs w:val="20"/>
                <w:color w:val="auto"/>
              </w:rPr>
            </w:pPr>
            <w:r>
              <w:rPr>
                <w:rFonts w:ascii="Calibri" w:cs="Calibri" w:eastAsia="Calibri" w:hAnsi="Calibri"/>
                <w:sz w:val="16"/>
                <w:szCs w:val="16"/>
                <w:b w:val="1"/>
                <w:bCs w:val="1"/>
                <w:color w:val="auto"/>
              </w:rPr>
              <w:t>2022</w:t>
            </w:r>
          </w:p>
        </w:tc>
      </w:tr>
      <w:tr>
        <w:trPr>
          <w:trHeight w:val="36"/>
        </w:trPr>
        <w:tc>
          <w:tcPr>
            <w:tcW w:w="78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3"/>
        </w:trPr>
        <w:tc>
          <w:tcPr>
            <w:tcW w:w="780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b w:val="1"/>
                <w:bCs w:val="1"/>
                <w:color w:val="auto"/>
              </w:rPr>
              <w:t>Cash fows from operatng actvites</w:t>
            </w:r>
          </w:p>
        </w:tc>
        <w:tc>
          <w:tcPr>
            <w:tcW w:w="94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56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r>
      <w:tr>
        <w:trPr>
          <w:trHeight w:val="193"/>
        </w:trPr>
        <w:tc>
          <w:tcPr>
            <w:tcW w:w="7800" w:type="dxa"/>
            <w:vAlign w:val="bottom"/>
          </w:tcPr>
          <w:p>
            <w:pPr>
              <w:ind w:left="20"/>
              <w:spacing w:after="0" w:line="193" w:lineRule="exact"/>
              <w:rPr>
                <w:sz w:val="20"/>
                <w:szCs w:val="20"/>
                <w:color w:val="auto"/>
              </w:rPr>
            </w:pPr>
            <w:r>
              <w:rPr>
                <w:rFonts w:ascii="Calibri" w:cs="Calibri" w:eastAsia="Calibri" w:hAnsi="Calibri"/>
                <w:sz w:val="16"/>
                <w:szCs w:val="16"/>
                <w:color w:val="auto"/>
              </w:rPr>
              <w:t>Net loss</w:t>
            </w:r>
          </w:p>
        </w:tc>
        <w:tc>
          <w:tcPr>
            <w:tcW w:w="940" w:type="dxa"/>
            <w:vAlign w:val="bottom"/>
          </w:tcPr>
          <w:p>
            <w:pPr>
              <w:jc w:val="right"/>
              <w:ind w:right="759"/>
              <w:spacing w:after="0" w:line="193" w:lineRule="exact"/>
              <w:rPr>
                <w:sz w:val="20"/>
                <w:szCs w:val="20"/>
                <w:color w:val="auto"/>
              </w:rPr>
            </w:pPr>
            <w:r>
              <w:rPr>
                <w:rFonts w:ascii="Calibri" w:cs="Calibri" w:eastAsia="Calibri" w:hAnsi="Calibri"/>
                <w:sz w:val="16"/>
                <w:szCs w:val="16"/>
                <w:color w:val="auto"/>
                <w:w w:val="97"/>
              </w:rPr>
              <w:t>$</w:t>
            </w:r>
          </w:p>
        </w:tc>
        <w:tc>
          <w:tcPr>
            <w:tcW w:w="700" w:type="dxa"/>
            <w:vAlign w:val="bottom"/>
          </w:tcPr>
          <w:p>
            <w:pPr>
              <w:jc w:val="right"/>
              <w:spacing w:after="0" w:line="193" w:lineRule="exact"/>
              <w:rPr>
                <w:sz w:val="20"/>
                <w:szCs w:val="20"/>
                <w:color w:val="auto"/>
              </w:rPr>
            </w:pPr>
            <w:r>
              <w:rPr>
                <w:rFonts w:ascii="Calibri" w:cs="Calibri" w:eastAsia="Calibri" w:hAnsi="Calibri"/>
                <w:sz w:val="16"/>
                <w:szCs w:val="16"/>
                <w:color w:val="auto"/>
              </w:rPr>
              <w:t>(37,814 )</w:t>
            </w:r>
          </w:p>
        </w:tc>
        <w:tc>
          <w:tcPr>
            <w:tcW w:w="740" w:type="dxa"/>
            <w:vAlign w:val="bottom"/>
            <w:gridSpan w:val="2"/>
          </w:tcPr>
          <w:p>
            <w:pPr>
              <w:jc w:val="right"/>
              <w:ind w:right="379"/>
              <w:spacing w:after="0" w:line="193" w:lineRule="exact"/>
              <w:rPr>
                <w:sz w:val="20"/>
                <w:szCs w:val="20"/>
                <w:color w:val="auto"/>
              </w:rPr>
            </w:pPr>
            <w:r>
              <w:rPr>
                <w:rFonts w:ascii="Calibri" w:cs="Calibri" w:eastAsia="Calibri" w:hAnsi="Calibri"/>
                <w:sz w:val="16"/>
                <w:szCs w:val="16"/>
                <w:color w:val="auto"/>
              </w:rPr>
              <w:t>$</w:t>
            </w: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(40,665 )</w:t>
            </w:r>
          </w:p>
        </w:tc>
      </w:tr>
      <w:tr>
        <w:trPr>
          <w:trHeight w:val="36"/>
        </w:trPr>
        <w:tc>
          <w:tcPr>
            <w:tcW w:w="7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780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Adjustments to reconcile net loss to net cash used in operatng actvites:</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r>
      <w:tr>
        <w:trPr>
          <w:trHeight w:val="193"/>
        </w:trPr>
        <w:tc>
          <w:tcPr>
            <w:tcW w:w="7800" w:type="dxa"/>
            <w:vAlign w:val="bottom"/>
          </w:tcPr>
          <w:p>
            <w:pPr>
              <w:ind w:left="200"/>
              <w:spacing w:after="0" w:line="193" w:lineRule="exact"/>
              <w:rPr>
                <w:sz w:val="20"/>
                <w:szCs w:val="20"/>
                <w:color w:val="auto"/>
              </w:rPr>
            </w:pPr>
            <w:r>
              <w:rPr>
                <w:rFonts w:ascii="Calibri" w:cs="Calibri" w:eastAsia="Calibri" w:hAnsi="Calibri"/>
                <w:sz w:val="16"/>
                <w:szCs w:val="16"/>
                <w:color w:val="auto"/>
              </w:rPr>
              <w:t>Depreciaton and amortzaton</w:t>
            </w:r>
          </w:p>
        </w:tc>
        <w:tc>
          <w:tcPr>
            <w:tcW w:w="940" w:type="dxa"/>
            <w:vAlign w:val="bottom"/>
          </w:tcPr>
          <w:p>
            <w:pPr>
              <w:spacing w:after="0"/>
              <w:rPr>
                <w:sz w:val="16"/>
                <w:szCs w:val="16"/>
                <w:color w:val="auto"/>
              </w:rPr>
            </w:pPr>
          </w:p>
        </w:tc>
        <w:tc>
          <w:tcPr>
            <w:tcW w:w="7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146</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128</w:t>
            </w:r>
          </w:p>
        </w:tc>
      </w:tr>
      <w:tr>
        <w:trPr>
          <w:trHeight w:val="36"/>
        </w:trPr>
        <w:tc>
          <w:tcPr>
            <w:tcW w:w="7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7800" w:type="dxa"/>
            <w:vAlign w:val="bottom"/>
            <w:tcBorders>
              <w:bottom w:val="single" w:sz="8" w:color="CFF0FC"/>
            </w:tcBorders>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Stock-based compensaton</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7,048</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5,775</w:t>
            </w:r>
          </w:p>
        </w:tc>
      </w:tr>
      <w:tr>
        <w:trPr>
          <w:trHeight w:val="193"/>
        </w:trPr>
        <w:tc>
          <w:tcPr>
            <w:tcW w:w="7800" w:type="dxa"/>
            <w:vAlign w:val="bottom"/>
          </w:tcPr>
          <w:p>
            <w:pPr>
              <w:ind w:left="200"/>
              <w:spacing w:after="0" w:line="193" w:lineRule="exact"/>
              <w:rPr>
                <w:sz w:val="20"/>
                <w:szCs w:val="20"/>
                <w:color w:val="auto"/>
              </w:rPr>
            </w:pPr>
            <w:r>
              <w:rPr>
                <w:rFonts w:ascii="Calibri" w:cs="Calibri" w:eastAsia="Calibri" w:hAnsi="Calibri"/>
                <w:sz w:val="16"/>
                <w:szCs w:val="16"/>
                <w:color w:val="auto"/>
              </w:rPr>
              <w:t>Issuance of PIK interest debt</w:t>
            </w:r>
          </w:p>
        </w:tc>
        <w:tc>
          <w:tcPr>
            <w:tcW w:w="940" w:type="dxa"/>
            <w:vAlign w:val="bottom"/>
          </w:tcPr>
          <w:p>
            <w:pPr>
              <w:spacing w:after="0"/>
              <w:rPr>
                <w:sz w:val="16"/>
                <w:szCs w:val="16"/>
                <w:color w:val="auto"/>
              </w:rPr>
            </w:pPr>
          </w:p>
        </w:tc>
        <w:tc>
          <w:tcPr>
            <w:tcW w:w="7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877</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848</w:t>
            </w:r>
          </w:p>
        </w:tc>
      </w:tr>
      <w:tr>
        <w:trPr>
          <w:trHeight w:val="36"/>
        </w:trPr>
        <w:tc>
          <w:tcPr>
            <w:tcW w:w="7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7800" w:type="dxa"/>
            <w:vAlign w:val="bottom"/>
            <w:tcBorders>
              <w:bottom w:val="single" w:sz="8" w:color="CFF0FC"/>
            </w:tcBorders>
            <w:shd w:val="clear" w:color="auto" w:fill="CFF0FC"/>
          </w:tcPr>
          <w:p>
            <w:pPr>
              <w:ind w:left="240"/>
              <w:spacing w:after="0" w:line="193" w:lineRule="exact"/>
              <w:rPr>
                <w:sz w:val="20"/>
                <w:szCs w:val="20"/>
                <w:color w:val="auto"/>
              </w:rPr>
            </w:pPr>
            <w:r>
              <w:rPr>
                <w:rFonts w:ascii="Calibri" w:cs="Calibri" w:eastAsia="Calibri" w:hAnsi="Calibri"/>
                <w:sz w:val="16"/>
                <w:szCs w:val="16"/>
                <w:color w:val="auto"/>
              </w:rPr>
              <w:t>Accrued interest on revenue interest fnancing liability</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5,154</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w:t>
            </w:r>
          </w:p>
        </w:tc>
      </w:tr>
      <w:tr>
        <w:trPr>
          <w:trHeight w:val="193"/>
        </w:trPr>
        <w:tc>
          <w:tcPr>
            <w:tcW w:w="7800" w:type="dxa"/>
            <w:vAlign w:val="bottom"/>
          </w:tcPr>
          <w:p>
            <w:pPr>
              <w:ind w:left="200"/>
              <w:spacing w:after="0" w:line="193" w:lineRule="exact"/>
              <w:rPr>
                <w:sz w:val="20"/>
                <w:szCs w:val="20"/>
                <w:color w:val="auto"/>
              </w:rPr>
            </w:pPr>
            <w:r>
              <w:rPr>
                <w:rFonts w:ascii="Calibri" w:cs="Calibri" w:eastAsia="Calibri" w:hAnsi="Calibri"/>
                <w:sz w:val="16"/>
                <w:szCs w:val="16"/>
                <w:color w:val="auto"/>
              </w:rPr>
              <w:t>Amortzaton of debt discount</w:t>
            </w:r>
          </w:p>
        </w:tc>
        <w:tc>
          <w:tcPr>
            <w:tcW w:w="940" w:type="dxa"/>
            <w:vAlign w:val="bottom"/>
          </w:tcPr>
          <w:p>
            <w:pPr>
              <w:spacing w:after="0"/>
              <w:rPr>
                <w:sz w:val="16"/>
                <w:szCs w:val="16"/>
                <w:color w:val="auto"/>
              </w:rPr>
            </w:pPr>
          </w:p>
        </w:tc>
        <w:tc>
          <w:tcPr>
            <w:tcW w:w="7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496</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518</w:t>
            </w:r>
          </w:p>
        </w:tc>
      </w:tr>
      <w:tr>
        <w:trPr>
          <w:trHeight w:val="36"/>
        </w:trPr>
        <w:tc>
          <w:tcPr>
            <w:tcW w:w="7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10"/>
        </w:trPr>
        <w:tc>
          <w:tcPr>
            <w:tcW w:w="7800" w:type="dxa"/>
            <w:vAlign w:val="bottom"/>
            <w:tcBorders>
              <w:bottom w:val="single" w:sz="8" w:color="CFF0FC"/>
            </w:tcBorders>
            <w:shd w:val="clear" w:color="auto" w:fill="CFF0FC"/>
          </w:tcPr>
          <w:p>
            <w:pPr>
              <w:ind w:left="200"/>
              <w:spacing w:after="0" w:line="193" w:lineRule="exact"/>
              <w:rPr>
                <w:sz w:val="20"/>
                <w:szCs w:val="20"/>
                <w:color w:val="auto"/>
              </w:rPr>
            </w:pPr>
            <w:r>
              <w:rPr>
                <w:rFonts w:ascii="Calibri" w:cs="Calibri" w:eastAsia="Calibri" w:hAnsi="Calibri"/>
                <w:sz w:val="16"/>
                <w:szCs w:val="16"/>
                <w:color w:val="auto"/>
              </w:rPr>
              <w:t>Other</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763</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591</w:t>
            </w:r>
          </w:p>
        </w:tc>
      </w:tr>
      <w:tr>
        <w:trPr>
          <w:trHeight w:val="193"/>
        </w:trPr>
        <w:tc>
          <w:tcPr>
            <w:tcW w:w="7800" w:type="dxa"/>
            <w:vAlign w:val="bottom"/>
          </w:tcPr>
          <w:p>
            <w:pPr>
              <w:ind w:left="200"/>
              <w:spacing w:after="0" w:line="193" w:lineRule="exact"/>
              <w:rPr>
                <w:sz w:val="20"/>
                <w:szCs w:val="20"/>
                <w:color w:val="auto"/>
              </w:rPr>
            </w:pPr>
            <w:r>
              <w:rPr>
                <w:rFonts w:ascii="Calibri" w:cs="Calibri" w:eastAsia="Calibri" w:hAnsi="Calibri"/>
                <w:sz w:val="16"/>
                <w:szCs w:val="16"/>
                <w:color w:val="auto"/>
              </w:rPr>
              <w:t>Changes in operatng assets and liabilites:</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6"/>
        </w:trPr>
        <w:tc>
          <w:tcPr>
            <w:tcW w:w="7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7800" w:type="dxa"/>
            <w:vAlign w:val="bottom"/>
            <w:tcBorders>
              <w:bottom w:val="single" w:sz="8" w:color="CFF0FC"/>
            </w:tcBorders>
            <w:shd w:val="clear" w:color="auto" w:fill="CFF0FC"/>
          </w:tcPr>
          <w:p>
            <w:pPr>
              <w:ind w:left="380"/>
              <w:spacing w:after="0" w:line="193" w:lineRule="exact"/>
              <w:rPr>
                <w:sz w:val="20"/>
                <w:szCs w:val="20"/>
                <w:color w:val="auto"/>
              </w:rPr>
            </w:pPr>
            <w:r>
              <w:rPr>
                <w:rFonts w:ascii="Calibri" w:cs="Calibri" w:eastAsia="Calibri" w:hAnsi="Calibri"/>
                <w:sz w:val="16"/>
                <w:szCs w:val="16"/>
                <w:color w:val="auto"/>
              </w:rPr>
              <w:t>Prepaid expenses and other current assets</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(5,143 )</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(4,384 )</w:t>
            </w:r>
          </w:p>
        </w:tc>
      </w:tr>
      <w:tr>
        <w:trPr>
          <w:trHeight w:val="193"/>
        </w:trPr>
        <w:tc>
          <w:tcPr>
            <w:tcW w:w="7800" w:type="dxa"/>
            <w:vAlign w:val="bottom"/>
          </w:tcPr>
          <w:p>
            <w:pPr>
              <w:ind w:left="380"/>
              <w:spacing w:after="0" w:line="193" w:lineRule="exact"/>
              <w:rPr>
                <w:sz w:val="20"/>
                <w:szCs w:val="20"/>
                <w:color w:val="auto"/>
              </w:rPr>
            </w:pPr>
            <w:r>
              <w:rPr>
                <w:rFonts w:ascii="Calibri" w:cs="Calibri" w:eastAsia="Calibri" w:hAnsi="Calibri"/>
                <w:sz w:val="16"/>
                <w:szCs w:val="16"/>
                <w:color w:val="auto"/>
              </w:rPr>
              <w:t>Accounts payable and accrued expenses (includes changes in related party amounts of $137 and $2,719,</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8"/>
        </w:trPr>
        <w:tc>
          <w:tcPr>
            <w:tcW w:w="7800" w:type="dxa"/>
            <w:vAlign w:val="bottom"/>
          </w:tcPr>
          <w:p>
            <w:pPr>
              <w:ind w:left="380"/>
              <w:spacing w:after="0"/>
              <w:rPr>
                <w:sz w:val="20"/>
                <w:szCs w:val="20"/>
                <w:color w:val="auto"/>
              </w:rPr>
            </w:pPr>
            <w:r>
              <w:rPr>
                <w:rFonts w:ascii="Calibri" w:cs="Calibri" w:eastAsia="Calibri" w:hAnsi="Calibri"/>
                <w:sz w:val="16"/>
                <w:szCs w:val="16"/>
                <w:color w:val="auto"/>
              </w:rPr>
              <w:t>respectvely)</w:t>
            </w:r>
          </w:p>
        </w:tc>
        <w:tc>
          <w:tcPr>
            <w:tcW w:w="9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Calibri" w:cs="Calibri" w:eastAsia="Calibri" w:hAnsi="Calibri"/>
                <w:sz w:val="16"/>
                <w:szCs w:val="16"/>
                <w:color w:val="auto"/>
              </w:rPr>
              <w:t>(11,303 )</w:t>
            </w: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Calibri" w:cs="Calibri" w:eastAsia="Calibri" w:hAnsi="Calibri"/>
                <w:sz w:val="16"/>
                <w:szCs w:val="16"/>
                <w:color w:val="auto"/>
              </w:rPr>
              <w:t>(6,075 )</w:t>
            </w:r>
          </w:p>
        </w:tc>
      </w:tr>
      <w:tr>
        <w:trPr>
          <w:trHeight w:val="41"/>
        </w:trPr>
        <w:tc>
          <w:tcPr>
            <w:tcW w:w="7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7800" w:type="dxa"/>
            <w:vAlign w:val="bottom"/>
            <w:tcBorders>
              <w:bottom w:val="single" w:sz="8" w:color="CFF0FC"/>
            </w:tcBorders>
            <w:shd w:val="clear" w:color="auto" w:fill="CFF0FC"/>
          </w:tcPr>
          <w:p>
            <w:pPr>
              <w:ind w:left="380"/>
              <w:spacing w:after="0" w:line="193" w:lineRule="exact"/>
              <w:rPr>
                <w:sz w:val="20"/>
                <w:szCs w:val="20"/>
                <w:color w:val="auto"/>
              </w:rPr>
            </w:pPr>
            <w:r>
              <w:rPr>
                <w:rFonts w:ascii="Calibri" w:cs="Calibri" w:eastAsia="Calibri" w:hAnsi="Calibri"/>
                <w:sz w:val="16"/>
                <w:szCs w:val="16"/>
                <w:color w:val="auto"/>
              </w:rPr>
              <w:t>Accrued clinical trial expenses</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(1,402 )</w:t>
            </w:r>
          </w:p>
        </w:tc>
      </w:tr>
      <w:tr>
        <w:trPr>
          <w:trHeight w:val="193"/>
        </w:trPr>
        <w:tc>
          <w:tcPr>
            <w:tcW w:w="7800" w:type="dxa"/>
            <w:vAlign w:val="bottom"/>
          </w:tcPr>
          <w:p>
            <w:pPr>
              <w:ind w:left="380"/>
              <w:spacing w:after="0" w:line="193" w:lineRule="exact"/>
              <w:rPr>
                <w:sz w:val="20"/>
                <w:szCs w:val="20"/>
                <w:color w:val="auto"/>
              </w:rPr>
            </w:pPr>
            <w:r>
              <w:rPr>
                <w:rFonts w:ascii="Calibri" w:cs="Calibri" w:eastAsia="Calibri" w:hAnsi="Calibri"/>
                <w:sz w:val="16"/>
                <w:szCs w:val="16"/>
                <w:color w:val="auto"/>
              </w:rPr>
              <w:t>Accrued interest</w:t>
            </w:r>
          </w:p>
        </w:tc>
        <w:tc>
          <w:tcPr>
            <w:tcW w:w="940" w:type="dxa"/>
            <w:vAlign w:val="bottom"/>
          </w:tcPr>
          <w:p>
            <w:pPr>
              <w:spacing w:after="0"/>
              <w:rPr>
                <w:sz w:val="16"/>
                <w:szCs w:val="16"/>
                <w:color w:val="auto"/>
              </w:rPr>
            </w:pPr>
          </w:p>
        </w:tc>
        <w:tc>
          <w:tcPr>
            <w:tcW w:w="7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57</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4</w:t>
            </w:r>
          </w:p>
        </w:tc>
      </w:tr>
      <w:tr>
        <w:trPr>
          <w:trHeight w:val="36"/>
        </w:trPr>
        <w:tc>
          <w:tcPr>
            <w:tcW w:w="7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09"/>
        </w:trPr>
        <w:tc>
          <w:tcPr>
            <w:tcW w:w="7800" w:type="dxa"/>
            <w:vAlign w:val="bottom"/>
            <w:tcBorders>
              <w:bottom w:val="single" w:sz="8" w:color="CFF0FC"/>
            </w:tcBorders>
            <w:shd w:val="clear" w:color="auto" w:fill="CFF0FC"/>
          </w:tcPr>
          <w:p>
            <w:pPr>
              <w:ind w:left="380"/>
              <w:spacing w:after="0" w:line="193" w:lineRule="exact"/>
              <w:rPr>
                <w:sz w:val="20"/>
                <w:szCs w:val="20"/>
                <w:color w:val="auto"/>
              </w:rPr>
            </w:pPr>
            <w:r>
              <w:rPr>
                <w:rFonts w:ascii="Calibri" w:cs="Calibri" w:eastAsia="Calibri" w:hAnsi="Calibri"/>
                <w:sz w:val="16"/>
                <w:szCs w:val="16"/>
                <w:color w:val="auto"/>
              </w:rPr>
              <w:t>Operatng right-of-use assets and lease liabilites</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50</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ind w:right="39"/>
              <w:spacing w:after="0" w:line="193" w:lineRule="exact"/>
              <w:rPr>
                <w:sz w:val="20"/>
                <w:szCs w:val="20"/>
                <w:color w:val="auto"/>
              </w:rPr>
            </w:pPr>
            <w:r>
              <w:rPr>
                <w:rFonts w:ascii="Calibri" w:cs="Calibri" w:eastAsia="Calibri" w:hAnsi="Calibri"/>
                <w:sz w:val="16"/>
                <w:szCs w:val="16"/>
                <w:color w:val="auto"/>
              </w:rPr>
              <w:t>22</w:t>
            </w:r>
          </w:p>
        </w:tc>
      </w:tr>
      <w:tr>
        <w:trPr>
          <w:trHeight w:val="193"/>
        </w:trPr>
        <w:tc>
          <w:tcPr>
            <w:tcW w:w="7800" w:type="dxa"/>
            <w:vAlign w:val="bottom"/>
          </w:tcPr>
          <w:p>
            <w:pPr>
              <w:ind w:left="380"/>
              <w:spacing w:after="0" w:line="193" w:lineRule="exact"/>
              <w:rPr>
                <w:sz w:val="20"/>
                <w:szCs w:val="20"/>
                <w:color w:val="auto"/>
              </w:rPr>
            </w:pPr>
            <w:r>
              <w:rPr>
                <w:rFonts w:ascii="Calibri" w:cs="Calibri" w:eastAsia="Calibri" w:hAnsi="Calibri"/>
                <w:sz w:val="16"/>
                <w:szCs w:val="16"/>
                <w:color w:val="auto"/>
              </w:rPr>
              <w:t>Other long-term assets</w:t>
            </w:r>
          </w:p>
        </w:tc>
        <w:tc>
          <w:tcPr>
            <w:tcW w:w="940" w:type="dxa"/>
            <w:vAlign w:val="bottom"/>
          </w:tcPr>
          <w:p>
            <w:pPr>
              <w:spacing w:after="0"/>
              <w:rPr>
                <w:sz w:val="16"/>
                <w:szCs w:val="16"/>
                <w:color w:val="auto"/>
              </w:rPr>
            </w:pPr>
          </w:p>
        </w:tc>
        <w:tc>
          <w:tcPr>
            <w:tcW w:w="7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(117 )</w:t>
            </w:r>
          </w:p>
        </w:tc>
      </w:tr>
      <w:tr>
        <w:trPr>
          <w:trHeight w:val="36"/>
        </w:trPr>
        <w:tc>
          <w:tcPr>
            <w:tcW w:w="78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8"/>
        </w:trPr>
        <w:tc>
          <w:tcPr>
            <w:tcW w:w="780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Net cash used in operatng actvites</w:t>
            </w:r>
          </w:p>
        </w:tc>
        <w:tc>
          <w:tcPr>
            <w:tcW w:w="9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(39,669 )</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(44,757 )</w:t>
            </w:r>
          </w:p>
        </w:tc>
      </w:tr>
      <w:tr>
        <w:trPr>
          <w:trHeight w:val="223"/>
        </w:trPr>
        <w:tc>
          <w:tcPr>
            <w:tcW w:w="7800" w:type="dxa"/>
            <w:vAlign w:val="bottom"/>
            <w:tcBorders>
              <w:top w:val="single" w:sz="8" w:color="CFF0FC"/>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10"/>
        </w:trPr>
        <w:tc>
          <w:tcPr>
            <w:tcW w:w="780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rPr>
              <w:t>Cash fows from investng actvites</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r>
      <w:tr>
        <w:trPr>
          <w:trHeight w:val="194"/>
        </w:trPr>
        <w:tc>
          <w:tcPr>
            <w:tcW w:w="7800" w:type="dxa"/>
            <w:vAlign w:val="bottom"/>
          </w:tcPr>
          <w:p>
            <w:pPr>
              <w:ind w:left="20"/>
              <w:spacing w:after="0" w:line="193" w:lineRule="exact"/>
              <w:rPr>
                <w:sz w:val="20"/>
                <w:szCs w:val="20"/>
                <w:color w:val="auto"/>
              </w:rPr>
            </w:pPr>
            <w:r>
              <w:rPr>
                <w:rFonts w:ascii="Calibri" w:cs="Calibri" w:eastAsia="Calibri" w:hAnsi="Calibri"/>
                <w:sz w:val="16"/>
                <w:szCs w:val="16"/>
                <w:color w:val="auto"/>
              </w:rPr>
              <w:t>Cash paid for property, plant and equipment</w:t>
            </w:r>
          </w:p>
        </w:tc>
        <w:tc>
          <w:tcPr>
            <w:tcW w:w="940" w:type="dxa"/>
            <w:vAlign w:val="bottom"/>
          </w:tcPr>
          <w:p>
            <w:pPr>
              <w:spacing w:after="0"/>
              <w:rPr>
                <w:sz w:val="16"/>
                <w:szCs w:val="16"/>
                <w:color w:val="auto"/>
              </w:rPr>
            </w:pPr>
          </w:p>
        </w:tc>
        <w:tc>
          <w:tcPr>
            <w:tcW w:w="700" w:type="dxa"/>
            <w:vAlign w:val="bottom"/>
          </w:tcPr>
          <w:p>
            <w:pPr>
              <w:jc w:val="right"/>
              <w:spacing w:after="0" w:line="193" w:lineRule="exact"/>
              <w:rPr>
                <w:sz w:val="20"/>
                <w:szCs w:val="20"/>
                <w:color w:val="auto"/>
              </w:rPr>
            </w:pPr>
            <w:r>
              <w:rPr>
                <w:rFonts w:ascii="Calibri" w:cs="Calibri" w:eastAsia="Calibri" w:hAnsi="Calibri"/>
                <w:sz w:val="16"/>
                <w:szCs w:val="16"/>
                <w:color w:val="auto"/>
              </w:rPr>
              <w:t>(214 )</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spacing w:after="0" w:line="193" w:lineRule="exact"/>
              <w:rPr>
                <w:sz w:val="20"/>
                <w:szCs w:val="20"/>
                <w:color w:val="auto"/>
              </w:rPr>
            </w:pPr>
            <w:r>
              <w:rPr>
                <w:rFonts w:ascii="Calibri" w:cs="Calibri" w:eastAsia="Calibri" w:hAnsi="Calibri"/>
                <w:sz w:val="16"/>
                <w:szCs w:val="16"/>
                <w:color w:val="auto"/>
              </w:rPr>
              <w:t>(67 )</w:t>
            </w:r>
          </w:p>
        </w:tc>
      </w:tr>
      <w:tr>
        <w:trPr>
          <w:trHeight w:val="36"/>
        </w:trPr>
        <w:tc>
          <w:tcPr>
            <w:tcW w:w="78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8"/>
        </w:trPr>
        <w:tc>
          <w:tcPr>
            <w:tcW w:w="780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Net cash used in investng actvites</w:t>
            </w:r>
          </w:p>
        </w:tc>
        <w:tc>
          <w:tcPr>
            <w:tcW w:w="9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(214 )</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187" w:lineRule="exact"/>
              <w:rPr>
                <w:sz w:val="20"/>
                <w:szCs w:val="20"/>
                <w:color w:val="auto"/>
              </w:rPr>
            </w:pPr>
            <w:r>
              <w:rPr>
                <w:rFonts w:ascii="Calibri" w:cs="Calibri" w:eastAsia="Calibri" w:hAnsi="Calibri"/>
                <w:sz w:val="16"/>
                <w:szCs w:val="16"/>
                <w:color w:val="auto"/>
              </w:rPr>
              <w:t>(67 )</w:t>
            </w:r>
          </w:p>
        </w:tc>
      </w:tr>
      <w:tr>
        <w:trPr>
          <w:trHeight w:val="223"/>
        </w:trPr>
        <w:tc>
          <w:tcPr>
            <w:tcW w:w="7800" w:type="dxa"/>
            <w:vAlign w:val="bottom"/>
            <w:tcBorders>
              <w:top w:val="single" w:sz="8" w:color="CFF0FC"/>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10"/>
        </w:trPr>
        <w:tc>
          <w:tcPr>
            <w:tcW w:w="780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b w:val="1"/>
                <w:bCs w:val="1"/>
                <w:color w:val="auto"/>
              </w:rPr>
              <w:t>Cash fows from fnancing actvites</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r>
      <w:tr>
        <w:trPr>
          <w:trHeight w:val="194"/>
        </w:trPr>
        <w:tc>
          <w:tcPr>
            <w:tcW w:w="7800" w:type="dxa"/>
            <w:vAlign w:val="bottom"/>
          </w:tcPr>
          <w:p>
            <w:pPr>
              <w:ind w:left="20"/>
              <w:spacing w:after="0" w:line="193" w:lineRule="exact"/>
              <w:rPr>
                <w:sz w:val="20"/>
                <w:szCs w:val="20"/>
                <w:color w:val="auto"/>
              </w:rPr>
            </w:pPr>
            <w:r>
              <w:rPr>
                <w:rFonts w:ascii="Calibri" w:cs="Calibri" w:eastAsia="Calibri" w:hAnsi="Calibri"/>
                <w:sz w:val="16"/>
                <w:szCs w:val="16"/>
                <w:color w:val="auto"/>
              </w:rPr>
              <w:t>Net proceeds from issuance of common stock under ATM facility</w:t>
            </w:r>
          </w:p>
        </w:tc>
        <w:tc>
          <w:tcPr>
            <w:tcW w:w="940" w:type="dxa"/>
            <w:vAlign w:val="bottom"/>
          </w:tcPr>
          <w:p>
            <w:pPr>
              <w:spacing w:after="0"/>
              <w:rPr>
                <w:sz w:val="16"/>
                <w:szCs w:val="16"/>
                <w:color w:val="auto"/>
              </w:rPr>
            </w:pPr>
          </w:p>
        </w:tc>
        <w:tc>
          <w:tcPr>
            <w:tcW w:w="7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14,072</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r>
      <w:tr>
        <w:trPr>
          <w:trHeight w:val="36"/>
        </w:trPr>
        <w:tc>
          <w:tcPr>
            <w:tcW w:w="78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8"/>
        </w:trPr>
        <w:tc>
          <w:tcPr>
            <w:tcW w:w="780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Net cash provided by fnancing actvites</w:t>
            </w:r>
          </w:p>
        </w:tc>
        <w:tc>
          <w:tcPr>
            <w:tcW w:w="9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39"/>
              <w:spacing w:after="0" w:line="187" w:lineRule="exact"/>
              <w:rPr>
                <w:sz w:val="20"/>
                <w:szCs w:val="20"/>
                <w:color w:val="auto"/>
              </w:rPr>
            </w:pPr>
            <w:r>
              <w:rPr>
                <w:rFonts w:ascii="Calibri" w:cs="Calibri" w:eastAsia="Calibri" w:hAnsi="Calibri"/>
                <w:sz w:val="16"/>
                <w:szCs w:val="16"/>
                <w:color w:val="auto"/>
              </w:rPr>
              <w:t>14,072</w:t>
            </w:r>
          </w:p>
        </w:tc>
        <w:tc>
          <w:tcPr>
            <w:tcW w:w="18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ind w:right="39"/>
              <w:spacing w:after="0" w:line="187" w:lineRule="exact"/>
              <w:rPr>
                <w:sz w:val="20"/>
                <w:szCs w:val="20"/>
                <w:color w:val="auto"/>
              </w:rPr>
            </w:pPr>
            <w:r>
              <w:rPr>
                <w:rFonts w:ascii="Calibri" w:cs="Calibri" w:eastAsia="Calibri" w:hAnsi="Calibri"/>
                <w:sz w:val="16"/>
                <w:szCs w:val="16"/>
                <w:color w:val="auto"/>
              </w:rPr>
              <w:t>—</w:t>
            </w:r>
          </w:p>
        </w:tc>
      </w:tr>
      <w:tr>
        <w:trPr>
          <w:trHeight w:val="223"/>
        </w:trPr>
        <w:tc>
          <w:tcPr>
            <w:tcW w:w="7800" w:type="dxa"/>
            <w:vAlign w:val="bottom"/>
            <w:tcBorders>
              <w:top w:val="single" w:sz="8" w:color="CFF0FC"/>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09"/>
        </w:trPr>
        <w:tc>
          <w:tcPr>
            <w:tcW w:w="780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Net decrease in cash and cash equivalents and restricted cash</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(25,811 )</w:t>
            </w: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(44,824 )</w:t>
            </w:r>
          </w:p>
        </w:tc>
      </w:tr>
      <w:tr>
        <w:trPr>
          <w:trHeight w:val="194"/>
        </w:trPr>
        <w:tc>
          <w:tcPr>
            <w:tcW w:w="7800" w:type="dxa"/>
            <w:vAlign w:val="bottom"/>
          </w:tcPr>
          <w:p>
            <w:pPr>
              <w:ind w:left="20"/>
              <w:spacing w:after="0" w:line="193" w:lineRule="exact"/>
              <w:rPr>
                <w:sz w:val="20"/>
                <w:szCs w:val="20"/>
                <w:color w:val="auto"/>
              </w:rPr>
            </w:pPr>
            <w:r>
              <w:rPr>
                <w:rFonts w:ascii="Calibri" w:cs="Calibri" w:eastAsia="Calibri" w:hAnsi="Calibri"/>
                <w:sz w:val="16"/>
                <w:szCs w:val="16"/>
                <w:color w:val="auto"/>
              </w:rPr>
              <w:t>Cash and cash equivalents and restricted cash – beginning of period</w:t>
            </w:r>
          </w:p>
        </w:tc>
        <w:tc>
          <w:tcPr>
            <w:tcW w:w="940" w:type="dxa"/>
            <w:vAlign w:val="bottom"/>
          </w:tcPr>
          <w:p>
            <w:pPr>
              <w:spacing w:after="0"/>
              <w:rPr>
                <w:sz w:val="16"/>
                <w:szCs w:val="16"/>
                <w:color w:val="auto"/>
              </w:rPr>
            </w:pPr>
          </w:p>
        </w:tc>
        <w:tc>
          <w:tcPr>
            <w:tcW w:w="7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155,890</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183,419</w:t>
            </w:r>
          </w:p>
        </w:tc>
      </w:tr>
      <w:tr>
        <w:trPr>
          <w:trHeight w:val="36"/>
        </w:trPr>
        <w:tc>
          <w:tcPr>
            <w:tcW w:w="78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060" w:type="dxa"/>
            <w:vAlign w:val="bottom"/>
          </w:tcPr>
          <w:p>
            <w:pPr>
              <w:spacing w:after="0"/>
              <w:rPr>
                <w:sz w:val="3"/>
                <w:szCs w:val="3"/>
                <w:color w:val="auto"/>
              </w:rPr>
            </w:pPr>
          </w:p>
        </w:tc>
      </w:tr>
      <w:tr>
        <w:trPr>
          <w:trHeight w:val="268"/>
        </w:trPr>
        <w:tc>
          <w:tcPr>
            <w:tcW w:w="7800" w:type="dxa"/>
            <w:vAlign w:val="bottom"/>
            <w:tcBorders>
              <w:bottom w:val="single" w:sz="8" w:color="CFF0FC"/>
            </w:tcBorders>
            <w:shd w:val="clear" w:color="auto" w:fill="CFF0FC"/>
          </w:tcPr>
          <w:p>
            <w:pPr>
              <w:ind w:left="20"/>
              <w:spacing w:after="0" w:line="187" w:lineRule="exact"/>
              <w:rPr>
                <w:sz w:val="20"/>
                <w:szCs w:val="20"/>
                <w:color w:val="auto"/>
              </w:rPr>
            </w:pPr>
            <w:r>
              <w:rPr>
                <w:rFonts w:ascii="Calibri" w:cs="Calibri" w:eastAsia="Calibri" w:hAnsi="Calibri"/>
                <w:sz w:val="16"/>
                <w:szCs w:val="16"/>
                <w:color w:val="auto"/>
              </w:rPr>
              <w:t>Cash and cash equivalents and restricted cash – end of period</w:t>
            </w:r>
          </w:p>
        </w:tc>
        <w:tc>
          <w:tcPr>
            <w:tcW w:w="940" w:type="dxa"/>
            <w:vAlign w:val="bottom"/>
            <w:tcBorders>
              <w:top w:val="single" w:sz="8" w:color="auto"/>
              <w:bottom w:val="single" w:sz="8" w:color="CFF0FC"/>
            </w:tcBorders>
            <w:shd w:val="clear" w:color="auto" w:fill="CFF0FC"/>
          </w:tcPr>
          <w:p>
            <w:pPr>
              <w:jc w:val="right"/>
              <w:ind w:right="759"/>
              <w:spacing w:after="0" w:line="187" w:lineRule="exact"/>
              <w:rPr>
                <w:sz w:val="20"/>
                <w:szCs w:val="20"/>
                <w:color w:val="auto"/>
              </w:rPr>
            </w:pPr>
            <w:r>
              <w:rPr>
                <w:rFonts w:ascii="Calibri" w:cs="Calibri" w:eastAsia="Calibri" w:hAnsi="Calibri"/>
                <w:sz w:val="16"/>
                <w:szCs w:val="16"/>
                <w:color w:val="auto"/>
                <w:w w:val="97"/>
              </w:rPr>
              <w:t>$</w:t>
            </w:r>
          </w:p>
        </w:tc>
        <w:tc>
          <w:tcPr>
            <w:tcW w:w="700" w:type="dxa"/>
            <w:vAlign w:val="bottom"/>
            <w:tcBorders>
              <w:top w:val="single" w:sz="8" w:color="auto"/>
              <w:bottom w:val="single" w:sz="8" w:color="CFF0FC"/>
            </w:tcBorders>
            <w:shd w:val="clear" w:color="auto" w:fill="CFF0FC"/>
          </w:tcPr>
          <w:p>
            <w:pPr>
              <w:jc w:val="right"/>
              <w:ind w:right="39"/>
              <w:spacing w:after="0" w:line="187" w:lineRule="exact"/>
              <w:rPr>
                <w:sz w:val="20"/>
                <w:szCs w:val="20"/>
                <w:color w:val="auto"/>
              </w:rPr>
            </w:pPr>
            <w:r>
              <w:rPr>
                <w:rFonts w:ascii="Calibri" w:cs="Calibri" w:eastAsia="Calibri" w:hAnsi="Calibri"/>
                <w:sz w:val="16"/>
                <w:szCs w:val="16"/>
                <w:color w:val="auto"/>
              </w:rPr>
              <w:t>130,079</w:t>
            </w:r>
          </w:p>
        </w:tc>
        <w:tc>
          <w:tcPr>
            <w:tcW w:w="18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top w:val="single" w:sz="8" w:color="auto"/>
              <w:bottom w:val="single" w:sz="8" w:color="CFF0FC"/>
            </w:tcBorders>
            <w:shd w:val="clear" w:color="auto" w:fill="CFF0FC"/>
          </w:tcPr>
          <w:p>
            <w:pPr>
              <w:jc w:val="right"/>
              <w:ind w:right="379"/>
              <w:spacing w:after="0" w:line="187" w:lineRule="exact"/>
              <w:rPr>
                <w:sz w:val="20"/>
                <w:szCs w:val="20"/>
                <w:color w:val="auto"/>
              </w:rPr>
            </w:pPr>
            <w:r>
              <w:rPr>
                <w:rFonts w:ascii="Calibri" w:cs="Calibri" w:eastAsia="Calibri" w:hAnsi="Calibri"/>
                <w:sz w:val="16"/>
                <w:szCs w:val="16"/>
                <w:color w:val="auto"/>
                <w:w w:val="97"/>
              </w:rPr>
              <w:t>$</w:t>
            </w:r>
          </w:p>
        </w:tc>
        <w:tc>
          <w:tcPr>
            <w:tcW w:w="1060" w:type="dxa"/>
            <w:vAlign w:val="bottom"/>
            <w:tcBorders>
              <w:top w:val="single" w:sz="8" w:color="auto"/>
              <w:bottom w:val="single" w:sz="8" w:color="CFF0FC"/>
            </w:tcBorders>
            <w:shd w:val="clear" w:color="auto" w:fill="CFF0FC"/>
          </w:tcPr>
          <w:p>
            <w:pPr>
              <w:jc w:val="right"/>
              <w:ind w:right="39"/>
              <w:spacing w:after="0" w:line="187" w:lineRule="exact"/>
              <w:rPr>
                <w:sz w:val="20"/>
                <w:szCs w:val="20"/>
                <w:color w:val="auto"/>
              </w:rPr>
            </w:pPr>
            <w:r>
              <w:rPr>
                <w:rFonts w:ascii="Calibri" w:cs="Calibri" w:eastAsia="Calibri" w:hAnsi="Calibri"/>
                <w:sz w:val="16"/>
                <w:szCs w:val="16"/>
                <w:color w:val="auto"/>
              </w:rPr>
              <w:t>138,595</w:t>
            </w:r>
          </w:p>
        </w:tc>
      </w:tr>
      <w:tr>
        <w:trPr>
          <w:trHeight w:val="210"/>
        </w:trPr>
        <w:tc>
          <w:tcPr>
            <w:tcW w:w="7800" w:type="dxa"/>
            <w:vAlign w:val="bottom"/>
            <w:tcBorders>
              <w:top w:val="single" w:sz="8" w:color="CFF0FC"/>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10"/>
        </w:trPr>
        <w:tc>
          <w:tcPr>
            <w:tcW w:w="780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Supplemental disclosure of cash fow informaton</w:t>
            </w:r>
          </w:p>
        </w:tc>
        <w:tc>
          <w:tcPr>
            <w:tcW w:w="94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r>
      <w:tr>
        <w:trPr>
          <w:trHeight w:val="193"/>
        </w:trPr>
        <w:tc>
          <w:tcPr>
            <w:tcW w:w="7800" w:type="dxa"/>
            <w:vAlign w:val="bottom"/>
          </w:tcPr>
          <w:p>
            <w:pPr>
              <w:ind w:left="20"/>
              <w:spacing w:after="0" w:line="193" w:lineRule="exact"/>
              <w:rPr>
                <w:sz w:val="20"/>
                <w:szCs w:val="20"/>
                <w:color w:val="auto"/>
              </w:rPr>
            </w:pPr>
            <w:r>
              <w:rPr>
                <w:rFonts w:ascii="Calibri" w:cs="Calibri" w:eastAsia="Calibri" w:hAnsi="Calibri"/>
                <w:sz w:val="16"/>
                <w:szCs w:val="16"/>
                <w:b w:val="1"/>
                <w:bCs w:val="1"/>
                <w:color w:val="auto"/>
              </w:rPr>
              <w:t>Interest paid</w:t>
            </w:r>
          </w:p>
        </w:tc>
        <w:tc>
          <w:tcPr>
            <w:tcW w:w="940" w:type="dxa"/>
            <w:vAlign w:val="bottom"/>
          </w:tcPr>
          <w:p>
            <w:pPr>
              <w:jc w:val="right"/>
              <w:ind w:right="759"/>
              <w:spacing w:after="0" w:line="193" w:lineRule="exact"/>
              <w:rPr>
                <w:sz w:val="20"/>
                <w:szCs w:val="20"/>
                <w:color w:val="auto"/>
              </w:rPr>
            </w:pPr>
            <w:r>
              <w:rPr>
                <w:rFonts w:ascii="Calibri" w:cs="Calibri" w:eastAsia="Calibri" w:hAnsi="Calibri"/>
                <w:sz w:val="16"/>
                <w:szCs w:val="16"/>
                <w:color w:val="auto"/>
                <w:w w:val="97"/>
              </w:rPr>
              <w:t>$</w:t>
            </w:r>
          </w:p>
        </w:tc>
        <w:tc>
          <w:tcPr>
            <w:tcW w:w="7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2,546</w:t>
            </w:r>
          </w:p>
        </w:tc>
        <w:tc>
          <w:tcPr>
            <w:tcW w:w="740" w:type="dxa"/>
            <w:vAlign w:val="bottom"/>
            <w:gridSpan w:val="2"/>
          </w:tcPr>
          <w:p>
            <w:pPr>
              <w:jc w:val="right"/>
              <w:ind w:right="379"/>
              <w:spacing w:after="0" w:line="193" w:lineRule="exact"/>
              <w:rPr>
                <w:sz w:val="20"/>
                <w:szCs w:val="20"/>
                <w:color w:val="auto"/>
              </w:rPr>
            </w:pPr>
            <w:r>
              <w:rPr>
                <w:rFonts w:ascii="Calibri" w:cs="Calibri" w:eastAsia="Calibri" w:hAnsi="Calibri"/>
                <w:sz w:val="16"/>
                <w:szCs w:val="16"/>
                <w:color w:val="auto"/>
              </w:rPr>
              <w:t>$</w:t>
            </w:r>
          </w:p>
        </w:tc>
        <w:tc>
          <w:tcPr>
            <w:tcW w:w="10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1,388</w:t>
            </w:r>
          </w:p>
        </w:tc>
      </w:tr>
      <w:tr>
        <w:trPr>
          <w:trHeight w:val="36"/>
        </w:trPr>
        <w:tc>
          <w:tcPr>
            <w:tcW w:w="78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
        </w:trPr>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0"/>
        </w:trPr>
        <w:tc>
          <w:tcPr>
            <w:tcW w:w="7800" w:type="dxa"/>
            <w:vAlign w:val="bottom"/>
            <w:tcBorders>
              <w:bottom w:val="single" w:sz="8" w:color="CFF0FC"/>
            </w:tcBorders>
            <w:shd w:val="clear" w:color="auto" w:fill="CFF0FC"/>
          </w:tcPr>
          <w:p>
            <w:pPr>
              <w:ind w:left="20"/>
              <w:spacing w:after="0" w:line="174" w:lineRule="exact"/>
              <w:rPr>
                <w:sz w:val="20"/>
                <w:szCs w:val="20"/>
                <w:color w:val="auto"/>
              </w:rPr>
            </w:pPr>
            <w:r>
              <w:rPr>
                <w:rFonts w:ascii="Calibri" w:cs="Calibri" w:eastAsia="Calibri" w:hAnsi="Calibri"/>
                <w:sz w:val="16"/>
                <w:szCs w:val="16"/>
                <w:color w:val="auto"/>
              </w:rPr>
              <w:t>Supplemental disclosure of noncash investng and fnancing actvites</w:t>
            </w:r>
          </w:p>
        </w:tc>
        <w:tc>
          <w:tcPr>
            <w:tcW w:w="940" w:type="dxa"/>
            <w:vAlign w:val="bottom"/>
            <w:tcBorders>
              <w:bottom w:val="single" w:sz="8" w:color="CFF0FC"/>
            </w:tcBorders>
            <w:shd w:val="clear" w:color="auto" w:fill="CFF0FC"/>
          </w:tcPr>
          <w:p>
            <w:pPr>
              <w:spacing w:after="0"/>
              <w:rPr>
                <w:sz w:val="16"/>
                <w:szCs w:val="16"/>
                <w:color w:val="auto"/>
              </w:rPr>
            </w:pPr>
          </w:p>
        </w:tc>
        <w:tc>
          <w:tcPr>
            <w:tcW w:w="7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r>
      <w:tr>
        <w:trPr>
          <w:trHeight w:val="194"/>
        </w:trPr>
        <w:tc>
          <w:tcPr>
            <w:tcW w:w="7800" w:type="dxa"/>
            <w:vAlign w:val="bottom"/>
          </w:tcPr>
          <w:p>
            <w:pPr>
              <w:ind w:left="20"/>
              <w:spacing w:after="0" w:line="193" w:lineRule="exact"/>
              <w:rPr>
                <w:sz w:val="20"/>
                <w:szCs w:val="20"/>
                <w:color w:val="auto"/>
              </w:rPr>
            </w:pPr>
            <w:r>
              <w:rPr>
                <w:rFonts w:ascii="Calibri" w:cs="Calibri" w:eastAsia="Calibri" w:hAnsi="Calibri"/>
                <w:sz w:val="16"/>
                <w:szCs w:val="16"/>
                <w:color w:val="auto"/>
              </w:rPr>
              <w:t>Property and equipment purchases included in accounts payable and accrued expenses</w:t>
            </w:r>
          </w:p>
        </w:tc>
        <w:tc>
          <w:tcPr>
            <w:tcW w:w="940" w:type="dxa"/>
            <w:vAlign w:val="bottom"/>
          </w:tcPr>
          <w:p>
            <w:pPr>
              <w:jc w:val="right"/>
              <w:ind w:right="759"/>
              <w:spacing w:after="0" w:line="193" w:lineRule="exact"/>
              <w:rPr>
                <w:sz w:val="20"/>
                <w:szCs w:val="20"/>
                <w:color w:val="auto"/>
              </w:rPr>
            </w:pPr>
            <w:r>
              <w:rPr>
                <w:rFonts w:ascii="Calibri" w:cs="Calibri" w:eastAsia="Calibri" w:hAnsi="Calibri"/>
                <w:sz w:val="16"/>
                <w:szCs w:val="16"/>
                <w:color w:val="auto"/>
                <w:w w:val="97"/>
              </w:rPr>
              <w:t>$</w:t>
            </w:r>
          </w:p>
        </w:tc>
        <w:tc>
          <w:tcPr>
            <w:tcW w:w="70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w:t>
            </w:r>
          </w:p>
        </w:tc>
        <w:tc>
          <w:tcPr>
            <w:tcW w:w="740" w:type="dxa"/>
            <w:vAlign w:val="bottom"/>
            <w:gridSpan w:val="2"/>
          </w:tcPr>
          <w:p>
            <w:pPr>
              <w:jc w:val="right"/>
              <w:ind w:right="379"/>
              <w:spacing w:after="0" w:line="193" w:lineRule="exact"/>
              <w:rPr>
                <w:sz w:val="20"/>
                <w:szCs w:val="20"/>
                <w:color w:val="auto"/>
              </w:rPr>
            </w:pPr>
            <w:r>
              <w:rPr>
                <w:rFonts w:ascii="Calibri" w:cs="Calibri" w:eastAsia="Calibri" w:hAnsi="Calibri"/>
                <w:sz w:val="16"/>
                <w:szCs w:val="16"/>
                <w:color w:val="auto"/>
              </w:rPr>
              <w:t>$</w:t>
            </w:r>
          </w:p>
        </w:tc>
        <w:tc>
          <w:tcPr>
            <w:tcW w:w="1060" w:type="dxa"/>
            <w:vAlign w:val="bottom"/>
          </w:tcPr>
          <w:p>
            <w:pPr>
              <w:jc w:val="right"/>
              <w:ind w:right="39"/>
              <w:spacing w:after="0" w:line="193" w:lineRule="exact"/>
              <w:rPr>
                <w:sz w:val="20"/>
                <w:szCs w:val="20"/>
                <w:color w:val="auto"/>
              </w:rPr>
            </w:pPr>
            <w:r>
              <w:rPr>
                <w:rFonts w:ascii="Calibri" w:cs="Calibri" w:eastAsia="Calibri" w:hAnsi="Calibri"/>
                <w:sz w:val="16"/>
                <w:szCs w:val="16"/>
                <w:color w:val="auto"/>
              </w:rPr>
              <w:t>120</w:t>
            </w:r>
          </w:p>
        </w:tc>
      </w:tr>
      <w:tr>
        <w:trPr>
          <w:trHeight w:val="36"/>
        </w:trPr>
        <w:tc>
          <w:tcPr>
            <w:tcW w:w="78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
        </w:trPr>
        <w:tc>
          <w:tcPr>
            <w:tcW w:w="7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5"/>
        </w:trPr>
        <w:tc>
          <w:tcPr>
            <w:tcW w:w="7800" w:type="dxa"/>
            <w:vAlign w:val="bottom"/>
            <w:tcBorders>
              <w:bottom w:val="single" w:sz="8" w:color="CFF0FC"/>
            </w:tcBorders>
            <w:shd w:val="clear" w:color="auto" w:fill="CFF0FC"/>
          </w:tcPr>
          <w:p>
            <w:pPr>
              <w:ind w:left="20"/>
              <w:spacing w:after="0" w:line="174" w:lineRule="exact"/>
              <w:rPr>
                <w:sz w:val="20"/>
                <w:szCs w:val="20"/>
                <w:color w:val="auto"/>
              </w:rPr>
            </w:pPr>
            <w:r>
              <w:rPr>
                <w:rFonts w:ascii="Calibri" w:cs="Calibri" w:eastAsia="Calibri" w:hAnsi="Calibri"/>
                <w:sz w:val="16"/>
                <w:szCs w:val="16"/>
                <w:color w:val="auto"/>
              </w:rPr>
              <w:t>Setlement of ESPP liability in common stock</w:t>
            </w:r>
          </w:p>
        </w:tc>
        <w:tc>
          <w:tcPr>
            <w:tcW w:w="940" w:type="dxa"/>
            <w:vAlign w:val="bottom"/>
            <w:tcBorders>
              <w:top w:val="single" w:sz="8" w:color="auto"/>
              <w:bottom w:val="single" w:sz="8" w:color="CFF0FC"/>
            </w:tcBorders>
            <w:shd w:val="clear" w:color="auto" w:fill="CFF0FC"/>
          </w:tcPr>
          <w:p>
            <w:pPr>
              <w:jc w:val="right"/>
              <w:ind w:right="759"/>
              <w:spacing w:after="0" w:line="174" w:lineRule="exact"/>
              <w:rPr>
                <w:sz w:val="20"/>
                <w:szCs w:val="20"/>
                <w:color w:val="auto"/>
              </w:rPr>
            </w:pPr>
            <w:r>
              <w:rPr>
                <w:rFonts w:ascii="Calibri" w:cs="Calibri" w:eastAsia="Calibri" w:hAnsi="Calibri"/>
                <w:sz w:val="16"/>
                <w:szCs w:val="16"/>
                <w:color w:val="auto"/>
                <w:w w:val="97"/>
              </w:rPr>
              <w:t>$</w:t>
            </w:r>
          </w:p>
        </w:tc>
        <w:tc>
          <w:tcPr>
            <w:tcW w:w="700" w:type="dxa"/>
            <w:vAlign w:val="bottom"/>
            <w:tcBorders>
              <w:top w:val="single" w:sz="8" w:color="auto"/>
              <w:bottom w:val="single" w:sz="8" w:color="CFF0FC"/>
            </w:tcBorders>
            <w:shd w:val="clear" w:color="auto" w:fill="CFF0FC"/>
          </w:tcPr>
          <w:p>
            <w:pPr>
              <w:jc w:val="right"/>
              <w:ind w:right="39"/>
              <w:spacing w:after="0" w:line="174" w:lineRule="exact"/>
              <w:rPr>
                <w:sz w:val="20"/>
                <w:szCs w:val="20"/>
                <w:color w:val="auto"/>
              </w:rPr>
            </w:pPr>
            <w:r>
              <w:rPr>
                <w:rFonts w:ascii="Calibri" w:cs="Calibri" w:eastAsia="Calibri" w:hAnsi="Calibri"/>
                <w:sz w:val="16"/>
                <w:szCs w:val="16"/>
                <w:color w:val="auto"/>
              </w:rPr>
              <w:t>856</w:t>
            </w:r>
          </w:p>
        </w:tc>
        <w:tc>
          <w:tcPr>
            <w:tcW w:w="1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top w:val="single" w:sz="8" w:color="auto"/>
              <w:bottom w:val="single" w:sz="8" w:color="CFF0FC"/>
            </w:tcBorders>
            <w:shd w:val="clear" w:color="auto" w:fill="CFF0FC"/>
          </w:tcPr>
          <w:p>
            <w:pPr>
              <w:jc w:val="right"/>
              <w:ind w:right="379"/>
              <w:spacing w:after="0" w:line="174" w:lineRule="exact"/>
              <w:rPr>
                <w:sz w:val="20"/>
                <w:szCs w:val="20"/>
                <w:color w:val="auto"/>
              </w:rPr>
            </w:pPr>
            <w:r>
              <w:rPr>
                <w:rFonts w:ascii="Calibri" w:cs="Calibri" w:eastAsia="Calibri" w:hAnsi="Calibri"/>
                <w:sz w:val="16"/>
                <w:szCs w:val="16"/>
                <w:color w:val="auto"/>
                <w:w w:val="97"/>
              </w:rPr>
              <w:t>$</w:t>
            </w:r>
          </w:p>
        </w:tc>
        <w:tc>
          <w:tcPr>
            <w:tcW w:w="1060" w:type="dxa"/>
            <w:vAlign w:val="bottom"/>
            <w:tcBorders>
              <w:top w:val="single" w:sz="8" w:color="auto"/>
              <w:bottom w:val="single" w:sz="8" w:color="CFF0FC"/>
            </w:tcBorders>
            <w:shd w:val="clear" w:color="auto" w:fill="CFF0FC"/>
          </w:tcPr>
          <w:p>
            <w:pPr>
              <w:jc w:val="right"/>
              <w:ind w:right="39"/>
              <w:spacing w:after="0" w:line="174" w:lineRule="exact"/>
              <w:rPr>
                <w:sz w:val="20"/>
                <w:szCs w:val="20"/>
                <w:color w:val="auto"/>
              </w:rPr>
            </w:pPr>
            <w:r>
              <w:rPr>
                <w:rFonts w:ascii="Calibri" w:cs="Calibri" w:eastAsia="Calibri" w:hAnsi="Calibri"/>
                <w:sz w:val="16"/>
                <w:szCs w:val="16"/>
                <w:color w:val="auto"/>
              </w:rPr>
              <w:t>515</w:t>
            </w:r>
          </w:p>
        </w:tc>
      </w:tr>
      <w:tr>
        <w:trPr>
          <w:trHeight w:val="174"/>
        </w:trPr>
        <w:tc>
          <w:tcPr>
            <w:tcW w:w="7800" w:type="dxa"/>
            <w:vAlign w:val="bottom"/>
            <w:tcBorders>
              <w:top w:val="single" w:sz="8" w:color="CFF0FC"/>
            </w:tcBorders>
          </w:tcPr>
          <w:p>
            <w:pPr>
              <w:ind w:left="20"/>
              <w:spacing w:after="0" w:line="174" w:lineRule="exact"/>
              <w:rPr>
                <w:sz w:val="20"/>
                <w:szCs w:val="20"/>
                <w:color w:val="auto"/>
              </w:rPr>
            </w:pPr>
            <w:r>
              <w:rPr>
                <w:rFonts w:ascii="Calibri" w:cs="Calibri" w:eastAsia="Calibri" w:hAnsi="Calibri"/>
                <w:sz w:val="16"/>
                <w:szCs w:val="16"/>
                <w:color w:val="auto"/>
              </w:rPr>
              <w:t>Setlement of 401(k) liability in common stock</w:t>
            </w:r>
          </w:p>
        </w:tc>
        <w:tc>
          <w:tcPr>
            <w:tcW w:w="940" w:type="dxa"/>
            <w:vAlign w:val="bottom"/>
            <w:tcBorders>
              <w:top w:val="single" w:sz="8" w:color="auto"/>
            </w:tcBorders>
          </w:tcPr>
          <w:p>
            <w:pPr>
              <w:jc w:val="right"/>
              <w:ind w:right="759"/>
              <w:spacing w:after="0" w:line="174" w:lineRule="exact"/>
              <w:rPr>
                <w:sz w:val="20"/>
                <w:szCs w:val="20"/>
                <w:color w:val="auto"/>
              </w:rPr>
            </w:pPr>
            <w:r>
              <w:rPr>
                <w:rFonts w:ascii="Calibri" w:cs="Calibri" w:eastAsia="Calibri" w:hAnsi="Calibri"/>
                <w:sz w:val="16"/>
                <w:szCs w:val="16"/>
                <w:color w:val="auto"/>
                <w:w w:val="97"/>
              </w:rPr>
              <w:t>$</w:t>
            </w:r>
          </w:p>
        </w:tc>
        <w:tc>
          <w:tcPr>
            <w:tcW w:w="700" w:type="dxa"/>
            <w:vAlign w:val="bottom"/>
            <w:tcBorders>
              <w:top w:val="single" w:sz="8" w:color="auto"/>
            </w:tcBorders>
          </w:tcPr>
          <w:p>
            <w:pPr>
              <w:jc w:val="right"/>
              <w:ind w:right="39"/>
              <w:spacing w:after="0" w:line="174" w:lineRule="exact"/>
              <w:rPr>
                <w:sz w:val="20"/>
                <w:szCs w:val="20"/>
                <w:color w:val="auto"/>
              </w:rPr>
            </w:pPr>
            <w:r>
              <w:rPr>
                <w:rFonts w:ascii="Calibri" w:cs="Calibri" w:eastAsia="Calibri" w:hAnsi="Calibri"/>
                <w:sz w:val="16"/>
                <w:szCs w:val="16"/>
                <w:color w:val="auto"/>
              </w:rPr>
              <w:t>456</w:t>
            </w:r>
          </w:p>
        </w:tc>
        <w:tc>
          <w:tcPr>
            <w:tcW w:w="180" w:type="dxa"/>
            <w:vAlign w:val="bottom"/>
            <w:tcBorders>
              <w:top w:val="single" w:sz="8" w:color="CFF0FC"/>
            </w:tcBorders>
          </w:tcPr>
          <w:p>
            <w:pPr>
              <w:spacing w:after="0"/>
              <w:rPr>
                <w:sz w:val="15"/>
                <w:szCs w:val="15"/>
                <w:color w:val="auto"/>
              </w:rPr>
            </w:pPr>
          </w:p>
        </w:tc>
        <w:tc>
          <w:tcPr>
            <w:tcW w:w="560" w:type="dxa"/>
            <w:vAlign w:val="bottom"/>
            <w:tcBorders>
              <w:top w:val="single" w:sz="8" w:color="auto"/>
            </w:tcBorders>
          </w:tcPr>
          <w:p>
            <w:pPr>
              <w:jc w:val="right"/>
              <w:ind w:right="379"/>
              <w:spacing w:after="0" w:line="174" w:lineRule="exact"/>
              <w:rPr>
                <w:sz w:val="20"/>
                <w:szCs w:val="20"/>
                <w:color w:val="auto"/>
              </w:rPr>
            </w:pPr>
            <w:r>
              <w:rPr>
                <w:rFonts w:ascii="Calibri" w:cs="Calibri" w:eastAsia="Calibri" w:hAnsi="Calibri"/>
                <w:sz w:val="16"/>
                <w:szCs w:val="16"/>
                <w:color w:val="auto"/>
                <w:w w:val="97"/>
              </w:rPr>
              <w:t>$</w:t>
            </w:r>
          </w:p>
        </w:tc>
        <w:tc>
          <w:tcPr>
            <w:tcW w:w="1060" w:type="dxa"/>
            <w:vAlign w:val="bottom"/>
            <w:tcBorders>
              <w:top w:val="single" w:sz="8" w:color="auto"/>
            </w:tcBorders>
          </w:tcPr>
          <w:p>
            <w:pPr>
              <w:jc w:val="right"/>
              <w:ind w:right="39"/>
              <w:spacing w:after="0" w:line="174" w:lineRule="exact"/>
              <w:rPr>
                <w:sz w:val="20"/>
                <w:szCs w:val="20"/>
                <w:color w:val="auto"/>
              </w:rPr>
            </w:pPr>
            <w:r>
              <w:rPr>
                <w:rFonts w:ascii="Calibri" w:cs="Calibri" w:eastAsia="Calibri" w:hAnsi="Calibri"/>
                <w:sz w:val="16"/>
                <w:szCs w:val="16"/>
                <w:color w:val="auto"/>
              </w:rPr>
              <w:t>254</w:t>
            </w:r>
          </w:p>
        </w:tc>
      </w:tr>
      <w:tr>
        <w:trPr>
          <w:trHeight w:val="36"/>
        </w:trPr>
        <w:tc>
          <w:tcPr>
            <w:tcW w:w="780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0"/>
        </w:trPr>
        <w:tc>
          <w:tcPr>
            <w:tcW w:w="7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5984240</wp:posOffset>
            </wp:positionH>
            <wp:positionV relativeFrom="paragraph">
              <wp:posOffset>-5738495</wp:posOffset>
            </wp:positionV>
            <wp:extent cx="1152525"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5252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-2948305</wp:posOffset>
            </wp:positionV>
            <wp:extent cx="111125"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-2348230</wp:posOffset>
            </wp:positionV>
            <wp:extent cx="111125"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-1748155</wp:posOffset>
            </wp:positionV>
            <wp:extent cx="111125"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15430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-1148080</wp:posOffset>
            </wp:positionV>
            <wp:extent cx="111125"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-196850</wp:posOffset>
            </wp:positionV>
            <wp:extent cx="111125" cy="1974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125" cy="19748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6" w:name="page7"/>
    <w:bookmarkEnd w:id="6"/>
    <w:p>
      <w:pPr>
        <w:ind w:left="4300"/>
        <w:spacing w:after="0"/>
        <w:rPr>
          <w:sz w:val="20"/>
          <w:szCs w:val="20"/>
          <w:color w:val="auto"/>
        </w:rPr>
      </w:pPr>
      <w:r>
        <w:rPr>
          <w:rFonts w:ascii="Calibri" w:cs="Calibri" w:eastAsia="Calibri" w:hAnsi="Calibri"/>
          <w:sz w:val="18"/>
          <w:szCs w:val="18"/>
          <w:b w:val="1"/>
          <w:bCs w:val="1"/>
          <w:color w:val="auto"/>
        </w:rPr>
        <w:t>PHATHOM PHARMACEUTICALS, INC.</w:t>
      </w:r>
    </w:p>
    <w:p>
      <w:pPr>
        <w:ind w:left="4120"/>
        <w:spacing w:after="0" w:line="235" w:lineRule="auto"/>
        <w:rPr>
          <w:sz w:val="20"/>
          <w:szCs w:val="20"/>
          <w:color w:val="auto"/>
        </w:rPr>
      </w:pPr>
      <w:r>
        <w:rPr>
          <w:rFonts w:ascii="Calibri" w:cs="Calibri" w:eastAsia="Calibri" w:hAnsi="Calibri"/>
          <w:sz w:val="18"/>
          <w:szCs w:val="18"/>
          <w:b w:val="1"/>
          <w:bCs w:val="1"/>
          <w:color w:val="auto"/>
        </w:rPr>
        <w:t>Notes to Unaudited Financial Statements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 Organizaton, Basis of Presentaton and Summary of Signifcant Accountng Policies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Organizaton and Basis of Presentaton</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Phathom Pharmaceutcals, Inc., or the Company or Phathom, was incorporated in the state of Delaware in January 2018. The Company is a biopharmaceutcal company focused on developing and commercializing novel treatments for gastrointestnal diseases. The Company’s fnancial statements are prepared in accordance with U.S. generally accepted accountng principles, or GAAP.</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Liquidity and Capital Resources</w:t>
      </w:r>
    </w:p>
    <w:p>
      <w:pPr>
        <w:spacing w:after="0" w:line="190" w:lineRule="exact"/>
        <w:rPr>
          <w:sz w:val="20"/>
          <w:szCs w:val="20"/>
          <w:color w:val="auto"/>
        </w:rPr>
      </w:pPr>
    </w:p>
    <w:p>
      <w:pPr>
        <w:ind w:firstLine="509"/>
        <w:spacing w:after="0" w:line="234" w:lineRule="auto"/>
        <w:rPr>
          <w:sz w:val="20"/>
          <w:szCs w:val="20"/>
          <w:color w:val="auto"/>
        </w:rPr>
      </w:pPr>
      <w:r>
        <w:rPr>
          <w:rFonts w:ascii="Calibri" w:cs="Calibri" w:eastAsia="Calibri" w:hAnsi="Calibri"/>
          <w:sz w:val="18"/>
          <w:szCs w:val="18"/>
          <w:color w:val="auto"/>
        </w:rPr>
        <w:t>From incepton to March 31, 2023, the Company has devoted substantally all of its eforts to organizing and stafng the Company, business planning, raising capital, in-licensing its inital product candidate, vonoprazan, meetng with regulatory authorites, managing the clinical trials of vonoprazan, preparing for commercializaton of its inital products containing vonoprazan, and providing other general and administratve support for these operatons. The Company has a limited operatng history, has never generated any revenue, and the sales and income potental of its business is unproven. The Company has incurred net losses and negatve cash fows from operatng actvites since its incepton and expects to contnue to incur additonal net losses in the future as it contnues to develop and prepares for commercializaton of vonoprazan. From incepton to March 31, 2023, the Company has funded its operatons through the issuance of convertble promissory notes, commercial bank debt, revenue interest fnancing debt, the sale of 10,997,630 shares of common stock for net proceeds of approximately $191.5 million in its 2019 IPO, the sale of 2,250,000 shares of common stock for net proceeds of approximately $88.6 million in its December 2020 follow-on public ofering, the sale of 3,929,116 shares of common stock for net proceeds of approximately $38.7 million in its issuances of common stock pursuant to the Open Market Sale Agreement</w:t>
      </w:r>
      <w:r>
        <w:rPr>
          <w:rFonts w:ascii="Calibri" w:cs="Calibri" w:eastAsia="Calibri" w:hAnsi="Calibri"/>
          <w:sz w:val="20"/>
          <w:szCs w:val="20"/>
          <w:color w:val="auto"/>
          <w:vertAlign w:val="superscript"/>
        </w:rPr>
        <w:t>SM</w:t>
      </w:r>
      <w:r>
        <w:rPr>
          <w:rFonts w:ascii="Calibri" w:cs="Calibri" w:eastAsia="Calibri" w:hAnsi="Calibri"/>
          <w:sz w:val="18"/>
          <w:szCs w:val="18"/>
          <w:color w:val="auto"/>
        </w:rPr>
        <w:t>, or the Sales Agreement, with Jeferies LLC, or the Sales Agent, under which the Company may, from tme to tme, sell shares of its common stock having an aggregate ofering price of up to $125.0 million, or the ATM Ofering, through March 31, 2023.</w:t>
      </w:r>
    </w:p>
    <w:p>
      <w:pPr>
        <w:spacing w:after="0" w:line="186"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The accompanying fnancial statements have been prepared assuming the Company will contnue as a going concern, which contemplates the realizaton of assets and the satsfacton of liabilites in the normal course of business, and do not include any adjustments to refect the possible future efects on the recoverability and classifcaton of assets or amounts and classifcaton of liabilites in accordance with GAAP. Management is required to perform a two-step analysis over the Company’s ability to contnue as a going concern. Management must frst evaluate whether there are conditons and events that raise substantal doubt about the Company’s ability to contnue as a going concern (Step 1). If management concludes that substantal doubt is raised, management is also required to consider whether its plans alleviate that doubt (Step 2).</w:t>
      </w:r>
    </w:p>
    <w:p>
      <w:pPr>
        <w:spacing w:after="0" w:line="181"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Management believes that it has sufcient working capital on hand to fund operatons through at least the next twelve months from the date these fnancial statements were issued. There can be no assurance that the Company will be successful in acquiring additonal funding, if needed, that the Company’s projectons of its future working capital needs will prove accurate, or that any additonal funding would be sufcient to contnue operatons in future years.</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Use of Estmates</w:t>
      </w:r>
    </w:p>
    <w:p>
      <w:pPr>
        <w:spacing w:after="0" w:line="177"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The preparaton of the Company’s fnancial statements requires it to make estmates and assumptons that impact the reported amounts of assets, liabilites and expenses and the disclosure of contngent assets and liabilites in the Company’s fnancial statements and accompanying notes. The most signifcant estmates in the Company’s fnancial statements relate to accruals for research and development expenses and the valuaton of various equity instruments. Although these estmates are based on the Company’s knowledge of current events and actons it may undertake in the future, actual results could difer materially from those estmates and assumptons.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7" w:name="page8"/>
    <w:bookmarkEnd w:id="7"/>
    <w:p>
      <w:pPr>
        <w:spacing w:after="0"/>
        <w:rPr>
          <w:sz w:val="20"/>
          <w:szCs w:val="20"/>
          <w:color w:val="auto"/>
        </w:rPr>
      </w:pPr>
      <w:r>
        <w:rPr>
          <w:rFonts w:ascii="Calibri" w:cs="Calibri" w:eastAsia="Calibri" w:hAnsi="Calibri"/>
          <w:sz w:val="18"/>
          <w:szCs w:val="18"/>
          <w:b w:val="1"/>
          <w:bCs w:val="1"/>
          <w:i w:val="1"/>
          <w:iCs w:val="1"/>
          <w:color w:val="auto"/>
        </w:rPr>
        <w:t>Fair Value Measurements</w:t>
      </w:r>
    </w:p>
    <w:p>
      <w:pPr>
        <w:spacing w:after="0" w:line="190" w:lineRule="exact"/>
        <w:rPr>
          <w:sz w:val="20"/>
          <w:szCs w:val="20"/>
          <w:color w:val="auto"/>
        </w:rPr>
      </w:pPr>
    </w:p>
    <w:p>
      <w:pPr>
        <w:ind w:right="180" w:firstLine="509"/>
        <w:spacing w:after="0" w:line="251" w:lineRule="auto"/>
        <w:rPr>
          <w:sz w:val="20"/>
          <w:szCs w:val="20"/>
          <w:color w:val="auto"/>
        </w:rPr>
      </w:pPr>
      <w:r>
        <w:rPr>
          <w:rFonts w:ascii="Calibri" w:cs="Calibri" w:eastAsia="Calibri" w:hAnsi="Calibri"/>
          <w:sz w:val="17"/>
          <w:szCs w:val="17"/>
          <w:color w:val="auto"/>
        </w:rPr>
        <w:t>The accountng guidance defnes fair value, establishes a consistent framework for measuring fair value and expands disclosure for each major asset and liability category measured at fair value on either a recurring or non-recurring basis. Fair value is defned as an exit price, representng the amount that would be received to sell an asset or paid to transfer a liability in an orderly transacton between market partcipants. As such, fair value is a market-based measurement that should be determined based on assumptons that market partcipants would use in pricing an asset or liability. As a basis for considering such assumptons, the accountng guidance establishes a three-ter fair value hierarchy, which prioritzes the inputs used in measuring fair value as follows:</w:t>
      </w:r>
    </w:p>
    <w:p>
      <w:pPr>
        <w:spacing w:after="0" w:line="166"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Level 1: Observable inputs such as quoted prices in actve markets.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Level 2: Inputs, other than the quoted prices in actve markets that are observable either directly or indirectly.</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Level 3: Unobservable inputs in which there is litle or no market data, which require the reportng entty to develop its own assumptons.</w:t>
      </w:r>
    </w:p>
    <w:p>
      <w:pPr>
        <w:spacing w:after="0" w:line="177" w:lineRule="exact"/>
        <w:rPr>
          <w:sz w:val="20"/>
          <w:szCs w:val="20"/>
          <w:color w:val="auto"/>
        </w:rPr>
      </w:pPr>
    </w:p>
    <w:p>
      <w:pPr>
        <w:jc w:val="both"/>
        <w:ind w:right="500" w:firstLine="509"/>
        <w:spacing w:after="0" w:line="258" w:lineRule="auto"/>
        <w:rPr>
          <w:sz w:val="20"/>
          <w:szCs w:val="20"/>
          <w:color w:val="auto"/>
        </w:rPr>
      </w:pPr>
      <w:r>
        <w:rPr>
          <w:rFonts w:ascii="Calibri" w:cs="Calibri" w:eastAsia="Calibri" w:hAnsi="Calibri"/>
          <w:sz w:val="17"/>
          <w:szCs w:val="17"/>
          <w:color w:val="auto"/>
        </w:rPr>
        <w:t>The carrying amounts of the Company’s fnancial instruments, including cash and cash equivalents, are classifed within the Level 1 designaton discussed above, while prepaid and other current assets, accounts payable, and accrued liabilites, approximate fair value due to their short maturites.</w:t>
      </w:r>
    </w:p>
    <w:p>
      <w:pPr>
        <w:spacing w:after="0" w:line="161"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Company has no fnancial assets measured at fair value on a recurring basis. None of the Company’s non-fnancial assets or liabilites are recorded at fair value on a non-recurring basis. No transfers between levels have occurred during the periods presented.</w:t>
      </w:r>
    </w:p>
    <w:p>
      <w:pPr>
        <w:spacing w:after="0" w:line="191" w:lineRule="exact"/>
        <w:rPr>
          <w:sz w:val="20"/>
          <w:szCs w:val="20"/>
          <w:color w:val="auto"/>
        </w:rPr>
      </w:pPr>
    </w:p>
    <w:p>
      <w:pPr>
        <w:jc w:val="both"/>
        <w:ind w:right="380" w:firstLine="509"/>
        <w:spacing w:after="0" w:line="235" w:lineRule="auto"/>
        <w:rPr>
          <w:sz w:val="20"/>
          <w:szCs w:val="20"/>
          <w:color w:val="auto"/>
        </w:rPr>
      </w:pPr>
      <w:r>
        <w:rPr>
          <w:rFonts w:ascii="Calibri" w:cs="Calibri" w:eastAsia="Calibri" w:hAnsi="Calibri"/>
          <w:sz w:val="18"/>
          <w:szCs w:val="18"/>
          <w:color w:val="auto"/>
        </w:rPr>
        <w:t>As of March 31, 2023, the estmated fair value of the Company’s long-term debt approximated the carrying amount given its foatng interest rate basis. The fair value of the Company’s long-term debt was estmated for disclosure purposes only and was determined based on quoted market data for valuaton, and thus categorized as Level 2 in the fair value hierarchy.</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and Cash Equivalents</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Company considers all highly liquid investments with original maturites of three months or less when purchased to be cash equivalents. Cash and cash equivalents include cash in readily available checking accounts and money market funds.</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Concentratons of Credit Risk</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Financial instruments that potentally subject the Company to signifcant concentratons of credit risk consist primarily of cash and cash equivalents. The Company maintains deposits in federally insured fnancial insttutons in excess of federally insured limits. The Company has not experienced any losses in such accounts and management believes that the Company is not exposed to signifcant credit risk due to the fnancial positon of the depository insttutons in which those deposits are held.</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Property, Plant, and Equipment, Net</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Property, plant and equipment are recorded at cost, less accumulated depreciaton. Depreciaton expense is recognized using the straight-line method over the useful life of the asset. Computer equipment and related sofware are depreciated over two to three years. Furniture and fxtures are depreciated over three years. Leasehold improvements are amortzed over the lesser of the lease term or the estmated useful lives of the related assets. Expenditures for repairs and maintenance of assets are charged to expense as incurred. Upon retrement or sale, the cost and related accumulated depreciaton of assets disposed of are removed from the accounts and any resultng gain or loss is included in loss from operatons.</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Impairment of Long-Lived Assets</w:t>
      </w:r>
    </w:p>
    <w:p>
      <w:pPr>
        <w:spacing w:after="0" w:line="177"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Company reviews long-lived assets, including property, plant and equipment, for impairment whenever events or changes in business circumstances indicate that the carrying amount of the assets may not be fully recoverable. An impairment loss would be recognized when estmated undiscounted future cash fows expected to result from the use of the asset and its eventual dispositon are less than the carrying amount. The impairment loss, if recognized, would be based on the excess of the carrying value of the impaired asset over its respectve fair value. No impairment losses have been recorded through March 31, 2023.</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1" w:right="359" w:bottom="1440" w:gutter="0" w:footer="0" w:header="0"/>
        </w:sectPr>
      </w:pPr>
    </w:p>
    <w:bookmarkStart w:id="8" w:name="page9"/>
    <w:bookmarkEnd w:id="8"/>
    <w:p>
      <w:pPr>
        <w:spacing w:after="0"/>
        <w:rPr>
          <w:sz w:val="20"/>
          <w:szCs w:val="20"/>
          <w:color w:val="auto"/>
        </w:rPr>
      </w:pPr>
      <w:r>
        <w:rPr>
          <w:rFonts w:ascii="Calibri" w:cs="Calibri" w:eastAsia="Calibri" w:hAnsi="Calibri"/>
          <w:sz w:val="18"/>
          <w:szCs w:val="18"/>
          <w:b w:val="1"/>
          <w:bCs w:val="1"/>
          <w:i w:val="1"/>
          <w:iCs w:val="1"/>
          <w:color w:val="auto"/>
        </w:rPr>
        <w:t>Leases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At the incepton of a contractual arrangement, the Company determines whether the contract contains a lease by assessing whether there is an identfed asset and whether the contract conveys the right to control the use of the identfed asset in exchange for consideraton over a period of tme.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additonally evaluates leases at their incepton to determine if they are to be accounted for as an operatng lease or a fnance lease. A lease is accounted for as a fnance lease if it meets one of the following fve criteria: the lease has a purchase opton that is reasonably certain of being exercised, the present value of the future cash fows is substantally all of the fair market value of the underlying asset, the lease term is for a signifcant porton of the remaining economic life of the underlying asset, the ttle to the underlying asset transfers at the end of the lease term, or if the underlying asset is of such a specialized nature that it is expected to have no alternatve uses to the lessor at the end of the term. Leases that do not meet the fnance lease criteria are accounted for as an operatng lease. Operatng lease assets represent a right to use an underlying asset for the lease term and operatng lease liabilites represent an obligaton to make lease payments arising from the lease. Operatng lease liabilites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inital direct costs paid or incentves received. As the Company’s leases do not typically provide an implicit rate, the Company utlizes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operatng expenses in the period in which the obligaton for those payments is incurred. Variable lease payments primarily include common area maintenance, utlites, real estate taxes, insurance, and other operatng costs that are passed on from the lessor in proporton to the space leased by the Company. The Company has elected the practcal expedient to not separate between lease and non-lease components.</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Interest Financing Liability</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entered into a revenue interest fnancing agreement, or the Revenue Interest Financing Agreement, with enttes managed or advised by NovaQuest Capital Management, or NQ, Sagard Holdings Manager LP, or Sagard, and Hercules Capital, Inc., or Hercules, together with NQ and Sagard, the Inital Investors, in which the Company received funds in return for royaltes on net sales of products containing vonoprazan. The net proceeds received under the transacton were recognized as short-term and long-term liabilites with interest expense based on an imputed efectve rate derived from the expected future payments. The Company recalculates the efectve interest rate each period based on the current carrying value and the revised estmated future payments. Changes in future payments from previous estmates are included in current and future fnancing expense.</w:t>
      </w:r>
    </w:p>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Research and Development Expenses and Accruals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All research and development costs are expensed in the period incurred and consist primarily of salaries, payroll taxes, employee benefts, stock-based compensaton charges for those individuals involved in research and development eforts, external research and development costs incurred under agreements with contract research organizatons, or CROs, and consultants to conduct and support the Company’s ongoing clinical trials of vonoprazan, and costs related to manufacturing vonoprazan for clinical trials.</w:t>
      </w:r>
    </w:p>
    <w:p>
      <w:pPr>
        <w:spacing w:after="0" w:line="17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Company has entered into various research and development contracts with clinical research organizatons, clinical manufacturing organizatons and other companies. Payments for these actvites are based on the terms of the individual agreements, which may difer from the patern of costs incurred, and payments made in advance of or afer performance are refected in the accompanying balance sheets as prepaid expenses or accrued liabilites, respectvely. The Company records accruals for estmated costs incurred for ongoing research and development actvites. When evaluatng the adequacy of the accrued liabilites, the Company analyzes progress of the services, including the phase or completon of events, invoices received and contracted costs. Signifcant judgments and estmates may be made in determining the prepaid or accrued balances at the end of any reportng period. Actual results could difer from the Company’s estmates.</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1" w:right="359" w:bottom="1440" w:gutter="0" w:footer="0" w:header="0"/>
        </w:sectPr>
      </w:pPr>
    </w:p>
    <w:bookmarkStart w:id="9" w:name="page10"/>
    <w:bookmarkEnd w:id="9"/>
    <w:p>
      <w:pPr>
        <w:spacing w:after="0"/>
        <w:rPr>
          <w:sz w:val="20"/>
          <w:szCs w:val="20"/>
          <w:color w:val="auto"/>
        </w:rPr>
      </w:pPr>
      <w:r>
        <w:rPr>
          <w:rFonts w:ascii="Calibri" w:cs="Calibri" w:eastAsia="Calibri" w:hAnsi="Calibri"/>
          <w:sz w:val="18"/>
          <w:szCs w:val="18"/>
          <w:b w:val="1"/>
          <w:bCs w:val="1"/>
          <w:i w:val="1"/>
          <w:iCs w:val="1"/>
          <w:color w:val="auto"/>
        </w:rPr>
        <w:t>In-Process Research and Development</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evaluates whether acquired intangible assets are a business under applicable accountng standards. Additonally, the Company evaluates whether the acquired assets have a future alternatve use. Intangible assets that do not have future alternatve use are considered acquired in-process research and development. When the acquired in-process research and development assets are not part of a business combinaton, the value of the consideraton paid is expensed on the acquisiton date. Future costs to develop these assets are recorded to research and development expense as they are incurred.</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General and Administratve Expenses</w:t>
      </w:r>
    </w:p>
    <w:p>
      <w:pPr>
        <w:spacing w:after="0" w:line="177"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General and administratve expenses consist of salaries, stock-based compensaton, facilites and third-party expenses. General and administratve expenses are associated with the actvites of the commercial, executve, fnance, accountng, informaton technology, legal, medical afairs and human resource functons.</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Stock-based compensaton expense represents the cost of the grant date fair value of equity awards recognized over the requisite service period of the awards (generally the vestng period) on a straight-line basis with forfeitures recognized as they occur.</w:t>
      </w:r>
    </w:p>
    <w:p>
      <w:pPr>
        <w:spacing w:after="0" w:line="177" w:lineRule="exact"/>
        <w:rPr>
          <w:sz w:val="20"/>
          <w:szCs w:val="20"/>
          <w:color w:val="auto"/>
        </w:rPr>
      </w:pPr>
    </w:p>
    <w:p>
      <w:pPr>
        <w:ind w:right="80" w:firstLine="509"/>
        <w:spacing w:after="0" w:line="254" w:lineRule="auto"/>
        <w:rPr>
          <w:sz w:val="20"/>
          <w:szCs w:val="20"/>
          <w:color w:val="auto"/>
        </w:rPr>
      </w:pPr>
      <w:r>
        <w:rPr>
          <w:rFonts w:ascii="Calibri" w:cs="Calibri" w:eastAsia="Calibri" w:hAnsi="Calibri"/>
          <w:sz w:val="17"/>
          <w:szCs w:val="17"/>
          <w:color w:val="auto"/>
        </w:rPr>
        <w:t>The Company also maintains an employee stock purchase program, or ESPP, under which it may issue shares. The Company estmates the fair value of shares that will be issued under the ESPP, and of stock optons using the Black-Scholes valuaton model, which requires the use of estmates. The Company recognizes stock-based compensaton cost for shares that it will issue under the ESPP on a straight-line basis over the requisite service period of the award.</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Income Taxes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accounts for income taxes under the asset and liability method, which requires the recogniton of deferred tax assets and liabilites for the expected future tax consequences of events that have been included in the fnancial statements. Under this method, deferred tax assets and liabilites are determined on the basis of the diferences between the fnancial statements and tax basis of assets and liabilites using enacted tax rates in efect for the year in which the diferences are expected to reverse. The efect of a change in tax rates on deferred tax assets and liabilites is recognized in the statement of operatons in the period that includes the enactment date.</w:t>
      </w:r>
    </w:p>
    <w:p>
      <w:pPr>
        <w:spacing w:after="0" w:line="180"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The Company recognizes net deferred tax assets to the extent that the Company believes these assets are more likely than not to be realized. In making such a determinaton, management considers all available positve and negatve evidence, including future reversals of existng taxable temporary diferences, projected future taxable income, tax-planning strategies, and results of recent operatons. If management determines that the Company would be able to realize its deferred tax assets in the future in excess of their net recorded amount, management would make an adjustment to the deferred tax asset valuaton allowance, which would reduce the provision for income taxes.</w:t>
      </w:r>
    </w:p>
    <w:p>
      <w:pPr>
        <w:spacing w:after="0" w:line="19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records uncertain tax positons on the basis of a two-step process whereby (i) management determines whether it is more likely than not that the tax positons will be sustained on the basis of the technical merits of the positon and (ii) for those tax positons that meet the more-likely-than-not recogniton threshold, management recognizes the largest amount of tax beneft that is more than 50 percent likely to be realized upon ultmate setlement with the related tax authority. The Company recognizes interest and penaltes related to unrecognized tax benefts within income tax expense. Any accrued interest and penaltes are included within the related tax liability.</w:t>
      </w:r>
    </w:p>
    <w:p>
      <w:pPr>
        <w:spacing w:after="0" w:line="180" w:lineRule="exact"/>
        <w:rPr>
          <w:sz w:val="20"/>
          <w:szCs w:val="20"/>
          <w:color w:val="auto"/>
        </w:rPr>
      </w:pPr>
    </w:p>
    <w:p>
      <w:pPr>
        <w:jc w:val="both"/>
        <w:ind w:right="100" w:firstLine="509"/>
        <w:spacing w:after="0" w:line="235" w:lineRule="auto"/>
        <w:rPr>
          <w:sz w:val="20"/>
          <w:szCs w:val="20"/>
          <w:color w:val="auto"/>
        </w:rPr>
      </w:pPr>
      <w:r>
        <w:rPr>
          <w:rFonts w:ascii="Calibri" w:cs="Calibri" w:eastAsia="Calibri" w:hAnsi="Calibri"/>
          <w:sz w:val="18"/>
          <w:szCs w:val="18"/>
          <w:color w:val="auto"/>
        </w:rPr>
        <w:t>Beginning in 2022, the Tax Cuts and Jobs Act, or TCJA, eliminates the opton to deduct research and development expenditures currently and requires taxpayers to amortze domestc and foreign research and development expenditures over 5 years and 15 years, respectvely. The requirement did not impact cash from operatons in the current period.</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Comprehensive Loss</w:t>
      </w:r>
    </w:p>
    <w:p>
      <w:pPr>
        <w:spacing w:after="0" w:line="190"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Comprehensive loss is defned as a change in equity during a period from transactons and other events and circumstances from non-owner sources.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comprehensive loss was the same as its reported net loss for all periods presented.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0" w:name="page11"/>
    <w:bookmarkEnd w:id="10"/>
    <w:p>
      <w:pPr>
        <w:spacing w:after="0"/>
        <w:rPr>
          <w:sz w:val="20"/>
          <w:szCs w:val="20"/>
          <w:color w:val="auto"/>
        </w:rPr>
      </w:pPr>
      <w:r>
        <w:rPr>
          <w:rFonts w:ascii="Calibri" w:cs="Calibri" w:eastAsia="Calibri" w:hAnsi="Calibri"/>
          <w:sz w:val="18"/>
          <w:szCs w:val="18"/>
          <w:b w:val="1"/>
          <w:bCs w:val="1"/>
          <w:i w:val="1"/>
          <w:iCs w:val="1"/>
          <w:color w:val="auto"/>
        </w:rPr>
        <w:t>Segment Reportng</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Operatng segments are identfed as components of an enterprise about which separate discrete fnancial informaton is available for evaluaton by the chief operatng decision maker in making decisions on how to allocate resources and assess performance. The Company views its operatons and manages its business as one operatng segment.</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Net Loss Per Share</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Basic net loss per share is computed by dividing the net loss by the weighted-average number of common shares outstanding for the period, without consideraton for potentally dilutve securites. For the three months ended March 31, 2023 and 2022, the Company has excluded weighted-average unvested shares of 132,514 and 1,022,885, respectvely, from the weighted-average number of common shares outstanding. Diluted net loss per share is computed by dividing the net loss by the weighted-average number of common shares and dilutve common stock equivalents outstanding for the period determined using the treasury-stock and if-converted methods. Dilutve common stock equivalents are comprised of unvested common stock, optons and warrants. For the periods presented, there is no diference in the number of shares used to calculate basic and diluted shares outstanding as inclusion of the potentally dilutve securites (warrants, stock optons, and common shares subject to repurchase) would be antdilutve.</w:t>
      </w:r>
    </w:p>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Adopted Accountng Standards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There were no recently adopted accountng standards which would have a material impact on the Company's fnancial statements.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Issued Accountng Pronouncements</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 assesses the adopton impacts of recently issued accountng standards by the Financial Accountng Standards Board or other standard setng bodies on the Company's fnancial statements as well as material updates to previous assessments, if any, from the Company’s Annual Report on Form 10-K for the year ended December 31, 2022. There were no new material accountng standards issued in the frst quarter of 2023 that impacted the Company.</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2. Balance Sheet Details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Property, Plant and Equipment, net</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Property, plant and equipment, net, consist of the following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Calibri" w:cs="Calibri" w:eastAsia="Calibri" w:hAnsi="Calibri"/>
                <w:sz w:val="18"/>
                <w:szCs w:val="18"/>
                <w:b w:val="1"/>
                <w:bCs w:val="1"/>
                <w:color w:val="auto"/>
              </w:rPr>
              <w:t>March 31,</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jc w:val="right"/>
              <w:ind w:right="450"/>
              <w:spacing w:after="0"/>
              <w:rPr>
                <w:sz w:val="20"/>
                <w:szCs w:val="20"/>
                <w:color w:val="auto"/>
              </w:rPr>
            </w:pPr>
            <w:r>
              <w:rPr>
                <w:rFonts w:ascii="Calibri" w:cs="Calibri" w:eastAsia="Calibri" w:hAnsi="Calibri"/>
                <w:sz w:val="18"/>
                <w:szCs w:val="18"/>
                <w:b w:val="1"/>
                <w:bCs w:val="1"/>
                <w:color w:val="auto"/>
              </w:rPr>
              <w:t>December 31,</w:t>
            </w:r>
          </w:p>
        </w:tc>
        <w:tc>
          <w:tcPr>
            <w:tcW w:w="1120" w:type="dxa"/>
            <w:vAlign w:val="bottom"/>
          </w:tcPr>
          <w:p>
            <w:pPr>
              <w:spacing w:after="0"/>
              <w:rPr>
                <w:sz w:val="19"/>
                <w:szCs w:val="19"/>
                <w:color w:val="auto"/>
              </w:rPr>
            </w:pPr>
          </w:p>
        </w:tc>
      </w:tr>
      <w:tr>
        <w:trPr>
          <w:trHeight w:val="37"/>
        </w:trPr>
        <w:tc>
          <w:tcPr>
            <w:tcW w:w="1140" w:type="dxa"/>
            <w:vAlign w:val="bottom"/>
          </w:tcPr>
          <w:p>
            <w:pPr>
              <w:spacing w:after="0"/>
              <w:rPr>
                <w:sz w:val="3"/>
                <w:szCs w:val="3"/>
                <w:color w:val="auto"/>
              </w:rPr>
            </w:pPr>
          </w:p>
        </w:tc>
        <w:tc>
          <w:tcPr>
            <w:tcW w:w="3700" w:type="dxa"/>
            <w:vAlign w:val="bottom"/>
          </w:tcPr>
          <w:p>
            <w:pPr>
              <w:spacing w:after="0"/>
              <w:rPr>
                <w:sz w:val="3"/>
                <w:szCs w:val="3"/>
                <w:color w:val="auto"/>
              </w:rPr>
            </w:pPr>
          </w:p>
        </w:tc>
        <w:tc>
          <w:tcPr>
            <w:tcW w:w="246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08"/>
        </w:trPr>
        <w:tc>
          <w:tcPr>
            <w:tcW w:w="11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0" w:type="dxa"/>
            <w:vAlign w:val="bottom"/>
            <w:tcBorders>
              <w:top w:val="single" w:sz="8" w:color="auto"/>
            </w:tcBorders>
          </w:tcPr>
          <w:p>
            <w:pPr>
              <w:jc w:val="right"/>
              <w:ind w:right="170"/>
              <w:spacing w:after="0" w:line="208" w:lineRule="exact"/>
              <w:rPr>
                <w:sz w:val="20"/>
                <w:szCs w:val="20"/>
                <w:color w:val="auto"/>
              </w:rPr>
            </w:pPr>
            <w:r>
              <w:rPr>
                <w:rFonts w:ascii="Calibri" w:cs="Calibri" w:eastAsia="Calibri" w:hAnsi="Calibri"/>
                <w:sz w:val="18"/>
                <w:szCs w:val="18"/>
                <w:b w:val="1"/>
                <w:bCs w:val="1"/>
                <w:color w:val="auto"/>
              </w:rPr>
              <w:t>2023</w:t>
            </w:r>
          </w:p>
        </w:tc>
        <w:tc>
          <w:tcPr>
            <w:tcW w:w="6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790"/>
              <w:spacing w:after="0" w:line="208" w:lineRule="exact"/>
              <w:rPr>
                <w:sz w:val="20"/>
                <w:szCs w:val="20"/>
                <w:color w:val="auto"/>
              </w:rPr>
            </w:pPr>
            <w:r>
              <w:rPr>
                <w:rFonts w:ascii="Calibri" w:cs="Calibri" w:eastAsia="Calibri" w:hAnsi="Calibri"/>
                <w:sz w:val="18"/>
                <w:szCs w:val="18"/>
                <w:b w:val="1"/>
                <w:bCs w:val="1"/>
                <w:color w:val="auto"/>
              </w:rPr>
              <w:t>2022</w:t>
            </w:r>
          </w:p>
        </w:tc>
        <w:tc>
          <w:tcPr>
            <w:tcW w:w="112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7"/>
        </w:trPr>
        <w:tc>
          <w:tcPr>
            <w:tcW w:w="1140" w:type="dxa"/>
            <w:vAlign w:val="bottom"/>
          </w:tcPr>
          <w:p>
            <w:pPr>
              <w:spacing w:after="0"/>
              <w:rPr>
                <w:sz w:val="18"/>
                <w:szCs w:val="18"/>
                <w:color w:val="auto"/>
              </w:rPr>
            </w:pPr>
          </w:p>
        </w:tc>
        <w:tc>
          <w:tcPr>
            <w:tcW w:w="37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Computer equipment and sofware</w:t>
            </w:r>
          </w:p>
        </w:tc>
        <w:tc>
          <w:tcPr>
            <w:tcW w:w="10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top w:val="single" w:sz="8" w:color="auto"/>
              <w:bottom w:val="single" w:sz="8" w:color="CFF0FC"/>
            </w:tcBorders>
            <w:shd w:val="clear" w:color="auto" w:fill="CFF0FC"/>
          </w:tcPr>
          <w:p>
            <w:pPr>
              <w:jc w:val="right"/>
              <w:ind w:right="1210"/>
              <w:spacing w:after="0" w:line="208" w:lineRule="exact"/>
              <w:rPr>
                <w:sz w:val="20"/>
                <w:szCs w:val="20"/>
                <w:color w:val="auto"/>
              </w:rPr>
            </w:pPr>
            <w:r>
              <w:rPr>
                <w:rFonts w:ascii="Calibri" w:cs="Calibri" w:eastAsia="Calibri" w:hAnsi="Calibri"/>
                <w:sz w:val="18"/>
                <w:szCs w:val="18"/>
                <w:color w:val="auto"/>
                <w:w w:val="87"/>
              </w:rPr>
              <w:t>$</w:t>
            </w:r>
          </w:p>
        </w:tc>
        <w:tc>
          <w:tcPr>
            <w:tcW w:w="640" w:type="dxa"/>
            <w:vAlign w:val="bottom"/>
            <w:tcBorders>
              <w:top w:val="single" w:sz="8" w:color="auto"/>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1,087</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740" w:type="dxa"/>
            <w:vAlign w:val="bottom"/>
            <w:tcBorders>
              <w:top w:val="single" w:sz="8" w:color="auto"/>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1,078</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700" w:type="dxa"/>
            <w:vAlign w:val="bottom"/>
          </w:tcPr>
          <w:p>
            <w:pPr>
              <w:spacing w:after="0" w:line="215" w:lineRule="exact"/>
              <w:rPr>
                <w:sz w:val="20"/>
                <w:szCs w:val="20"/>
                <w:color w:val="auto"/>
              </w:rPr>
            </w:pPr>
            <w:r>
              <w:rPr>
                <w:rFonts w:ascii="Calibri" w:cs="Calibri" w:eastAsia="Calibri" w:hAnsi="Calibri"/>
                <w:sz w:val="18"/>
                <w:szCs w:val="18"/>
                <w:color w:val="auto"/>
              </w:rPr>
              <w:t>Furniture and fxtures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1,086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1,086</w:t>
            </w:r>
          </w:p>
        </w:tc>
        <w:tc>
          <w:tcPr>
            <w:tcW w:w="112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37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Leasehold improvements</w:t>
            </w:r>
          </w:p>
        </w:tc>
        <w:tc>
          <w:tcPr>
            <w:tcW w:w="10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115</w:t>
            </w: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115</w:t>
            </w:r>
          </w:p>
        </w:tc>
        <w:tc>
          <w:tcPr>
            <w:tcW w:w="1120" w:type="dxa"/>
            <w:vAlign w:val="bottom"/>
          </w:tcPr>
          <w:p>
            <w:pPr>
              <w:spacing w:after="0"/>
              <w:rPr>
                <w:sz w:val="19"/>
                <w:szCs w:val="19"/>
                <w:color w:val="auto"/>
              </w:rPr>
            </w:pPr>
          </w:p>
        </w:tc>
      </w:tr>
      <w:tr>
        <w:trPr>
          <w:trHeight w:val="215"/>
        </w:trPr>
        <w:tc>
          <w:tcPr>
            <w:tcW w:w="1140" w:type="dxa"/>
            <w:vAlign w:val="bottom"/>
          </w:tcPr>
          <w:p>
            <w:pPr>
              <w:spacing w:after="0"/>
              <w:rPr>
                <w:sz w:val="18"/>
                <w:szCs w:val="18"/>
                <w:color w:val="auto"/>
              </w:rPr>
            </w:pPr>
          </w:p>
        </w:tc>
        <w:tc>
          <w:tcPr>
            <w:tcW w:w="3700" w:type="dxa"/>
            <w:vAlign w:val="bottom"/>
          </w:tcPr>
          <w:p>
            <w:pPr>
              <w:spacing w:after="0" w:line="215" w:lineRule="exact"/>
              <w:rPr>
                <w:sz w:val="20"/>
                <w:szCs w:val="20"/>
                <w:color w:val="auto"/>
              </w:rPr>
            </w:pPr>
            <w:r>
              <w:rPr>
                <w:rFonts w:ascii="Calibri" w:cs="Calibri" w:eastAsia="Calibri" w:hAnsi="Calibri"/>
                <w:sz w:val="18"/>
                <w:szCs w:val="18"/>
                <w:color w:val="auto"/>
              </w:rPr>
              <w:t>Constructon in process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604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399</w:t>
            </w:r>
          </w:p>
        </w:tc>
        <w:tc>
          <w:tcPr>
            <w:tcW w:w="112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17"/>
        </w:trPr>
        <w:tc>
          <w:tcPr>
            <w:tcW w:w="1140" w:type="dxa"/>
            <w:vAlign w:val="bottom"/>
          </w:tcPr>
          <w:p>
            <w:pPr>
              <w:spacing w:after="0"/>
              <w:rPr>
                <w:sz w:val="18"/>
                <w:szCs w:val="18"/>
                <w:color w:val="auto"/>
              </w:rPr>
            </w:pPr>
          </w:p>
        </w:tc>
        <w:tc>
          <w:tcPr>
            <w:tcW w:w="37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Total property, plant and equipment, gross</w:t>
            </w:r>
          </w:p>
        </w:tc>
        <w:tc>
          <w:tcPr>
            <w:tcW w:w="1060" w:type="dxa"/>
            <w:vAlign w:val="bottom"/>
            <w:tcBorders>
              <w:bottom w:val="single" w:sz="8" w:color="CFF0FC"/>
            </w:tcBorders>
            <w:shd w:val="clear" w:color="auto" w:fill="CFF0FC"/>
          </w:tcPr>
          <w:p>
            <w:pPr>
              <w:spacing w:after="0"/>
              <w:rPr>
                <w:sz w:val="18"/>
                <w:szCs w:val="18"/>
                <w:color w:val="auto"/>
              </w:rPr>
            </w:pPr>
          </w:p>
        </w:tc>
        <w:tc>
          <w:tcPr>
            <w:tcW w:w="14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2,892</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2,678</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700" w:type="dxa"/>
            <w:vAlign w:val="bottom"/>
          </w:tcPr>
          <w:p>
            <w:pPr>
              <w:spacing w:after="0" w:line="215" w:lineRule="exact"/>
              <w:rPr>
                <w:sz w:val="20"/>
                <w:szCs w:val="20"/>
                <w:color w:val="auto"/>
              </w:rPr>
            </w:pPr>
            <w:r>
              <w:rPr>
                <w:rFonts w:ascii="Calibri" w:cs="Calibri" w:eastAsia="Calibri" w:hAnsi="Calibri"/>
                <w:sz w:val="18"/>
                <w:szCs w:val="18"/>
                <w:color w:val="auto"/>
              </w:rPr>
              <w:t>Less: accumulated depreciaton</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(1,617 )</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line="215" w:lineRule="exact"/>
              <w:rPr>
                <w:sz w:val="20"/>
                <w:szCs w:val="20"/>
                <w:color w:val="auto"/>
              </w:rPr>
            </w:pPr>
            <w:r>
              <w:rPr>
                <w:rFonts w:ascii="Calibri" w:cs="Calibri" w:eastAsia="Calibri" w:hAnsi="Calibri"/>
                <w:sz w:val="18"/>
                <w:szCs w:val="18"/>
                <w:color w:val="auto"/>
              </w:rPr>
              <w:t>(1,471 )</w:t>
            </w:r>
          </w:p>
        </w:tc>
        <w:tc>
          <w:tcPr>
            <w:tcW w:w="1120" w:type="dxa"/>
            <w:vAlign w:val="bottom"/>
          </w:tcPr>
          <w:p>
            <w:pPr>
              <w:spacing w:after="0"/>
              <w:rPr>
                <w:sz w:val="18"/>
                <w:szCs w:val="18"/>
                <w:color w:val="auto"/>
              </w:rPr>
            </w:pPr>
          </w:p>
        </w:tc>
      </w:tr>
      <w:tr>
        <w:trPr>
          <w:trHeight w:val="28"/>
        </w:trPr>
        <w:tc>
          <w:tcPr>
            <w:tcW w:w="11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46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7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2"/>
        </w:trPr>
        <w:tc>
          <w:tcPr>
            <w:tcW w:w="1140" w:type="dxa"/>
            <w:vAlign w:val="bottom"/>
          </w:tcPr>
          <w:p>
            <w:pPr>
              <w:spacing w:after="0"/>
              <w:rPr>
                <w:sz w:val="24"/>
                <w:szCs w:val="24"/>
                <w:color w:val="auto"/>
              </w:rPr>
            </w:pPr>
          </w:p>
        </w:tc>
        <w:tc>
          <w:tcPr>
            <w:tcW w:w="37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Total property, plant and equipment, net</w:t>
            </w:r>
          </w:p>
        </w:tc>
        <w:tc>
          <w:tcPr>
            <w:tcW w:w="106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top w:val="single" w:sz="8" w:color="auto"/>
              <w:bottom w:val="single" w:sz="8" w:color="CFF0FC"/>
            </w:tcBorders>
            <w:shd w:val="clear" w:color="auto" w:fill="CFF0FC"/>
          </w:tcPr>
          <w:p>
            <w:pPr>
              <w:jc w:val="right"/>
              <w:ind w:right="1210"/>
              <w:spacing w:after="0" w:line="208" w:lineRule="exact"/>
              <w:rPr>
                <w:sz w:val="20"/>
                <w:szCs w:val="20"/>
                <w:color w:val="auto"/>
              </w:rPr>
            </w:pPr>
            <w:r>
              <w:rPr>
                <w:rFonts w:ascii="Calibri" w:cs="Calibri" w:eastAsia="Calibri" w:hAnsi="Calibri"/>
                <w:sz w:val="18"/>
                <w:szCs w:val="18"/>
                <w:color w:val="auto"/>
                <w:w w:val="87"/>
              </w:rPr>
              <w:t>$</w:t>
            </w:r>
          </w:p>
        </w:tc>
        <w:tc>
          <w:tcPr>
            <w:tcW w:w="640" w:type="dxa"/>
            <w:vAlign w:val="bottom"/>
            <w:tcBorders>
              <w:top w:val="single" w:sz="8" w:color="auto"/>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1,275</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740" w:type="dxa"/>
            <w:vAlign w:val="bottom"/>
            <w:tcBorders>
              <w:top w:val="single" w:sz="8" w:color="auto"/>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1,207</w:t>
            </w:r>
          </w:p>
        </w:tc>
        <w:tc>
          <w:tcPr>
            <w:tcW w:w="1120" w:type="dxa"/>
            <w:vAlign w:val="bottom"/>
          </w:tcPr>
          <w:p>
            <w:pPr>
              <w:spacing w:after="0"/>
              <w:rPr>
                <w:sz w:val="24"/>
                <w:szCs w:val="24"/>
                <w:color w:val="auto"/>
              </w:rPr>
            </w:pPr>
          </w:p>
        </w:tc>
      </w:tr>
      <w:tr>
        <w:trPr>
          <w:trHeight w:val="628"/>
        </w:trPr>
        <w:tc>
          <w:tcPr>
            <w:tcW w:w="1140" w:type="dxa"/>
            <w:vAlign w:val="bottom"/>
          </w:tcPr>
          <w:p>
            <w:pPr>
              <w:spacing w:after="0"/>
              <w:rPr>
                <w:sz w:val="24"/>
                <w:szCs w:val="24"/>
                <w:color w:val="auto"/>
              </w:rPr>
            </w:pPr>
          </w:p>
        </w:tc>
        <w:tc>
          <w:tcPr>
            <w:tcW w:w="370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tcPr>
          <w:p>
            <w:pPr>
              <w:ind w:left="660"/>
              <w:spacing w:after="0"/>
              <w:rPr>
                <w:sz w:val="20"/>
                <w:szCs w:val="20"/>
                <w:color w:val="auto"/>
              </w:rPr>
            </w:pPr>
            <w:r>
              <w:rPr>
                <w:rFonts w:ascii="Times New Roman" w:cs="Times New Roman" w:eastAsia="Times New Roman" w:hAnsi="Times New Roman"/>
                <w:sz w:val="18"/>
                <w:szCs w:val="18"/>
                <w:color w:val="auto"/>
              </w:rPr>
              <w:t>F-9</w:t>
            </w:r>
          </w:p>
        </w:tc>
        <w:tc>
          <w:tcPr>
            <w:tcW w:w="14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-521970</wp:posOffset>
            </wp:positionV>
            <wp:extent cx="1028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-504825</wp:posOffset>
            </wp:positionV>
            <wp:extent cx="1028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1" w:name="page12"/>
    <w:bookmarkEnd w:id="11"/>
    <w:p>
      <w:pPr>
        <w:ind w:right="60" w:firstLine="509"/>
        <w:spacing w:after="0" w:line="235" w:lineRule="auto"/>
        <w:rPr>
          <w:sz w:val="20"/>
          <w:szCs w:val="20"/>
          <w:color w:val="auto"/>
        </w:rPr>
      </w:pPr>
      <w:r>
        <w:rPr>
          <w:rFonts w:ascii="Calibri" w:cs="Calibri" w:eastAsia="Calibri" w:hAnsi="Calibri"/>
          <w:sz w:val="18"/>
          <w:szCs w:val="18"/>
          <w:color w:val="auto"/>
        </w:rPr>
        <w:t>Depreciaton expense for each of the three months ended March 31, 2023 and 2022 was approximately $0.1 million. No property, plant or equipment was disposed of during the three months ended March 31, 2023 or the year ended December 31, 2022.</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20" w:type="dxa"/>
            <w:vAlign w:val="bottom"/>
            <w:gridSpan w:val="2"/>
          </w:tcPr>
          <w:p>
            <w:pPr>
              <w:spacing w:after="0"/>
              <w:rPr>
                <w:sz w:val="20"/>
                <w:szCs w:val="20"/>
                <w:color w:val="auto"/>
              </w:rPr>
            </w:pPr>
            <w:r>
              <w:rPr>
                <w:rFonts w:ascii="Calibri" w:cs="Calibri" w:eastAsia="Calibri" w:hAnsi="Calibri"/>
                <w:sz w:val="18"/>
                <w:szCs w:val="18"/>
                <w:b w:val="1"/>
                <w:bCs w:val="1"/>
                <w:i w:val="1"/>
                <w:iCs w:val="1"/>
                <w:color w:val="auto"/>
              </w:rPr>
              <w:t>Accrued Expenses</w:t>
            </w:r>
          </w:p>
        </w:tc>
        <w:tc>
          <w:tcPr>
            <w:tcW w:w="1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92"/>
        </w:trPr>
        <w:tc>
          <w:tcPr>
            <w:tcW w:w="5920" w:type="dxa"/>
            <w:vAlign w:val="bottom"/>
            <w:gridSpan w:val="2"/>
          </w:tcPr>
          <w:p>
            <w:pPr>
              <w:ind w:left="520"/>
              <w:spacing w:after="0"/>
              <w:rPr>
                <w:sz w:val="20"/>
                <w:szCs w:val="20"/>
                <w:color w:val="auto"/>
              </w:rPr>
            </w:pPr>
            <w:r>
              <w:rPr>
                <w:rFonts w:ascii="Calibri" w:cs="Calibri" w:eastAsia="Calibri" w:hAnsi="Calibri"/>
                <w:sz w:val="18"/>
                <w:szCs w:val="18"/>
                <w:color w:val="auto"/>
              </w:rPr>
              <w:t>Accrued expenses consist of the following (in thousands):</w:t>
            </w: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45"/>
        </w:trPr>
        <w:tc>
          <w:tcPr>
            <w:tcW w:w="11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Calibri" w:cs="Calibri" w:eastAsia="Calibri" w:hAnsi="Calibri"/>
                <w:sz w:val="18"/>
                <w:szCs w:val="18"/>
                <w:b w:val="1"/>
                <w:bCs w:val="1"/>
                <w:color w:val="auto"/>
              </w:rPr>
              <w:t>March 31,</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jc w:val="right"/>
              <w:ind w:right="450"/>
              <w:spacing w:after="0"/>
              <w:rPr>
                <w:sz w:val="20"/>
                <w:szCs w:val="20"/>
                <w:color w:val="auto"/>
              </w:rPr>
            </w:pPr>
            <w:r>
              <w:rPr>
                <w:rFonts w:ascii="Calibri" w:cs="Calibri" w:eastAsia="Calibri" w:hAnsi="Calibri"/>
                <w:sz w:val="18"/>
                <w:szCs w:val="18"/>
                <w:b w:val="1"/>
                <w:bCs w:val="1"/>
                <w:color w:val="auto"/>
              </w:rPr>
              <w:t>December 31,</w:t>
            </w:r>
          </w:p>
        </w:tc>
      </w:tr>
      <w:tr>
        <w:trPr>
          <w:trHeight w:val="243"/>
        </w:trPr>
        <w:tc>
          <w:tcPr>
            <w:tcW w:w="114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1440" w:type="dxa"/>
            <w:vAlign w:val="bottom"/>
          </w:tcPr>
          <w:p>
            <w:pPr>
              <w:jc w:val="right"/>
              <w:ind w:right="190"/>
              <w:spacing w:after="0"/>
              <w:rPr>
                <w:sz w:val="20"/>
                <w:szCs w:val="20"/>
                <w:color w:val="auto"/>
              </w:rPr>
            </w:pPr>
            <w:r>
              <w:rPr>
                <w:rFonts w:ascii="Calibri" w:cs="Calibri" w:eastAsia="Calibri" w:hAnsi="Calibri"/>
                <w:sz w:val="18"/>
                <w:szCs w:val="18"/>
                <w:b w:val="1"/>
                <w:bCs w:val="1"/>
                <w:color w:val="auto"/>
              </w:rPr>
              <w:t>2023</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jc w:val="right"/>
              <w:ind w:right="790"/>
              <w:spacing w:after="0"/>
              <w:rPr>
                <w:sz w:val="20"/>
                <w:szCs w:val="20"/>
                <w:color w:val="auto"/>
              </w:rPr>
            </w:pPr>
            <w:r>
              <w:rPr>
                <w:rFonts w:ascii="Calibri" w:cs="Calibri" w:eastAsia="Calibri" w:hAnsi="Calibri"/>
                <w:sz w:val="18"/>
                <w:szCs w:val="18"/>
                <w:b w:val="1"/>
                <w:bCs w:val="1"/>
                <w:color w:val="auto"/>
              </w:rPr>
              <w:t>2022</w:t>
            </w:r>
          </w:p>
        </w:tc>
      </w:tr>
      <w:tr>
        <w:trPr>
          <w:trHeight w:val="37"/>
        </w:trPr>
        <w:tc>
          <w:tcPr>
            <w:tcW w:w="1140" w:type="dxa"/>
            <w:vAlign w:val="bottom"/>
          </w:tcPr>
          <w:p>
            <w:pPr>
              <w:spacing w:after="0"/>
              <w:rPr>
                <w:sz w:val="3"/>
                <w:szCs w:val="3"/>
                <w:color w:val="auto"/>
              </w:rPr>
            </w:pPr>
          </w:p>
        </w:tc>
        <w:tc>
          <w:tcPr>
            <w:tcW w:w="478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r>
      <w:tr>
        <w:trPr>
          <w:trHeight w:val="217"/>
        </w:trPr>
        <w:tc>
          <w:tcPr>
            <w:tcW w:w="1140" w:type="dxa"/>
            <w:vAlign w:val="bottom"/>
          </w:tcPr>
          <w:p>
            <w:pPr>
              <w:spacing w:after="0"/>
              <w:rPr>
                <w:sz w:val="18"/>
                <w:szCs w:val="18"/>
                <w:color w:val="auto"/>
              </w:rPr>
            </w:pPr>
          </w:p>
        </w:tc>
        <w:tc>
          <w:tcPr>
            <w:tcW w:w="47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Accrued research and development expenses</w:t>
            </w:r>
          </w:p>
        </w:tc>
        <w:tc>
          <w:tcPr>
            <w:tcW w:w="1440" w:type="dxa"/>
            <w:vAlign w:val="bottom"/>
            <w:tcBorders>
              <w:bottom w:val="single" w:sz="8" w:color="CFF0FC"/>
            </w:tcBorders>
            <w:shd w:val="clear" w:color="auto" w:fill="CFF0FC"/>
          </w:tcPr>
          <w:p>
            <w:pPr>
              <w:jc w:val="right"/>
              <w:ind w:right="1250"/>
              <w:spacing w:after="0" w:line="208" w:lineRule="exact"/>
              <w:rPr>
                <w:sz w:val="20"/>
                <w:szCs w:val="20"/>
                <w:color w:val="auto"/>
              </w:rPr>
            </w:pPr>
            <w:r>
              <w:rPr>
                <w:rFonts w:ascii="Calibri" w:cs="Calibri" w:eastAsia="Calibri" w:hAnsi="Calibri"/>
                <w:sz w:val="18"/>
                <w:szCs w:val="18"/>
                <w:color w:val="auto"/>
                <w:w w:val="87"/>
              </w:rPr>
              <w:t>$</w:t>
            </w:r>
          </w:p>
        </w:tc>
        <w:tc>
          <w:tcPr>
            <w:tcW w:w="6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2,497</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74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3,080</w:t>
            </w:r>
          </w:p>
        </w:tc>
      </w:tr>
      <w:tr>
        <w:trPr>
          <w:trHeight w:val="215"/>
        </w:trPr>
        <w:tc>
          <w:tcPr>
            <w:tcW w:w="1140" w:type="dxa"/>
            <w:vAlign w:val="bottom"/>
          </w:tcPr>
          <w:p>
            <w:pPr>
              <w:spacing w:after="0"/>
              <w:rPr>
                <w:sz w:val="18"/>
                <w:szCs w:val="18"/>
                <w:color w:val="auto"/>
              </w:rPr>
            </w:pPr>
          </w:p>
        </w:tc>
        <w:tc>
          <w:tcPr>
            <w:tcW w:w="4780" w:type="dxa"/>
            <w:vAlign w:val="bottom"/>
          </w:tcPr>
          <w:p>
            <w:pPr>
              <w:spacing w:after="0" w:line="215" w:lineRule="exact"/>
              <w:rPr>
                <w:sz w:val="20"/>
                <w:szCs w:val="20"/>
                <w:color w:val="auto"/>
              </w:rPr>
            </w:pPr>
            <w:r>
              <w:rPr>
                <w:rFonts w:ascii="Calibri" w:cs="Calibri" w:eastAsia="Calibri" w:hAnsi="Calibri"/>
                <w:sz w:val="18"/>
                <w:szCs w:val="18"/>
                <w:color w:val="auto"/>
              </w:rPr>
              <w:t>Accrued compensaton expenses</w:t>
            </w:r>
          </w:p>
        </w:tc>
        <w:tc>
          <w:tcPr>
            <w:tcW w:w="1440" w:type="dxa"/>
            <w:vAlign w:val="bottom"/>
          </w:tcPr>
          <w:p>
            <w:pPr>
              <w:spacing w:after="0"/>
              <w:rPr>
                <w:sz w:val="18"/>
                <w:szCs w:val="18"/>
                <w:color w:val="auto"/>
              </w:rPr>
            </w:pPr>
          </w:p>
        </w:tc>
        <w:tc>
          <w:tcPr>
            <w:tcW w:w="6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3,490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8,447</w:t>
            </w:r>
          </w:p>
        </w:tc>
      </w:tr>
      <w:tr>
        <w:trPr>
          <w:trHeight w:val="28"/>
        </w:trPr>
        <w:tc>
          <w:tcPr>
            <w:tcW w:w="1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1140" w:type="dxa"/>
            <w:vAlign w:val="bottom"/>
          </w:tcPr>
          <w:p>
            <w:pPr>
              <w:spacing w:after="0"/>
              <w:rPr>
                <w:sz w:val="19"/>
                <w:szCs w:val="19"/>
                <w:color w:val="auto"/>
              </w:rPr>
            </w:pPr>
          </w:p>
        </w:tc>
        <w:tc>
          <w:tcPr>
            <w:tcW w:w="478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Accrued professional &amp; consultng expenses</w:t>
            </w:r>
          </w:p>
        </w:tc>
        <w:tc>
          <w:tcPr>
            <w:tcW w:w="144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1,972</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3,000</w:t>
            </w:r>
          </w:p>
        </w:tc>
      </w:tr>
      <w:tr>
        <w:trPr>
          <w:trHeight w:val="215"/>
        </w:trPr>
        <w:tc>
          <w:tcPr>
            <w:tcW w:w="1140" w:type="dxa"/>
            <w:vAlign w:val="bottom"/>
          </w:tcPr>
          <w:p>
            <w:pPr>
              <w:spacing w:after="0"/>
              <w:rPr>
                <w:sz w:val="18"/>
                <w:szCs w:val="18"/>
                <w:color w:val="auto"/>
              </w:rPr>
            </w:pPr>
          </w:p>
        </w:tc>
        <w:tc>
          <w:tcPr>
            <w:tcW w:w="4780" w:type="dxa"/>
            <w:vAlign w:val="bottom"/>
          </w:tcPr>
          <w:p>
            <w:pPr>
              <w:spacing w:after="0" w:line="215" w:lineRule="exact"/>
              <w:rPr>
                <w:sz w:val="20"/>
                <w:szCs w:val="20"/>
                <w:color w:val="auto"/>
              </w:rPr>
            </w:pPr>
            <w:r>
              <w:rPr>
                <w:rFonts w:ascii="Calibri" w:cs="Calibri" w:eastAsia="Calibri" w:hAnsi="Calibri"/>
                <w:sz w:val="18"/>
                <w:szCs w:val="18"/>
                <w:color w:val="auto"/>
              </w:rPr>
              <w:t>Accrued other</w:t>
            </w:r>
          </w:p>
        </w:tc>
        <w:tc>
          <w:tcPr>
            <w:tcW w:w="1440" w:type="dxa"/>
            <w:vAlign w:val="bottom"/>
          </w:tcPr>
          <w:p>
            <w:pPr>
              <w:spacing w:after="0"/>
              <w:rPr>
                <w:sz w:val="18"/>
                <w:szCs w:val="18"/>
                <w:color w:val="auto"/>
              </w:rPr>
            </w:pPr>
          </w:p>
        </w:tc>
        <w:tc>
          <w:tcPr>
            <w:tcW w:w="6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56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151</w:t>
            </w:r>
          </w:p>
        </w:tc>
      </w:tr>
      <w:tr>
        <w:trPr>
          <w:trHeight w:val="28"/>
        </w:trPr>
        <w:tc>
          <w:tcPr>
            <w:tcW w:w="11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1140" w:type="dxa"/>
            <w:vAlign w:val="bottom"/>
          </w:tcPr>
          <w:p>
            <w:pPr>
              <w:spacing w:after="0"/>
              <w:rPr>
                <w:sz w:val="22"/>
                <w:szCs w:val="22"/>
                <w:color w:val="auto"/>
              </w:rPr>
            </w:pPr>
          </w:p>
        </w:tc>
        <w:tc>
          <w:tcPr>
            <w:tcW w:w="47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Total accrued expenses</w:t>
            </w:r>
          </w:p>
        </w:tc>
        <w:tc>
          <w:tcPr>
            <w:tcW w:w="1440" w:type="dxa"/>
            <w:vAlign w:val="bottom"/>
            <w:tcBorders>
              <w:top w:val="single" w:sz="8" w:color="auto"/>
              <w:bottom w:val="single" w:sz="8" w:color="CFF0FC"/>
            </w:tcBorders>
            <w:shd w:val="clear" w:color="auto" w:fill="CFF0FC"/>
          </w:tcPr>
          <w:p>
            <w:pPr>
              <w:jc w:val="right"/>
              <w:ind w:right="1250"/>
              <w:spacing w:after="0" w:line="208" w:lineRule="exact"/>
              <w:rPr>
                <w:sz w:val="20"/>
                <w:szCs w:val="20"/>
                <w:color w:val="auto"/>
              </w:rPr>
            </w:pPr>
            <w:r>
              <w:rPr>
                <w:rFonts w:ascii="Calibri" w:cs="Calibri" w:eastAsia="Calibri" w:hAnsi="Calibri"/>
                <w:sz w:val="18"/>
                <w:szCs w:val="18"/>
                <w:color w:val="auto"/>
                <w:w w:val="87"/>
              </w:rPr>
              <w:t>$</w:t>
            </w:r>
          </w:p>
        </w:tc>
        <w:tc>
          <w:tcPr>
            <w:tcW w:w="600" w:type="dxa"/>
            <w:vAlign w:val="bottom"/>
            <w:tcBorders>
              <w:top w:val="single" w:sz="8" w:color="auto"/>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8,015</w:t>
            </w: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top w:val="single" w:sz="8" w:color="auto"/>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740" w:type="dxa"/>
            <w:vAlign w:val="bottom"/>
            <w:tcBorders>
              <w:top w:val="single" w:sz="8" w:color="auto"/>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14,678</w:t>
            </w:r>
          </w:p>
        </w:tc>
      </w:tr>
      <w:tr>
        <w:trPr>
          <w:trHeight w:val="20"/>
        </w:trPr>
        <w:tc>
          <w:tcPr>
            <w:tcW w:w="1140" w:type="dxa"/>
            <w:vAlign w:val="bottom"/>
          </w:tcPr>
          <w:p>
            <w:pPr>
              <w:spacing w:after="0" w:line="20" w:lineRule="exact"/>
              <w:rPr>
                <w:sz w:val="1"/>
                <w:szCs w:val="1"/>
                <w:color w:val="auto"/>
              </w:rPr>
            </w:pPr>
          </w:p>
        </w:tc>
        <w:tc>
          <w:tcPr>
            <w:tcW w:w="478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946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946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3. Related Party Transactons</w:t>
      </w:r>
    </w:p>
    <w:p>
      <w:pPr>
        <w:spacing w:after="0" w:line="190"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Frazier is a principal stockholder of the Company with representaton on the Board of Directors. Frazier is compensated for their partcipaton on the Board of Directors and as of March 31, 2023 and December 31, 2022, the Company had $17,000 and $15,000, respectvely, outstanding accounts payable and accrued expenses related to these services. For the three months ended March 31, 2023 and 2022, the Company incurred $3,000 and no expense, respectvely, of expenses related to partcipaton on the Board of Directors. Frazier is also a principal stockholder in PCI Pharma Services, or PCI. In the third quarter of 2019, the Company engaged PCI for clinical manufacturing services. As of March 31, 2023 and December 31, 2022, the Company had $1.2 million and $1.1 million, respectvely, outstanding accounts payable and accrued expenses related to these manufacturing services. For the three months ended March 31, 2023 and 2022, the Company incurred $0.1 million and $0.3 million, respectvely, of expenses related to services performed by PCI.</w:t>
      </w:r>
    </w:p>
    <w:p>
      <w:pPr>
        <w:spacing w:after="0" w:line="168"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Takeda became a common stockholder of the Company in connecton with the May 2019 license agreement (see Note 4). In conjuncton with this license, Takeda provides proprietary supplies for the Company’s ongoing clinical development of vonoprazan in additon to the exclusive license for the commercializaton of vonoprazan in the United States, Canada and Europe. On May 5, 2020, the Company entered into a Commercial Supply Agreement, or the Commercial Supply Agreement, with Takeda, pursuant to which Takeda will supply commercial quanttes of vonoprazan bulk drug product or drug substance. Pursuant to the Commercial Supply Agreement, Takeda has agreed to supply the Company with, and the Company has agreed to purchase from Takeda, certain quanttes of vonoprazan bulk drug product according to approved specifcatons at a fxed price per batch of bulk drug product in order to commercialize vonoprazan in accordance with the Takeda License. Unless terminated earlier, the term of the Commercial Supply Agreement extends for a period of two years from the date the Company places an order for bulk drug product or drug substance for the frst commercial launch of vonoprazan in any jurisdicton in the licensed territory, provided that this two-year period will expire no later than December 31, 2023. The Commercial Supply Agreement will terminate immediately upon the terminaton of the Takeda License in accordance with its terms. In connecton with the Takeda License, the Company entered into a temporary services agreement, or the Temporary Services Agreement, with Takeda on November 24, 2020. Pursuant to the Temporary Services Agreement, Takeda agreed to provide or procure the provision of services related to the ongoing clinical development of vonoprazan. The Temporary Services Agreement will terminate immediately upon terminaton of the Takeda License in accordance with its terms. As of March 31, 2023 and December 31, 2022, the Company had $1.5 million and $1.4 million, respectvely, in outstanding accounts payable and accrued expenses related to these agreements. For the three months ended March 31, 2023 and 2022, the Company incurred $0.1 million and $1.1 million, respectvely, of expenses related to these agreements. The Company has no remaining minimum purchase obligaton related to these agreements.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2" w:name="page13"/>
    <w:bookmarkEnd w:id="12"/>
    <w:p>
      <w:pPr>
        <w:spacing w:after="0"/>
        <w:rPr>
          <w:sz w:val="20"/>
          <w:szCs w:val="20"/>
          <w:color w:val="auto"/>
        </w:rPr>
      </w:pPr>
      <w:r>
        <w:rPr>
          <w:rFonts w:ascii="Calibri" w:cs="Calibri" w:eastAsia="Calibri" w:hAnsi="Calibri"/>
          <w:sz w:val="18"/>
          <w:szCs w:val="18"/>
          <w:b w:val="1"/>
          <w:bCs w:val="1"/>
          <w:color w:val="auto"/>
        </w:rPr>
        <w:t>4. Commitments and Contngencies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License Agreement</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On May 7, 2019, the Company entered into a license agreement with Takeda pursuant to which it was granted an exclusive license to commercialize vonoprazan fumarate in the United States, Canada and Europe, or, the Takeda License. The Company also has the right to sublicense its rights under the agreement, subject to certain conditons. The agreement will remain in efect, on a country-by-country and product-by-product basis, untl the later of (i) the expiraton of the last to expire valid patent claim covering vonoprazan fumarate alone or in combinaton with at least one other therapeutcally actve ingredient, (ii) the expiraton of the applicable regulatory exclusivity and (iii) 15 years from the date of frst commercial sale, unless earlier terminated. The Company may terminate the Takeda License upon six months’ writen notce. The Company and Takeda may terminate the Takeda License in the case of the other party’s insolvency or material uncured breach. Takeda may terminate the Takeda License if the Company challenges, or assists in challenging, licensed patents.</w:t>
      </w:r>
    </w:p>
    <w:p>
      <w:pPr>
        <w:spacing w:after="0" w:line="1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consideraton of the Takeda License, the Company (i) paid Takeda $25.0 million in cash, (ii) issued Takeda 1,084,000 shares of its common stock at a fair value of $5.9 million, (iii) issued the Takeda Warrant to purchase 7,588,000 shares of its common stock at an exercise price of $0.00004613 per share at an inital fair value of $47.9 million, and (iv) issued a right to receive an additonal common stock warrant, or, the Takeda Warrant Right, should Takeda’s fully-diluted ownership of the Company represent less than a certain specifed percentage of the fully-diluted capitalizaton, including shares issuable upon conversion of then outstanding convertble promissory notes, calculated immediately before the closing of the Company’s IPO, with a nominal inital fair value due to the low probability of issuance. The Takeda Warrant Right expired without efect since no fair value had been allocated to it upon completon of the IPO, and no additonal warrant was issued. In additon, the Company is obligated to pay Takeda up to an aggregate of $250.0 million in sales milestones upon the achievement of specifed levels of product sales, and a low double-digit royalty rate on aggregate net sales of licensed products, subject to certain adjustments. The Takeda Warrant had an exercise price of $0.00004613 per share, and was to expire on May 7, 2029 and became exercisable upon the consummaton of the IPO. As of March 31, 2023, all Takeda Warrants have been exercised.</w:t>
      </w:r>
    </w:p>
    <w:p>
      <w:pPr>
        <w:spacing w:after="0" w:line="19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Purchase Commitments</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December 2020, the Company entered into a supply agreement with Sandoz pursuant to which Sandoz will supply commercial quanttes of amoxicillin capsules and clarithromycin tablets, package these antbiotcs with vonoprazan, and provide in fnished convenience packs. The supply agreement commits the Company to a minimum purchase obligaton of approximately $3.8 million in the frst 24-month period following the launch of the fnal product. The Company has not incurred any expenses under the agreement during the three months ended March 31, 2023 and 2022.</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Contngencies</w:t>
      </w:r>
    </w:p>
    <w:p>
      <w:pPr>
        <w:spacing w:after="0" w:line="190"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the event the Company becomes subject to claims or suits arising in the ordinary course of business, the Company would accrue a liability for such maters when it is probable that future expenditures will be made and such expenditures can be reasonably estmated.</w:t>
      </w:r>
    </w:p>
    <w:p>
      <w:pPr>
        <w:spacing w:after="0" w:line="3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5. Lease Commitments</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As of March 31, 2023, the Company had operatng leases for ofce space in both Bufalo Grove, Illinois and Florham Park, New Jersey, with remaining lease terms of 2.1 years and 2.4 years, respectvely. All operatng leases contain an opton to extend the term for one additonal fve year period, which was not considered in the determinaton of the right-of-use asset or lease liability as the Company did not consider it reasonably certain that it would exercise such optons.</w:t>
      </w:r>
    </w:p>
    <w:p>
      <w:pPr>
        <w:spacing w:after="0" w:line="18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total rent expense for the three months ended March 31, 2023 and 2022 was $0.3 million and $0.2 million, respectvely.</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supplemental balance sheet informaton related to the operatng leases (in thousands):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3" w:name="page14"/>
    <w:bookmarkEnd w:id="13"/>
    <w:tbl>
      <w:tblPr>
        <w:tblLayout w:type="fixed"/>
        <w:tblInd w:w="1140" w:type="dxa"/>
        <w:tblCellMar>
          <w:top w:w="0" w:type="dxa"/>
          <w:left w:w="0" w:type="dxa"/>
          <w:bottom w:w="0" w:type="dxa"/>
          <w:right w:w="0" w:type="dxa"/>
        </w:tblCellMar>
      </w:tblPr>
      <w:tr>
        <w:trPr>
          <w:trHeight w:val="220"/>
        </w:trPr>
        <w:tc>
          <w:tcPr>
            <w:tcW w:w="5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Calibri" w:cs="Calibri" w:eastAsia="Calibri" w:hAnsi="Calibri"/>
                <w:sz w:val="18"/>
                <w:szCs w:val="18"/>
                <w:b w:val="1"/>
                <w:bCs w:val="1"/>
                <w:color w:val="auto"/>
              </w:rPr>
              <w:t>March 31,</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290"/>
              <w:spacing w:after="0"/>
              <w:rPr>
                <w:sz w:val="20"/>
                <w:szCs w:val="20"/>
                <w:color w:val="auto"/>
              </w:rPr>
            </w:pPr>
            <w:r>
              <w:rPr>
                <w:rFonts w:ascii="Calibri" w:cs="Calibri" w:eastAsia="Calibri" w:hAnsi="Calibri"/>
                <w:sz w:val="18"/>
                <w:szCs w:val="18"/>
                <w:b w:val="1"/>
                <w:bCs w:val="1"/>
                <w:color w:val="auto"/>
              </w:rPr>
              <w:t>December 31,</w:t>
            </w:r>
          </w:p>
        </w:tc>
      </w:tr>
      <w:tr>
        <w:trPr>
          <w:trHeight w:val="37"/>
        </w:trPr>
        <w:tc>
          <w:tcPr>
            <w:tcW w:w="550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08"/>
        </w:trPr>
        <w:tc>
          <w:tcPr>
            <w:tcW w:w="5500" w:type="dxa"/>
            <w:vAlign w:val="bottom"/>
          </w:tcPr>
          <w:p>
            <w:pPr>
              <w:spacing w:after="0"/>
              <w:rPr>
                <w:sz w:val="18"/>
                <w:szCs w:val="18"/>
                <w:color w:val="auto"/>
              </w:rPr>
            </w:pPr>
          </w:p>
        </w:tc>
        <w:tc>
          <w:tcPr>
            <w:tcW w:w="1180" w:type="dxa"/>
            <w:vAlign w:val="bottom"/>
          </w:tcPr>
          <w:p>
            <w:pPr>
              <w:jc w:val="right"/>
              <w:ind w:right="110"/>
              <w:spacing w:after="0" w:line="208" w:lineRule="exact"/>
              <w:rPr>
                <w:sz w:val="20"/>
                <w:szCs w:val="20"/>
                <w:color w:val="auto"/>
              </w:rPr>
            </w:pPr>
            <w:r>
              <w:rPr>
                <w:rFonts w:ascii="Calibri" w:cs="Calibri" w:eastAsia="Calibri" w:hAnsi="Calibri"/>
                <w:sz w:val="18"/>
                <w:szCs w:val="18"/>
                <w:b w:val="1"/>
                <w:bCs w:val="1"/>
                <w:color w:val="auto"/>
              </w:rPr>
              <w:t>2023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610"/>
              <w:spacing w:after="0" w:line="208" w:lineRule="exact"/>
              <w:rPr>
                <w:sz w:val="20"/>
                <w:szCs w:val="20"/>
                <w:color w:val="auto"/>
              </w:rPr>
            </w:pPr>
            <w:r>
              <w:rPr>
                <w:rFonts w:ascii="Calibri" w:cs="Calibri" w:eastAsia="Calibri" w:hAnsi="Calibri"/>
                <w:sz w:val="18"/>
                <w:szCs w:val="18"/>
                <w:b w:val="1"/>
                <w:bCs w:val="1"/>
                <w:color w:val="auto"/>
              </w:rPr>
              <w:t>2022</w:t>
            </w:r>
          </w:p>
        </w:tc>
      </w:tr>
      <w:tr>
        <w:trPr>
          <w:trHeight w:val="28"/>
        </w:trPr>
        <w:tc>
          <w:tcPr>
            <w:tcW w:w="55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7"/>
        </w:trPr>
        <w:tc>
          <w:tcPr>
            <w:tcW w:w="55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b w:val="1"/>
                <w:bCs w:val="1"/>
                <w:color w:val="auto"/>
              </w:rPr>
              <w:t>Assets:</w:t>
            </w:r>
          </w:p>
        </w:tc>
        <w:tc>
          <w:tcPr>
            <w:tcW w:w="118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CFF0FC"/>
            </w:tcBorders>
            <w:shd w:val="clear" w:color="auto" w:fill="CFF0FC"/>
          </w:tcPr>
          <w:p>
            <w:pPr>
              <w:spacing w:after="0"/>
              <w:rPr>
                <w:sz w:val="18"/>
                <w:szCs w:val="18"/>
                <w:color w:val="auto"/>
              </w:rPr>
            </w:pPr>
          </w:p>
        </w:tc>
      </w:tr>
      <w:tr>
        <w:trPr>
          <w:trHeight w:val="215"/>
        </w:trPr>
        <w:tc>
          <w:tcPr>
            <w:tcW w:w="5500" w:type="dxa"/>
            <w:vAlign w:val="bottom"/>
          </w:tcPr>
          <w:p>
            <w:pPr>
              <w:ind w:left="180"/>
              <w:spacing w:after="0" w:line="215" w:lineRule="exact"/>
              <w:rPr>
                <w:sz w:val="20"/>
                <w:szCs w:val="20"/>
                <w:color w:val="auto"/>
              </w:rPr>
            </w:pPr>
            <w:r>
              <w:rPr>
                <w:rFonts w:ascii="Calibri" w:cs="Calibri" w:eastAsia="Calibri" w:hAnsi="Calibri"/>
                <w:sz w:val="18"/>
                <w:szCs w:val="18"/>
                <w:color w:val="auto"/>
              </w:rPr>
              <w:t>Operatng lease right-of-use assets</w:t>
            </w:r>
          </w:p>
        </w:tc>
        <w:tc>
          <w:tcPr>
            <w:tcW w:w="1180" w:type="dxa"/>
            <w:vAlign w:val="bottom"/>
          </w:tcPr>
          <w:p>
            <w:pPr>
              <w:jc w:val="right"/>
              <w:ind w:right="990"/>
              <w:spacing w:after="0" w:line="215" w:lineRule="exact"/>
              <w:rPr>
                <w:sz w:val="20"/>
                <w:szCs w:val="20"/>
                <w:color w:val="auto"/>
              </w:rPr>
            </w:pPr>
            <w:r>
              <w:rPr>
                <w:rFonts w:ascii="Calibri" w:cs="Calibri" w:eastAsia="Calibri" w:hAnsi="Calibri"/>
                <w:sz w:val="18"/>
                <w:szCs w:val="18"/>
                <w:color w:val="auto"/>
                <w:w w:val="87"/>
              </w:rPr>
              <w:t>$</w:t>
            </w:r>
          </w:p>
        </w:tc>
        <w:tc>
          <w:tcPr>
            <w:tcW w:w="5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92"/>
              </w:rPr>
              <w:t>2,088</w:t>
            </w:r>
          </w:p>
        </w:tc>
        <w:tc>
          <w:tcPr>
            <w:tcW w:w="3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48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2,287</w:t>
            </w:r>
          </w:p>
        </w:tc>
      </w:tr>
      <w:tr>
        <w:trPr>
          <w:trHeight w:val="28"/>
        </w:trPr>
        <w:tc>
          <w:tcPr>
            <w:tcW w:w="55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82"/>
        </w:trPr>
        <w:tc>
          <w:tcPr>
            <w:tcW w:w="5500" w:type="dxa"/>
            <w:vAlign w:val="bottom"/>
            <w:tcBorders>
              <w:bottom w:val="single" w:sz="8" w:color="CFF0FC"/>
            </w:tcBorders>
            <w:shd w:val="clear" w:color="auto" w:fill="CFF0FC"/>
          </w:tcPr>
          <w:p>
            <w:pPr>
              <w:ind w:left="180"/>
              <w:spacing w:after="0" w:line="208" w:lineRule="exact"/>
              <w:rPr>
                <w:sz w:val="20"/>
                <w:szCs w:val="20"/>
                <w:color w:val="auto"/>
              </w:rPr>
            </w:pPr>
            <w:r>
              <w:rPr>
                <w:rFonts w:ascii="Calibri" w:cs="Calibri" w:eastAsia="Calibri" w:hAnsi="Calibri"/>
                <w:sz w:val="18"/>
                <w:szCs w:val="18"/>
                <w:color w:val="auto"/>
              </w:rPr>
              <w:t>Total right-of-use assets</w:t>
            </w:r>
          </w:p>
        </w:tc>
        <w:tc>
          <w:tcPr>
            <w:tcW w:w="118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w w:val="92"/>
              </w:rPr>
              <w:t>2,088</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148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2,287</w:t>
            </w:r>
          </w:p>
        </w:tc>
      </w:tr>
      <w:tr>
        <w:trPr>
          <w:trHeight w:val="223"/>
        </w:trPr>
        <w:tc>
          <w:tcPr>
            <w:tcW w:w="5500" w:type="dxa"/>
            <w:vAlign w:val="bottom"/>
            <w:tcBorders>
              <w:top w:val="single" w:sz="8" w:color="CFF0FC"/>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r>
      <w:tr>
        <w:trPr>
          <w:trHeight w:val="223"/>
        </w:trPr>
        <w:tc>
          <w:tcPr>
            <w:tcW w:w="550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b w:val="1"/>
                <w:bCs w:val="1"/>
                <w:color w:val="auto"/>
              </w:rPr>
              <w:t>Liabilites:</w:t>
            </w:r>
          </w:p>
        </w:tc>
        <w:tc>
          <w:tcPr>
            <w:tcW w:w="11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r>
      <w:tr>
        <w:trPr>
          <w:trHeight w:val="215"/>
        </w:trPr>
        <w:tc>
          <w:tcPr>
            <w:tcW w:w="5500" w:type="dxa"/>
            <w:vAlign w:val="bottom"/>
          </w:tcPr>
          <w:p>
            <w:pPr>
              <w:ind w:left="180"/>
              <w:spacing w:after="0" w:line="215" w:lineRule="exact"/>
              <w:rPr>
                <w:sz w:val="20"/>
                <w:szCs w:val="20"/>
                <w:color w:val="auto"/>
              </w:rPr>
            </w:pPr>
            <w:r>
              <w:rPr>
                <w:rFonts w:ascii="Calibri" w:cs="Calibri" w:eastAsia="Calibri" w:hAnsi="Calibri"/>
                <w:sz w:val="18"/>
                <w:szCs w:val="18"/>
                <w:color w:val="auto"/>
              </w:rPr>
              <w:t>Operatng lease liabilites, current</w:t>
            </w:r>
          </w:p>
        </w:tc>
        <w:tc>
          <w:tcPr>
            <w:tcW w:w="1180" w:type="dxa"/>
            <w:vAlign w:val="bottom"/>
          </w:tcPr>
          <w:p>
            <w:pPr>
              <w:spacing w:after="0"/>
              <w:rPr>
                <w:sz w:val="18"/>
                <w:szCs w:val="18"/>
                <w:color w:val="auto"/>
              </w:rPr>
            </w:pPr>
          </w:p>
        </w:tc>
        <w:tc>
          <w:tcPr>
            <w:tcW w:w="5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708</w:t>
            </w:r>
          </w:p>
        </w:tc>
      </w:tr>
      <w:tr>
        <w:trPr>
          <w:trHeight w:val="28"/>
        </w:trPr>
        <w:tc>
          <w:tcPr>
            <w:tcW w:w="5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8"/>
        </w:trPr>
        <w:tc>
          <w:tcPr>
            <w:tcW w:w="55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Operatng lease liabilites, non-current</w:t>
            </w:r>
          </w:p>
        </w:tc>
        <w:tc>
          <w:tcPr>
            <w:tcW w:w="118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945</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1,098</w:t>
            </w:r>
          </w:p>
        </w:tc>
      </w:tr>
      <w:tr>
        <w:trPr>
          <w:trHeight w:val="208"/>
        </w:trPr>
        <w:tc>
          <w:tcPr>
            <w:tcW w:w="5500" w:type="dxa"/>
            <w:vAlign w:val="bottom"/>
            <w:tcBorders>
              <w:top w:val="single" w:sz="8" w:color="CFF0FC"/>
            </w:tcBorders>
          </w:tcPr>
          <w:p>
            <w:pPr>
              <w:ind w:left="180"/>
              <w:spacing w:after="0" w:line="208" w:lineRule="exact"/>
              <w:rPr>
                <w:sz w:val="20"/>
                <w:szCs w:val="20"/>
                <w:color w:val="auto"/>
              </w:rPr>
            </w:pPr>
            <w:r>
              <w:rPr>
                <w:rFonts w:ascii="Calibri" w:cs="Calibri" w:eastAsia="Calibri" w:hAnsi="Calibri"/>
                <w:sz w:val="18"/>
                <w:szCs w:val="18"/>
                <w:color w:val="auto"/>
              </w:rPr>
              <w:t>Total operatng lease liabilites</w:t>
            </w:r>
          </w:p>
        </w:tc>
        <w:tc>
          <w:tcPr>
            <w:tcW w:w="1180" w:type="dxa"/>
            <w:vAlign w:val="bottom"/>
            <w:tcBorders>
              <w:top w:val="single" w:sz="8" w:color="auto"/>
            </w:tcBorders>
          </w:tcPr>
          <w:p>
            <w:pPr>
              <w:jc w:val="right"/>
              <w:ind w:right="990"/>
              <w:spacing w:after="0" w:line="208" w:lineRule="exact"/>
              <w:rPr>
                <w:sz w:val="20"/>
                <w:szCs w:val="20"/>
                <w:color w:val="auto"/>
              </w:rPr>
            </w:pPr>
            <w:r>
              <w:rPr>
                <w:rFonts w:ascii="Calibri" w:cs="Calibri" w:eastAsia="Calibri" w:hAnsi="Calibri"/>
                <w:sz w:val="18"/>
                <w:szCs w:val="18"/>
                <w:color w:val="auto"/>
                <w:w w:val="87"/>
              </w:rPr>
              <w:t>$</w:t>
            </w:r>
          </w:p>
        </w:tc>
        <w:tc>
          <w:tcPr>
            <w:tcW w:w="5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color w:val="auto"/>
                <w:w w:val="92"/>
              </w:rPr>
              <w:t>1,657</w:t>
            </w: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48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1,806</w:t>
            </w:r>
          </w:p>
        </w:tc>
      </w:tr>
      <w:tr>
        <w:trPr>
          <w:trHeight w:val="28"/>
        </w:trPr>
        <w:tc>
          <w:tcPr>
            <w:tcW w:w="55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-830580</wp:posOffset>
            </wp:positionV>
            <wp:extent cx="77470" cy="1797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17970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-187960</wp:posOffset>
            </wp:positionV>
            <wp:extent cx="77470"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12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As of March 31, 2023, the future minimum annual lease payments under the operatng leases were as follows (in thousands):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6760" w:type="dxa"/>
            <w:vAlign w:val="bottom"/>
            <w:shd w:val="clear" w:color="auto" w:fill="CFF0FC"/>
          </w:tcPr>
          <w:p>
            <w:pPr>
              <w:ind w:left="180"/>
              <w:spacing w:after="0"/>
              <w:rPr>
                <w:sz w:val="20"/>
                <w:szCs w:val="20"/>
                <w:color w:val="auto"/>
              </w:rPr>
            </w:pPr>
            <w:r>
              <w:rPr>
                <w:rFonts w:ascii="Calibri" w:cs="Calibri" w:eastAsia="Calibri" w:hAnsi="Calibri"/>
                <w:sz w:val="18"/>
                <w:szCs w:val="18"/>
                <w:color w:val="auto"/>
              </w:rPr>
              <w:t>2023</w:t>
            </w:r>
          </w:p>
        </w:tc>
        <w:tc>
          <w:tcPr>
            <w:tcW w:w="900" w:type="dxa"/>
            <w:vAlign w:val="bottom"/>
            <w:shd w:val="clear" w:color="auto" w:fill="CFF0FC"/>
          </w:tcPr>
          <w:p>
            <w:pPr>
              <w:spacing w:after="0"/>
              <w:rPr>
                <w:sz w:val="21"/>
                <w:szCs w:val="21"/>
                <w:color w:val="auto"/>
              </w:rPr>
            </w:pPr>
          </w:p>
        </w:tc>
        <w:tc>
          <w:tcPr>
            <w:tcW w:w="1320" w:type="dxa"/>
            <w:vAlign w:val="bottom"/>
            <w:shd w:val="clear" w:color="auto" w:fill="CFF0FC"/>
          </w:tcPr>
          <w:p>
            <w:pPr>
              <w:jc w:val="right"/>
              <w:ind w:right="10"/>
              <w:spacing w:after="0"/>
              <w:rPr>
                <w:sz w:val="20"/>
                <w:szCs w:val="20"/>
                <w:color w:val="auto"/>
              </w:rPr>
            </w:pPr>
            <w:r>
              <w:rPr>
                <w:rFonts w:ascii="Calibri" w:cs="Calibri" w:eastAsia="Calibri" w:hAnsi="Calibri"/>
                <w:sz w:val="18"/>
                <w:szCs w:val="18"/>
                <w:color w:val="auto"/>
              </w:rPr>
              <w:t>552</w:t>
            </w:r>
          </w:p>
        </w:tc>
        <w:tc>
          <w:tcPr>
            <w:tcW w:w="60" w:type="dxa"/>
            <w:vAlign w:val="bottom"/>
          </w:tcPr>
          <w:p>
            <w:pPr>
              <w:spacing w:after="0"/>
              <w:rPr>
                <w:sz w:val="21"/>
                <w:szCs w:val="21"/>
                <w:color w:val="auto"/>
              </w:rPr>
            </w:pPr>
          </w:p>
        </w:tc>
      </w:tr>
      <w:tr>
        <w:trPr>
          <w:trHeight w:val="215"/>
        </w:trPr>
        <w:tc>
          <w:tcPr>
            <w:tcW w:w="6760" w:type="dxa"/>
            <w:vAlign w:val="bottom"/>
          </w:tcPr>
          <w:p>
            <w:pPr>
              <w:ind w:left="180"/>
              <w:spacing w:after="0" w:line="215" w:lineRule="exact"/>
              <w:rPr>
                <w:sz w:val="20"/>
                <w:szCs w:val="20"/>
                <w:color w:val="auto"/>
              </w:rPr>
            </w:pPr>
            <w:r>
              <w:rPr>
                <w:rFonts w:ascii="Calibri" w:cs="Calibri" w:eastAsia="Calibri" w:hAnsi="Calibri"/>
                <w:sz w:val="18"/>
                <w:szCs w:val="18"/>
                <w:color w:val="auto"/>
              </w:rPr>
              <w:t>2024</w:t>
            </w:r>
          </w:p>
        </w:tc>
        <w:tc>
          <w:tcPr>
            <w:tcW w:w="900" w:type="dxa"/>
            <w:vAlign w:val="bottom"/>
          </w:tcPr>
          <w:p>
            <w:pPr>
              <w:spacing w:after="0"/>
              <w:rPr>
                <w:sz w:val="18"/>
                <w:szCs w:val="18"/>
                <w:color w:val="auto"/>
              </w:rPr>
            </w:pPr>
          </w:p>
        </w:tc>
        <w:tc>
          <w:tcPr>
            <w:tcW w:w="13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753</w:t>
            </w:r>
          </w:p>
        </w:tc>
        <w:tc>
          <w:tcPr>
            <w:tcW w:w="60" w:type="dxa"/>
            <w:vAlign w:val="bottom"/>
          </w:tcPr>
          <w:p>
            <w:pPr>
              <w:spacing w:after="0"/>
              <w:rPr>
                <w:sz w:val="18"/>
                <w:szCs w:val="18"/>
                <w:color w:val="auto"/>
              </w:rPr>
            </w:pPr>
          </w:p>
        </w:tc>
      </w:tr>
      <w:tr>
        <w:trPr>
          <w:trHeight w:val="28"/>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676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2025</w:t>
            </w:r>
          </w:p>
        </w:tc>
        <w:tc>
          <w:tcPr>
            <w:tcW w:w="9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ind w:right="10"/>
              <w:spacing w:after="0" w:line="215" w:lineRule="exact"/>
              <w:rPr>
                <w:sz w:val="20"/>
                <w:szCs w:val="20"/>
                <w:color w:val="auto"/>
              </w:rPr>
            </w:pPr>
            <w:r>
              <w:rPr>
                <w:rFonts w:ascii="Calibri" w:cs="Calibri" w:eastAsia="Calibri" w:hAnsi="Calibri"/>
                <w:sz w:val="18"/>
                <w:szCs w:val="18"/>
                <w:color w:val="auto"/>
              </w:rPr>
              <w:t>513</w:t>
            </w:r>
          </w:p>
        </w:tc>
        <w:tc>
          <w:tcPr>
            <w:tcW w:w="60" w:type="dxa"/>
            <w:vAlign w:val="bottom"/>
          </w:tcPr>
          <w:p>
            <w:pPr>
              <w:spacing w:after="0"/>
              <w:rPr>
                <w:sz w:val="21"/>
                <w:szCs w:val="21"/>
                <w:color w:val="auto"/>
              </w:rPr>
            </w:pPr>
          </w:p>
        </w:tc>
      </w:tr>
      <w:tr>
        <w:trPr>
          <w:trHeight w:val="208"/>
        </w:trPr>
        <w:tc>
          <w:tcPr>
            <w:tcW w:w="676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Total minimum lease payments</w:t>
            </w:r>
          </w:p>
        </w:tc>
        <w:tc>
          <w:tcPr>
            <w:tcW w:w="9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1,818</w:t>
            </w:r>
          </w:p>
        </w:tc>
        <w:tc>
          <w:tcPr>
            <w:tcW w:w="60" w:type="dxa"/>
            <w:vAlign w:val="bottom"/>
          </w:tcPr>
          <w:p>
            <w:pPr>
              <w:spacing w:after="0"/>
              <w:rPr>
                <w:sz w:val="18"/>
                <w:szCs w:val="18"/>
                <w:color w:val="auto"/>
              </w:rPr>
            </w:pPr>
          </w:p>
        </w:tc>
      </w:tr>
      <w:tr>
        <w:trPr>
          <w:trHeight w:val="28"/>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67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Less: amount representng interest</w:t>
            </w:r>
          </w:p>
        </w:tc>
        <w:tc>
          <w:tcPr>
            <w:tcW w:w="9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(161 )</w:t>
            </w:r>
          </w:p>
        </w:tc>
        <w:tc>
          <w:tcPr>
            <w:tcW w:w="60" w:type="dxa"/>
            <w:vAlign w:val="bottom"/>
          </w:tcPr>
          <w:p>
            <w:pPr>
              <w:spacing w:after="0"/>
              <w:rPr>
                <w:sz w:val="21"/>
                <w:szCs w:val="21"/>
                <w:color w:val="auto"/>
              </w:rPr>
            </w:pPr>
          </w:p>
        </w:tc>
      </w:tr>
      <w:tr>
        <w:trPr>
          <w:trHeight w:val="208"/>
        </w:trPr>
        <w:tc>
          <w:tcPr>
            <w:tcW w:w="676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Present value of operatng lease liabilites</w:t>
            </w:r>
          </w:p>
        </w:tc>
        <w:tc>
          <w:tcPr>
            <w:tcW w:w="9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1,657</w:t>
            </w:r>
          </w:p>
        </w:tc>
        <w:tc>
          <w:tcPr>
            <w:tcW w:w="60" w:type="dxa"/>
            <w:vAlign w:val="bottom"/>
          </w:tcPr>
          <w:p>
            <w:pPr>
              <w:spacing w:after="0"/>
              <w:rPr>
                <w:sz w:val="18"/>
                <w:szCs w:val="18"/>
                <w:color w:val="auto"/>
              </w:rPr>
            </w:pPr>
          </w:p>
        </w:tc>
      </w:tr>
      <w:tr>
        <w:trPr>
          <w:trHeight w:val="28"/>
        </w:trPr>
        <w:tc>
          <w:tcPr>
            <w:tcW w:w="67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8"/>
        </w:trPr>
        <w:tc>
          <w:tcPr>
            <w:tcW w:w="676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Less: operatng lease liabilites, current</w:t>
            </w:r>
          </w:p>
        </w:tc>
        <w:tc>
          <w:tcPr>
            <w:tcW w:w="9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(712 )</w:t>
            </w:r>
          </w:p>
        </w:tc>
        <w:tc>
          <w:tcPr>
            <w:tcW w:w="60" w:type="dxa"/>
            <w:vAlign w:val="bottom"/>
          </w:tcPr>
          <w:p>
            <w:pPr>
              <w:spacing w:after="0"/>
              <w:rPr>
                <w:sz w:val="21"/>
                <w:szCs w:val="21"/>
                <w:color w:val="auto"/>
              </w:rPr>
            </w:pPr>
          </w:p>
        </w:tc>
      </w:tr>
      <w:tr>
        <w:trPr>
          <w:trHeight w:val="208"/>
        </w:trPr>
        <w:tc>
          <w:tcPr>
            <w:tcW w:w="676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Operatng lease liabilites</w:t>
            </w:r>
          </w:p>
        </w:tc>
        <w:tc>
          <w:tcPr>
            <w:tcW w:w="900" w:type="dxa"/>
            <w:vAlign w:val="bottom"/>
            <w:tcBorders>
              <w:top w:val="single" w:sz="8" w:color="auto"/>
            </w:tcBorders>
          </w:tcPr>
          <w:p>
            <w:pPr>
              <w:jc w:val="right"/>
              <w:ind w:right="710"/>
              <w:spacing w:after="0" w:line="208" w:lineRule="exact"/>
              <w:rPr>
                <w:sz w:val="20"/>
                <w:szCs w:val="20"/>
                <w:color w:val="auto"/>
              </w:rPr>
            </w:pPr>
            <w:r>
              <w:rPr>
                <w:rFonts w:ascii="Calibri" w:cs="Calibri" w:eastAsia="Calibri" w:hAnsi="Calibri"/>
                <w:sz w:val="18"/>
                <w:szCs w:val="18"/>
                <w:color w:val="auto"/>
                <w:w w:val="87"/>
              </w:rPr>
              <w:t>$</w:t>
            </w:r>
          </w:p>
        </w:tc>
        <w:tc>
          <w:tcPr>
            <w:tcW w:w="1320" w:type="dxa"/>
            <w:vAlign w:val="bottom"/>
            <w:tcBorders>
              <w:top w:val="single" w:sz="8" w:color="auto"/>
            </w:tcBorders>
          </w:tcPr>
          <w:p>
            <w:pPr>
              <w:jc w:val="right"/>
              <w:ind w:right="10"/>
              <w:spacing w:after="0" w:line="208" w:lineRule="exact"/>
              <w:rPr>
                <w:sz w:val="20"/>
                <w:szCs w:val="20"/>
                <w:color w:val="auto"/>
              </w:rPr>
            </w:pPr>
            <w:r>
              <w:rPr>
                <w:rFonts w:ascii="Calibri" w:cs="Calibri" w:eastAsia="Calibri" w:hAnsi="Calibri"/>
                <w:sz w:val="18"/>
                <w:szCs w:val="18"/>
                <w:color w:val="auto"/>
              </w:rPr>
              <w:t>945</w:t>
            </w:r>
          </w:p>
        </w:tc>
        <w:tc>
          <w:tcPr>
            <w:tcW w:w="60" w:type="dxa"/>
            <w:vAlign w:val="bottom"/>
          </w:tcPr>
          <w:p>
            <w:pPr>
              <w:spacing w:after="0"/>
              <w:rPr>
                <w:sz w:val="18"/>
                <w:szCs w:val="18"/>
                <w:color w:val="auto"/>
              </w:rPr>
            </w:pPr>
          </w:p>
        </w:tc>
      </w:tr>
      <w:tr>
        <w:trPr>
          <w:trHeight w:val="28"/>
        </w:trPr>
        <w:tc>
          <w:tcPr>
            <w:tcW w:w="67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67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6760" w:type="dxa"/>
            <w:vAlign w:val="bottom"/>
          </w:tcPr>
          <w:p>
            <w:pPr>
              <w:spacing w:after="0" w:line="215" w:lineRule="exact"/>
              <w:rPr>
                <w:sz w:val="20"/>
                <w:szCs w:val="20"/>
                <w:color w:val="auto"/>
              </w:rPr>
            </w:pPr>
            <w:r>
              <w:rPr>
                <w:rFonts w:ascii="Calibri" w:cs="Calibri" w:eastAsia="Calibri" w:hAnsi="Calibri"/>
                <w:sz w:val="18"/>
                <w:szCs w:val="18"/>
                <w:color w:val="auto"/>
              </w:rPr>
              <w:t>Weighted-average remaining lease term (in years)</w:t>
            </w:r>
          </w:p>
        </w:tc>
        <w:tc>
          <w:tcPr>
            <w:tcW w:w="900" w:type="dxa"/>
            <w:vAlign w:val="bottom"/>
          </w:tcPr>
          <w:p>
            <w:pPr>
              <w:spacing w:after="0"/>
              <w:rPr>
                <w:sz w:val="18"/>
                <w:szCs w:val="18"/>
                <w:color w:val="auto"/>
              </w:rPr>
            </w:pPr>
          </w:p>
        </w:tc>
        <w:tc>
          <w:tcPr>
            <w:tcW w:w="13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2.3</w:t>
            </w:r>
          </w:p>
        </w:tc>
        <w:tc>
          <w:tcPr>
            <w:tcW w:w="60" w:type="dxa"/>
            <w:vAlign w:val="bottom"/>
          </w:tcPr>
          <w:p>
            <w:pPr>
              <w:spacing w:after="0"/>
              <w:rPr>
                <w:sz w:val="18"/>
                <w:szCs w:val="18"/>
                <w:color w:val="auto"/>
              </w:rPr>
            </w:pPr>
          </w:p>
        </w:tc>
      </w:tr>
      <w:tr>
        <w:trPr>
          <w:trHeight w:val="234"/>
        </w:trPr>
        <w:tc>
          <w:tcPr>
            <w:tcW w:w="6760" w:type="dxa"/>
            <w:vAlign w:val="bottom"/>
          </w:tcPr>
          <w:p>
            <w:pPr>
              <w:spacing w:after="0"/>
              <w:rPr>
                <w:sz w:val="20"/>
                <w:szCs w:val="20"/>
                <w:color w:val="auto"/>
              </w:rPr>
            </w:pPr>
            <w:r>
              <w:rPr>
                <w:rFonts w:ascii="Calibri" w:cs="Calibri" w:eastAsia="Calibri" w:hAnsi="Calibri"/>
                <w:sz w:val="18"/>
                <w:szCs w:val="18"/>
                <w:color w:val="auto"/>
              </w:rPr>
              <w:t>Weighted-average incremental borrowing rate</w:t>
            </w:r>
          </w:p>
        </w:tc>
        <w:tc>
          <w:tcPr>
            <w:tcW w:w="9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Calibri" w:cs="Calibri" w:eastAsia="Calibri" w:hAnsi="Calibri"/>
                <w:sz w:val="18"/>
                <w:szCs w:val="18"/>
                <w:color w:val="auto"/>
              </w:rPr>
              <w:t>8.20 %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-130175</wp:posOffset>
            </wp:positionV>
            <wp:extent cx="570039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Operatng cash fows for the three months ended March 31, 2023 and 2022 included cash payments for operatng leases of approximately $0.2 million and $0.1 million, respectvely.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400" w:type="dxa"/>
            <w:vAlign w:val="bottom"/>
            <w:gridSpan w:val="2"/>
          </w:tcPr>
          <w:p>
            <w:pPr>
              <w:spacing w:after="0"/>
              <w:rPr>
                <w:sz w:val="20"/>
                <w:szCs w:val="20"/>
                <w:color w:val="auto"/>
              </w:rPr>
            </w:pPr>
            <w:r>
              <w:rPr>
                <w:rFonts w:ascii="Calibri" w:cs="Calibri" w:eastAsia="Calibri" w:hAnsi="Calibri"/>
                <w:sz w:val="20"/>
                <w:szCs w:val="20"/>
                <w:b w:val="1"/>
                <w:bCs w:val="1"/>
                <w:color w:val="auto"/>
              </w:rPr>
              <w:t>6</w:t>
            </w:r>
            <w:r>
              <w:rPr>
                <w:rFonts w:ascii="Calibri" w:cs="Calibri" w:eastAsia="Calibri" w:hAnsi="Calibri"/>
                <w:sz w:val="17"/>
                <w:szCs w:val="17"/>
                <w:b w:val="1"/>
                <w:bCs w:val="1"/>
                <w:color w:val="auto"/>
              </w:rPr>
              <w:t>. Debt</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1"/>
        </w:trPr>
        <w:tc>
          <w:tcPr>
            <w:tcW w:w="7400" w:type="dxa"/>
            <w:vAlign w:val="bottom"/>
            <w:gridSpan w:val="2"/>
          </w:tcPr>
          <w:p>
            <w:pPr>
              <w:ind w:left="520"/>
              <w:spacing w:after="0"/>
              <w:rPr>
                <w:sz w:val="20"/>
                <w:szCs w:val="20"/>
                <w:color w:val="auto"/>
              </w:rPr>
            </w:pPr>
            <w:r>
              <w:rPr>
                <w:rFonts w:ascii="Calibri" w:cs="Calibri" w:eastAsia="Calibri" w:hAnsi="Calibri"/>
                <w:sz w:val="18"/>
                <w:szCs w:val="18"/>
                <w:color w:val="auto"/>
              </w:rPr>
              <w:t>Total debt consists of the following (in thousands):</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2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60"/>
              <w:spacing w:after="0"/>
              <w:rPr>
                <w:sz w:val="20"/>
                <w:szCs w:val="20"/>
                <w:color w:val="auto"/>
              </w:rPr>
            </w:pPr>
            <w:r>
              <w:rPr>
                <w:rFonts w:ascii="Calibri" w:cs="Calibri" w:eastAsia="Calibri" w:hAnsi="Calibri"/>
                <w:sz w:val="18"/>
                <w:szCs w:val="18"/>
                <w:b w:val="1"/>
                <w:bCs w:val="1"/>
                <w:color w:val="auto"/>
              </w:rPr>
              <w:t>March 31,</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570"/>
              <w:spacing w:after="0" w:line="216" w:lineRule="exact"/>
              <w:rPr>
                <w:sz w:val="20"/>
                <w:szCs w:val="20"/>
                <w:color w:val="auto"/>
              </w:rPr>
            </w:pPr>
            <w:r>
              <w:rPr>
                <w:rFonts w:ascii="Calibri" w:cs="Calibri" w:eastAsia="Calibri" w:hAnsi="Calibri"/>
                <w:sz w:val="18"/>
                <w:szCs w:val="18"/>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2260" w:type="dxa"/>
            <w:vAlign w:val="bottom"/>
          </w:tcPr>
          <w:p>
            <w:pPr>
              <w:spacing w:after="0"/>
              <w:rPr>
                <w:sz w:val="3"/>
                <w:szCs w:val="3"/>
                <w:color w:val="auto"/>
              </w:rPr>
            </w:pPr>
          </w:p>
        </w:tc>
        <w:tc>
          <w:tcPr>
            <w:tcW w:w="5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14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Long-term debt, current porton</w:t>
            </w:r>
          </w:p>
        </w:tc>
        <w:tc>
          <w:tcPr>
            <w:tcW w:w="240" w:type="dxa"/>
            <w:vAlign w:val="bottom"/>
            <w:tcBorders>
              <w:top w:val="single" w:sz="8" w:color="auto"/>
              <w:bottom w:val="single" w:sz="8" w:color="CFF0FC"/>
            </w:tcBorders>
            <w:shd w:val="clear" w:color="auto" w:fill="CFF0FC"/>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13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18"/>
                <w:szCs w:val="18"/>
                <w:color w:val="auto"/>
              </w:rPr>
            </w:pPr>
          </w:p>
        </w:tc>
        <w:tc>
          <w:tcPr>
            <w:tcW w:w="5140" w:type="dxa"/>
            <w:vAlign w:val="bottom"/>
          </w:tcPr>
          <w:p>
            <w:pPr>
              <w:spacing w:after="0" w:line="215" w:lineRule="exact"/>
              <w:rPr>
                <w:sz w:val="20"/>
                <w:szCs w:val="20"/>
                <w:color w:val="auto"/>
              </w:rPr>
            </w:pPr>
            <w:r>
              <w:rPr>
                <w:rFonts w:ascii="Calibri" w:cs="Calibri" w:eastAsia="Calibri" w:hAnsi="Calibri"/>
                <w:sz w:val="18"/>
                <w:szCs w:val="18"/>
                <w:color w:val="auto"/>
              </w:rPr>
              <w:t>Long-term debt, non-current porton</w:t>
            </w:r>
          </w:p>
        </w:tc>
        <w:tc>
          <w:tcPr>
            <w:tcW w:w="24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105,351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2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260" w:type="dxa"/>
            <w:vAlign w:val="bottom"/>
          </w:tcPr>
          <w:p>
            <w:pPr>
              <w:spacing w:after="0"/>
              <w:rPr>
                <w:sz w:val="21"/>
                <w:szCs w:val="21"/>
                <w:color w:val="auto"/>
              </w:rPr>
            </w:pPr>
          </w:p>
        </w:tc>
        <w:tc>
          <w:tcPr>
            <w:tcW w:w="51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Unamortzed debt discount</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(8,713 )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260" w:type="dxa"/>
            <w:vAlign w:val="bottom"/>
          </w:tcPr>
          <w:p>
            <w:pPr>
              <w:spacing w:after="0"/>
              <w:rPr>
                <w:sz w:val="18"/>
                <w:szCs w:val="18"/>
                <w:color w:val="auto"/>
              </w:rPr>
            </w:pPr>
          </w:p>
        </w:tc>
        <w:tc>
          <w:tcPr>
            <w:tcW w:w="514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Total debt, net of debt discount</w:t>
            </w:r>
          </w:p>
        </w:tc>
        <w:tc>
          <w:tcPr>
            <w:tcW w:w="240" w:type="dxa"/>
            <w:vAlign w:val="bottom"/>
            <w:tcBorders>
              <w:top w:val="single" w:sz="8" w:color="auto"/>
            </w:tcBorders>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136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96,638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2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On September 17, 2021, or the Closing Date, the Company entered into a Loan and Security Agreement, or, the Loan Agreement, with Hercules Capital, Inc., in its capacity as administratve agent and collateral agent and as a lender, or, in such capacity, the Agent or Hercules, and the other fnancial insttutons that from tme to tme become partes to the Loan Agreement as lenders, or, collectvely, the Lenders.</w:t>
      </w: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9" w:right="399" w:bottom="1440" w:gutter="0" w:footer="0" w:header="0"/>
        </w:sectPr>
      </w:pPr>
    </w:p>
    <w:bookmarkStart w:id="14" w:name="page15"/>
    <w:bookmarkEnd w:id="14"/>
    <w:p>
      <w:pPr>
        <w:ind w:right="60" w:firstLine="509"/>
        <w:spacing w:after="0" w:line="235" w:lineRule="auto"/>
        <w:rPr>
          <w:sz w:val="20"/>
          <w:szCs w:val="20"/>
          <w:color w:val="auto"/>
        </w:rPr>
      </w:pPr>
      <w:r>
        <w:rPr>
          <w:rFonts w:ascii="Calibri" w:cs="Calibri" w:eastAsia="Calibri" w:hAnsi="Calibri"/>
          <w:sz w:val="18"/>
          <w:szCs w:val="18"/>
          <w:color w:val="auto"/>
        </w:rPr>
        <w:t xml:space="preserve">The Loan Agreement provides for term loans in an aggregate principal amount of up to $200.0 million, or the Term Loan, under multple tranches. The tranches consist of (i) a frst tranche consistng of term loans in an aggregate principal amount of $100.0 million, all of which was funded to the Company on the Closing Date, or First Advance, (ii) a second tranche consistng of up to an additonal $50.0 million, which became available to the Company upon achievement of the protocol-specifed primary efcacy endpoints in the Company’s Phase 3 trial studying vonoprazan for the healing and maintenance of healing of Erosive GERD with acceptable safety data, such that the results support the submission of a New Drug Applicaton, or NDA, or supplemental NDA without the need to conduct another Phase 3 study and will be available, if specifed conditons are met, through December 15, 2022, see amendment to later date below, (iii) a third and fourth tranche consistng of an additonal total $50.0 million, which became available to the Company in May 2022 upon the achievement of (a) Food and Drug Administraton, or FDA, approval of the Company’s NDA for vonoprazan and amoxicillin, or its New Drug Applicaton for vonoprazan, amoxicillin and clarithromycin, in each case for an indicaton relatng to the treatment of </w:t>
      </w:r>
      <w:r>
        <w:rPr>
          <w:rFonts w:ascii="Calibri" w:cs="Calibri" w:eastAsia="Calibri" w:hAnsi="Calibri"/>
          <w:sz w:val="18"/>
          <w:szCs w:val="18"/>
          <w:i w:val="1"/>
          <w:iCs w:val="1"/>
          <w:color w:val="auto"/>
        </w:rPr>
        <w:t>Helicobacter pylori</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with an approved indicaton on the claim that is generally consistent with that sought in the Company’s NDA submission; and (b) fling of the Company’s NDA or supplemental NDA for vonoprazan for indicatons relatng to the healing and maintenance of healing of Erosive GERD. The third and fourth tranches will remain available untl September 30, 2023, and March 31, 2024, respectvely.</w:t>
      </w:r>
    </w:p>
    <w:p>
      <w:pPr>
        <w:spacing w:after="0" w:line="199" w:lineRule="exact"/>
        <w:rPr>
          <w:sz w:val="20"/>
          <w:szCs w:val="20"/>
          <w:color w:val="auto"/>
        </w:rPr>
      </w:pPr>
    </w:p>
    <w:p>
      <w:pPr>
        <w:ind w:right="100" w:firstLine="509"/>
        <w:spacing w:after="0" w:line="258" w:lineRule="auto"/>
        <w:rPr>
          <w:sz w:val="20"/>
          <w:szCs w:val="20"/>
          <w:color w:val="auto"/>
        </w:rPr>
      </w:pPr>
      <w:r>
        <w:rPr>
          <w:rFonts w:ascii="Calibri" w:cs="Calibri" w:eastAsia="Calibri" w:hAnsi="Calibri"/>
          <w:sz w:val="17"/>
          <w:szCs w:val="17"/>
          <w:color w:val="auto"/>
        </w:rPr>
        <w:t>On September 27, 2022, the Company entered into an amendment to the Loan Agreement, or the Second Loan Amendment, pursuant to which the date the second tranche of funding of $50 million will remain available to the Company has been moved untl May 15, 2023, rather than December 15, 2022.</w:t>
      </w:r>
    </w:p>
    <w:p>
      <w:pPr>
        <w:spacing w:after="0" w:line="161"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Company paid a $1.25 million facility charge in connecton with the closing of the Loan Agreement and would need to pay 0.5% of any advances made under the third and fourth tranches.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Term Loan will mature on October 1, 2026, or the Maturity Date. The Term Loan bears (i) cash interest at a variable annual rate equal to the greater of (a) 5.50% and (b) the Prime Rate (as reported in the Wall Street Journal) plus 2.25%, or the Interest Rate, and (ii) payment-in-kind interest at a per annum rate of interest equal to 3.35%. Phathom may make payments of interest only through October 1, 2024, which was extended to October 1, 2025, upon the achievement of the Second Performance Milestone in May 2022 prior to September 30, 2024 and met the conditon that no default or event of default exists, and which is further extendable to October 1, 2026, subject to FDA approval of the Company’s NDA (or supplemental NDA) for vonoprazan for an indicaton relatng to the healing and maintenance of healing of erosive esophagits with an approved indicaton on the label that is generally consistent with that sought in the Company’s NDA submission (or supplemental NDA submission), or the Third Performance Milestone, on or prior to September 30, 2025 and no default or event of default exists, or the interest only period. Afer the interest-only period, the principal balance and related interest will be required to be repaid in equal monthly installments and contnuing untl the Maturity Date.</w:t>
      </w:r>
    </w:p>
    <w:p>
      <w:pPr>
        <w:spacing w:after="0" w:line="197" w:lineRule="exact"/>
        <w:rPr>
          <w:sz w:val="20"/>
          <w:szCs w:val="20"/>
          <w:color w:val="auto"/>
        </w:rPr>
      </w:pPr>
    </w:p>
    <w:p>
      <w:pPr>
        <w:jc w:val="both"/>
        <w:ind w:right="320" w:firstLine="509"/>
        <w:spacing w:after="0" w:line="235" w:lineRule="auto"/>
        <w:rPr>
          <w:sz w:val="20"/>
          <w:szCs w:val="20"/>
          <w:color w:val="auto"/>
        </w:rPr>
      </w:pPr>
      <w:r>
        <w:rPr>
          <w:rFonts w:ascii="Calibri" w:cs="Calibri" w:eastAsia="Calibri" w:hAnsi="Calibri"/>
          <w:sz w:val="18"/>
          <w:szCs w:val="18"/>
          <w:color w:val="auto"/>
        </w:rPr>
        <w:t>In additon, the Company is obligated to pay a fnal payment fee of 7.50% of the original principal amount of amounts actually advanced under the Term Loan, or, each a Term Loan Advance and together, the Term Loan Advances. As of March 31, 2023, the aggregate fnal payment fee for the frst Term Loan Advance of $7.5 million has been recorded as an other long-term liability.</w:t>
      </w:r>
    </w:p>
    <w:p>
      <w:pPr>
        <w:spacing w:after="0" w:line="178"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Company may elect to prepay all or a porton of the Term Loan Advances prior to maturity, subject to a prepayment fee of up to 1.25% of the then outstanding principal balance of the Term Loan Advances being prepaid. Afer repayment, no Term Loan amounts may be borrowed again.</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As collateral for the obligatons, the Company has granted Hercules a senior security interest in all of the Company’s right, ttle, and interest in, to and under substantally all of Company’s property, inclusive of intellectual property.</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Loan Agreement contains customary closing fees, prepayment fees and provisions, events of default, and representatons, warrantes and covenants, including a fnancial covenant requiring the Company to maintain certain levels of cash subject to a control agreement in favor of the Agent (minus accounts payable not paid within 120 days of invoice), or Qualifed Cash, and commencing on May 15, 2023, trailing three-month net product revenue from the sale of vonoprazan and products containing vonoprazan. The revenue covenant will be waived at any tme in which the Company maintains Qualifed Cash equal to at least 60.0% (prior to the Third Performance Milestone), and 35% (following the Third Performance Milestone) of the total outstanding Term Loan principal amount, or the Company’s market capitalizaton is at least $900.0 million. Upon the occurrence of an event of default, subject to any specifed cure periods, all amounts owed by the Company may be declared immediately due and payable by Hercules, as collateral agent. As of March 31, 2023, the Company was in compliance with all applicable covenants under the Loan Agreement.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5" w:name="page16"/>
    <w:bookmarkEnd w:id="15"/>
    <w:p>
      <w:pPr>
        <w:ind w:right="180" w:firstLine="509"/>
        <w:spacing w:after="0" w:line="235" w:lineRule="auto"/>
        <w:rPr>
          <w:sz w:val="20"/>
          <w:szCs w:val="20"/>
          <w:color w:val="auto"/>
        </w:rPr>
      </w:pPr>
      <w:r>
        <w:rPr>
          <w:rFonts w:ascii="Calibri" w:cs="Calibri" w:eastAsia="Calibri" w:hAnsi="Calibri"/>
          <w:sz w:val="18"/>
          <w:szCs w:val="18"/>
          <w:color w:val="auto"/>
        </w:rPr>
        <w:t>Under the Second Loan Amendment, the commencement date for the covenant based on trailing three-month net product revenue from the sale of vonoprazan and products containing vonoprazan was moved from May 15, 2023, to November 15, 2023.</w:t>
      </w:r>
    </w:p>
    <w:p>
      <w:pPr>
        <w:spacing w:after="0" w:line="258"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connecton with the entry into the Loan Agreement, the Company issued to Hercules a warrant, or, the Warrant, to purchase a number of shares of the Company’s common stock equal to 2.5% of the aggregate amount of the Term Loan advances funded, and will issue to Hercules additonal warrants when future Term Loan advances are funded. On the Closing Date, the Company issued a Warrant for 74,782 shares of common stock. The Warrant will be exercisable for a period of seven years from the date of issuance at a per-share exercise price equal to $33.43, which was the closing price of the Company’s common stock on September 16, 2021. The Warrant is exercisable any tme untl September 17, 2028 and had an inital fair value of approximately $1.3 million.</w:t>
      </w:r>
    </w:p>
    <w:p>
      <w:pPr>
        <w:spacing w:after="0" w:line="18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inital $1.3 million fair value of the Warrant, the $7.5 million fnal interest payment fee and $3.1 million of debt issuance costs have been recorded as debt discount and are being amortzed to interest expense using the efectve interest method over the term of the Term Loan.</w:t>
      </w:r>
    </w:p>
    <w:p>
      <w:pPr>
        <w:spacing w:after="0" w:line="186"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Future minimum principal payments under the Term Loan, including the fnal payment fee, as of March 31, 2023 are as follows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140" w:type="dxa"/>
            <w:vAlign w:val="bottom"/>
            <w:shd w:val="clear" w:color="auto" w:fill="CFF0FC"/>
          </w:tcPr>
          <w:p>
            <w:pPr>
              <w:spacing w:after="0"/>
              <w:rPr>
                <w:sz w:val="20"/>
                <w:szCs w:val="20"/>
                <w:color w:val="auto"/>
              </w:rPr>
            </w:pPr>
            <w:r>
              <w:rPr>
                <w:rFonts w:ascii="Calibri" w:cs="Calibri" w:eastAsia="Calibri" w:hAnsi="Calibri"/>
                <w:sz w:val="18"/>
                <w:szCs w:val="18"/>
                <w:color w:val="auto"/>
              </w:rPr>
              <w:t>Year ending December 31:</w:t>
            </w:r>
          </w:p>
        </w:tc>
        <w:tc>
          <w:tcPr>
            <w:tcW w:w="5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140" w:type="dxa"/>
            <w:vAlign w:val="bottom"/>
          </w:tcPr>
          <w:p>
            <w:pPr>
              <w:jc w:val="right"/>
              <w:ind w:right="4510"/>
              <w:spacing w:after="0" w:line="215" w:lineRule="exact"/>
              <w:rPr>
                <w:sz w:val="20"/>
                <w:szCs w:val="20"/>
                <w:color w:val="auto"/>
              </w:rPr>
            </w:pPr>
            <w:r>
              <w:rPr>
                <w:rFonts w:ascii="Calibri" w:cs="Calibri" w:eastAsia="Calibri" w:hAnsi="Calibri"/>
                <w:sz w:val="18"/>
                <w:szCs w:val="18"/>
                <w:color w:val="auto"/>
              </w:rPr>
              <w:t>2023</w:t>
            </w:r>
          </w:p>
        </w:tc>
        <w:tc>
          <w:tcPr>
            <w:tcW w:w="52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tcBorders>
              <w:bottom w:val="single" w:sz="8" w:color="CFF0FC"/>
            </w:tcBorders>
            <w:shd w:val="clear" w:color="auto" w:fill="CFF0FC"/>
          </w:tcPr>
          <w:p>
            <w:pPr>
              <w:jc w:val="right"/>
              <w:ind w:right="4510"/>
              <w:spacing w:after="0" w:line="215" w:lineRule="exact"/>
              <w:rPr>
                <w:sz w:val="20"/>
                <w:szCs w:val="20"/>
                <w:color w:val="auto"/>
              </w:rPr>
            </w:pPr>
            <w:r>
              <w:rPr>
                <w:rFonts w:ascii="Calibri" w:cs="Calibri" w:eastAsia="Calibri" w:hAnsi="Calibri"/>
                <w:sz w:val="18"/>
                <w:szCs w:val="18"/>
                <w:color w:val="auto"/>
              </w:rPr>
              <w:t>2024</w:t>
            </w:r>
          </w:p>
        </w:tc>
        <w:tc>
          <w:tcPr>
            <w:tcW w:w="52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140" w:type="dxa"/>
            <w:vAlign w:val="bottom"/>
          </w:tcPr>
          <w:p>
            <w:pPr>
              <w:jc w:val="right"/>
              <w:ind w:right="4510"/>
              <w:spacing w:after="0" w:line="215" w:lineRule="exact"/>
              <w:rPr>
                <w:sz w:val="20"/>
                <w:szCs w:val="20"/>
                <w:color w:val="auto"/>
              </w:rPr>
            </w:pPr>
            <w:r>
              <w:rPr>
                <w:rFonts w:ascii="Calibri" w:cs="Calibri" w:eastAsia="Calibri" w:hAnsi="Calibri"/>
                <w:sz w:val="18"/>
                <w:szCs w:val="18"/>
                <w:color w:val="auto"/>
              </w:rPr>
              <w:t>2025</w:t>
            </w:r>
          </w:p>
        </w:tc>
        <w:tc>
          <w:tcPr>
            <w:tcW w:w="520" w:type="dxa"/>
            <w:vAlign w:val="bottom"/>
          </w:tcPr>
          <w:p>
            <w:pPr>
              <w:spacing w:after="0"/>
              <w:rPr>
                <w:sz w:val="18"/>
                <w:szCs w:val="18"/>
                <w:color w:val="auto"/>
              </w:rPr>
            </w:pPr>
          </w:p>
        </w:tc>
        <w:tc>
          <w:tcPr>
            <w:tcW w:w="1080" w:type="dxa"/>
            <w:vAlign w:val="bottom"/>
          </w:tcPr>
          <w:p>
            <w:pPr>
              <w:jc w:val="right"/>
              <w:spacing w:after="0" w:line="215" w:lineRule="exact"/>
              <w:rPr>
                <w:sz w:val="20"/>
                <w:szCs w:val="20"/>
                <w:color w:val="auto"/>
              </w:rPr>
            </w:pPr>
            <w:r>
              <w:rPr>
                <w:rFonts w:ascii="Calibri" w:cs="Calibri" w:eastAsia="Calibri" w:hAnsi="Calibri"/>
                <w:sz w:val="18"/>
                <w:szCs w:val="18"/>
                <w:color w:val="auto"/>
              </w:rPr>
              <w:t>29,707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140" w:type="dxa"/>
            <w:vAlign w:val="bottom"/>
            <w:tcBorders>
              <w:bottom w:val="single" w:sz="8" w:color="CFF0FC"/>
            </w:tcBorders>
            <w:shd w:val="clear" w:color="auto" w:fill="CFF0FC"/>
          </w:tcPr>
          <w:p>
            <w:pPr>
              <w:jc w:val="right"/>
              <w:ind w:right="4510"/>
              <w:spacing w:after="0" w:line="215" w:lineRule="exact"/>
              <w:rPr>
                <w:sz w:val="20"/>
                <w:szCs w:val="20"/>
                <w:color w:val="auto"/>
              </w:rPr>
            </w:pPr>
            <w:r>
              <w:rPr>
                <w:rFonts w:ascii="Calibri" w:cs="Calibri" w:eastAsia="Calibri" w:hAnsi="Calibri"/>
                <w:sz w:val="18"/>
                <w:szCs w:val="18"/>
                <w:color w:val="auto"/>
              </w:rPr>
              <w:t>2026</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94,764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14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Total principal and interest payments</w:t>
            </w:r>
          </w:p>
        </w:tc>
        <w:tc>
          <w:tcPr>
            <w:tcW w:w="5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124,471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5140" w:type="dxa"/>
            <w:vAlign w:val="bottom"/>
            <w:tcBorders>
              <w:bottom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Less payment-in-kind and fnal payment fee</w:t>
            </w:r>
          </w:p>
        </w:tc>
        <w:tc>
          <w:tcPr>
            <w:tcW w:w="5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(24,471 )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514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Total term loan borrowings</w:t>
            </w:r>
          </w:p>
        </w:tc>
        <w:tc>
          <w:tcPr>
            <w:tcW w:w="520" w:type="dxa"/>
            <w:vAlign w:val="bottom"/>
            <w:tcBorders>
              <w:top w:val="single" w:sz="8" w:color="auto"/>
            </w:tcBorders>
          </w:tcPr>
          <w:p>
            <w:pPr>
              <w:jc w:val="right"/>
              <w:ind w:right="330"/>
              <w:spacing w:after="0" w:line="208"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both"/>
        <w:ind w:right="100" w:firstLine="509"/>
        <w:spacing w:after="0" w:line="235" w:lineRule="auto"/>
        <w:rPr>
          <w:sz w:val="20"/>
          <w:szCs w:val="20"/>
          <w:color w:val="auto"/>
        </w:rPr>
      </w:pPr>
      <w:r>
        <w:rPr>
          <w:rFonts w:ascii="Calibri" w:cs="Calibri" w:eastAsia="Calibri" w:hAnsi="Calibri"/>
          <w:sz w:val="18"/>
          <w:szCs w:val="18"/>
          <w:color w:val="auto"/>
        </w:rPr>
        <w:t>During the three months March 31, 2023 and 2022, the Company recognized $4.0 million and $2.8 million, respectvely, of interest expense, including amortzaton of the debt discount, in connecton with the Hercules Loan Agreement. As of March 31, 2023, the Company had an outstanding loan balance of $105.4 million and accrued interest of $0.9 million.</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7. Revenue Interest Financing Liability</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On May 3, 2022, Phathom entered into a Revenue Interest Financing Agreement with Inital Investors NQ, Sagard, and Hercules pursuant to which the Company will receive up to $260 million in funding from the Inital Investors. Under the terms of the Revenue Interest Financing Agreement, the Company received $100 million at the inital closing and can receive an additonal $160 million upon FDA approval of vonoprazan for treatment of Erosive GERD on or before March 31, 2024. At any tme prior to December 31, 2022, the Company also had the right to obtain a writen commitment from a third party for up to $15 million of funding upon FDA approval of vonoprazan for Erosive GERD. In additon, the Company has the right at any tme prior to June 30, 2024, to obtain a writen commitment from a third party for up to $25 million of funding upon achievement of a sales milestone. The Inital Investors have a right of frst ofer if the Company seeks to obtain such additonal funding. The total amount funded by the Inital Investors and any subsequent investors is referred to herein as the Investment Amount.</w:t>
      </w:r>
    </w:p>
    <w:p>
      <w:pPr>
        <w:spacing w:after="0" w:line="196" w:lineRule="exact"/>
        <w:rPr>
          <w:sz w:val="20"/>
          <w:szCs w:val="20"/>
          <w:color w:val="auto"/>
        </w:rPr>
      </w:pPr>
    </w:p>
    <w:p>
      <w:pPr>
        <w:ind w:right="200" w:firstLine="509"/>
        <w:spacing w:after="0" w:line="254" w:lineRule="auto"/>
        <w:rPr>
          <w:sz w:val="20"/>
          <w:szCs w:val="20"/>
          <w:color w:val="auto"/>
        </w:rPr>
      </w:pPr>
      <w:r>
        <w:rPr>
          <w:rFonts w:ascii="Calibri" w:cs="Calibri" w:eastAsia="Calibri" w:hAnsi="Calibri"/>
          <w:sz w:val="17"/>
          <w:szCs w:val="17"/>
          <w:color w:val="auto"/>
        </w:rPr>
        <w:t>On October 31, 2022, the Company entered into a Joinder Agreement with the Inital Investors and CO Finance LVS XXXVII LLC, or the Additonal Investor, and Hercules Capital, Inc. Under the terms of the Joinder Agreement, the Inital Investors waived their rights of frst ofer regarding the Additonal Investor Funding and the Additonal Investor joined the Revenue Interest Financing Agreement to extend commitments for the Additonal Investor Funding.</w:t>
      </w:r>
    </w:p>
    <w:p>
      <w:pPr>
        <w:spacing w:after="0" w:line="16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Under the Revenue Interest Financing Agreement, the investors are enttled to receive a 10% royalty on net sales of products containing vonoprazan. The royalty rate is subject to a step-down on net sales exceeding certain annual thresholds and if the Company receives FDA approval for vonoprazan for an indicaton relatng to the treatment of heartburn associated with Non-Erosive GERD. The investors’ right to receive royaltes on net sales will terminate when the investors have aggregate payments equal to 200% of the Investment Amount. In additon, at any tme afer the earlier of (i) April 30, 2024 and (ii) the date that the payment for Erosive GERD regulatory approval is made, the Company has the right to make a cap payment equal to 200% of the Investment Amount less any royaltes already paid, at which tme the agreement will terminate.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6" w:name="page17"/>
    <w:bookmarkEnd w:id="16"/>
    <w:p>
      <w:pPr>
        <w:jc w:val="both"/>
        <w:ind w:right="340" w:firstLine="509"/>
        <w:spacing w:after="0" w:line="235" w:lineRule="auto"/>
        <w:rPr>
          <w:sz w:val="20"/>
          <w:szCs w:val="20"/>
          <w:color w:val="auto"/>
        </w:rPr>
      </w:pPr>
      <w:r>
        <w:rPr>
          <w:rFonts w:ascii="Calibri" w:cs="Calibri" w:eastAsia="Calibri" w:hAnsi="Calibri"/>
          <w:sz w:val="18"/>
          <w:szCs w:val="18"/>
          <w:color w:val="auto"/>
        </w:rPr>
        <w:t>If the investors have not received aggregate payments of at least 100% of the Investment Amount by December 31, 2028, and at least 200% of the Investment Amount by December 31, 2037, each a Minimum Amount, then the Company will be obligated to make a cash payment to the investors in an amount sufcient to gross the investors up to the applicable Minimum Amount.</w:t>
      </w:r>
    </w:p>
    <w:p>
      <w:pPr>
        <w:spacing w:after="0" w:line="192"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Upon the occurrence of an event of default taking place prior to April 1, 2025, between April 1, 2025, and April 1, 2028, and afer April 1, 2028, the Company is obligated to pay 1.30 tmes Investment Amount, 1.65 tmes Investment Amount, and 2.0 tmes investment amount, respectvely, less any amounts the Company previously paid pursuant to the agreement.</w:t>
      </w:r>
    </w:p>
    <w:p>
      <w:pPr>
        <w:spacing w:after="0" w:line="178"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Upon the occurrence of a change in control event taking place prior to the earlier of April 1, 2024, or FDA approval of vonoprazan for Erosive GERD, the Company is obligated to pay 200% of the Investment Amount plus either 15% of the Investment Amount if occurrence prior to May 3, 2023, or plus 30% of the Investment Amount if occurrence thereafer.</w:t>
      </w:r>
    </w:p>
    <w:p>
      <w:pPr>
        <w:spacing w:after="0" w:line="178"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During the year ended December 31, 2022, the Company received gross proceeds of $100.0 million before deductng transacton costs of $4.6 million, which resulted in net proceeds of $95.4 million.</w:t>
      </w:r>
    </w:p>
    <w:p>
      <w:pPr>
        <w:spacing w:after="0" w:line="191"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The Company has evaluated the terms of the Revenue Interest Financing Agreement and concluded that the features of the Investment Amount are similar to those of a debt instrument. Accordingly, the Company has accounted for the transacton as a debt obligaton with interest expense based on an imputed efectve rate derived from the inital carrying value of the obligaton and the expected future payments. The Company recalculates the efectve interest rate each period based on the current carrying value and the revised estmated future payments. Changes in future payments from previous estmates are included in the current and future fnancing expense. The carrying value of the revenue interest fnancing liability was $114.7 million as of March 31, 2023.</w:t>
      </w:r>
    </w:p>
    <w:p>
      <w:pPr>
        <w:spacing w:after="0" w:line="176"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6840" w:type="dxa"/>
            <w:vAlign w:val="bottom"/>
            <w:gridSpan w:val="2"/>
          </w:tcPr>
          <w:p>
            <w:pPr>
              <w:spacing w:after="0"/>
              <w:rPr>
                <w:sz w:val="20"/>
                <w:szCs w:val="20"/>
                <w:color w:val="auto"/>
              </w:rPr>
            </w:pPr>
            <w:r>
              <w:rPr>
                <w:rFonts w:ascii="Calibri" w:cs="Calibri" w:eastAsia="Calibri" w:hAnsi="Calibri"/>
                <w:sz w:val="18"/>
                <w:szCs w:val="18"/>
                <w:color w:val="auto"/>
              </w:rPr>
              <w:t>Total revenue interest fnancing liability consists of the following (in thousands):</w:t>
            </w:r>
          </w:p>
        </w:tc>
        <w:tc>
          <w:tcPr>
            <w:tcW w:w="3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46"/>
        </w:trPr>
        <w:tc>
          <w:tcPr>
            <w:tcW w:w="140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gridSpan w:val="2"/>
          </w:tcPr>
          <w:p>
            <w:pPr>
              <w:jc w:val="right"/>
              <w:ind w:right="660"/>
              <w:spacing w:after="0"/>
              <w:rPr>
                <w:sz w:val="20"/>
                <w:szCs w:val="20"/>
                <w:color w:val="auto"/>
              </w:rPr>
            </w:pPr>
            <w:r>
              <w:rPr>
                <w:rFonts w:ascii="Calibri" w:cs="Calibri" w:eastAsia="Calibri" w:hAnsi="Calibri"/>
                <w:sz w:val="18"/>
                <w:szCs w:val="18"/>
                <w:b w:val="1"/>
                <w:bCs w:val="1"/>
                <w:color w:val="auto"/>
              </w:rPr>
              <w:t>March 31,</w:t>
            </w:r>
          </w:p>
        </w:tc>
      </w:tr>
      <w:tr>
        <w:trPr>
          <w:trHeight w:val="216"/>
        </w:trPr>
        <w:tc>
          <w:tcPr>
            <w:tcW w:w="14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jc w:val="right"/>
              <w:ind w:right="673"/>
              <w:spacing w:after="0" w:line="216" w:lineRule="exact"/>
              <w:rPr>
                <w:sz w:val="20"/>
                <w:szCs w:val="20"/>
                <w:color w:val="auto"/>
              </w:rPr>
            </w:pPr>
            <w:r>
              <w:rPr>
                <w:rFonts w:ascii="Calibri" w:cs="Calibri" w:eastAsia="Calibri" w:hAnsi="Calibri"/>
                <w:sz w:val="18"/>
                <w:szCs w:val="18"/>
                <w:b w:val="1"/>
                <w:bCs w:val="1"/>
                <w:color w:val="auto"/>
              </w:rPr>
              <w:t>2023</w:t>
            </w:r>
          </w:p>
        </w:tc>
        <w:tc>
          <w:tcPr>
            <w:tcW w:w="80" w:type="dxa"/>
            <w:vAlign w:val="bottom"/>
          </w:tcPr>
          <w:p>
            <w:pPr>
              <w:spacing w:after="0"/>
              <w:rPr>
                <w:sz w:val="18"/>
                <w:szCs w:val="18"/>
                <w:color w:val="auto"/>
              </w:rPr>
            </w:pPr>
          </w:p>
        </w:tc>
      </w:tr>
      <w:tr>
        <w:trPr>
          <w:trHeight w:val="37"/>
        </w:trPr>
        <w:tc>
          <w:tcPr>
            <w:tcW w:w="1400" w:type="dxa"/>
            <w:vAlign w:val="bottom"/>
          </w:tcPr>
          <w:p>
            <w:pPr>
              <w:spacing w:after="0"/>
              <w:rPr>
                <w:sz w:val="3"/>
                <w:szCs w:val="3"/>
                <w:color w:val="auto"/>
              </w:rPr>
            </w:pPr>
          </w:p>
        </w:tc>
        <w:tc>
          <w:tcPr>
            <w:tcW w:w="54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r>
      <w:tr>
        <w:trPr>
          <w:trHeight w:val="217"/>
        </w:trPr>
        <w:tc>
          <w:tcPr>
            <w:tcW w:w="1400" w:type="dxa"/>
            <w:vAlign w:val="bottom"/>
          </w:tcPr>
          <w:p>
            <w:pPr>
              <w:spacing w:after="0"/>
              <w:rPr>
                <w:sz w:val="18"/>
                <w:szCs w:val="18"/>
                <w:color w:val="auto"/>
              </w:rPr>
            </w:pPr>
          </w:p>
        </w:tc>
        <w:tc>
          <w:tcPr>
            <w:tcW w:w="54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Proceeds from the Revenue Interest Financing Agreement</w:t>
            </w:r>
          </w:p>
        </w:tc>
        <w:tc>
          <w:tcPr>
            <w:tcW w:w="340" w:type="dxa"/>
            <w:vAlign w:val="bottom"/>
            <w:tcBorders>
              <w:bottom w:val="single" w:sz="8" w:color="CFF0FC"/>
            </w:tcBorders>
            <w:shd w:val="clear" w:color="auto" w:fill="CFF0FC"/>
          </w:tcPr>
          <w:p>
            <w:pPr>
              <w:jc w:val="right"/>
              <w:ind w:right="150"/>
              <w:spacing w:after="0" w:line="208" w:lineRule="exact"/>
              <w:rPr>
                <w:sz w:val="20"/>
                <w:szCs w:val="20"/>
                <w:color w:val="auto"/>
              </w:rPr>
            </w:pPr>
            <w:r>
              <w:rPr>
                <w:rFonts w:ascii="Calibri" w:cs="Calibri" w:eastAsia="Calibri" w:hAnsi="Calibri"/>
                <w:sz w:val="18"/>
                <w:szCs w:val="18"/>
                <w:color w:val="auto"/>
                <w:w w:val="87"/>
              </w:rPr>
              <w:t>$</w:t>
            </w:r>
          </w:p>
        </w:tc>
        <w:tc>
          <w:tcPr>
            <w:tcW w:w="15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100,000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5"/>
        </w:trPr>
        <w:tc>
          <w:tcPr>
            <w:tcW w:w="1400" w:type="dxa"/>
            <w:vAlign w:val="bottom"/>
          </w:tcPr>
          <w:p>
            <w:pPr>
              <w:spacing w:after="0"/>
              <w:rPr>
                <w:sz w:val="18"/>
                <w:szCs w:val="18"/>
                <w:color w:val="auto"/>
              </w:rPr>
            </w:pPr>
          </w:p>
        </w:tc>
        <w:tc>
          <w:tcPr>
            <w:tcW w:w="5440" w:type="dxa"/>
            <w:vAlign w:val="bottom"/>
          </w:tcPr>
          <w:p>
            <w:pPr>
              <w:ind w:left="20"/>
              <w:spacing w:after="0" w:line="215" w:lineRule="exact"/>
              <w:rPr>
                <w:sz w:val="20"/>
                <w:szCs w:val="20"/>
                <w:color w:val="auto"/>
              </w:rPr>
            </w:pPr>
            <w:r>
              <w:rPr>
                <w:rFonts w:ascii="Calibri" w:cs="Calibri" w:eastAsia="Calibri" w:hAnsi="Calibri"/>
                <w:sz w:val="18"/>
                <w:szCs w:val="18"/>
                <w:color w:val="auto"/>
              </w:rPr>
              <w:t>Less: transacton costs</w:t>
            </w:r>
          </w:p>
        </w:tc>
        <w:tc>
          <w:tcPr>
            <w:tcW w:w="340" w:type="dxa"/>
            <w:vAlign w:val="bottom"/>
          </w:tcPr>
          <w:p>
            <w:pPr>
              <w:spacing w:after="0"/>
              <w:rPr>
                <w:sz w:val="18"/>
                <w:szCs w:val="18"/>
                <w:color w:val="auto"/>
              </w:rPr>
            </w:pPr>
          </w:p>
        </w:tc>
        <w:tc>
          <w:tcPr>
            <w:tcW w:w="16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(4,554 )</w:t>
            </w:r>
          </w:p>
        </w:tc>
      </w:tr>
      <w:tr>
        <w:trPr>
          <w:trHeight w:val="28"/>
        </w:trPr>
        <w:tc>
          <w:tcPr>
            <w:tcW w:w="14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r>
      <w:tr>
        <w:trPr>
          <w:trHeight w:val="223"/>
        </w:trPr>
        <w:tc>
          <w:tcPr>
            <w:tcW w:w="1400" w:type="dxa"/>
            <w:vAlign w:val="bottom"/>
          </w:tcPr>
          <w:p>
            <w:pPr>
              <w:spacing w:after="0"/>
              <w:rPr>
                <w:sz w:val="19"/>
                <w:szCs w:val="19"/>
                <w:color w:val="auto"/>
              </w:rPr>
            </w:pPr>
          </w:p>
        </w:tc>
        <w:tc>
          <w:tcPr>
            <w:tcW w:w="5440" w:type="dxa"/>
            <w:vAlign w:val="bottom"/>
            <w:tcBorders>
              <w:bottom w:val="single" w:sz="8" w:color="CFF0FC"/>
            </w:tcBorders>
            <w:shd w:val="clear" w:color="auto" w:fill="CFF0FC"/>
          </w:tcPr>
          <w:p>
            <w:pPr>
              <w:ind w:left="20"/>
              <w:spacing w:after="0" w:line="215" w:lineRule="exact"/>
              <w:rPr>
                <w:sz w:val="20"/>
                <w:szCs w:val="20"/>
                <w:color w:val="auto"/>
              </w:rPr>
            </w:pPr>
            <w:r>
              <w:rPr>
                <w:rFonts w:ascii="Calibri" w:cs="Calibri" w:eastAsia="Calibri" w:hAnsi="Calibri"/>
                <w:sz w:val="18"/>
                <w:szCs w:val="18"/>
                <w:color w:val="auto"/>
              </w:rPr>
              <w:t>Less: royalty payments and payables</w:t>
            </w:r>
          </w:p>
        </w:tc>
        <w:tc>
          <w:tcPr>
            <w:tcW w:w="340" w:type="dxa"/>
            <w:vAlign w:val="bottom"/>
            <w:tcBorders>
              <w:bottom w:val="single" w:sz="8" w:color="CFF0FC"/>
            </w:tcBorders>
            <w:shd w:val="clear" w:color="auto" w:fill="CFF0FC"/>
          </w:tcPr>
          <w:p>
            <w:pPr>
              <w:spacing w:after="0"/>
              <w:rPr>
                <w:sz w:val="19"/>
                <w:szCs w:val="19"/>
                <w:color w:val="auto"/>
              </w:rPr>
            </w:pPr>
          </w:p>
        </w:tc>
        <w:tc>
          <w:tcPr>
            <w:tcW w:w="16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Calibri" w:cs="Calibri" w:eastAsia="Calibri" w:hAnsi="Calibri"/>
                <w:sz w:val="14"/>
                <w:szCs w:val="14"/>
                <w:color w:val="auto"/>
              </w:rPr>
              <w:t>—</w:t>
            </w:r>
          </w:p>
        </w:tc>
      </w:tr>
      <w:tr>
        <w:trPr>
          <w:trHeight w:val="215"/>
        </w:trPr>
        <w:tc>
          <w:tcPr>
            <w:tcW w:w="1400" w:type="dxa"/>
            <w:vAlign w:val="bottom"/>
          </w:tcPr>
          <w:p>
            <w:pPr>
              <w:spacing w:after="0"/>
              <w:rPr>
                <w:sz w:val="18"/>
                <w:szCs w:val="18"/>
                <w:color w:val="auto"/>
              </w:rPr>
            </w:pPr>
          </w:p>
        </w:tc>
        <w:tc>
          <w:tcPr>
            <w:tcW w:w="5440" w:type="dxa"/>
            <w:vAlign w:val="bottom"/>
          </w:tcPr>
          <w:p>
            <w:pPr>
              <w:ind w:left="20"/>
              <w:spacing w:after="0" w:line="215" w:lineRule="exact"/>
              <w:rPr>
                <w:sz w:val="20"/>
                <w:szCs w:val="20"/>
                <w:color w:val="auto"/>
              </w:rPr>
            </w:pPr>
            <w:r>
              <w:rPr>
                <w:rFonts w:ascii="Calibri" w:cs="Calibri" w:eastAsia="Calibri" w:hAnsi="Calibri"/>
                <w:sz w:val="18"/>
                <w:szCs w:val="18"/>
                <w:color w:val="auto"/>
              </w:rPr>
              <w:t>Plus: interest expense</w:t>
            </w:r>
          </w:p>
        </w:tc>
        <w:tc>
          <w:tcPr>
            <w:tcW w:w="340" w:type="dxa"/>
            <w:vAlign w:val="bottom"/>
          </w:tcPr>
          <w:p>
            <w:pPr>
              <w:spacing w:after="0"/>
              <w:rPr>
                <w:sz w:val="18"/>
                <w:szCs w:val="18"/>
                <w:color w:val="auto"/>
              </w:rPr>
            </w:pPr>
          </w:p>
        </w:tc>
        <w:tc>
          <w:tcPr>
            <w:tcW w:w="1560" w:type="dxa"/>
            <w:vAlign w:val="bottom"/>
          </w:tcPr>
          <w:p>
            <w:pPr>
              <w:jc w:val="right"/>
              <w:spacing w:after="0" w:line="215" w:lineRule="exact"/>
              <w:rPr>
                <w:sz w:val="20"/>
                <w:szCs w:val="20"/>
                <w:color w:val="auto"/>
              </w:rPr>
            </w:pPr>
            <w:r>
              <w:rPr>
                <w:rFonts w:ascii="Calibri" w:cs="Calibri" w:eastAsia="Calibri" w:hAnsi="Calibri"/>
                <w:sz w:val="18"/>
                <w:szCs w:val="18"/>
                <w:color w:val="auto"/>
              </w:rPr>
              <w:t>19,233</w:t>
            </w:r>
          </w:p>
        </w:tc>
        <w:tc>
          <w:tcPr>
            <w:tcW w:w="80" w:type="dxa"/>
            <w:vAlign w:val="bottom"/>
          </w:tcPr>
          <w:p>
            <w:pPr>
              <w:spacing w:after="0"/>
              <w:rPr>
                <w:sz w:val="18"/>
                <w:szCs w:val="18"/>
                <w:color w:val="auto"/>
              </w:rPr>
            </w:pPr>
          </w:p>
        </w:tc>
      </w:tr>
      <w:tr>
        <w:trPr>
          <w:trHeight w:val="28"/>
        </w:trPr>
        <w:tc>
          <w:tcPr>
            <w:tcW w:w="1400" w:type="dxa"/>
            <w:vAlign w:val="bottom"/>
          </w:tcPr>
          <w:p>
            <w:pPr>
              <w:spacing w:after="0"/>
              <w:rPr>
                <w:sz w:val="2"/>
                <w:szCs w:val="2"/>
                <w:color w:val="auto"/>
              </w:rPr>
            </w:pPr>
          </w:p>
        </w:tc>
        <w:tc>
          <w:tcPr>
            <w:tcW w:w="5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62"/>
        </w:trPr>
        <w:tc>
          <w:tcPr>
            <w:tcW w:w="1400" w:type="dxa"/>
            <w:vAlign w:val="bottom"/>
          </w:tcPr>
          <w:p>
            <w:pPr>
              <w:spacing w:after="0"/>
              <w:rPr>
                <w:sz w:val="22"/>
                <w:szCs w:val="22"/>
                <w:color w:val="auto"/>
              </w:rPr>
            </w:pPr>
          </w:p>
        </w:tc>
        <w:tc>
          <w:tcPr>
            <w:tcW w:w="544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Ending liability balance</w:t>
            </w:r>
          </w:p>
        </w:tc>
        <w:tc>
          <w:tcPr>
            <w:tcW w:w="340" w:type="dxa"/>
            <w:vAlign w:val="bottom"/>
            <w:tcBorders>
              <w:bottom w:val="single" w:sz="8" w:color="CFF0FC"/>
            </w:tcBorders>
            <w:shd w:val="clear" w:color="auto" w:fill="CFF0FC"/>
          </w:tcPr>
          <w:p>
            <w:pPr>
              <w:jc w:val="right"/>
              <w:ind w:right="150"/>
              <w:spacing w:after="0" w:line="208" w:lineRule="exact"/>
              <w:rPr>
                <w:sz w:val="20"/>
                <w:szCs w:val="20"/>
                <w:color w:val="auto"/>
              </w:rPr>
            </w:pPr>
            <w:r>
              <w:rPr>
                <w:rFonts w:ascii="Calibri" w:cs="Calibri" w:eastAsia="Calibri" w:hAnsi="Calibri"/>
                <w:sz w:val="18"/>
                <w:szCs w:val="18"/>
                <w:color w:val="auto"/>
                <w:w w:val="87"/>
              </w:rPr>
              <w:t>$</w:t>
            </w:r>
          </w:p>
        </w:tc>
        <w:tc>
          <w:tcPr>
            <w:tcW w:w="15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114,679</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0"/>
        </w:trPr>
        <w:tc>
          <w:tcPr>
            <w:tcW w:w="1400" w:type="dxa"/>
            <w:vAlign w:val="bottom"/>
          </w:tcPr>
          <w:p>
            <w:pPr>
              <w:spacing w:after="0" w:line="20" w:lineRule="exact"/>
              <w:rPr>
                <w:sz w:val="1"/>
                <w:szCs w:val="1"/>
                <w:color w:val="auto"/>
              </w:rPr>
            </w:pPr>
          </w:p>
        </w:tc>
        <w:tc>
          <w:tcPr>
            <w:tcW w:w="54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431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431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49"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During the three months ended March 31, 2023, the Company recognized $5.2 million of interest expense in connecton with the revenue interest fnancing liability.</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will record liabilites associated with additonal funding upon FDA approval of vonoprazan for Erosive GERD and achievement of the sales milestone when such contngent events occur. To determine the accreton of the liability related to the Revenue Interest Financing Agreement, the Company is required to estmate the total amount of future royalty payments and estmated tming of such payments based on the Company’s revenue projectons. As royalty payments are made, the balance of the debt obligaton will be efectvely repaid. Based on the Company’s periodic review, the exact tming of repayment is likely to be diferent in each reportng period as compared to those estmated in the Company’s inital revenue projectons. A signifcant increase or decrease in actual net sales of vonoprazan compared to the Company’s revenue projectons could impact the interest expense associated with the revenue interest fnancing liability. Also, the Company’s total obligaton can vary depending on change in control or default events and the achievement of FDA approval of vonoprazan for Erosive GERD and achievement of the sales milestone.</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8. Stockholders’ Equity</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Common Stock</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 March 2019, subsequent to the Merger, the Company sold 1,491,072 shares of the Company’s common stock to Frazier.</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7" w:name="page18"/>
    <w:bookmarkEnd w:id="17"/>
    <w:p>
      <w:pPr>
        <w:ind w:right="40" w:firstLine="509"/>
        <w:spacing w:after="0" w:line="251" w:lineRule="auto"/>
        <w:rPr>
          <w:sz w:val="20"/>
          <w:szCs w:val="20"/>
          <w:color w:val="auto"/>
        </w:rPr>
      </w:pPr>
      <w:r>
        <w:rPr>
          <w:rFonts w:ascii="Calibri" w:cs="Calibri" w:eastAsia="Calibri" w:hAnsi="Calibri"/>
          <w:sz w:val="17"/>
          <w:szCs w:val="17"/>
          <w:color w:val="auto"/>
        </w:rPr>
        <w:t>In March 2019, the founders granted the Company a repurchase right for the 3,373,408 shares of common stock originally purchased in 2018. The Company has the right, but not the obligaton, to repurchase unvested shares in the event the founder’s relatonship with the Company is terminated, subject to certain limitatons, at the original purchase price of the stock. The repurchase right lapsed for 843,352 shares in March 2019 and the repurchase right for the remaining 2,530,056 shares lapses in equal monthly amounts over the following 48-month period ending in March 2023. The fair value of the founder shares at the date the repurchase right was granted is being recognized as stock-based compensaton expense on a straight-line basis over the vestng period. As of March 31, 2023, no shares of common stock were subject to repurchase by the Company and there is no associated repurchase liability. The amount of recognized and unrecognized stock-based compensaton related to the founder stock was immaterial for all periods presented.</w:t>
      </w:r>
    </w:p>
    <w:p>
      <w:pPr>
        <w:spacing w:after="0" w:line="17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 May 2019, the Company issued Takeda 1,084,000 shares of common stock in connecton with the Takeda License.</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For the period from January 1, 2019 to May 6, 2019, the Company issued 2,524,852 shares of common stock to various employees and consultants of the Company for aggregate proceeds of approximately $1,000. Upon issuance, these shares were subject to a repurchase opton by the Company at the original purchase price of the shares. The repurchase rights generally lapse as to 25% of the shares on the frst anniversary of the vestng commencement date, and the repurchase right lapses as to 1/48th of the shares each one-month period thereafer, subject to the purchaser remaining contnuously an employee, consultant or director of the Company. In November 2019, the Company repurchased 17,560 shares at the original purchase price for an aggregate purchase price of $5.20. As of March 31, 2023, 31,843 shares remain available for repurchase by the Company and the associated repurchase liability was not signifcant.</w:t>
      </w:r>
    </w:p>
    <w:p>
      <w:pPr>
        <w:spacing w:after="0" w:line="181"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On October 29, 2019, upon completon of the IPO, the Company sold 10,997,630 shares of common stock, which included the exercise in full by the underwriters of their opton to purchase 1,434,473 additonal shares at a public ofering price of $19.00 per share. The net proceeds were approximately $191.5 million, afer deductng underwritng discounts, commissions and ofering costs.</w:t>
      </w:r>
    </w:p>
    <w:p>
      <w:pPr>
        <w:spacing w:after="0" w:line="19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November 2020, the Company entered into the Sales Agreement, pursuant to which, the Company will pay the Sales Agent a commission for its services in actng as an agent in the sale of common stock in an amount equal to 3% of the gross sales price per share sold. In September 2022, the Company sold 2,414,897 shares for net proceeds of approximately $24.6 million under the ATM Ofering afer deductng $0.8 million of issuance costs. In February 2023, the Company sold 1,514,219 shares for net proceeds of approximately $14.1 million under the ATM Ofering afer deductng $0.4 million of issuance costs. As of March 31, 2023, the Company has utlized $39.9 million of the available $125.0 million under the ATM Ofering.</w:t>
      </w:r>
    </w:p>
    <w:p>
      <w:pPr>
        <w:spacing w:after="0" w:line="180" w:lineRule="exact"/>
        <w:rPr>
          <w:sz w:val="20"/>
          <w:szCs w:val="20"/>
          <w:color w:val="auto"/>
        </w:rPr>
      </w:pPr>
    </w:p>
    <w:p>
      <w:pPr>
        <w:jc w:val="both"/>
        <w:ind w:right="220" w:firstLine="509"/>
        <w:spacing w:after="0" w:line="235" w:lineRule="auto"/>
        <w:rPr>
          <w:sz w:val="20"/>
          <w:szCs w:val="20"/>
          <w:color w:val="auto"/>
        </w:rPr>
      </w:pPr>
      <w:r>
        <w:rPr>
          <w:rFonts w:ascii="Calibri" w:cs="Calibri" w:eastAsia="Calibri" w:hAnsi="Calibri"/>
          <w:sz w:val="18"/>
          <w:szCs w:val="18"/>
          <w:color w:val="auto"/>
        </w:rPr>
        <w:t>On December 16, 2020, the Company completed an underwriten public ofering, in which it sold 2,250,000 shares of its common stock at a price of $42.00 per share for total gross proceeds of $94.5 million. The net purchase price afer deductng underwritng discounts and commissions was $39.48 per share, which generated net proceeds of $88.8 million. The Company incurred an additonal $0.2 million of ofering expenses in connecton with this public ofering.</w:t>
      </w:r>
    </w:p>
    <w:p>
      <w:pPr>
        <w:spacing w:after="0" w:line="174"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 summary of the Company’s unvested shares is as follows: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60" w:type="dxa"/>
            <w:vAlign w:val="bottom"/>
          </w:tcPr>
          <w:p>
            <w:pPr>
              <w:spacing w:after="0"/>
              <w:rPr>
                <w:sz w:val="21"/>
                <w:szCs w:val="21"/>
                <w:color w:val="auto"/>
              </w:rPr>
            </w:pPr>
          </w:p>
        </w:tc>
        <w:tc>
          <w:tcPr>
            <w:tcW w:w="5520" w:type="dxa"/>
            <w:vAlign w:val="bottom"/>
            <w:tcBorders>
              <w:right w:val="single" w:sz="8" w:color="CFF0FC"/>
            </w:tcBorders>
            <w:shd w:val="clear" w:color="auto" w:fill="CFF0FC"/>
          </w:tcPr>
          <w:p>
            <w:pPr>
              <w:spacing w:after="0"/>
              <w:rPr>
                <w:sz w:val="20"/>
                <w:szCs w:val="20"/>
                <w:color w:val="auto"/>
              </w:rPr>
            </w:pPr>
            <w:r>
              <w:rPr>
                <w:rFonts w:ascii="Calibri" w:cs="Calibri" w:eastAsia="Calibri" w:hAnsi="Calibri"/>
                <w:sz w:val="18"/>
                <w:szCs w:val="18"/>
                <w:color w:val="auto"/>
              </w:rPr>
              <w:t>Balance at December 31, 2022</w:t>
            </w:r>
          </w:p>
        </w:tc>
        <w:tc>
          <w:tcPr>
            <w:tcW w:w="1220" w:type="dxa"/>
            <w:vAlign w:val="bottom"/>
            <w:shd w:val="clear" w:color="auto" w:fill="CFF0FC"/>
          </w:tcPr>
          <w:p>
            <w:pPr>
              <w:jc w:val="right"/>
              <w:spacing w:after="0"/>
              <w:rPr>
                <w:sz w:val="20"/>
                <w:szCs w:val="20"/>
                <w:color w:val="auto"/>
              </w:rPr>
            </w:pPr>
            <w:r>
              <w:rPr>
                <w:rFonts w:ascii="Calibri" w:cs="Calibri" w:eastAsia="Calibri" w:hAnsi="Calibri"/>
                <w:sz w:val="18"/>
                <w:szCs w:val="18"/>
                <w:color w:val="auto"/>
              </w:rPr>
              <w:t>254,437</w:t>
            </w:r>
          </w:p>
        </w:tc>
        <w:tc>
          <w:tcPr>
            <w:tcW w:w="2240" w:type="dxa"/>
            <w:vAlign w:val="bottom"/>
          </w:tcPr>
          <w:p>
            <w:pPr>
              <w:spacing w:after="0"/>
              <w:rPr>
                <w:sz w:val="21"/>
                <w:szCs w:val="21"/>
                <w:color w:val="auto"/>
              </w:rPr>
            </w:pPr>
          </w:p>
        </w:tc>
      </w:tr>
      <w:tr>
        <w:trPr>
          <w:trHeight w:val="215"/>
        </w:trPr>
        <w:tc>
          <w:tcPr>
            <w:tcW w:w="2260" w:type="dxa"/>
            <w:vAlign w:val="bottom"/>
          </w:tcPr>
          <w:p>
            <w:pPr>
              <w:spacing w:after="0"/>
              <w:rPr>
                <w:sz w:val="18"/>
                <w:szCs w:val="18"/>
                <w:color w:val="auto"/>
              </w:rPr>
            </w:pPr>
          </w:p>
        </w:tc>
        <w:tc>
          <w:tcPr>
            <w:tcW w:w="5520" w:type="dxa"/>
            <w:vAlign w:val="bottom"/>
          </w:tcPr>
          <w:p>
            <w:pPr>
              <w:ind w:left="180"/>
              <w:spacing w:after="0" w:line="215" w:lineRule="exact"/>
              <w:rPr>
                <w:sz w:val="20"/>
                <w:szCs w:val="20"/>
                <w:color w:val="auto"/>
              </w:rPr>
            </w:pPr>
            <w:r>
              <w:rPr>
                <w:rFonts w:ascii="Calibri" w:cs="Calibri" w:eastAsia="Calibri" w:hAnsi="Calibri"/>
                <w:sz w:val="18"/>
                <w:szCs w:val="18"/>
                <w:color w:val="auto"/>
              </w:rPr>
              <w:t>Share vestng</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(222,593 )</w:t>
            </w:r>
          </w:p>
        </w:tc>
        <w:tc>
          <w:tcPr>
            <w:tcW w:w="2240" w:type="dxa"/>
            <w:vAlign w:val="bottom"/>
          </w:tcPr>
          <w:p>
            <w:pPr>
              <w:spacing w:after="0"/>
              <w:rPr>
                <w:sz w:val="18"/>
                <w:szCs w:val="18"/>
                <w:color w:val="auto"/>
              </w:rPr>
            </w:pPr>
          </w:p>
        </w:tc>
      </w:tr>
      <w:tr>
        <w:trPr>
          <w:trHeight w:val="28"/>
        </w:trPr>
        <w:tc>
          <w:tcPr>
            <w:tcW w:w="22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40" w:type="dxa"/>
            <w:vAlign w:val="bottom"/>
          </w:tcPr>
          <w:p>
            <w:pPr>
              <w:spacing w:after="0"/>
              <w:rPr>
                <w:sz w:val="2"/>
                <w:szCs w:val="2"/>
                <w:color w:val="auto"/>
              </w:rPr>
            </w:pPr>
          </w:p>
        </w:tc>
      </w:tr>
      <w:tr>
        <w:trPr>
          <w:trHeight w:val="261"/>
        </w:trPr>
        <w:tc>
          <w:tcPr>
            <w:tcW w:w="2260" w:type="dxa"/>
            <w:vAlign w:val="bottom"/>
          </w:tcPr>
          <w:p>
            <w:pPr>
              <w:spacing w:after="0"/>
              <w:rPr>
                <w:sz w:val="22"/>
                <w:szCs w:val="22"/>
                <w:color w:val="auto"/>
              </w:rPr>
            </w:pPr>
          </w:p>
        </w:tc>
        <w:tc>
          <w:tcPr>
            <w:tcW w:w="5520" w:type="dxa"/>
            <w:vAlign w:val="bottom"/>
            <w:tcBorders>
              <w:bottom w:val="single" w:sz="8" w:color="CFF0FC"/>
              <w:right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Balance at March 31, 2023</w:t>
            </w:r>
          </w:p>
        </w:tc>
        <w:tc>
          <w:tcPr>
            <w:tcW w:w="122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31,844</w:t>
            </w:r>
          </w:p>
        </w:tc>
        <w:tc>
          <w:tcPr>
            <w:tcW w:w="2240" w:type="dxa"/>
            <w:vAlign w:val="bottom"/>
          </w:tcPr>
          <w:p>
            <w:pPr>
              <w:spacing w:after="0"/>
              <w:rPr>
                <w:sz w:val="22"/>
                <w:szCs w:val="22"/>
                <w:color w:val="auto"/>
              </w:rPr>
            </w:pPr>
          </w:p>
        </w:tc>
      </w:tr>
      <w:tr>
        <w:trPr>
          <w:trHeight w:val="20"/>
        </w:trPr>
        <w:tc>
          <w:tcPr>
            <w:tcW w:w="2260" w:type="dxa"/>
            <w:vAlign w:val="bottom"/>
          </w:tcPr>
          <w:p>
            <w:pPr>
              <w:spacing w:after="0" w:line="20" w:lineRule="exact"/>
              <w:rPr>
                <w:sz w:val="1"/>
                <w:szCs w:val="1"/>
                <w:color w:val="auto"/>
              </w:rPr>
            </w:pPr>
          </w:p>
        </w:tc>
        <w:tc>
          <w:tcPr>
            <w:tcW w:w="55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49"/>
        </w:trPr>
        <w:tc>
          <w:tcPr>
            <w:tcW w:w="7780" w:type="dxa"/>
            <w:vAlign w:val="bottom"/>
            <w:gridSpan w:val="2"/>
          </w:tcPr>
          <w:p>
            <w:pPr>
              <w:ind w:left="520"/>
              <w:spacing w:after="0"/>
              <w:rPr>
                <w:sz w:val="20"/>
                <w:szCs w:val="20"/>
                <w:color w:val="auto"/>
              </w:rPr>
            </w:pPr>
            <w:r>
              <w:rPr>
                <w:rFonts w:ascii="Calibri" w:cs="Calibri" w:eastAsia="Calibri" w:hAnsi="Calibri"/>
                <w:sz w:val="18"/>
                <w:szCs w:val="18"/>
                <w:color w:val="auto"/>
                <w:w w:val="98"/>
              </w:rPr>
              <w:t>For accountng purposes, unvested awards are considered issued, but not outstanding untl they vest.</w:t>
            </w:r>
          </w:p>
        </w:tc>
        <w:tc>
          <w:tcPr>
            <w:tcW w:w="1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91"/>
        </w:trPr>
        <w:tc>
          <w:tcPr>
            <w:tcW w:w="7780" w:type="dxa"/>
            <w:vAlign w:val="bottom"/>
            <w:gridSpan w:val="2"/>
          </w:tcPr>
          <w:p>
            <w:pPr>
              <w:ind w:left="520"/>
              <w:spacing w:after="0"/>
              <w:rPr>
                <w:sz w:val="20"/>
                <w:szCs w:val="20"/>
                <w:color w:val="auto"/>
              </w:rPr>
            </w:pPr>
            <w:r>
              <w:rPr>
                <w:rFonts w:ascii="Calibri" w:cs="Calibri" w:eastAsia="Calibri" w:hAnsi="Calibri"/>
                <w:sz w:val="18"/>
                <w:szCs w:val="18"/>
                <w:color w:val="auto"/>
              </w:rPr>
              <w:t>Common stock reserved for future issuance consists of the following:</w:t>
            </w:r>
          </w:p>
        </w:tc>
        <w:tc>
          <w:tcPr>
            <w:tcW w:w="1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46"/>
        </w:trPr>
        <w:tc>
          <w:tcPr>
            <w:tcW w:w="22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60" w:type="dxa"/>
            <w:vAlign w:val="bottom"/>
            <w:gridSpan w:val="2"/>
          </w:tcPr>
          <w:p>
            <w:pPr>
              <w:ind w:left="220"/>
              <w:spacing w:after="0"/>
              <w:rPr>
                <w:sz w:val="20"/>
                <w:szCs w:val="20"/>
                <w:color w:val="auto"/>
              </w:rPr>
            </w:pPr>
            <w:r>
              <w:rPr>
                <w:rFonts w:ascii="Calibri" w:cs="Calibri" w:eastAsia="Calibri" w:hAnsi="Calibri"/>
                <w:sz w:val="18"/>
                <w:szCs w:val="18"/>
                <w:b w:val="1"/>
                <w:bCs w:val="1"/>
                <w:color w:val="auto"/>
              </w:rPr>
              <w:t>March 31,</w:t>
            </w:r>
          </w:p>
        </w:tc>
      </w:tr>
      <w:tr>
        <w:trPr>
          <w:trHeight w:val="216"/>
        </w:trPr>
        <w:tc>
          <w:tcPr>
            <w:tcW w:w="22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220" w:type="dxa"/>
            <w:vAlign w:val="bottom"/>
          </w:tcPr>
          <w:p>
            <w:pPr>
              <w:jc w:val="right"/>
              <w:ind w:right="370"/>
              <w:spacing w:after="0" w:line="216" w:lineRule="exact"/>
              <w:rPr>
                <w:sz w:val="20"/>
                <w:szCs w:val="20"/>
                <w:color w:val="auto"/>
              </w:rPr>
            </w:pPr>
            <w:r>
              <w:rPr>
                <w:rFonts w:ascii="Calibri" w:cs="Calibri" w:eastAsia="Calibri" w:hAnsi="Calibri"/>
                <w:sz w:val="18"/>
                <w:szCs w:val="18"/>
                <w:b w:val="1"/>
                <w:bCs w:val="1"/>
                <w:color w:val="auto"/>
              </w:rPr>
              <w:t>2023</w:t>
            </w:r>
          </w:p>
        </w:tc>
        <w:tc>
          <w:tcPr>
            <w:tcW w:w="2240" w:type="dxa"/>
            <w:vAlign w:val="bottom"/>
          </w:tcPr>
          <w:p>
            <w:pPr>
              <w:spacing w:after="0"/>
              <w:rPr>
                <w:sz w:val="18"/>
                <w:szCs w:val="18"/>
                <w:color w:val="auto"/>
              </w:rPr>
            </w:pPr>
          </w:p>
        </w:tc>
      </w:tr>
      <w:tr>
        <w:trPr>
          <w:trHeight w:val="37"/>
        </w:trPr>
        <w:tc>
          <w:tcPr>
            <w:tcW w:w="2260" w:type="dxa"/>
            <w:vAlign w:val="bottom"/>
          </w:tcPr>
          <w:p>
            <w:pPr>
              <w:spacing w:after="0"/>
              <w:rPr>
                <w:sz w:val="3"/>
                <w:szCs w:val="3"/>
                <w:color w:val="auto"/>
              </w:rPr>
            </w:pPr>
          </w:p>
        </w:tc>
        <w:tc>
          <w:tcPr>
            <w:tcW w:w="55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240" w:type="dxa"/>
            <w:vAlign w:val="bottom"/>
          </w:tcPr>
          <w:p>
            <w:pPr>
              <w:spacing w:after="0"/>
              <w:rPr>
                <w:sz w:val="3"/>
                <w:szCs w:val="3"/>
                <w:color w:val="auto"/>
              </w:rPr>
            </w:pPr>
          </w:p>
        </w:tc>
      </w:tr>
      <w:tr>
        <w:trPr>
          <w:trHeight w:val="217"/>
        </w:trPr>
        <w:tc>
          <w:tcPr>
            <w:tcW w:w="2260" w:type="dxa"/>
            <w:vAlign w:val="bottom"/>
          </w:tcPr>
          <w:p>
            <w:pPr>
              <w:spacing w:after="0"/>
              <w:rPr>
                <w:sz w:val="18"/>
                <w:szCs w:val="18"/>
                <w:color w:val="auto"/>
              </w:rPr>
            </w:pPr>
          </w:p>
        </w:tc>
        <w:tc>
          <w:tcPr>
            <w:tcW w:w="5520" w:type="dxa"/>
            <w:vAlign w:val="bottom"/>
            <w:tcBorders>
              <w:bottom w:val="single" w:sz="8" w:color="CFF0FC"/>
              <w:right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Common stock warrants</w:t>
            </w:r>
          </w:p>
        </w:tc>
        <w:tc>
          <w:tcPr>
            <w:tcW w:w="12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91,228</w:t>
            </w:r>
          </w:p>
        </w:tc>
        <w:tc>
          <w:tcPr>
            <w:tcW w:w="2240" w:type="dxa"/>
            <w:vAlign w:val="bottom"/>
          </w:tcPr>
          <w:p>
            <w:pPr>
              <w:spacing w:after="0"/>
              <w:rPr>
                <w:sz w:val="18"/>
                <w:szCs w:val="18"/>
                <w:color w:val="auto"/>
              </w:rPr>
            </w:pPr>
          </w:p>
        </w:tc>
      </w:tr>
      <w:tr>
        <w:trPr>
          <w:trHeight w:val="215"/>
        </w:trPr>
        <w:tc>
          <w:tcPr>
            <w:tcW w:w="2260" w:type="dxa"/>
            <w:vAlign w:val="bottom"/>
          </w:tcPr>
          <w:p>
            <w:pPr>
              <w:spacing w:after="0"/>
              <w:rPr>
                <w:sz w:val="18"/>
                <w:szCs w:val="18"/>
                <w:color w:val="auto"/>
              </w:rPr>
            </w:pPr>
          </w:p>
        </w:tc>
        <w:tc>
          <w:tcPr>
            <w:tcW w:w="5520" w:type="dxa"/>
            <w:vAlign w:val="bottom"/>
          </w:tcPr>
          <w:p>
            <w:pPr>
              <w:spacing w:after="0" w:line="215" w:lineRule="exact"/>
              <w:rPr>
                <w:sz w:val="20"/>
                <w:szCs w:val="20"/>
                <w:color w:val="auto"/>
              </w:rPr>
            </w:pPr>
            <w:r>
              <w:rPr>
                <w:rFonts w:ascii="Calibri" w:cs="Calibri" w:eastAsia="Calibri" w:hAnsi="Calibri"/>
                <w:sz w:val="18"/>
                <w:szCs w:val="18"/>
                <w:color w:val="auto"/>
              </w:rPr>
              <w:t>Stock optons and performance-based awards outstanding</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9,046,999</w:t>
            </w:r>
          </w:p>
        </w:tc>
        <w:tc>
          <w:tcPr>
            <w:tcW w:w="2240" w:type="dxa"/>
            <w:vAlign w:val="bottom"/>
          </w:tcPr>
          <w:p>
            <w:pPr>
              <w:spacing w:after="0"/>
              <w:rPr>
                <w:sz w:val="18"/>
                <w:szCs w:val="18"/>
                <w:color w:val="auto"/>
              </w:rPr>
            </w:pPr>
          </w:p>
        </w:tc>
      </w:tr>
      <w:tr>
        <w:trPr>
          <w:trHeight w:val="28"/>
        </w:trPr>
        <w:tc>
          <w:tcPr>
            <w:tcW w:w="22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23"/>
        </w:trPr>
        <w:tc>
          <w:tcPr>
            <w:tcW w:w="2260" w:type="dxa"/>
            <w:vAlign w:val="bottom"/>
          </w:tcPr>
          <w:p>
            <w:pPr>
              <w:spacing w:after="0"/>
              <w:rPr>
                <w:sz w:val="19"/>
                <w:szCs w:val="19"/>
                <w:color w:val="auto"/>
              </w:rPr>
            </w:pPr>
          </w:p>
        </w:tc>
        <w:tc>
          <w:tcPr>
            <w:tcW w:w="5520" w:type="dxa"/>
            <w:vAlign w:val="bottom"/>
            <w:tcBorders>
              <w:bottom w:val="single" w:sz="8" w:color="CFF0FC"/>
              <w:right w:val="single" w:sz="8" w:color="CFF0FC"/>
            </w:tcBorders>
            <w:shd w:val="clear" w:color="auto" w:fill="CFF0FC"/>
          </w:tcPr>
          <w:p>
            <w:pPr>
              <w:spacing w:after="0" w:line="215" w:lineRule="exact"/>
              <w:rPr>
                <w:sz w:val="20"/>
                <w:szCs w:val="20"/>
                <w:color w:val="auto"/>
              </w:rPr>
            </w:pPr>
            <w:r>
              <w:rPr>
                <w:rFonts w:ascii="Calibri" w:cs="Calibri" w:eastAsia="Calibri" w:hAnsi="Calibri"/>
                <w:sz w:val="18"/>
                <w:szCs w:val="18"/>
                <w:color w:val="auto"/>
              </w:rPr>
              <w:t>Shares available for issuance under the 2019 Incentve Plan</w:t>
            </w:r>
          </w:p>
        </w:tc>
        <w:tc>
          <w:tcPr>
            <w:tcW w:w="12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681,762</w:t>
            </w:r>
          </w:p>
        </w:tc>
        <w:tc>
          <w:tcPr>
            <w:tcW w:w="2240" w:type="dxa"/>
            <w:vAlign w:val="bottom"/>
          </w:tcPr>
          <w:p>
            <w:pPr>
              <w:spacing w:after="0"/>
              <w:rPr>
                <w:sz w:val="19"/>
                <w:szCs w:val="19"/>
                <w:color w:val="auto"/>
              </w:rPr>
            </w:pPr>
          </w:p>
        </w:tc>
      </w:tr>
      <w:tr>
        <w:trPr>
          <w:trHeight w:val="215"/>
        </w:trPr>
        <w:tc>
          <w:tcPr>
            <w:tcW w:w="2260" w:type="dxa"/>
            <w:vAlign w:val="bottom"/>
          </w:tcPr>
          <w:p>
            <w:pPr>
              <w:spacing w:after="0"/>
              <w:rPr>
                <w:sz w:val="18"/>
                <w:szCs w:val="18"/>
                <w:color w:val="auto"/>
              </w:rPr>
            </w:pPr>
          </w:p>
        </w:tc>
        <w:tc>
          <w:tcPr>
            <w:tcW w:w="5520" w:type="dxa"/>
            <w:vAlign w:val="bottom"/>
          </w:tcPr>
          <w:p>
            <w:pPr>
              <w:spacing w:after="0" w:line="215" w:lineRule="exact"/>
              <w:rPr>
                <w:sz w:val="20"/>
                <w:szCs w:val="20"/>
                <w:color w:val="auto"/>
              </w:rPr>
            </w:pPr>
            <w:r>
              <w:rPr>
                <w:rFonts w:ascii="Calibri" w:cs="Calibri" w:eastAsia="Calibri" w:hAnsi="Calibri"/>
                <w:sz w:val="18"/>
                <w:szCs w:val="18"/>
                <w:color w:val="auto"/>
              </w:rPr>
              <w:t>Shares available for issuance under the ESPP Plan</w:t>
            </w:r>
          </w:p>
        </w:tc>
        <w:tc>
          <w:tcPr>
            <w:tcW w:w="1220" w:type="dxa"/>
            <w:vAlign w:val="bottom"/>
          </w:tcPr>
          <w:p>
            <w:pPr>
              <w:jc w:val="right"/>
              <w:spacing w:after="0" w:line="215" w:lineRule="exact"/>
              <w:rPr>
                <w:sz w:val="20"/>
                <w:szCs w:val="20"/>
                <w:color w:val="auto"/>
              </w:rPr>
            </w:pPr>
            <w:r>
              <w:rPr>
                <w:rFonts w:ascii="Calibri" w:cs="Calibri" w:eastAsia="Calibri" w:hAnsi="Calibri"/>
                <w:sz w:val="18"/>
                <w:szCs w:val="18"/>
                <w:color w:val="auto"/>
              </w:rPr>
              <w:t>1,048,370</w:t>
            </w:r>
          </w:p>
        </w:tc>
        <w:tc>
          <w:tcPr>
            <w:tcW w:w="2240" w:type="dxa"/>
            <w:vAlign w:val="bottom"/>
          </w:tcPr>
          <w:p>
            <w:pPr>
              <w:spacing w:after="0"/>
              <w:rPr>
                <w:sz w:val="18"/>
                <w:szCs w:val="18"/>
                <w:color w:val="auto"/>
              </w:rPr>
            </w:pPr>
          </w:p>
        </w:tc>
      </w:tr>
      <w:tr>
        <w:trPr>
          <w:trHeight w:val="28"/>
        </w:trPr>
        <w:tc>
          <w:tcPr>
            <w:tcW w:w="22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82"/>
        </w:trPr>
        <w:tc>
          <w:tcPr>
            <w:tcW w:w="2260" w:type="dxa"/>
            <w:vAlign w:val="bottom"/>
          </w:tcPr>
          <w:p>
            <w:pPr>
              <w:spacing w:after="0"/>
              <w:rPr>
                <w:sz w:val="24"/>
                <w:szCs w:val="24"/>
                <w:color w:val="auto"/>
              </w:rPr>
            </w:pPr>
          </w:p>
        </w:tc>
        <w:tc>
          <w:tcPr>
            <w:tcW w:w="5520" w:type="dxa"/>
            <w:vAlign w:val="bottom"/>
            <w:tcBorders>
              <w:bottom w:val="single" w:sz="8" w:color="CFF0FC"/>
              <w:right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Balance at December 31, 2023</w:t>
            </w:r>
          </w:p>
        </w:tc>
        <w:tc>
          <w:tcPr>
            <w:tcW w:w="12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10,868,359</w:t>
            </w:r>
          </w:p>
        </w:tc>
        <w:tc>
          <w:tcPr>
            <w:tcW w:w="2240" w:type="dxa"/>
            <w:vAlign w:val="bottom"/>
          </w:tcPr>
          <w:p>
            <w:pPr>
              <w:spacing w:after="0"/>
              <w:rPr>
                <w:sz w:val="24"/>
                <w:szCs w:val="24"/>
                <w:color w:val="auto"/>
              </w:rPr>
            </w:pPr>
          </w:p>
        </w:tc>
      </w:tr>
      <w:tr>
        <w:trPr>
          <w:trHeight w:val="628"/>
        </w:trPr>
        <w:tc>
          <w:tcPr>
            <w:tcW w:w="2260" w:type="dxa"/>
            <w:vAlign w:val="bottom"/>
          </w:tcPr>
          <w:p>
            <w:pPr>
              <w:spacing w:after="0"/>
              <w:rPr>
                <w:sz w:val="24"/>
                <w:szCs w:val="24"/>
                <w:color w:val="auto"/>
              </w:rPr>
            </w:pPr>
          </w:p>
        </w:tc>
        <w:tc>
          <w:tcPr>
            <w:tcW w:w="5520" w:type="dxa"/>
            <w:vAlign w:val="bottom"/>
            <w:tcBorders>
              <w:top w:val="single" w:sz="8" w:color="CFF0FC"/>
            </w:tcBorders>
          </w:tcPr>
          <w:p>
            <w:pPr>
              <w:ind w:left="3200"/>
              <w:spacing w:after="0"/>
              <w:rPr>
                <w:sz w:val="20"/>
                <w:szCs w:val="20"/>
                <w:color w:val="auto"/>
              </w:rPr>
            </w:pPr>
            <w:r>
              <w:rPr>
                <w:rFonts w:ascii="Times New Roman" w:cs="Times New Roman" w:eastAsia="Times New Roman" w:hAnsi="Times New Roman"/>
                <w:sz w:val="18"/>
                <w:szCs w:val="18"/>
                <w:color w:val="auto"/>
              </w:rPr>
              <w:t>F-16</w:t>
            </w:r>
          </w:p>
        </w:tc>
        <w:tc>
          <w:tcPr>
            <w:tcW w:w="122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115"/>
        </w:trPr>
        <w:tc>
          <w:tcPr>
            <w:tcW w:w="2260" w:type="dxa"/>
            <w:vAlign w:val="bottom"/>
            <w:tcBorders>
              <w:bottom w:val="single" w:sz="8" w:color="9A9A9A"/>
            </w:tcBorders>
          </w:tcPr>
          <w:p>
            <w:pPr>
              <w:spacing w:after="0"/>
              <w:rPr>
                <w:sz w:val="10"/>
                <w:szCs w:val="10"/>
                <w:color w:val="auto"/>
              </w:rPr>
            </w:pPr>
          </w:p>
        </w:tc>
        <w:tc>
          <w:tcPr>
            <w:tcW w:w="55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b w:val="1"/>
          <w:bCs w:val="1"/>
          <w:i w:val="1"/>
          <w:iCs w:val="1"/>
          <w:color w:val="auto"/>
        </w:rPr>
        <w:t>Preferred Stock</w:t>
      </w:r>
    </w:p>
    <w:p>
      <w:pPr>
        <w:spacing w:after="0" w:line="190"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Company is authorized to issue up to 40 million shares of preferred stock. As of March 31, 2023 and December 31, 2022, there were no shares of preferred stock issued or outstanding.</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Equity Incentve Plan</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Company’s 2019 Equity Incentve Plan, or the Existng Incentve Plan, provides for the grant of incentve stock optons, non-statutory stock optons, stock appreciaton rights, restricted stock awards, restricted stock unit awards, and other stock awards to eligible recipients, including employees, directors or consultants of the Company. The Company had 2,231,739 shares of common stock authorized for issuance under the Existng Incentve Plan, of which, 1,400,528 stock optons and 16,260 restricted stock awards were granted. As a result of the adopton of the 2019 Incentve Award Plan, or the 2019 Plan, in October 2019, no further shares are available for issuance under the Existng Incentve Plan.</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2019 Incentve Award Plan</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October 2019, the board of directors adopted, and the Company’s stockholders approved, the 2019 Plan, which became efectve in connecton with the IPO. Under the 2019 Plan, the Company may grant stock optons, stock appreciaton rights, restricted stock, restricted stock units and other awards to individuals who are then employees, ofcers, non-employee directors or consultants of the Company or its subsidiaries. The number of shares initally available for issuance will be increased by (i) the number of shares subject to stock optons or similar awards granted under the Existng Incentve Plan that expire or otherwise terminate without having been exercised in full afer the efectve date of the 2019 Plan and unvested shares issued pursuant to awards granted under the Existng Incentve Plan that are forfeited to or repurchased by the Company afer the efectve date of the 2019 Plan, with the maximum number of shares to be added to the 2019 Plan pursuant to clause (i) above equal to 1,416,788 shares, and (ii) an annual increase on January 1 of each calendar year beginning in 2020 and ending in 2029, equal to the lesser of (a) 5% of the shares of common stock outstanding on the fnal day of the immediately preceding calendar year and (b) such smaller number of shares as determined by the board of directors. As of March 31, 2023, 681,762 shares remain available for issuance, which refects 2,391,070 of stock opton, performance-based unit, or PSU, and restricted stock unit, or RSU, awards granted, and 28,782 of awards cancelled or forfeited, during the three months ended March 31, 2023 as well as an annual increase of 2,086,165 shares authorized on January 1, 2023.</w:t>
      </w:r>
    </w:p>
    <w:p>
      <w:pPr>
        <w:spacing w:after="0" w:line="18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Performance-based Units</w:t>
      </w:r>
    </w:p>
    <w:p>
      <w:pPr>
        <w:spacing w:after="0" w:line="190"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 xml:space="preserve">During 2020, the Company granted the inital PSUs whereby vestng depends upon the approval by the FDA of vonoprazan for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and then, or concurrent with, Erosive GERD. In 2022, the Company granted an additonal 37,500 PSUs to employees. In 2023, the Company granted an additonal 597,650 PSUs to employees. As of March 31, 2023, the PSU milestones had not been achieved and no related compensaton cost had been recognized. The following table summarizes PSU actvity under the 2019 Incentve Award Plan during the three months ended March 31, 2023.</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175"/>
              <w:spacing w:after="0"/>
              <w:rPr>
                <w:sz w:val="20"/>
                <w:szCs w:val="20"/>
                <w:color w:val="auto"/>
              </w:rPr>
            </w:pPr>
            <w:r>
              <w:rPr>
                <w:rFonts w:ascii="Calibri" w:cs="Calibri" w:eastAsia="Calibri" w:hAnsi="Calibri"/>
                <w:sz w:val="14"/>
                <w:szCs w:val="14"/>
                <w:b w:val="1"/>
                <w:bCs w:val="1"/>
                <w:color w:val="auto"/>
              </w:rPr>
              <w:t>Weighted-</w:t>
            </w:r>
          </w:p>
        </w:tc>
      </w:tr>
      <w:tr>
        <w:trPr>
          <w:trHeight w:val="175"/>
        </w:trPr>
        <w:tc>
          <w:tcPr>
            <w:tcW w:w="5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spacing w:after="0"/>
              <w:rPr>
                <w:sz w:val="20"/>
                <w:szCs w:val="20"/>
                <w:color w:val="auto"/>
              </w:rPr>
            </w:pPr>
            <w:r>
              <w:rPr>
                <w:rFonts w:ascii="Calibri" w:cs="Calibri" w:eastAsia="Calibri" w:hAnsi="Calibri"/>
                <w:sz w:val="14"/>
                <w:szCs w:val="14"/>
                <w:b w:val="1"/>
                <w:bCs w:val="1"/>
                <w:color w:val="auto"/>
                <w:w w:val="99"/>
              </w:rPr>
              <w:t>Average Grant</w:t>
            </w:r>
          </w:p>
        </w:tc>
      </w:tr>
      <w:tr>
        <w:trPr>
          <w:trHeight w:val="175"/>
        </w:trPr>
        <w:tc>
          <w:tcPr>
            <w:tcW w:w="5380" w:type="dxa"/>
            <w:vAlign w:val="bottom"/>
          </w:tcPr>
          <w:p>
            <w:pPr>
              <w:spacing w:after="0"/>
              <w:rPr>
                <w:sz w:val="15"/>
                <w:szCs w:val="15"/>
                <w:color w:val="auto"/>
              </w:rPr>
            </w:pPr>
          </w:p>
        </w:tc>
        <w:tc>
          <w:tcPr>
            <w:tcW w:w="1220" w:type="dxa"/>
            <w:vAlign w:val="bottom"/>
          </w:tcPr>
          <w:p>
            <w:pPr>
              <w:jc w:val="right"/>
              <w:ind w:right="235"/>
              <w:spacing w:after="0"/>
              <w:rPr>
                <w:sz w:val="20"/>
                <w:szCs w:val="20"/>
                <w:color w:val="auto"/>
              </w:rPr>
            </w:pPr>
            <w:r>
              <w:rPr>
                <w:rFonts w:ascii="Calibri" w:cs="Calibri" w:eastAsia="Calibri" w:hAnsi="Calibri"/>
                <w:sz w:val="14"/>
                <w:szCs w:val="14"/>
                <w:b w:val="1"/>
                <w:bCs w:val="1"/>
                <w:color w:val="auto"/>
              </w:rPr>
              <w:t>Number of</w:t>
            </w:r>
          </w:p>
        </w:tc>
        <w:tc>
          <w:tcPr>
            <w:tcW w:w="140" w:type="dxa"/>
            <w:vAlign w:val="bottom"/>
          </w:tcPr>
          <w:p>
            <w:pPr>
              <w:spacing w:after="0"/>
              <w:rPr>
                <w:sz w:val="15"/>
                <w:szCs w:val="15"/>
                <w:color w:val="auto"/>
              </w:rPr>
            </w:pPr>
          </w:p>
        </w:tc>
        <w:tc>
          <w:tcPr>
            <w:tcW w:w="1120" w:type="dxa"/>
            <w:vAlign w:val="bottom"/>
            <w:gridSpan w:val="2"/>
          </w:tcPr>
          <w:p>
            <w:pPr>
              <w:jc w:val="center"/>
              <w:ind w:right="15"/>
              <w:spacing w:after="0"/>
              <w:rPr>
                <w:sz w:val="20"/>
                <w:szCs w:val="20"/>
                <w:color w:val="auto"/>
              </w:rPr>
            </w:pPr>
            <w:r>
              <w:rPr>
                <w:rFonts w:ascii="Calibri" w:cs="Calibri" w:eastAsia="Calibri" w:hAnsi="Calibri"/>
                <w:sz w:val="14"/>
                <w:szCs w:val="14"/>
                <w:b w:val="1"/>
                <w:bCs w:val="1"/>
                <w:color w:val="auto"/>
              </w:rPr>
              <w:t>Date Fair Value</w:t>
            </w:r>
          </w:p>
        </w:tc>
      </w:tr>
      <w:tr>
        <w:trPr>
          <w:trHeight w:val="176"/>
        </w:trPr>
        <w:tc>
          <w:tcPr>
            <w:tcW w:w="5380" w:type="dxa"/>
            <w:vAlign w:val="bottom"/>
          </w:tcPr>
          <w:p>
            <w:pPr>
              <w:spacing w:after="0"/>
              <w:rPr>
                <w:sz w:val="15"/>
                <w:szCs w:val="15"/>
                <w:color w:val="auto"/>
              </w:rPr>
            </w:pPr>
          </w:p>
        </w:tc>
        <w:tc>
          <w:tcPr>
            <w:tcW w:w="1220" w:type="dxa"/>
            <w:vAlign w:val="bottom"/>
          </w:tcPr>
          <w:p>
            <w:pPr>
              <w:jc w:val="right"/>
              <w:ind w:right="235"/>
              <w:spacing w:after="0"/>
              <w:rPr>
                <w:sz w:val="20"/>
                <w:szCs w:val="20"/>
                <w:color w:val="auto"/>
              </w:rPr>
            </w:pPr>
            <w:r>
              <w:rPr>
                <w:rFonts w:ascii="Calibri" w:cs="Calibri" w:eastAsia="Calibri" w:hAnsi="Calibri"/>
                <w:sz w:val="14"/>
                <w:szCs w:val="14"/>
                <w:b w:val="1"/>
                <w:bCs w:val="1"/>
                <w:color w:val="auto"/>
              </w:rPr>
              <w:t>Stock Units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55"/>
              <w:spacing w:after="0"/>
              <w:rPr>
                <w:sz w:val="20"/>
                <w:szCs w:val="20"/>
                <w:color w:val="auto"/>
              </w:rPr>
            </w:pPr>
            <w:r>
              <w:rPr>
                <w:rFonts w:ascii="Calibri" w:cs="Calibri" w:eastAsia="Calibri" w:hAnsi="Calibri"/>
                <w:sz w:val="14"/>
                <w:szCs w:val="14"/>
                <w:b w:val="1"/>
                <w:bCs w:val="1"/>
                <w:color w:val="auto"/>
              </w:rPr>
              <w:t>Per Share</w:t>
            </w:r>
          </w:p>
        </w:tc>
      </w:tr>
      <w:tr>
        <w:trPr>
          <w:trHeight w:val="33"/>
        </w:trPr>
        <w:tc>
          <w:tcPr>
            <w:tcW w:w="53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53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Unvested balance at December 31, 2022</w:t>
            </w:r>
          </w:p>
        </w:tc>
        <w:tc>
          <w:tcPr>
            <w:tcW w:w="1220" w:type="dxa"/>
            <w:vAlign w:val="bottom"/>
            <w:tcBorders>
              <w:bottom w:val="single" w:sz="8" w:color="CFF0FC"/>
            </w:tcBorders>
            <w:shd w:val="clear" w:color="auto" w:fill="CFF0FC"/>
          </w:tcPr>
          <w:p>
            <w:pPr>
              <w:jc w:val="right"/>
              <w:ind w:right="15"/>
              <w:spacing w:after="0" w:line="208" w:lineRule="exact"/>
              <w:rPr>
                <w:sz w:val="20"/>
                <w:szCs w:val="20"/>
                <w:color w:val="auto"/>
              </w:rPr>
            </w:pPr>
            <w:r>
              <w:rPr>
                <w:rFonts w:ascii="Calibri" w:cs="Calibri" w:eastAsia="Calibri" w:hAnsi="Calibri"/>
                <w:sz w:val="18"/>
                <w:szCs w:val="18"/>
                <w:color w:val="auto"/>
              </w:rPr>
              <w:t>412,300</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30.97</w:t>
            </w:r>
          </w:p>
        </w:tc>
      </w:tr>
      <w:tr>
        <w:trPr>
          <w:trHeight w:val="215"/>
        </w:trPr>
        <w:tc>
          <w:tcPr>
            <w:tcW w:w="5380" w:type="dxa"/>
            <w:vAlign w:val="bottom"/>
          </w:tcPr>
          <w:p>
            <w:pPr>
              <w:ind w:left="180"/>
              <w:spacing w:after="0" w:line="215" w:lineRule="exact"/>
              <w:rPr>
                <w:sz w:val="20"/>
                <w:szCs w:val="20"/>
                <w:color w:val="auto"/>
              </w:rPr>
            </w:pPr>
            <w:r>
              <w:rPr>
                <w:rFonts w:ascii="Calibri" w:cs="Calibri" w:eastAsia="Calibri" w:hAnsi="Calibri"/>
                <w:sz w:val="18"/>
                <w:szCs w:val="18"/>
                <w:color w:val="auto"/>
              </w:rPr>
              <w:t>Granted</w:t>
            </w:r>
          </w:p>
        </w:tc>
        <w:tc>
          <w:tcPr>
            <w:tcW w:w="122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597,650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10.89</w:t>
            </w:r>
          </w:p>
        </w:tc>
      </w:tr>
      <w:tr>
        <w:trPr>
          <w:trHeight w:val="28"/>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3"/>
        </w:trPr>
        <w:tc>
          <w:tcPr>
            <w:tcW w:w="538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Vested</w:t>
            </w:r>
          </w:p>
        </w:tc>
        <w:tc>
          <w:tcPr>
            <w:tcW w:w="1220" w:type="dxa"/>
            <w:vAlign w:val="bottom"/>
            <w:tcBorders>
              <w:bottom w:val="single" w:sz="8" w:color="CFF0FC"/>
            </w:tcBorders>
            <w:shd w:val="clear" w:color="auto" w:fill="CFF0FC"/>
          </w:tcPr>
          <w:p>
            <w:pPr>
              <w:jc w:val="right"/>
              <w:ind w:right="15"/>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5380" w:type="dxa"/>
            <w:vAlign w:val="bottom"/>
          </w:tcPr>
          <w:p>
            <w:pPr>
              <w:ind w:left="180"/>
              <w:spacing w:after="0" w:line="215" w:lineRule="exact"/>
              <w:rPr>
                <w:sz w:val="20"/>
                <w:szCs w:val="20"/>
                <w:color w:val="auto"/>
              </w:rPr>
            </w:pPr>
            <w:r>
              <w:rPr>
                <w:rFonts w:ascii="Calibri" w:cs="Calibri" w:eastAsia="Calibri" w:hAnsi="Calibri"/>
                <w:sz w:val="18"/>
                <w:szCs w:val="18"/>
                <w:color w:val="auto"/>
              </w:rPr>
              <w:t>Forfeited</w:t>
            </w:r>
          </w:p>
        </w:tc>
        <w:tc>
          <w:tcPr>
            <w:tcW w:w="1220" w:type="dxa"/>
            <w:vAlign w:val="bottom"/>
          </w:tcPr>
          <w:p>
            <w:pPr>
              <w:jc w:val="right"/>
              <w:ind w:right="15"/>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r>
      <w:tr>
        <w:trPr>
          <w:trHeight w:val="28"/>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538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Unvested balance at March 31, 2023</w:t>
            </w:r>
          </w:p>
        </w:tc>
        <w:tc>
          <w:tcPr>
            <w:tcW w:w="1220" w:type="dxa"/>
            <w:vAlign w:val="bottom"/>
            <w:tcBorders>
              <w:top w:val="single" w:sz="8" w:color="auto"/>
              <w:bottom w:val="single" w:sz="8" w:color="CFF0FC"/>
            </w:tcBorders>
            <w:shd w:val="clear" w:color="auto" w:fill="CFF0FC"/>
          </w:tcPr>
          <w:p>
            <w:pPr>
              <w:jc w:val="right"/>
              <w:ind w:right="15"/>
              <w:spacing w:after="0" w:line="208" w:lineRule="exact"/>
              <w:rPr>
                <w:sz w:val="20"/>
                <w:szCs w:val="20"/>
                <w:color w:val="auto"/>
              </w:rPr>
            </w:pPr>
            <w:r>
              <w:rPr>
                <w:rFonts w:ascii="Calibri" w:cs="Calibri" w:eastAsia="Calibri" w:hAnsi="Calibri"/>
                <w:sz w:val="18"/>
                <w:szCs w:val="18"/>
                <w:color w:val="auto"/>
              </w:rPr>
              <w:t>1,009,950</w:t>
            </w:r>
          </w:p>
        </w:tc>
        <w:tc>
          <w:tcPr>
            <w:tcW w:w="1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19.09</w:t>
            </w:r>
          </w:p>
        </w:tc>
      </w:tr>
      <w:tr>
        <w:trPr>
          <w:trHeight w:val="20"/>
        </w:trPr>
        <w:tc>
          <w:tcPr>
            <w:tcW w:w="538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-7620</wp:posOffset>
            </wp:positionV>
            <wp:extent cx="857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3" w:lineRule="exact"/>
        <w:rPr>
          <w:sz w:val="20"/>
          <w:szCs w:val="20"/>
          <w:color w:val="auto"/>
        </w:rPr>
      </w:pPr>
    </w:p>
    <w:p>
      <w:pPr>
        <w:ind w:right="480" w:firstLine="509"/>
        <w:spacing w:after="0" w:line="235" w:lineRule="auto"/>
        <w:rPr>
          <w:sz w:val="20"/>
          <w:szCs w:val="20"/>
          <w:color w:val="auto"/>
        </w:rPr>
      </w:pPr>
      <w:r>
        <w:rPr>
          <w:rFonts w:ascii="Calibri" w:cs="Calibri" w:eastAsia="Calibri" w:hAnsi="Calibri"/>
          <w:sz w:val="18"/>
          <w:szCs w:val="18"/>
          <w:color w:val="auto"/>
        </w:rPr>
        <w:t>As of March 31, 2023, there was approximately $19.3 million of related unrecognized stock-based compensaton expense, which will begin to be recognized upon vestng.</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b w:val="1"/>
          <w:bCs w:val="1"/>
          <w:i w:val="1"/>
          <w:iCs w:val="1"/>
          <w:color w:val="auto"/>
        </w:rPr>
        <w:t>Restricted Stock Units</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RSU actvity under the 2019 Incentve Award Plan during the three months ended March 31, 2023.</w:t>
      </w:r>
    </w:p>
    <w:p>
      <w:pPr>
        <w:spacing w:after="0" w:line="22" w:lineRule="exact"/>
        <w:rPr>
          <w:sz w:val="20"/>
          <w:szCs w:val="20"/>
          <w:color w:val="auto"/>
        </w:rPr>
      </w:pPr>
    </w:p>
    <w:tbl>
      <w:tblPr>
        <w:tblLayout w:type="fixed"/>
        <w:tblInd w:w="170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18"/>
              <w:spacing w:after="0"/>
              <w:rPr>
                <w:sz w:val="20"/>
                <w:szCs w:val="20"/>
                <w:color w:val="auto"/>
              </w:rPr>
            </w:pPr>
            <w:r>
              <w:rPr>
                <w:rFonts w:ascii="Calibri" w:cs="Calibri" w:eastAsia="Calibri" w:hAnsi="Calibri"/>
                <w:sz w:val="14"/>
                <w:szCs w:val="14"/>
                <w:b w:val="1"/>
                <w:bCs w:val="1"/>
                <w:color w:val="auto"/>
              </w:rPr>
              <w:t>Weighted-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98"/>
              <w:spacing w:after="0"/>
              <w:rPr>
                <w:sz w:val="20"/>
                <w:szCs w:val="20"/>
                <w:color w:val="auto"/>
              </w:rPr>
            </w:pPr>
            <w:r>
              <w:rPr>
                <w:rFonts w:ascii="Calibri" w:cs="Calibri" w:eastAsia="Calibri" w:hAnsi="Calibri"/>
                <w:sz w:val="14"/>
                <w:szCs w:val="14"/>
                <w:b w:val="1"/>
                <w:bCs w:val="1"/>
                <w:color w:val="auto"/>
                <w:w w:val="99"/>
              </w:rPr>
              <w:t>Average Grant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880" w:type="dxa"/>
            <w:vAlign w:val="bottom"/>
            <w:gridSpan w:val="2"/>
          </w:tcPr>
          <w:p>
            <w:pPr>
              <w:jc w:val="right"/>
              <w:ind w:right="740"/>
              <w:spacing w:after="0"/>
              <w:rPr>
                <w:sz w:val="20"/>
                <w:szCs w:val="20"/>
                <w:color w:val="auto"/>
              </w:rPr>
            </w:pPr>
            <w:r>
              <w:rPr>
                <w:rFonts w:ascii="Calibri" w:cs="Calibri" w:eastAsia="Calibri" w:hAnsi="Calibri"/>
                <w:sz w:val="14"/>
                <w:szCs w:val="14"/>
                <w:b w:val="1"/>
                <w:bCs w:val="1"/>
                <w:color w:val="auto"/>
              </w:rPr>
              <w:t>Number of</w:t>
            </w:r>
          </w:p>
        </w:tc>
        <w:tc>
          <w:tcPr>
            <w:tcW w:w="200" w:type="dxa"/>
            <w:vAlign w:val="bottom"/>
          </w:tcPr>
          <w:p>
            <w:pPr>
              <w:spacing w:after="0"/>
              <w:rPr>
                <w:sz w:val="15"/>
                <w:szCs w:val="15"/>
                <w:color w:val="auto"/>
              </w:rPr>
            </w:pPr>
          </w:p>
        </w:tc>
        <w:tc>
          <w:tcPr>
            <w:tcW w:w="1300" w:type="dxa"/>
            <w:vAlign w:val="bottom"/>
          </w:tcPr>
          <w:p>
            <w:pPr>
              <w:jc w:val="center"/>
              <w:ind w:right="118"/>
              <w:spacing w:after="0"/>
              <w:rPr>
                <w:sz w:val="20"/>
                <w:szCs w:val="20"/>
                <w:color w:val="auto"/>
              </w:rPr>
            </w:pPr>
            <w:r>
              <w:rPr>
                <w:rFonts w:ascii="Calibri" w:cs="Calibri" w:eastAsia="Calibri" w:hAnsi="Calibri"/>
                <w:sz w:val="14"/>
                <w:szCs w:val="14"/>
                <w:b w:val="1"/>
                <w:bCs w:val="1"/>
                <w:color w:val="auto"/>
              </w:rPr>
              <w:t>Date Fair Value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1880" w:type="dxa"/>
            <w:vAlign w:val="bottom"/>
            <w:gridSpan w:val="2"/>
          </w:tcPr>
          <w:p>
            <w:pPr>
              <w:jc w:val="right"/>
              <w:ind w:right="740"/>
              <w:spacing w:after="0"/>
              <w:rPr>
                <w:sz w:val="20"/>
                <w:szCs w:val="20"/>
                <w:color w:val="auto"/>
              </w:rPr>
            </w:pPr>
            <w:r>
              <w:rPr>
                <w:rFonts w:ascii="Calibri" w:cs="Calibri" w:eastAsia="Calibri" w:hAnsi="Calibri"/>
                <w:sz w:val="14"/>
                <w:szCs w:val="14"/>
                <w:b w:val="1"/>
                <w:bCs w:val="1"/>
                <w:color w:val="auto"/>
              </w:rPr>
              <w:t>Stock Units</w:t>
            </w:r>
          </w:p>
        </w:tc>
        <w:tc>
          <w:tcPr>
            <w:tcW w:w="200" w:type="dxa"/>
            <w:vAlign w:val="bottom"/>
          </w:tcPr>
          <w:p>
            <w:pPr>
              <w:spacing w:after="0"/>
              <w:rPr>
                <w:sz w:val="15"/>
                <w:szCs w:val="15"/>
                <w:color w:val="auto"/>
              </w:rPr>
            </w:pPr>
          </w:p>
        </w:tc>
        <w:tc>
          <w:tcPr>
            <w:tcW w:w="1300" w:type="dxa"/>
            <w:vAlign w:val="bottom"/>
          </w:tcPr>
          <w:p>
            <w:pPr>
              <w:jc w:val="center"/>
              <w:ind w:right="98"/>
              <w:spacing w:after="0"/>
              <w:rPr>
                <w:sz w:val="20"/>
                <w:szCs w:val="20"/>
                <w:color w:val="auto"/>
              </w:rPr>
            </w:pPr>
            <w:r>
              <w:rPr>
                <w:rFonts w:ascii="Calibri" w:cs="Calibri" w:eastAsia="Calibri" w:hAnsi="Calibri"/>
                <w:sz w:val="14"/>
                <w:szCs w:val="14"/>
                <w:b w:val="1"/>
                <w:bCs w:val="1"/>
                <w:color w:val="auto"/>
              </w:rPr>
              <w:t>Per Share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4400" w:type="dxa"/>
            <w:vAlign w:val="bottom"/>
            <w:vMerge w:val="restart"/>
          </w:tcPr>
          <w:p>
            <w:pPr>
              <w:spacing w:after="0"/>
              <w:rPr>
                <w:sz w:val="20"/>
                <w:szCs w:val="20"/>
                <w:color w:val="auto"/>
              </w:rPr>
            </w:pPr>
            <w:r>
              <w:rPr>
                <w:rFonts w:ascii="Calibri" w:cs="Calibri" w:eastAsia="Calibri" w:hAnsi="Calibri"/>
                <w:sz w:val="18"/>
                <w:szCs w:val="18"/>
                <w:color w:val="auto"/>
              </w:rPr>
              <w:t>Unvested balance at December 31, 2022</w:t>
            </w:r>
          </w:p>
        </w:tc>
        <w:tc>
          <w:tcPr>
            <w:tcW w:w="1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400" w:type="dxa"/>
            <w:vAlign w:val="bottom"/>
            <w:vMerge w:val="continue"/>
          </w:tcPr>
          <w:p>
            <w:pPr>
              <w:spacing w:after="0"/>
              <w:rPr>
                <w:sz w:val="18"/>
                <w:szCs w:val="18"/>
                <w:color w:val="auto"/>
              </w:rPr>
            </w:pPr>
          </w:p>
        </w:tc>
        <w:tc>
          <w:tcPr>
            <w:tcW w:w="1620" w:type="dxa"/>
            <w:vAlign w:val="bottom"/>
          </w:tcPr>
          <w:p>
            <w:pPr>
              <w:jc w:val="right"/>
              <w:spacing w:after="0" w:line="208" w:lineRule="exact"/>
              <w:rPr>
                <w:sz w:val="20"/>
                <w:szCs w:val="20"/>
                <w:color w:val="auto"/>
              </w:rPr>
            </w:pPr>
            <w:r>
              <w:rPr>
                <w:rFonts w:ascii="Calibri" w:cs="Calibri" w:eastAsia="Calibri" w:hAnsi="Calibri"/>
                <w:sz w:val="18"/>
                <w:szCs w:val="18"/>
                <w:color w:val="auto"/>
              </w:rPr>
              <w:t>877,467</w:t>
            </w:r>
          </w:p>
        </w:tc>
        <w:tc>
          <w:tcPr>
            <w:tcW w:w="260" w:type="dxa"/>
            <w:vAlign w:val="bottom"/>
          </w:tcPr>
          <w:p>
            <w:pPr>
              <w:spacing w:after="0"/>
              <w:rPr>
                <w:sz w:val="18"/>
                <w:szCs w:val="18"/>
                <w:color w:val="auto"/>
              </w:rPr>
            </w:pPr>
          </w:p>
        </w:tc>
        <w:tc>
          <w:tcPr>
            <w:tcW w:w="200" w:type="dxa"/>
            <w:vAlign w:val="bottom"/>
          </w:tcPr>
          <w:p>
            <w:pPr>
              <w:jc w:val="right"/>
              <w:spacing w:after="0" w:line="208"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spacing w:after="0" w:line="208" w:lineRule="exact"/>
              <w:rPr>
                <w:sz w:val="20"/>
                <w:szCs w:val="20"/>
                <w:color w:val="auto"/>
              </w:rPr>
            </w:pPr>
            <w:r>
              <w:rPr>
                <w:rFonts w:ascii="Calibri" w:cs="Calibri" w:eastAsia="Calibri" w:hAnsi="Calibri"/>
                <w:sz w:val="18"/>
                <w:szCs w:val="18"/>
                <w:color w:val="auto"/>
              </w:rPr>
              <w:t>11.03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4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Granted</w:t>
            </w:r>
          </w:p>
        </w:tc>
        <w:tc>
          <w:tcPr>
            <w:tcW w:w="16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749,760</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8.36</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400" w:type="dxa"/>
            <w:vAlign w:val="bottom"/>
          </w:tcPr>
          <w:p>
            <w:pPr>
              <w:ind w:left="180"/>
              <w:spacing w:after="0" w:line="215" w:lineRule="exact"/>
              <w:rPr>
                <w:sz w:val="20"/>
                <w:szCs w:val="20"/>
                <w:color w:val="auto"/>
              </w:rPr>
            </w:pPr>
            <w:r>
              <w:rPr>
                <w:rFonts w:ascii="Calibri" w:cs="Calibri" w:eastAsia="Calibri" w:hAnsi="Calibri"/>
                <w:sz w:val="18"/>
                <w:szCs w:val="18"/>
                <w:color w:val="auto"/>
              </w:rPr>
              <w:t>Vested</w:t>
            </w:r>
          </w:p>
        </w:tc>
        <w:tc>
          <w:tcPr>
            <w:tcW w:w="1880" w:type="dxa"/>
            <w:vAlign w:val="bottom"/>
            <w:gridSpan w:val="2"/>
          </w:tcPr>
          <w:p>
            <w:pPr>
              <w:jc w:val="right"/>
              <w:ind w:right="180"/>
              <w:spacing w:after="0" w:line="215" w:lineRule="exact"/>
              <w:rPr>
                <w:sz w:val="20"/>
                <w:szCs w:val="20"/>
                <w:color w:val="auto"/>
              </w:rPr>
            </w:pPr>
            <w:r>
              <w:rPr>
                <w:rFonts w:ascii="Calibri" w:cs="Calibri" w:eastAsia="Calibri" w:hAnsi="Calibri"/>
                <w:sz w:val="18"/>
                <w:szCs w:val="18"/>
                <w:color w:val="auto"/>
              </w:rPr>
              <w:t>(191,526 )</w:t>
            </w:r>
          </w:p>
        </w:tc>
        <w:tc>
          <w:tcPr>
            <w:tcW w:w="20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11.36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400" w:type="dxa"/>
            <w:vAlign w:val="bottom"/>
          </w:tcPr>
          <w:p>
            <w:pPr>
              <w:spacing w:after="0"/>
              <w:rPr>
                <w:sz w:val="2"/>
                <w:szCs w:val="2"/>
                <w:color w:val="auto"/>
              </w:rPr>
            </w:pPr>
          </w:p>
        </w:tc>
        <w:tc>
          <w:tcPr>
            <w:tcW w:w="18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440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Forfeited</w:t>
            </w:r>
          </w:p>
        </w:tc>
        <w:tc>
          <w:tcPr>
            <w:tcW w:w="1880" w:type="dxa"/>
            <w:vAlign w:val="bottom"/>
            <w:tcBorders>
              <w:bottom w:val="single" w:sz="8" w:color="CFF0FC"/>
            </w:tcBorders>
            <w:gridSpan w:val="2"/>
            <w:shd w:val="clear" w:color="auto" w:fill="CFF0FC"/>
          </w:tcPr>
          <w:p>
            <w:pPr>
              <w:jc w:val="right"/>
              <w:ind w:right="180"/>
              <w:spacing w:after="0" w:line="215" w:lineRule="exact"/>
              <w:rPr>
                <w:sz w:val="20"/>
                <w:szCs w:val="20"/>
                <w:color w:val="auto"/>
              </w:rPr>
            </w:pPr>
            <w:r>
              <w:rPr>
                <w:rFonts w:ascii="Calibri" w:cs="Calibri" w:eastAsia="Calibri" w:hAnsi="Calibri"/>
                <w:sz w:val="18"/>
                <w:szCs w:val="18"/>
                <w:color w:val="auto"/>
              </w:rPr>
              <w:t>(2,817 )</w:t>
            </w:r>
          </w:p>
        </w:tc>
        <w:tc>
          <w:tcPr>
            <w:tcW w:w="20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10.26</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4400" w:type="dxa"/>
            <w:vAlign w:val="bottom"/>
            <w:tcBorders>
              <w:top w:val="single" w:sz="8" w:color="CFF0FC"/>
            </w:tcBorders>
          </w:tcPr>
          <w:p>
            <w:pPr>
              <w:spacing w:after="0" w:line="208" w:lineRule="exact"/>
              <w:rPr>
                <w:sz w:val="20"/>
                <w:szCs w:val="20"/>
                <w:color w:val="auto"/>
              </w:rPr>
            </w:pPr>
            <w:r>
              <w:rPr>
                <w:rFonts w:ascii="Calibri" w:cs="Calibri" w:eastAsia="Calibri" w:hAnsi="Calibri"/>
                <w:sz w:val="18"/>
                <w:szCs w:val="18"/>
                <w:color w:val="auto"/>
              </w:rPr>
              <w:t>Unvested balance at March 31, 2023</w:t>
            </w:r>
          </w:p>
        </w:tc>
        <w:tc>
          <w:tcPr>
            <w:tcW w:w="162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1,432,884</w:t>
            </w: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w:t>
            </w:r>
          </w:p>
        </w:tc>
        <w:tc>
          <w:tcPr>
            <w:tcW w:w="13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color w:val="auto"/>
              </w:rPr>
              <w:t>9.59</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4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-170815</wp:posOffset>
            </wp:positionV>
            <wp:extent cx="5143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3180" cy="171450"/>
                    </a:xfrm>
                    <a:prstGeom prst="rect">
                      <a:avLst/>
                    </a:prstGeom>
                    <a:noFill/>
                  </pic:spPr>
                </pic:pic>
              </a:graphicData>
            </a:graphic>
          </wp:anchor>
        </w:drawing>
      </w:r>
    </w:p>
    <w:p>
      <w:pPr>
        <w:spacing w:after="0" w:line="349"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As of March 31, 2023, the Company had $11.5 million of unrecognized stock-based compensaton expense, which is expected to be recognized over a weighted-average period of 2.3 years.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Employee Stock Purchase Plan</w:t>
      </w:r>
    </w:p>
    <w:p>
      <w:pPr>
        <w:spacing w:after="0" w:line="190" w:lineRule="exact"/>
        <w:rPr>
          <w:sz w:val="20"/>
          <w:szCs w:val="20"/>
          <w:color w:val="auto"/>
        </w:rPr>
      </w:pPr>
    </w:p>
    <w:p>
      <w:pPr>
        <w:ind w:firstLine="509"/>
        <w:spacing w:after="0" w:line="249" w:lineRule="auto"/>
        <w:rPr>
          <w:sz w:val="20"/>
          <w:szCs w:val="20"/>
          <w:color w:val="auto"/>
        </w:rPr>
      </w:pPr>
      <w:r>
        <w:rPr>
          <w:rFonts w:ascii="Calibri" w:cs="Calibri" w:eastAsia="Calibri" w:hAnsi="Calibri"/>
          <w:sz w:val="17"/>
          <w:szCs w:val="17"/>
          <w:color w:val="auto"/>
        </w:rPr>
        <w:t>In October 2019, the board of directors adopted, and the Company’s stockholders approved, the Employee Stock Purchase Plan, or the ESPP, which became efectve in connecton with the IPO. The ESPP permits partcipants to purchase common stock through payroll deductons of up to 20% of their eligible compensaton, which includes a partcipant’s gross base compensaton for services to the Company, including overtme payments and excluding sales commissions, incentve compensaton, bonuses, expense reimbursements, fringe benefts and other special payments. A total of 270,000 shares of common stock were initally reserved for issuance under the ESPP. In additon, the number of shares available for issuance under the ESPP will be annually increased on January 1 of each calendar year beginning in 2020 and ending in 2029, by an amount equal to the lesser of: (i) 1% of the shares outstanding on the fnal day of the immediately preceding calendar year and (ii) such smaller number of shares as is determined by the board of directors. As of March 31, 2023, 1,048,370 shares of common stock remain available for issuance, which includes the 121,801 shares sold to employees during the three months ended March</w:t>
      </w:r>
    </w:p>
    <w:p>
      <w:pPr>
        <w:spacing w:after="0" w:line="1" w:lineRule="exact"/>
        <w:rPr>
          <w:sz w:val="20"/>
          <w:szCs w:val="20"/>
          <w:color w:val="auto"/>
        </w:rPr>
      </w:pPr>
    </w:p>
    <w:p>
      <w:pPr>
        <w:spacing w:after="0"/>
        <w:rPr>
          <w:sz w:val="20"/>
          <w:szCs w:val="20"/>
          <w:color w:val="auto"/>
        </w:rPr>
      </w:pPr>
      <w:r>
        <w:rPr>
          <w:rFonts w:ascii="Calibri" w:cs="Calibri" w:eastAsia="Calibri" w:hAnsi="Calibri"/>
          <w:sz w:val="18"/>
          <w:szCs w:val="18"/>
          <w:color w:val="auto"/>
        </w:rPr>
        <w:t>31, 2023 as well as an annual increase of 417,233 shares authorized on January 1, 2023.</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ESPP is considered a compensatory plan, and the Company recorded related stock-based compensaton of $0.1 million for the three months ended March 31, 2023 and 2022. The weighted-average assumptons used to estmate the fair value of ESPP awards using the Black-Scholes opton valuaton model were as follows:</w:t>
      </w:r>
    </w:p>
    <w:p>
      <w:pPr>
        <w:spacing w:after="0" w:line="227"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4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40" w:type="dxa"/>
            <w:vAlign w:val="bottom"/>
            <w:gridSpan w:val="3"/>
          </w:tcPr>
          <w:p>
            <w:pPr>
              <w:jc w:val="center"/>
              <w:ind w:right="480"/>
              <w:spacing w:after="0"/>
              <w:rPr>
                <w:sz w:val="20"/>
                <w:szCs w:val="20"/>
                <w:color w:val="auto"/>
              </w:rPr>
            </w:pPr>
            <w:r>
              <w:rPr>
                <w:rFonts w:ascii="Calibri" w:cs="Calibri" w:eastAsia="Calibri" w:hAnsi="Calibri"/>
                <w:sz w:val="18"/>
                <w:szCs w:val="18"/>
                <w:b w:val="1"/>
                <w:bCs w:val="1"/>
                <w:color w:val="auto"/>
                <w:w w:val="97"/>
              </w:rPr>
              <w:t>Three Months Ended</w:t>
            </w: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40" w:type="dxa"/>
            <w:vAlign w:val="bottom"/>
            <w:gridSpan w:val="3"/>
          </w:tcPr>
          <w:p>
            <w:pPr>
              <w:jc w:val="center"/>
              <w:ind w:right="480"/>
              <w:spacing w:after="0" w:line="216" w:lineRule="exact"/>
              <w:rPr>
                <w:sz w:val="20"/>
                <w:szCs w:val="20"/>
                <w:color w:val="auto"/>
              </w:rPr>
            </w:pPr>
            <w:r>
              <w:rPr>
                <w:rFonts w:ascii="Calibri" w:cs="Calibri" w:eastAsia="Calibri" w:hAnsi="Calibri"/>
                <w:sz w:val="18"/>
                <w:szCs w:val="18"/>
                <w:b w:val="1"/>
                <w:bCs w:val="1"/>
                <w:color w:val="auto"/>
                <w:w w:val="95"/>
              </w:rPr>
              <w:t>March 31,</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518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4140" w:type="dxa"/>
            <w:vAlign w:val="bottom"/>
          </w:tcPr>
          <w:p>
            <w:pPr>
              <w:spacing w:after="0"/>
              <w:rPr>
                <w:sz w:val="18"/>
                <w:szCs w:val="18"/>
                <w:color w:val="auto"/>
              </w:rPr>
            </w:pPr>
          </w:p>
        </w:tc>
        <w:tc>
          <w:tcPr>
            <w:tcW w:w="104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2023</w:t>
            </w:r>
          </w:p>
        </w:tc>
        <w:tc>
          <w:tcPr>
            <w:tcW w:w="2040" w:type="dxa"/>
            <w:vAlign w:val="bottom"/>
            <w:tcBorders>
              <w:top w:val="single" w:sz="8" w:color="auto"/>
            </w:tcBorders>
            <w:gridSpan w:val="3"/>
          </w:tcPr>
          <w:p>
            <w:pPr>
              <w:jc w:val="right"/>
              <w:ind w:right="160"/>
              <w:spacing w:after="0" w:line="208" w:lineRule="exact"/>
              <w:rPr>
                <w:sz w:val="20"/>
                <w:szCs w:val="20"/>
                <w:color w:val="auto"/>
              </w:rPr>
            </w:pPr>
            <w:r>
              <w:rPr>
                <w:rFonts w:ascii="Calibri" w:cs="Calibri" w:eastAsia="Calibri" w:hAnsi="Calibri"/>
                <w:sz w:val="18"/>
                <w:szCs w:val="18"/>
                <w:b w:val="1"/>
                <w:bCs w:val="1"/>
                <w:color w:val="auto"/>
              </w:rPr>
              <w:t>2022</w:t>
            </w: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1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14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Assumptons:</w:t>
            </w:r>
          </w:p>
        </w:tc>
        <w:tc>
          <w:tcPr>
            <w:tcW w:w="1040" w:type="dxa"/>
            <w:vAlign w:val="bottom"/>
            <w:tcBorders>
              <w:top w:val="single" w:sz="8" w:color="auto"/>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top w:val="single" w:sz="8" w:color="auto"/>
              <w:bottom w:val="single" w:sz="8" w:color="CFF0FC"/>
            </w:tcBorders>
            <w:shd w:val="clear" w:color="auto" w:fill="CFF0FC"/>
          </w:tcPr>
          <w:p>
            <w:pPr>
              <w:spacing w:after="0"/>
              <w:rPr>
                <w:sz w:val="18"/>
                <w:szCs w:val="18"/>
                <w:color w:val="auto"/>
              </w:rPr>
            </w:pPr>
          </w:p>
        </w:tc>
        <w:tc>
          <w:tcPr>
            <w:tcW w:w="640" w:type="dxa"/>
            <w:vAlign w:val="bottom"/>
            <w:tcBorders>
              <w:top w:val="single" w:sz="8" w:color="auto"/>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Expected term (in years)</w:t>
            </w:r>
          </w:p>
        </w:tc>
        <w:tc>
          <w:tcPr>
            <w:tcW w:w="680" w:type="dxa"/>
            <w:vAlign w:val="bottom"/>
          </w:tcPr>
          <w:p>
            <w:pPr>
              <w:jc w:val="right"/>
              <w:spacing w:after="0" w:line="215" w:lineRule="exact"/>
              <w:rPr>
                <w:sz w:val="20"/>
                <w:szCs w:val="20"/>
                <w:color w:val="auto"/>
              </w:rPr>
            </w:pPr>
            <w:r>
              <w:rPr>
                <w:rFonts w:ascii="Calibri" w:cs="Calibri" w:eastAsia="Calibri" w:hAnsi="Calibri"/>
                <w:sz w:val="18"/>
                <w:szCs w:val="18"/>
                <w:color w:val="auto"/>
              </w:rPr>
              <w:t>0.49</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0.49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gridSpan w:val="2"/>
          </w:tcPr>
          <w:p>
            <w:pPr>
              <w:ind w:left="180"/>
              <w:spacing w:after="0"/>
              <w:rPr>
                <w:sz w:val="20"/>
                <w:szCs w:val="20"/>
                <w:color w:val="auto"/>
              </w:rPr>
            </w:pPr>
            <w:r>
              <w:rPr>
                <w:rFonts w:ascii="Calibri" w:cs="Calibri" w:eastAsia="Calibri" w:hAnsi="Calibri"/>
                <w:sz w:val="18"/>
                <w:szCs w:val="18"/>
                <w:color w:val="auto"/>
              </w:rPr>
              <w:t>Expected volatlity</w:t>
            </w:r>
          </w:p>
        </w:tc>
        <w:tc>
          <w:tcPr>
            <w:tcW w:w="800" w:type="dxa"/>
            <w:vAlign w:val="bottom"/>
            <w:gridSpan w:val="2"/>
          </w:tcPr>
          <w:p>
            <w:pPr>
              <w:jc w:val="right"/>
              <w:ind w:right="60"/>
              <w:spacing w:after="0"/>
              <w:rPr>
                <w:sz w:val="20"/>
                <w:szCs w:val="20"/>
                <w:color w:val="auto"/>
              </w:rPr>
            </w:pPr>
            <w:r>
              <w:rPr>
                <w:rFonts w:ascii="Calibri" w:cs="Calibri" w:eastAsia="Calibri" w:hAnsi="Calibri"/>
                <w:sz w:val="18"/>
                <w:szCs w:val="18"/>
                <w:color w:val="auto"/>
              </w:rPr>
              <w:t>69.10 %</w:t>
            </w:r>
          </w:p>
        </w:tc>
        <w:tc>
          <w:tcPr>
            <w:tcW w:w="12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Calibri" w:cs="Calibri" w:eastAsia="Calibri" w:hAnsi="Calibri"/>
                <w:sz w:val="18"/>
                <w:szCs w:val="18"/>
                <w:color w:val="auto"/>
              </w:rPr>
              <w:t>72.41 %</w:t>
            </w:r>
          </w:p>
        </w:tc>
        <w:tc>
          <w:tcPr>
            <w:tcW w:w="0" w:type="dxa"/>
            <w:vAlign w:val="bottom"/>
          </w:tcPr>
          <w:p>
            <w:pPr>
              <w:spacing w:after="0"/>
              <w:rPr>
                <w:sz w:val="1"/>
                <w:szCs w:val="1"/>
                <w:color w:val="auto"/>
              </w:rPr>
            </w:pPr>
          </w:p>
        </w:tc>
      </w:tr>
      <w:tr>
        <w:trPr>
          <w:trHeight w:val="243"/>
        </w:trPr>
        <w:tc>
          <w:tcPr>
            <w:tcW w:w="5180" w:type="dxa"/>
            <w:vAlign w:val="bottom"/>
            <w:gridSpan w:val="2"/>
          </w:tcPr>
          <w:p>
            <w:pPr>
              <w:ind w:left="180"/>
              <w:spacing w:after="0"/>
              <w:rPr>
                <w:sz w:val="20"/>
                <w:szCs w:val="20"/>
                <w:color w:val="auto"/>
              </w:rPr>
            </w:pPr>
            <w:r>
              <w:rPr>
                <w:rFonts w:ascii="Calibri" w:cs="Calibri" w:eastAsia="Calibri" w:hAnsi="Calibri"/>
                <w:sz w:val="18"/>
                <w:szCs w:val="18"/>
                <w:color w:val="auto"/>
              </w:rPr>
              <w:t>Risk free interest rate</w:t>
            </w:r>
          </w:p>
        </w:tc>
        <w:tc>
          <w:tcPr>
            <w:tcW w:w="800" w:type="dxa"/>
            <w:vAlign w:val="bottom"/>
            <w:gridSpan w:val="2"/>
          </w:tcPr>
          <w:p>
            <w:pPr>
              <w:jc w:val="right"/>
              <w:ind w:right="60"/>
              <w:spacing w:after="0"/>
              <w:rPr>
                <w:sz w:val="20"/>
                <w:szCs w:val="20"/>
                <w:color w:val="auto"/>
              </w:rPr>
            </w:pPr>
            <w:r>
              <w:rPr>
                <w:rFonts w:ascii="Calibri" w:cs="Calibri" w:eastAsia="Calibri" w:hAnsi="Calibri"/>
                <w:sz w:val="18"/>
                <w:szCs w:val="18"/>
                <w:color w:val="auto"/>
              </w:rPr>
              <w:t>4.77 %</w:t>
            </w:r>
          </w:p>
        </w:tc>
        <w:tc>
          <w:tcPr>
            <w:tcW w:w="124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Calibri" w:cs="Calibri" w:eastAsia="Calibri" w:hAnsi="Calibri"/>
                <w:sz w:val="18"/>
                <w:szCs w:val="18"/>
                <w:color w:val="auto"/>
              </w:rPr>
              <w:t>0.37 %</w:t>
            </w:r>
          </w:p>
        </w:tc>
        <w:tc>
          <w:tcPr>
            <w:tcW w:w="0" w:type="dxa"/>
            <w:vAlign w:val="bottom"/>
          </w:tcPr>
          <w:p>
            <w:pPr>
              <w:spacing w:after="0"/>
              <w:rPr>
                <w:sz w:val="1"/>
                <w:szCs w:val="1"/>
                <w:color w:val="auto"/>
              </w:rPr>
            </w:pPr>
          </w:p>
        </w:tc>
      </w:tr>
      <w:tr>
        <w:trPr>
          <w:trHeight w:val="37"/>
        </w:trPr>
        <w:tc>
          <w:tcPr>
            <w:tcW w:w="5180" w:type="dxa"/>
            <w:vAlign w:val="bottom"/>
            <w:gridSpan w:val="2"/>
          </w:tcPr>
          <w:p>
            <w:pPr>
              <w:spacing w:after="0"/>
              <w:rPr>
                <w:sz w:val="3"/>
                <w:szCs w:val="3"/>
                <w:color w:val="auto"/>
              </w:rPr>
            </w:pPr>
          </w:p>
        </w:tc>
        <w:tc>
          <w:tcPr>
            <w:tcW w:w="2040" w:type="dxa"/>
            <w:vAlign w:val="bottom"/>
            <w:gridSpan w:val="3"/>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5180" w:type="dxa"/>
            <w:vAlign w:val="bottom"/>
            <w:gridSpan w:val="2"/>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Dividend yield</w:t>
            </w:r>
          </w:p>
        </w:tc>
        <w:tc>
          <w:tcPr>
            <w:tcW w:w="2040" w:type="dxa"/>
            <w:vAlign w:val="bottom"/>
            <w:gridSpan w:val="3"/>
            <w:shd w:val="clear" w:color="auto" w:fill="CFF0FC"/>
          </w:tcPr>
          <w:p>
            <w:pPr>
              <w:jc w:val="right"/>
              <w:ind w:right="1440"/>
              <w:spacing w:after="0" w:line="215" w:lineRule="exact"/>
              <w:rPr>
                <w:sz w:val="20"/>
                <w:szCs w:val="20"/>
                <w:color w:val="auto"/>
              </w:rPr>
            </w:pPr>
            <w:r>
              <w:rPr>
                <w:rFonts w:ascii="Calibri" w:cs="Calibri" w:eastAsia="Calibri" w:hAnsi="Calibri"/>
                <w:sz w:val="18"/>
                <w:szCs w:val="18"/>
                <w:color w:val="auto"/>
              </w:rPr>
              <w:t>—</w:t>
            </w:r>
          </w:p>
        </w:tc>
        <w:tc>
          <w:tcPr>
            <w:tcW w:w="64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14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-462280</wp:posOffset>
            </wp:positionV>
            <wp:extent cx="4989195"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49" w:lineRule="exact"/>
        <w:rPr>
          <w:sz w:val="20"/>
          <w:szCs w:val="20"/>
          <w:color w:val="auto"/>
        </w:rPr>
      </w:pPr>
    </w:p>
    <w:p>
      <w:pPr>
        <w:ind w:right="100" w:firstLine="509"/>
        <w:spacing w:after="0"/>
        <w:rPr>
          <w:sz w:val="20"/>
          <w:szCs w:val="20"/>
          <w:color w:val="auto"/>
        </w:rPr>
      </w:pPr>
      <w:r>
        <w:rPr>
          <w:rFonts w:ascii="Calibri" w:cs="Calibri" w:eastAsia="Calibri" w:hAnsi="Calibri"/>
          <w:sz w:val="18"/>
          <w:szCs w:val="18"/>
          <w:color w:val="auto"/>
        </w:rPr>
        <w:t>The estmated weighted-average fair value of ESPP awards for the three months ended March 31, 2023 and 2022, were $2.87 and $5.31, respectvely. As of March 31, 2023, the total unrecognized compensaton expense related to the ESPP was $0.2 million, which is expected to be recognized over a weighted-average period of approximately 0.3 years.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20" w:name="page21"/>
    <w:bookmarkEnd w:id="20"/>
    <w:p>
      <w:pPr>
        <w:spacing w:after="0"/>
        <w:rPr>
          <w:sz w:val="20"/>
          <w:szCs w:val="20"/>
          <w:color w:val="auto"/>
        </w:rPr>
      </w:pPr>
      <w:r>
        <w:rPr>
          <w:rFonts w:ascii="Calibri" w:cs="Calibri" w:eastAsia="Calibri" w:hAnsi="Calibri"/>
          <w:sz w:val="18"/>
          <w:szCs w:val="18"/>
          <w:b w:val="1"/>
          <w:bCs w:val="1"/>
          <w:i w:val="1"/>
          <w:iCs w:val="1"/>
          <w:color w:val="auto"/>
        </w:rPr>
        <w:t>401(k) Plan</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established a 401(k) savings plan during the year ended December 31, 2020. The Company’s contributons to the plan are discretonary. During the three months ended March 31, 2023 and 2022, the Company incurred $0.8 million and $0.6 million, respectvely, of expense related to estmated employer contributon liabilites, which was based on a 75% match of employees’ contributons during the periods. In August 2021, the Board of Directors approved a semi-annual discretonary match for 2021, which was setled by contributng 18,394 shares. In January 2022, the Board of Directors approved a second semi-annual discretonary match for 2021, which was setled by contributng 16,756 shares. In July 2022, the Board of Directors approved a semi-annual match for 2022, which was setled by contributng 84,784 shares. In January 2023, the Board of Directors approved a semi-annual match for 2022, which was setled by contributon 52,130 shares.</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 Optons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fair value of each employee and non-employee stock opton grant is estmated on the date of grant using the Black-Scholes opton-pricing model. The Company, prior to the IPO on October 29, 2019, was a private company and lacked company-specifc historical and implied volatlity informaton. Therefore, it estmated its expected volatlity based on the historical volatlity of a publicly traded set of peer companies. Due to the lack of historical exercise history, the expected term of the Company’s stock optons for employees was determined utlizing the “simplifed” method for awards. The expected term of stock optons granted to non-employees was equal to the contractual term of the opton award. The risk-free interest rate was determined by reference to the U.S. Treasury yield curve in efect at the tme of grant of the award for tme periods approximately equal to the expected term of the award. Expected dividend yield was zero based on the fact that the Company has never paid cash dividends and does not expect to pay any cash dividends in the foreseeable future.</w:t>
      </w:r>
    </w:p>
    <w:p>
      <w:pPr>
        <w:spacing w:after="0" w:line="191"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 summary of the Company’s stock opton actvity and related informaton is as follows: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1"/>
              <w:spacing w:after="0"/>
              <w:rPr>
                <w:sz w:val="20"/>
                <w:szCs w:val="20"/>
                <w:color w:val="auto"/>
              </w:rPr>
            </w:pPr>
            <w:r>
              <w:rPr>
                <w:rFonts w:ascii="Calibri" w:cs="Calibri" w:eastAsia="Calibri" w:hAnsi="Calibri"/>
                <w:sz w:val="14"/>
                <w:szCs w:val="14"/>
                <w:b w:val="1"/>
                <w:bCs w:val="1"/>
                <w:color w:val="auto"/>
              </w:rPr>
              <w:t>Weighted-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6"/>
        </w:trPr>
        <w:tc>
          <w:tcPr>
            <w:tcW w:w="4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217"/>
              <w:spacing w:after="0"/>
              <w:rPr>
                <w:sz w:val="20"/>
                <w:szCs w:val="20"/>
                <w:color w:val="auto"/>
              </w:rPr>
            </w:pPr>
            <w:r>
              <w:rPr>
                <w:rFonts w:ascii="Calibri" w:cs="Calibri" w:eastAsia="Calibri" w:hAnsi="Calibri"/>
                <w:sz w:val="14"/>
                <w:szCs w:val="14"/>
                <w:b w:val="1"/>
                <w:bCs w:val="1"/>
                <w:color w:val="auto"/>
              </w:rPr>
              <w:t>Weighted-</w:t>
            </w:r>
          </w:p>
        </w:tc>
        <w:tc>
          <w:tcPr>
            <w:tcW w:w="120" w:type="dxa"/>
            <w:vAlign w:val="bottom"/>
          </w:tcPr>
          <w:p>
            <w:pPr>
              <w:spacing w:after="0"/>
              <w:rPr>
                <w:sz w:val="15"/>
                <w:szCs w:val="15"/>
                <w:color w:val="auto"/>
              </w:rPr>
            </w:pPr>
          </w:p>
        </w:tc>
        <w:tc>
          <w:tcPr>
            <w:tcW w:w="1260" w:type="dxa"/>
            <w:vAlign w:val="bottom"/>
          </w:tcPr>
          <w:p>
            <w:pPr>
              <w:jc w:val="center"/>
              <w:ind w:right="21"/>
              <w:spacing w:after="0"/>
              <w:rPr>
                <w:sz w:val="20"/>
                <w:szCs w:val="20"/>
                <w:color w:val="auto"/>
              </w:rPr>
            </w:pPr>
            <w:r>
              <w:rPr>
                <w:rFonts w:ascii="Calibri" w:cs="Calibri" w:eastAsia="Calibri" w:hAnsi="Calibri"/>
                <w:sz w:val="14"/>
                <w:szCs w:val="14"/>
                <w:b w:val="1"/>
                <w:bCs w:val="1"/>
                <w:color w:val="auto"/>
              </w:rPr>
              <w:t>Average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200"/>
              <w:spacing w:after="0"/>
              <w:rPr>
                <w:sz w:val="20"/>
                <w:szCs w:val="20"/>
                <w:color w:val="auto"/>
              </w:rPr>
            </w:pPr>
            <w:r>
              <w:rPr>
                <w:rFonts w:ascii="Calibri" w:cs="Calibri" w:eastAsia="Calibri" w:hAnsi="Calibri"/>
                <w:sz w:val="14"/>
                <w:szCs w:val="14"/>
                <w:b w:val="1"/>
                <w:bCs w:val="1"/>
                <w:color w:val="auto"/>
              </w:rPr>
              <w:t>Aggregate</w:t>
            </w:r>
          </w:p>
        </w:tc>
      </w:tr>
      <w:tr>
        <w:trPr>
          <w:trHeight w:val="175"/>
        </w:trPr>
        <w:tc>
          <w:tcPr>
            <w:tcW w:w="4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97"/>
              <w:spacing w:after="0"/>
              <w:rPr>
                <w:sz w:val="20"/>
                <w:szCs w:val="20"/>
                <w:color w:val="auto"/>
              </w:rPr>
            </w:pPr>
            <w:r>
              <w:rPr>
                <w:rFonts w:ascii="Calibri" w:cs="Calibri" w:eastAsia="Calibri" w:hAnsi="Calibri"/>
                <w:sz w:val="14"/>
                <w:szCs w:val="14"/>
                <w:b w:val="1"/>
                <w:bCs w:val="1"/>
                <w:color w:val="auto"/>
              </w:rPr>
              <w:t>Average</w:t>
            </w:r>
          </w:p>
        </w:tc>
        <w:tc>
          <w:tcPr>
            <w:tcW w:w="120" w:type="dxa"/>
            <w:vAlign w:val="bottom"/>
          </w:tcPr>
          <w:p>
            <w:pPr>
              <w:spacing w:after="0"/>
              <w:rPr>
                <w:sz w:val="15"/>
                <w:szCs w:val="15"/>
                <w:color w:val="auto"/>
              </w:rPr>
            </w:pPr>
          </w:p>
        </w:tc>
        <w:tc>
          <w:tcPr>
            <w:tcW w:w="1260" w:type="dxa"/>
            <w:vAlign w:val="bottom"/>
          </w:tcPr>
          <w:p>
            <w:pPr>
              <w:jc w:val="center"/>
              <w:ind w:right="1"/>
              <w:spacing w:after="0"/>
              <w:rPr>
                <w:sz w:val="20"/>
                <w:szCs w:val="20"/>
                <w:color w:val="auto"/>
              </w:rPr>
            </w:pPr>
            <w:r>
              <w:rPr>
                <w:rFonts w:ascii="Calibri" w:cs="Calibri" w:eastAsia="Calibri" w:hAnsi="Calibri"/>
                <w:sz w:val="14"/>
                <w:szCs w:val="14"/>
                <w:b w:val="1"/>
                <w:bCs w:val="1"/>
                <w:color w:val="auto"/>
              </w:rPr>
              <w:t>Remaining</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200"/>
              <w:spacing w:after="0"/>
              <w:rPr>
                <w:sz w:val="20"/>
                <w:szCs w:val="20"/>
                <w:color w:val="auto"/>
              </w:rPr>
            </w:pPr>
            <w:r>
              <w:rPr>
                <w:rFonts w:ascii="Calibri" w:cs="Calibri" w:eastAsia="Calibri" w:hAnsi="Calibri"/>
                <w:sz w:val="14"/>
                <w:szCs w:val="14"/>
                <w:b w:val="1"/>
                <w:bCs w:val="1"/>
                <w:color w:val="auto"/>
              </w:rPr>
              <w:t>Intrinsic</w:t>
            </w:r>
          </w:p>
        </w:tc>
      </w:tr>
      <w:tr>
        <w:trPr>
          <w:trHeight w:val="176"/>
        </w:trPr>
        <w:tc>
          <w:tcPr>
            <w:tcW w:w="4620" w:type="dxa"/>
            <w:vAlign w:val="bottom"/>
          </w:tcPr>
          <w:p>
            <w:pPr>
              <w:spacing w:after="0"/>
              <w:rPr>
                <w:sz w:val="15"/>
                <w:szCs w:val="15"/>
                <w:color w:val="auto"/>
              </w:rPr>
            </w:pPr>
          </w:p>
        </w:tc>
        <w:tc>
          <w:tcPr>
            <w:tcW w:w="1280" w:type="dxa"/>
            <w:vAlign w:val="bottom"/>
          </w:tcPr>
          <w:p>
            <w:pPr>
              <w:jc w:val="right"/>
              <w:ind w:right="375"/>
              <w:spacing w:after="0"/>
              <w:rPr>
                <w:sz w:val="20"/>
                <w:szCs w:val="20"/>
                <w:color w:val="auto"/>
              </w:rPr>
            </w:pPr>
            <w:r>
              <w:rPr>
                <w:rFonts w:ascii="Calibri" w:cs="Calibri" w:eastAsia="Calibri" w:hAnsi="Calibri"/>
                <w:sz w:val="14"/>
                <w:szCs w:val="14"/>
                <w:b w:val="1"/>
                <w:bCs w:val="1"/>
                <w:color w:val="auto"/>
              </w:rPr>
              <w:t>Optons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197"/>
              <w:spacing w:after="0"/>
              <w:rPr>
                <w:sz w:val="20"/>
                <w:szCs w:val="20"/>
                <w:color w:val="auto"/>
              </w:rPr>
            </w:pPr>
            <w:r>
              <w:rPr>
                <w:rFonts w:ascii="Calibri" w:cs="Calibri" w:eastAsia="Calibri" w:hAnsi="Calibri"/>
                <w:sz w:val="14"/>
                <w:szCs w:val="14"/>
                <w:b w:val="1"/>
                <w:bCs w:val="1"/>
                <w:color w:val="auto"/>
              </w:rPr>
              <w:t>Exercise</w:t>
            </w:r>
          </w:p>
        </w:tc>
        <w:tc>
          <w:tcPr>
            <w:tcW w:w="120" w:type="dxa"/>
            <w:vAlign w:val="bottom"/>
          </w:tcPr>
          <w:p>
            <w:pPr>
              <w:spacing w:after="0"/>
              <w:rPr>
                <w:sz w:val="15"/>
                <w:szCs w:val="15"/>
                <w:color w:val="auto"/>
              </w:rPr>
            </w:pPr>
          </w:p>
        </w:tc>
        <w:tc>
          <w:tcPr>
            <w:tcW w:w="1260" w:type="dxa"/>
            <w:vAlign w:val="bottom"/>
          </w:tcPr>
          <w:p>
            <w:pPr>
              <w:jc w:val="center"/>
              <w:ind w:right="1"/>
              <w:spacing w:after="0"/>
              <w:rPr>
                <w:sz w:val="20"/>
                <w:szCs w:val="20"/>
                <w:color w:val="auto"/>
              </w:rPr>
            </w:pPr>
            <w:r>
              <w:rPr>
                <w:rFonts w:ascii="Calibri" w:cs="Calibri" w:eastAsia="Calibri" w:hAnsi="Calibri"/>
                <w:sz w:val="14"/>
                <w:szCs w:val="14"/>
                <w:b w:val="1"/>
                <w:bCs w:val="1"/>
                <w:color w:val="auto"/>
              </w:rPr>
              <w:t>Contractual</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200"/>
              <w:spacing w:after="0"/>
              <w:rPr>
                <w:sz w:val="20"/>
                <w:szCs w:val="20"/>
                <w:color w:val="auto"/>
              </w:rPr>
            </w:pPr>
            <w:r>
              <w:rPr>
                <w:rFonts w:ascii="Calibri" w:cs="Calibri" w:eastAsia="Calibri" w:hAnsi="Calibri"/>
                <w:sz w:val="14"/>
                <w:szCs w:val="14"/>
                <w:b w:val="1"/>
                <w:bCs w:val="1"/>
                <w:color w:val="auto"/>
              </w:rPr>
              <w:t>Value (in</w:t>
            </w:r>
          </w:p>
        </w:tc>
      </w:tr>
      <w:tr>
        <w:trPr>
          <w:trHeight w:val="175"/>
        </w:trPr>
        <w:tc>
          <w:tcPr>
            <w:tcW w:w="4620" w:type="dxa"/>
            <w:vAlign w:val="bottom"/>
          </w:tcPr>
          <w:p>
            <w:pPr>
              <w:spacing w:after="0"/>
              <w:rPr>
                <w:sz w:val="15"/>
                <w:szCs w:val="15"/>
                <w:color w:val="auto"/>
              </w:rPr>
            </w:pPr>
          </w:p>
        </w:tc>
        <w:tc>
          <w:tcPr>
            <w:tcW w:w="1280" w:type="dxa"/>
            <w:vAlign w:val="bottom"/>
          </w:tcPr>
          <w:p>
            <w:pPr>
              <w:jc w:val="right"/>
              <w:ind w:right="235"/>
              <w:spacing w:after="0"/>
              <w:rPr>
                <w:sz w:val="20"/>
                <w:szCs w:val="20"/>
                <w:color w:val="auto"/>
              </w:rPr>
            </w:pPr>
            <w:r>
              <w:rPr>
                <w:rFonts w:ascii="Calibri" w:cs="Calibri" w:eastAsia="Calibri" w:hAnsi="Calibri"/>
                <w:sz w:val="14"/>
                <w:szCs w:val="14"/>
                <w:b w:val="1"/>
                <w:bCs w:val="1"/>
                <w:color w:val="auto"/>
              </w:rPr>
              <w:t>Outstanding</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right="217"/>
              <w:spacing w:after="0"/>
              <w:rPr>
                <w:sz w:val="20"/>
                <w:szCs w:val="20"/>
                <w:color w:val="auto"/>
              </w:rPr>
            </w:pPr>
            <w:r>
              <w:rPr>
                <w:rFonts w:ascii="Calibri" w:cs="Calibri" w:eastAsia="Calibri" w:hAnsi="Calibri"/>
                <w:sz w:val="14"/>
                <w:szCs w:val="14"/>
                <w:b w:val="1"/>
                <w:bCs w:val="1"/>
                <w:color w:val="auto"/>
              </w:rPr>
              <w:t>Price</w:t>
            </w:r>
          </w:p>
        </w:tc>
        <w:tc>
          <w:tcPr>
            <w:tcW w:w="120" w:type="dxa"/>
            <w:vAlign w:val="bottom"/>
          </w:tcPr>
          <w:p>
            <w:pPr>
              <w:spacing w:after="0"/>
              <w:rPr>
                <w:sz w:val="15"/>
                <w:szCs w:val="15"/>
                <w:color w:val="auto"/>
              </w:rPr>
            </w:pPr>
          </w:p>
        </w:tc>
        <w:tc>
          <w:tcPr>
            <w:tcW w:w="1260" w:type="dxa"/>
            <w:vAlign w:val="bottom"/>
          </w:tcPr>
          <w:p>
            <w:pPr>
              <w:jc w:val="center"/>
              <w:ind w:right="1"/>
              <w:spacing w:after="0"/>
              <w:rPr>
                <w:sz w:val="20"/>
                <w:szCs w:val="20"/>
                <w:color w:val="auto"/>
              </w:rPr>
            </w:pPr>
            <w:r>
              <w:rPr>
                <w:rFonts w:ascii="Calibri" w:cs="Calibri" w:eastAsia="Calibri" w:hAnsi="Calibri"/>
                <w:sz w:val="14"/>
                <w:szCs w:val="14"/>
                <w:b w:val="1"/>
                <w:bCs w:val="1"/>
                <w:color w:val="auto"/>
                <w:w w:val="98"/>
              </w:rPr>
              <w:t>Term</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200"/>
              <w:spacing w:after="0"/>
              <w:rPr>
                <w:sz w:val="20"/>
                <w:szCs w:val="20"/>
                <w:color w:val="auto"/>
              </w:rPr>
            </w:pPr>
            <w:r>
              <w:rPr>
                <w:rFonts w:ascii="Calibri" w:cs="Calibri" w:eastAsia="Calibri" w:hAnsi="Calibri"/>
                <w:sz w:val="14"/>
                <w:szCs w:val="14"/>
                <w:b w:val="1"/>
                <w:bCs w:val="1"/>
                <w:color w:val="auto"/>
              </w:rPr>
              <w:t>thousands)</w:t>
            </w:r>
          </w:p>
        </w:tc>
      </w:tr>
      <w:tr>
        <w:trPr>
          <w:trHeight w:val="33"/>
        </w:trPr>
        <w:tc>
          <w:tcPr>
            <w:tcW w:w="46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46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Balance at December 31, 2022</w:t>
            </w:r>
          </w:p>
        </w:tc>
        <w:tc>
          <w:tcPr>
            <w:tcW w:w="1280" w:type="dxa"/>
            <w:vAlign w:val="bottom"/>
            <w:tcBorders>
              <w:bottom w:val="single" w:sz="8" w:color="CFF0FC"/>
            </w:tcBorders>
            <w:shd w:val="clear" w:color="auto" w:fill="CFF0FC"/>
          </w:tcPr>
          <w:p>
            <w:pPr>
              <w:jc w:val="right"/>
              <w:ind w:right="35"/>
              <w:spacing w:after="0" w:line="208" w:lineRule="exact"/>
              <w:rPr>
                <w:sz w:val="20"/>
                <w:szCs w:val="20"/>
                <w:color w:val="auto"/>
              </w:rPr>
            </w:pPr>
            <w:r>
              <w:rPr>
                <w:rFonts w:ascii="Calibri" w:cs="Calibri" w:eastAsia="Calibri" w:hAnsi="Calibri"/>
                <w:sz w:val="18"/>
                <w:szCs w:val="18"/>
                <w:color w:val="auto"/>
              </w:rPr>
              <w:t>5,586,470</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CFF0FC"/>
            </w:tcBorders>
            <w:shd w:val="clear" w:color="auto" w:fill="CFF0FC"/>
          </w:tcPr>
          <w:p>
            <w:pPr>
              <w:jc w:val="right"/>
              <w:ind w:right="17"/>
              <w:spacing w:after="0" w:line="208" w:lineRule="exact"/>
              <w:rPr>
                <w:sz w:val="20"/>
                <w:szCs w:val="20"/>
                <w:color w:val="auto"/>
              </w:rPr>
            </w:pPr>
            <w:r>
              <w:rPr>
                <w:rFonts w:ascii="Calibri" w:cs="Calibri" w:eastAsia="Calibri" w:hAnsi="Calibri"/>
                <w:sz w:val="18"/>
                <w:szCs w:val="18"/>
                <w:color w:val="auto"/>
              </w:rPr>
              <w:t>23.40</w:t>
            </w:r>
          </w:p>
        </w:tc>
        <w:tc>
          <w:tcPr>
            <w:tcW w:w="1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ind w:right="21"/>
              <w:spacing w:after="0" w:line="208" w:lineRule="exact"/>
              <w:rPr>
                <w:sz w:val="20"/>
                <w:szCs w:val="20"/>
                <w:color w:val="auto"/>
              </w:rPr>
            </w:pPr>
            <w:r>
              <w:rPr>
                <w:rFonts w:ascii="Calibri" w:cs="Calibri" w:eastAsia="Calibri" w:hAnsi="Calibri"/>
                <w:sz w:val="18"/>
                <w:szCs w:val="18"/>
                <w:color w:val="auto"/>
              </w:rPr>
              <w:t>7.90</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080" w:type="dxa"/>
            <w:vAlign w:val="bottom"/>
            <w:tcBorders>
              <w:bottom w:val="single" w:sz="8" w:color="CFF0FC"/>
            </w:tcBorders>
            <w:shd w:val="clear" w:color="auto" w:fill="CFF0FC"/>
          </w:tcPr>
          <w:p>
            <w:pPr>
              <w:jc w:val="right"/>
              <w:ind w:right="40"/>
              <w:spacing w:after="0" w:line="208" w:lineRule="exact"/>
              <w:rPr>
                <w:sz w:val="20"/>
                <w:szCs w:val="20"/>
                <w:color w:val="auto"/>
              </w:rPr>
            </w:pPr>
            <w:r>
              <w:rPr>
                <w:rFonts w:ascii="Calibri" w:cs="Calibri" w:eastAsia="Calibri" w:hAnsi="Calibri"/>
                <w:sz w:val="18"/>
                <w:szCs w:val="18"/>
                <w:color w:val="auto"/>
              </w:rPr>
              <w:t>4,476</w:t>
            </w:r>
          </w:p>
        </w:tc>
      </w:tr>
      <w:tr>
        <w:trPr>
          <w:trHeight w:val="215"/>
        </w:trPr>
        <w:tc>
          <w:tcPr>
            <w:tcW w:w="4620" w:type="dxa"/>
            <w:vAlign w:val="bottom"/>
          </w:tcPr>
          <w:p>
            <w:pPr>
              <w:ind w:left="180"/>
              <w:spacing w:after="0" w:line="215" w:lineRule="exact"/>
              <w:rPr>
                <w:sz w:val="20"/>
                <w:szCs w:val="20"/>
                <w:color w:val="auto"/>
              </w:rPr>
            </w:pPr>
            <w:r>
              <w:rPr>
                <w:rFonts w:ascii="Calibri" w:cs="Calibri" w:eastAsia="Calibri" w:hAnsi="Calibri"/>
                <w:sz w:val="18"/>
                <w:szCs w:val="18"/>
                <w:color w:val="auto"/>
              </w:rPr>
              <w:t>Optons granted</w:t>
            </w:r>
          </w:p>
        </w:tc>
        <w:tc>
          <w:tcPr>
            <w:tcW w:w="1280" w:type="dxa"/>
            <w:vAlign w:val="bottom"/>
          </w:tcPr>
          <w:p>
            <w:pPr>
              <w:jc w:val="right"/>
              <w:ind w:right="35"/>
              <w:spacing w:after="0" w:line="215" w:lineRule="exact"/>
              <w:rPr>
                <w:sz w:val="20"/>
                <w:szCs w:val="20"/>
                <w:color w:val="auto"/>
              </w:rPr>
            </w:pPr>
            <w:r>
              <w:rPr>
                <w:rFonts w:ascii="Calibri" w:cs="Calibri" w:eastAsia="Calibri" w:hAnsi="Calibri"/>
                <w:sz w:val="18"/>
                <w:szCs w:val="18"/>
                <w:color w:val="auto"/>
              </w:rPr>
              <w:t>1,043,660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7"/>
              <w:spacing w:after="0" w:line="215" w:lineRule="exact"/>
              <w:rPr>
                <w:sz w:val="20"/>
                <w:szCs w:val="20"/>
                <w:color w:val="auto"/>
              </w:rPr>
            </w:pPr>
            <w:r>
              <w:rPr>
                <w:rFonts w:ascii="Calibri" w:cs="Calibri" w:eastAsia="Calibri" w:hAnsi="Calibri"/>
                <w:sz w:val="18"/>
                <w:szCs w:val="18"/>
                <w:color w:val="auto"/>
              </w:rPr>
              <w:t>8.38</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8"/>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3"/>
        </w:trPr>
        <w:tc>
          <w:tcPr>
            <w:tcW w:w="462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Optons exercised</w:t>
            </w:r>
          </w:p>
        </w:tc>
        <w:tc>
          <w:tcPr>
            <w:tcW w:w="1280" w:type="dxa"/>
            <w:vAlign w:val="bottom"/>
            <w:tcBorders>
              <w:bottom w:val="single" w:sz="8" w:color="CFF0FC"/>
            </w:tcBorders>
            <w:shd w:val="clear" w:color="auto" w:fill="CFF0FC"/>
          </w:tcPr>
          <w:p>
            <w:pPr>
              <w:jc w:val="right"/>
              <w:ind w:right="15"/>
              <w:spacing w:after="0" w:line="215" w:lineRule="exact"/>
              <w:rPr>
                <w:sz w:val="20"/>
                <w:szCs w:val="20"/>
                <w:color w:val="auto"/>
              </w:rPr>
            </w:pPr>
            <w:r>
              <w:rPr>
                <w:rFonts w:ascii="Calibri" w:cs="Calibri" w:eastAsia="Calibri" w:hAnsi="Calibri"/>
                <w:sz w:val="18"/>
                <w:szCs w:val="18"/>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jc w:val="right"/>
              <w:ind w:right="17"/>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r>
      <w:tr>
        <w:trPr>
          <w:trHeight w:val="215"/>
        </w:trPr>
        <w:tc>
          <w:tcPr>
            <w:tcW w:w="4620" w:type="dxa"/>
            <w:vAlign w:val="bottom"/>
          </w:tcPr>
          <w:p>
            <w:pPr>
              <w:ind w:left="180"/>
              <w:spacing w:after="0" w:line="215" w:lineRule="exact"/>
              <w:rPr>
                <w:sz w:val="20"/>
                <w:szCs w:val="20"/>
                <w:color w:val="auto"/>
              </w:rPr>
            </w:pPr>
            <w:r>
              <w:rPr>
                <w:rFonts w:ascii="Calibri" w:cs="Calibri" w:eastAsia="Calibri" w:hAnsi="Calibri"/>
                <w:sz w:val="18"/>
                <w:szCs w:val="18"/>
                <w:color w:val="auto"/>
              </w:rPr>
              <w:t>Optons cancelled</w:t>
            </w:r>
          </w:p>
        </w:tc>
        <w:tc>
          <w:tcPr>
            <w:tcW w:w="1280" w:type="dxa"/>
            <w:vAlign w:val="bottom"/>
          </w:tcPr>
          <w:p>
            <w:pPr>
              <w:jc w:val="right"/>
              <w:spacing w:after="0" w:line="215" w:lineRule="exact"/>
              <w:rPr>
                <w:sz w:val="20"/>
                <w:szCs w:val="20"/>
                <w:color w:val="auto"/>
              </w:rPr>
            </w:pPr>
            <w:r>
              <w:rPr>
                <w:rFonts w:ascii="Calibri" w:cs="Calibri" w:eastAsia="Calibri" w:hAnsi="Calibri"/>
                <w:sz w:val="18"/>
                <w:szCs w:val="18"/>
                <w:color w:val="auto"/>
              </w:rPr>
              <w:t>(25,965 )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7"/>
              <w:spacing w:after="0" w:line="215" w:lineRule="exact"/>
              <w:rPr>
                <w:sz w:val="20"/>
                <w:szCs w:val="20"/>
                <w:color w:val="auto"/>
              </w:rPr>
            </w:pPr>
            <w:r>
              <w:rPr>
                <w:rFonts w:ascii="Calibri" w:cs="Calibri" w:eastAsia="Calibri" w:hAnsi="Calibri"/>
                <w:sz w:val="18"/>
                <w:szCs w:val="18"/>
                <w:color w:val="auto"/>
              </w:rPr>
              <w:t>34.66</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8"/>
        </w:trPr>
        <w:tc>
          <w:tcPr>
            <w:tcW w:w="4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32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r>
      <w:tr>
        <w:trPr>
          <w:trHeight w:val="241"/>
        </w:trPr>
        <w:tc>
          <w:tcPr>
            <w:tcW w:w="46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Balance at March 31, 2023</w:t>
            </w:r>
          </w:p>
        </w:tc>
        <w:tc>
          <w:tcPr>
            <w:tcW w:w="1280" w:type="dxa"/>
            <w:vAlign w:val="bottom"/>
            <w:tcBorders>
              <w:top w:val="single" w:sz="8" w:color="auto"/>
              <w:bottom w:val="single" w:sz="8" w:color="CFF0FC"/>
            </w:tcBorders>
            <w:shd w:val="clear" w:color="auto" w:fill="CFF0FC"/>
          </w:tcPr>
          <w:p>
            <w:pPr>
              <w:jc w:val="right"/>
              <w:ind w:right="35"/>
              <w:spacing w:after="0" w:line="208" w:lineRule="exact"/>
              <w:rPr>
                <w:sz w:val="20"/>
                <w:szCs w:val="20"/>
                <w:color w:val="auto"/>
              </w:rPr>
            </w:pPr>
            <w:r>
              <w:rPr>
                <w:rFonts w:ascii="Calibri" w:cs="Calibri" w:eastAsia="Calibri" w:hAnsi="Calibri"/>
                <w:sz w:val="18"/>
                <w:szCs w:val="18"/>
                <w:color w:val="auto"/>
              </w:rPr>
              <w:t>6,604,165</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CFF0FC"/>
            </w:tcBorders>
            <w:shd w:val="clear" w:color="auto" w:fill="CFF0FC"/>
          </w:tcPr>
          <w:p>
            <w:pPr>
              <w:jc w:val="right"/>
              <w:ind w:right="17"/>
              <w:spacing w:after="0" w:line="208" w:lineRule="exact"/>
              <w:rPr>
                <w:sz w:val="20"/>
                <w:szCs w:val="20"/>
                <w:color w:val="auto"/>
              </w:rPr>
            </w:pPr>
            <w:r>
              <w:rPr>
                <w:rFonts w:ascii="Calibri" w:cs="Calibri" w:eastAsia="Calibri" w:hAnsi="Calibri"/>
                <w:sz w:val="18"/>
                <w:szCs w:val="18"/>
                <w:color w:val="auto"/>
              </w:rPr>
              <w:t>20.98</w:t>
            </w:r>
          </w:p>
        </w:tc>
        <w:tc>
          <w:tcPr>
            <w:tcW w:w="1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CFF0FC"/>
            </w:tcBorders>
            <w:shd w:val="clear" w:color="auto" w:fill="CFF0FC"/>
          </w:tcPr>
          <w:p>
            <w:pPr>
              <w:jc w:val="right"/>
              <w:ind w:right="21"/>
              <w:spacing w:after="0" w:line="208" w:lineRule="exact"/>
              <w:rPr>
                <w:sz w:val="20"/>
                <w:szCs w:val="20"/>
                <w:color w:val="auto"/>
              </w:rPr>
            </w:pPr>
            <w:r>
              <w:rPr>
                <w:rFonts w:ascii="Calibri" w:cs="Calibri" w:eastAsia="Calibri" w:hAnsi="Calibri"/>
                <w:sz w:val="18"/>
                <w:szCs w:val="18"/>
                <w:color w:val="auto"/>
              </w:rPr>
              <w:t>8.00</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080" w:type="dxa"/>
            <w:vAlign w:val="bottom"/>
            <w:tcBorders>
              <w:top w:val="single" w:sz="8" w:color="auto"/>
              <w:bottom w:val="single" w:sz="8" w:color="CFF0FC"/>
            </w:tcBorders>
            <w:shd w:val="clear" w:color="auto" w:fill="CFF0FC"/>
          </w:tcPr>
          <w:p>
            <w:pPr>
              <w:jc w:val="right"/>
              <w:ind w:right="40"/>
              <w:spacing w:after="0" w:line="208" w:lineRule="exact"/>
              <w:rPr>
                <w:sz w:val="20"/>
                <w:szCs w:val="20"/>
                <w:color w:val="auto"/>
              </w:rPr>
            </w:pPr>
            <w:r>
              <w:rPr>
                <w:rFonts w:ascii="Calibri" w:cs="Calibri" w:eastAsia="Calibri" w:hAnsi="Calibri"/>
                <w:sz w:val="18"/>
                <w:szCs w:val="18"/>
                <w:color w:val="auto"/>
              </w:rPr>
              <w:t>170</w:t>
            </w:r>
          </w:p>
        </w:tc>
      </w:tr>
      <w:tr>
        <w:trPr>
          <w:trHeight w:val="208"/>
        </w:trPr>
        <w:tc>
          <w:tcPr>
            <w:tcW w:w="4620" w:type="dxa"/>
            <w:vAlign w:val="bottom"/>
            <w:tcBorders>
              <w:top w:val="single" w:sz="8" w:color="CFF0FC"/>
            </w:tcBorders>
          </w:tcPr>
          <w:p>
            <w:pPr>
              <w:ind w:left="180"/>
              <w:spacing w:after="0" w:line="208" w:lineRule="exact"/>
              <w:rPr>
                <w:sz w:val="20"/>
                <w:szCs w:val="20"/>
                <w:color w:val="auto"/>
              </w:rPr>
            </w:pPr>
            <w:r>
              <w:rPr>
                <w:rFonts w:ascii="Calibri" w:cs="Calibri" w:eastAsia="Calibri" w:hAnsi="Calibri"/>
                <w:sz w:val="18"/>
                <w:szCs w:val="18"/>
                <w:color w:val="auto"/>
              </w:rPr>
              <w:t>Optons exercisable as of March 31, 2023</w:t>
            </w:r>
          </w:p>
        </w:tc>
        <w:tc>
          <w:tcPr>
            <w:tcW w:w="1280" w:type="dxa"/>
            <w:vAlign w:val="bottom"/>
            <w:tcBorders>
              <w:top w:val="single" w:sz="8" w:color="auto"/>
            </w:tcBorders>
          </w:tcPr>
          <w:p>
            <w:pPr>
              <w:jc w:val="right"/>
              <w:ind w:right="35"/>
              <w:spacing w:after="0" w:line="208" w:lineRule="exact"/>
              <w:rPr>
                <w:sz w:val="20"/>
                <w:szCs w:val="20"/>
                <w:color w:val="auto"/>
              </w:rPr>
            </w:pPr>
            <w:r>
              <w:rPr>
                <w:rFonts w:ascii="Calibri" w:cs="Calibri" w:eastAsia="Calibri" w:hAnsi="Calibri"/>
                <w:sz w:val="18"/>
                <w:szCs w:val="18"/>
                <w:color w:val="auto"/>
              </w:rPr>
              <w:t>3,019,036</w:t>
            </w:r>
          </w:p>
        </w:tc>
        <w:tc>
          <w:tcPr>
            <w:tcW w:w="1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7"/>
              <w:spacing w:after="0" w:line="208" w:lineRule="exact"/>
              <w:rPr>
                <w:sz w:val="20"/>
                <w:szCs w:val="20"/>
                <w:color w:val="auto"/>
              </w:rPr>
            </w:pPr>
            <w:r>
              <w:rPr>
                <w:rFonts w:ascii="Calibri" w:cs="Calibri" w:eastAsia="Calibri" w:hAnsi="Calibri"/>
                <w:sz w:val="18"/>
                <w:szCs w:val="18"/>
                <w:color w:val="auto"/>
              </w:rPr>
              <w:t>23.99</w:t>
            </w:r>
          </w:p>
        </w:tc>
        <w:tc>
          <w:tcPr>
            <w:tcW w:w="120" w:type="dxa"/>
            <w:vAlign w:val="bottom"/>
            <w:tcBorders>
              <w:top w:val="single" w:sz="8" w:color="CFF0FC"/>
            </w:tcBorders>
          </w:tcPr>
          <w:p>
            <w:pPr>
              <w:spacing w:after="0"/>
              <w:rPr>
                <w:sz w:val="18"/>
                <w:szCs w:val="18"/>
                <w:color w:val="auto"/>
              </w:rPr>
            </w:pPr>
          </w:p>
        </w:tc>
        <w:tc>
          <w:tcPr>
            <w:tcW w:w="1260" w:type="dxa"/>
            <w:vAlign w:val="bottom"/>
            <w:tcBorders>
              <w:top w:val="single" w:sz="8" w:color="auto"/>
            </w:tcBorders>
          </w:tcPr>
          <w:p>
            <w:pPr>
              <w:jc w:val="right"/>
              <w:ind w:right="21"/>
              <w:spacing w:after="0" w:line="208" w:lineRule="exact"/>
              <w:rPr>
                <w:sz w:val="20"/>
                <w:szCs w:val="20"/>
                <w:color w:val="auto"/>
              </w:rPr>
            </w:pPr>
            <w:r>
              <w:rPr>
                <w:rFonts w:ascii="Calibri" w:cs="Calibri" w:eastAsia="Calibri" w:hAnsi="Calibri"/>
                <w:sz w:val="18"/>
                <w:szCs w:val="18"/>
                <w:color w:val="auto"/>
              </w:rPr>
              <w:t>7.19</w:t>
            </w:r>
          </w:p>
        </w:tc>
        <w:tc>
          <w:tcPr>
            <w:tcW w:w="1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line="208" w:lineRule="exact"/>
              <w:rPr>
                <w:sz w:val="20"/>
                <w:szCs w:val="20"/>
                <w:color w:val="auto"/>
              </w:rPr>
            </w:pPr>
            <w:r>
              <w:rPr>
                <w:rFonts w:ascii="Calibri" w:cs="Calibri" w:eastAsia="Calibri" w:hAnsi="Calibri"/>
                <w:sz w:val="18"/>
                <w:szCs w:val="18"/>
                <w:color w:val="auto"/>
              </w:rPr>
              <w:t>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-144145</wp:posOffset>
            </wp:positionV>
            <wp:extent cx="8572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-144145</wp:posOffset>
            </wp:positionV>
            <wp:extent cx="76835"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-144145</wp:posOffset>
            </wp:positionV>
            <wp:extent cx="85725" cy="1631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163195"/>
                    </a:xfrm>
                    <a:prstGeom prst="rect">
                      <a:avLst/>
                    </a:prstGeom>
                    <a:noFill/>
                  </pic:spPr>
                </pic:pic>
              </a:graphicData>
            </a:graphic>
          </wp:anchor>
        </w:drawing>
      </w:r>
    </w:p>
    <w:p>
      <w:pPr>
        <w:spacing w:after="0" w:line="161"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The estmated weighted-average fair value of employee and nonemployee director stock optons granted during 2023 was $5.13 per opton. As of March 31, 2023, the Company had $37.3 million of unrecognized stock-based compensaton expense, which is expected to be recognized over a weighted-average period of 2.1 years.</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weighted-average assumptons used to estmate the fair value of stock optons using the Black-Scholes opton valuaton model were as follows:</w:t>
      </w:r>
    </w:p>
    <w:p>
      <w:pPr>
        <w:spacing w:after="0" w:line="226" w:lineRule="exact"/>
        <w:rPr>
          <w:sz w:val="20"/>
          <w:szCs w:val="20"/>
          <w:color w:val="auto"/>
        </w:rPr>
      </w:pPr>
    </w:p>
    <w:tbl>
      <w:tblPr>
        <w:tblLayout w:type="fixed"/>
        <w:tblInd w:w="1700" w:type="dxa"/>
        <w:tblCellMar>
          <w:top w:w="0" w:type="dxa"/>
          <w:left w:w="0" w:type="dxa"/>
          <w:bottom w:w="0" w:type="dxa"/>
          <w:right w:w="0" w:type="dxa"/>
        </w:tblCellMar>
      </w:tblPr>
      <w:tr>
        <w:trPr>
          <w:trHeight w:val="220"/>
        </w:trPr>
        <w:tc>
          <w:tcPr>
            <w:tcW w:w="3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720" w:type="dxa"/>
            <w:vAlign w:val="bottom"/>
            <w:gridSpan w:val="3"/>
          </w:tcPr>
          <w:p>
            <w:pPr>
              <w:jc w:val="center"/>
              <w:spacing w:after="0"/>
              <w:rPr>
                <w:sz w:val="20"/>
                <w:szCs w:val="20"/>
                <w:color w:val="auto"/>
              </w:rPr>
            </w:pPr>
            <w:r>
              <w:rPr>
                <w:rFonts w:ascii="Calibri" w:cs="Calibri" w:eastAsia="Calibri" w:hAnsi="Calibri"/>
                <w:sz w:val="18"/>
                <w:szCs w:val="18"/>
                <w:b w:val="1"/>
                <w:bCs w:val="1"/>
                <w:color w:val="auto"/>
                <w:w w:val="97"/>
              </w:rPr>
              <w:t>Three Months Ended</w:t>
            </w: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20" w:type="dxa"/>
            <w:vAlign w:val="bottom"/>
            <w:gridSpan w:val="3"/>
          </w:tcPr>
          <w:p>
            <w:pPr>
              <w:jc w:val="center"/>
              <w:spacing w:after="0" w:line="216" w:lineRule="exact"/>
              <w:rPr>
                <w:sz w:val="20"/>
                <w:szCs w:val="20"/>
                <w:color w:val="auto"/>
              </w:rPr>
            </w:pPr>
            <w:r>
              <w:rPr>
                <w:rFonts w:ascii="Calibri" w:cs="Calibri" w:eastAsia="Calibri" w:hAnsi="Calibri"/>
                <w:sz w:val="18"/>
                <w:szCs w:val="18"/>
                <w:b w:val="1"/>
                <w:bCs w:val="1"/>
                <w:color w:val="auto"/>
                <w:w w:val="98"/>
              </w:rPr>
              <w:t>March 31,</w:t>
            </w:r>
          </w:p>
        </w:tc>
        <w:tc>
          <w:tcPr>
            <w:tcW w:w="1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72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3400" w:type="dxa"/>
            <w:vAlign w:val="bottom"/>
          </w:tcPr>
          <w:p>
            <w:pPr>
              <w:spacing w:after="0"/>
              <w:rPr>
                <w:sz w:val="18"/>
                <w:szCs w:val="18"/>
                <w:color w:val="auto"/>
              </w:rPr>
            </w:pPr>
          </w:p>
        </w:tc>
        <w:tc>
          <w:tcPr>
            <w:tcW w:w="1320" w:type="dxa"/>
            <w:vAlign w:val="bottom"/>
            <w:tcBorders>
              <w:top w:val="single" w:sz="8" w:color="auto"/>
            </w:tcBorders>
          </w:tcPr>
          <w:p>
            <w:pPr>
              <w:jc w:val="right"/>
              <w:ind w:right="30"/>
              <w:spacing w:after="0" w:line="208" w:lineRule="exact"/>
              <w:rPr>
                <w:sz w:val="20"/>
                <w:szCs w:val="20"/>
                <w:color w:val="auto"/>
              </w:rPr>
            </w:pPr>
            <w:r>
              <w:rPr>
                <w:rFonts w:ascii="Calibri" w:cs="Calibri" w:eastAsia="Calibri" w:hAnsi="Calibri"/>
                <w:sz w:val="18"/>
                <w:szCs w:val="18"/>
                <w:b w:val="1"/>
                <w:bCs w:val="1"/>
                <w:color w:val="auto"/>
              </w:rPr>
              <w:t>2023</w:t>
            </w: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890"/>
              <w:spacing w:after="0" w:line="208" w:lineRule="exact"/>
              <w:rPr>
                <w:sz w:val="20"/>
                <w:szCs w:val="20"/>
                <w:color w:val="auto"/>
              </w:rPr>
            </w:pPr>
            <w:r>
              <w:rPr>
                <w:rFonts w:ascii="Calibri" w:cs="Calibri" w:eastAsia="Calibri" w:hAnsi="Calibri"/>
                <w:sz w:val="18"/>
                <w:szCs w:val="18"/>
                <w:b w:val="1"/>
                <w:bCs w:val="1"/>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72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40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Assumptons:</w:t>
            </w:r>
          </w:p>
        </w:tc>
        <w:tc>
          <w:tcPr>
            <w:tcW w:w="1320" w:type="dxa"/>
            <w:vAlign w:val="bottom"/>
            <w:tcBorders>
              <w:top w:val="single" w:sz="8" w:color="auto"/>
              <w:bottom w:val="single" w:sz="8" w:color="CFF0FC"/>
            </w:tcBorders>
            <w:shd w:val="clear" w:color="auto" w:fill="CFF0FC"/>
          </w:tcPr>
          <w:p>
            <w:pPr>
              <w:spacing w:after="0"/>
              <w:rPr>
                <w:sz w:val="18"/>
                <w:szCs w:val="18"/>
                <w:color w:val="auto"/>
              </w:rPr>
            </w:pPr>
          </w:p>
        </w:tc>
        <w:tc>
          <w:tcPr>
            <w:tcW w:w="780" w:type="dxa"/>
            <w:vAlign w:val="bottom"/>
            <w:tcBorders>
              <w:top w:val="single" w:sz="8" w:color="auto"/>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top w:val="single" w:sz="8" w:color="auto"/>
              <w:bottom w:val="single" w:sz="8" w:color="CFF0FC"/>
            </w:tcBorders>
            <w:shd w:val="clear" w:color="auto" w:fill="CFF0FC"/>
          </w:tcPr>
          <w:p>
            <w:pPr>
              <w:spacing w:after="0"/>
              <w:rPr>
                <w:sz w:val="18"/>
                <w:szCs w:val="18"/>
                <w:color w:val="auto"/>
              </w:rPr>
            </w:pPr>
          </w:p>
        </w:tc>
        <w:tc>
          <w:tcPr>
            <w:tcW w:w="1420" w:type="dxa"/>
            <w:vAlign w:val="bottom"/>
            <w:tcBorders>
              <w:top w:val="single" w:sz="8" w:color="auto"/>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2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Expected term (in years)</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6.08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20" w:type="dxa"/>
            <w:vAlign w:val="bottom"/>
          </w:tcPr>
          <w:p>
            <w:pPr>
              <w:jc w:val="right"/>
              <w:spacing w:after="0" w:line="215" w:lineRule="exact"/>
              <w:rPr>
                <w:sz w:val="20"/>
                <w:szCs w:val="20"/>
                <w:color w:val="auto"/>
              </w:rPr>
            </w:pPr>
            <w:r>
              <w:rPr>
                <w:rFonts w:ascii="Calibri" w:cs="Calibri" w:eastAsia="Calibri" w:hAnsi="Calibri"/>
                <w:sz w:val="18"/>
                <w:szCs w:val="18"/>
                <w:color w:val="auto"/>
              </w:rPr>
              <w:t>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20" w:type="dxa"/>
            <w:vAlign w:val="bottom"/>
            <w:gridSpan w:val="2"/>
          </w:tcPr>
          <w:p>
            <w:pPr>
              <w:ind w:left="180"/>
              <w:spacing w:after="0"/>
              <w:rPr>
                <w:sz w:val="20"/>
                <w:szCs w:val="20"/>
                <w:color w:val="auto"/>
              </w:rPr>
            </w:pPr>
            <w:r>
              <w:rPr>
                <w:rFonts w:ascii="Calibri" w:cs="Calibri" w:eastAsia="Calibri" w:hAnsi="Calibri"/>
                <w:sz w:val="18"/>
                <w:szCs w:val="18"/>
                <w:color w:val="auto"/>
              </w:rPr>
              <w:t>Expected volatlity</w:t>
            </w:r>
          </w:p>
        </w:tc>
        <w:tc>
          <w:tcPr>
            <w:tcW w:w="880" w:type="dxa"/>
            <w:vAlign w:val="bottom"/>
            <w:gridSpan w:val="2"/>
          </w:tcPr>
          <w:p>
            <w:pPr>
              <w:jc w:val="right"/>
              <w:ind w:right="40"/>
              <w:spacing w:after="0"/>
              <w:rPr>
                <w:sz w:val="20"/>
                <w:szCs w:val="20"/>
                <w:color w:val="auto"/>
              </w:rPr>
            </w:pPr>
            <w:r>
              <w:rPr>
                <w:rFonts w:ascii="Calibri" w:cs="Calibri" w:eastAsia="Calibri" w:hAnsi="Calibri"/>
                <w:sz w:val="18"/>
                <w:szCs w:val="18"/>
                <w:color w:val="auto"/>
              </w:rPr>
              <w:t>63.77 %</w:t>
            </w:r>
          </w:p>
        </w:tc>
        <w:tc>
          <w:tcPr>
            <w:tcW w:w="8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18"/>
                <w:szCs w:val="18"/>
                <w:color w:val="auto"/>
              </w:rPr>
              <w:t>66.19 %</w:t>
            </w:r>
          </w:p>
        </w:tc>
        <w:tc>
          <w:tcPr>
            <w:tcW w:w="0" w:type="dxa"/>
            <w:vAlign w:val="bottom"/>
          </w:tcPr>
          <w:p>
            <w:pPr>
              <w:spacing w:after="0"/>
              <w:rPr>
                <w:sz w:val="1"/>
                <w:szCs w:val="1"/>
                <w:color w:val="auto"/>
              </w:rPr>
            </w:pPr>
          </w:p>
        </w:tc>
      </w:tr>
      <w:tr>
        <w:trPr>
          <w:trHeight w:val="243"/>
        </w:trPr>
        <w:tc>
          <w:tcPr>
            <w:tcW w:w="4720" w:type="dxa"/>
            <w:vAlign w:val="bottom"/>
            <w:gridSpan w:val="2"/>
          </w:tcPr>
          <w:p>
            <w:pPr>
              <w:ind w:left="180"/>
              <w:spacing w:after="0"/>
              <w:rPr>
                <w:sz w:val="20"/>
                <w:szCs w:val="20"/>
                <w:color w:val="auto"/>
              </w:rPr>
            </w:pPr>
            <w:r>
              <w:rPr>
                <w:rFonts w:ascii="Calibri" w:cs="Calibri" w:eastAsia="Calibri" w:hAnsi="Calibri"/>
                <w:sz w:val="18"/>
                <w:szCs w:val="18"/>
                <w:color w:val="auto"/>
              </w:rPr>
              <w:t>Risk free interest rate</w:t>
            </w:r>
          </w:p>
        </w:tc>
        <w:tc>
          <w:tcPr>
            <w:tcW w:w="880" w:type="dxa"/>
            <w:vAlign w:val="bottom"/>
            <w:gridSpan w:val="2"/>
          </w:tcPr>
          <w:p>
            <w:pPr>
              <w:jc w:val="right"/>
              <w:ind w:right="40"/>
              <w:spacing w:after="0"/>
              <w:rPr>
                <w:sz w:val="20"/>
                <w:szCs w:val="20"/>
                <w:color w:val="auto"/>
              </w:rPr>
            </w:pPr>
            <w:r>
              <w:rPr>
                <w:rFonts w:ascii="Calibri" w:cs="Calibri" w:eastAsia="Calibri" w:hAnsi="Calibri"/>
                <w:sz w:val="18"/>
                <w:szCs w:val="18"/>
                <w:color w:val="auto"/>
              </w:rPr>
              <w:t>3.46 %</w:t>
            </w:r>
          </w:p>
        </w:tc>
        <w:tc>
          <w:tcPr>
            <w:tcW w:w="84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Calibri" w:cs="Calibri" w:eastAsia="Calibri" w:hAnsi="Calibri"/>
                <w:sz w:val="18"/>
                <w:szCs w:val="18"/>
                <w:color w:val="auto"/>
              </w:rPr>
              <w:t>1.70 %</w:t>
            </w:r>
          </w:p>
        </w:tc>
        <w:tc>
          <w:tcPr>
            <w:tcW w:w="0" w:type="dxa"/>
            <w:vAlign w:val="bottom"/>
          </w:tcPr>
          <w:p>
            <w:pPr>
              <w:spacing w:after="0"/>
              <w:rPr>
                <w:sz w:val="1"/>
                <w:szCs w:val="1"/>
                <w:color w:val="auto"/>
              </w:rPr>
            </w:pPr>
          </w:p>
        </w:tc>
      </w:tr>
      <w:tr>
        <w:trPr>
          <w:trHeight w:val="37"/>
        </w:trPr>
        <w:tc>
          <w:tcPr>
            <w:tcW w:w="4720" w:type="dxa"/>
            <w:vAlign w:val="bottom"/>
            <w:gridSpan w:val="2"/>
          </w:tcPr>
          <w:p>
            <w:pPr>
              <w:spacing w:after="0"/>
              <w:rPr>
                <w:sz w:val="3"/>
                <w:szCs w:val="3"/>
                <w:color w:val="auto"/>
              </w:rPr>
            </w:pPr>
          </w:p>
        </w:tc>
        <w:tc>
          <w:tcPr>
            <w:tcW w:w="1720" w:type="dxa"/>
            <w:vAlign w:val="bottom"/>
            <w:gridSpan w:val="3"/>
          </w:tcPr>
          <w:p>
            <w:pPr>
              <w:spacing w:after="0"/>
              <w:rPr>
                <w:sz w:val="3"/>
                <w:szCs w:val="3"/>
                <w:color w:val="auto"/>
              </w:rPr>
            </w:pPr>
          </w:p>
        </w:tc>
        <w:tc>
          <w:tcPr>
            <w:tcW w:w="1420" w:type="dxa"/>
            <w:vAlign w:val="bottom"/>
          </w:tcPr>
          <w:p>
            <w:pPr>
              <w:spacing w:after="0"/>
              <w:rPr>
                <w:sz w:val="3"/>
                <w:szCs w:val="3"/>
                <w:color w:val="auto"/>
              </w:rPr>
            </w:pPr>
          </w:p>
        </w:tc>
        <w:tc>
          <w:tcPr>
            <w:tcW w:w="60" w:type="dxa"/>
            <w:vAlign w:val="bottom"/>
            <w:vMerge w:val="restart"/>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4720" w:type="dxa"/>
            <w:vAlign w:val="bottom"/>
            <w:gridSpan w:val="2"/>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Dividend yield</w:t>
            </w:r>
          </w:p>
        </w:tc>
        <w:tc>
          <w:tcPr>
            <w:tcW w:w="1720" w:type="dxa"/>
            <w:vAlign w:val="bottom"/>
            <w:gridSpan w:val="3"/>
            <w:shd w:val="clear" w:color="auto" w:fill="CFF0FC"/>
          </w:tcPr>
          <w:p>
            <w:pPr>
              <w:jc w:val="right"/>
              <w:ind w:right="1020"/>
              <w:spacing w:after="0" w:line="215" w:lineRule="exact"/>
              <w:rPr>
                <w:sz w:val="20"/>
                <w:szCs w:val="20"/>
                <w:color w:val="auto"/>
              </w:rPr>
            </w:pPr>
            <w:r>
              <w:rPr>
                <w:rFonts w:ascii="Calibri" w:cs="Calibri" w:eastAsia="Calibri" w:hAnsi="Calibri"/>
                <w:sz w:val="18"/>
                <w:szCs w:val="18"/>
                <w:color w:val="auto"/>
              </w:rPr>
              <w:t>—</w:t>
            </w:r>
          </w:p>
        </w:tc>
        <w:tc>
          <w:tcPr>
            <w:tcW w:w="142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3400" w:type="dxa"/>
            <w:vAlign w:val="bottom"/>
            <w:shd w:val="clear" w:color="auto" w:fill="CFF0FC"/>
          </w:tcPr>
          <w:p>
            <w:pPr>
              <w:spacing w:after="0"/>
              <w:rPr>
                <w:sz w:val="2"/>
                <w:szCs w:val="2"/>
                <w:color w:val="auto"/>
              </w:rPr>
            </w:pPr>
          </w:p>
        </w:tc>
        <w:tc>
          <w:tcPr>
            <w:tcW w:w="132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1420" w:type="dxa"/>
            <w:vAlign w:val="bottom"/>
            <w:shd w:val="clear" w:color="auto" w:fill="CFF0FC"/>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-462280</wp:posOffset>
            </wp:positionV>
            <wp:extent cx="4989195"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 Expense</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Stock-based compensaton expense recognized for all equity awards, including founder stock, has been reported in the statements of operatons and comprehensive loss as follows (in thousands):</w:t>
      </w: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31" w:right="41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0"/>
        </w:trPr>
        <w:tc>
          <w:tcPr>
            <w:tcW w:w="17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760" w:type="dxa"/>
            <w:vAlign w:val="bottom"/>
            <w:gridSpan w:val="4"/>
          </w:tcPr>
          <w:p>
            <w:pPr>
              <w:jc w:val="right"/>
              <w:ind w:right="290"/>
              <w:spacing w:after="0"/>
              <w:rPr>
                <w:sz w:val="20"/>
                <w:szCs w:val="20"/>
                <w:color w:val="auto"/>
              </w:rPr>
            </w:pPr>
            <w:r>
              <w:rPr>
                <w:rFonts w:ascii="Calibri" w:cs="Calibri" w:eastAsia="Calibri" w:hAnsi="Calibri"/>
                <w:sz w:val="18"/>
                <w:szCs w:val="18"/>
                <w:b w:val="1"/>
                <w:bCs w:val="1"/>
                <w:color w:val="auto"/>
              </w:rPr>
              <w:t>Three Months Ended</w:t>
            </w:r>
          </w:p>
        </w:tc>
        <w:tc>
          <w:tcPr>
            <w:tcW w:w="56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16"/>
        </w:trPr>
        <w:tc>
          <w:tcPr>
            <w:tcW w:w="1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60" w:type="dxa"/>
            <w:vAlign w:val="bottom"/>
            <w:gridSpan w:val="3"/>
          </w:tcPr>
          <w:p>
            <w:pPr>
              <w:jc w:val="right"/>
              <w:ind w:right="690"/>
              <w:spacing w:after="0" w:line="216" w:lineRule="exact"/>
              <w:rPr>
                <w:sz w:val="20"/>
                <w:szCs w:val="20"/>
                <w:color w:val="auto"/>
              </w:rPr>
            </w:pPr>
            <w:r>
              <w:rPr>
                <w:rFonts w:ascii="Calibri" w:cs="Calibri" w:eastAsia="Calibri" w:hAnsi="Calibri"/>
                <w:sz w:val="18"/>
                <w:szCs w:val="18"/>
                <w:b w:val="1"/>
                <w:bCs w:val="1"/>
                <w:color w:val="auto"/>
              </w:rPr>
              <w:t>March 31,</w:t>
            </w:r>
          </w:p>
        </w:tc>
        <w:tc>
          <w:tcPr>
            <w:tcW w:w="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7"/>
        </w:trPr>
        <w:tc>
          <w:tcPr>
            <w:tcW w:w="1700" w:type="dxa"/>
            <w:vAlign w:val="bottom"/>
          </w:tcPr>
          <w:p>
            <w:pPr>
              <w:spacing w:after="0"/>
              <w:rPr>
                <w:sz w:val="3"/>
                <w:szCs w:val="3"/>
                <w:color w:val="auto"/>
              </w:rPr>
            </w:pPr>
          </w:p>
        </w:tc>
        <w:tc>
          <w:tcPr>
            <w:tcW w:w="3160" w:type="dxa"/>
            <w:vAlign w:val="bottom"/>
          </w:tcPr>
          <w:p>
            <w:pPr>
              <w:spacing w:after="0"/>
              <w:rPr>
                <w:sz w:val="3"/>
                <w:szCs w:val="3"/>
                <w:color w:val="auto"/>
              </w:rPr>
            </w:pPr>
          </w:p>
        </w:tc>
        <w:tc>
          <w:tcPr>
            <w:tcW w:w="2380" w:type="dxa"/>
            <w:vAlign w:val="bottom"/>
            <w:gridSpan w:val="2"/>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08"/>
        </w:trPr>
        <w:tc>
          <w:tcPr>
            <w:tcW w:w="1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0" w:type="dxa"/>
            <w:vAlign w:val="bottom"/>
            <w:tcBorders>
              <w:top w:val="single" w:sz="8" w:color="auto"/>
            </w:tcBorders>
          </w:tcPr>
          <w:p>
            <w:pPr>
              <w:jc w:val="right"/>
              <w:spacing w:after="0" w:line="208" w:lineRule="exact"/>
              <w:rPr>
                <w:sz w:val="20"/>
                <w:szCs w:val="20"/>
                <w:color w:val="auto"/>
              </w:rPr>
            </w:pPr>
            <w:r>
              <w:rPr>
                <w:rFonts w:ascii="Calibri" w:cs="Calibri" w:eastAsia="Calibri" w:hAnsi="Calibri"/>
                <w:sz w:val="18"/>
                <w:szCs w:val="18"/>
                <w:b w:val="1"/>
                <w:bCs w:val="1"/>
                <w:color w:val="auto"/>
              </w:rPr>
              <w:t>2023</w:t>
            </w:r>
          </w:p>
        </w:tc>
        <w:tc>
          <w:tcPr>
            <w:tcW w:w="5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2"/>
          </w:tcPr>
          <w:p>
            <w:pPr>
              <w:jc w:val="right"/>
              <w:spacing w:after="0" w:line="208" w:lineRule="exact"/>
              <w:rPr>
                <w:sz w:val="20"/>
                <w:szCs w:val="20"/>
                <w:color w:val="auto"/>
              </w:rPr>
            </w:pPr>
            <w:r>
              <w:rPr>
                <w:rFonts w:ascii="Calibri" w:cs="Calibri" w:eastAsia="Calibri" w:hAnsi="Calibri"/>
                <w:sz w:val="18"/>
                <w:szCs w:val="18"/>
                <w:b w:val="1"/>
                <w:bCs w:val="1"/>
                <w:color w:val="auto"/>
              </w:rPr>
              <w:t>2022</w:t>
            </w:r>
          </w:p>
        </w:tc>
        <w:tc>
          <w:tcPr>
            <w:tcW w:w="560" w:type="dxa"/>
            <w:vAlign w:val="bottom"/>
            <w:tcBorders>
              <w:top w:val="single" w:sz="8" w:color="auto"/>
            </w:tcBorders>
          </w:tcPr>
          <w:p>
            <w:pPr>
              <w:spacing w:after="0"/>
              <w:rPr>
                <w:sz w:val="18"/>
                <w:szCs w:val="18"/>
                <w:color w:val="auto"/>
              </w:rPr>
            </w:pPr>
          </w:p>
        </w:tc>
        <w:tc>
          <w:tcPr>
            <w:tcW w:w="1680" w:type="dxa"/>
            <w:vAlign w:val="bottom"/>
          </w:tcPr>
          <w:p>
            <w:pPr>
              <w:spacing w:after="0"/>
              <w:rPr>
                <w:sz w:val="18"/>
                <w:szCs w:val="18"/>
                <w:color w:val="auto"/>
              </w:rPr>
            </w:pPr>
          </w:p>
        </w:tc>
      </w:tr>
      <w:tr>
        <w:trPr>
          <w:trHeight w:val="28"/>
        </w:trPr>
        <w:tc>
          <w:tcPr>
            <w:tcW w:w="1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7"/>
        </w:trPr>
        <w:tc>
          <w:tcPr>
            <w:tcW w:w="1700" w:type="dxa"/>
            <w:vAlign w:val="bottom"/>
          </w:tcPr>
          <w:p>
            <w:pPr>
              <w:spacing w:after="0"/>
              <w:rPr>
                <w:sz w:val="18"/>
                <w:szCs w:val="18"/>
                <w:color w:val="auto"/>
              </w:rPr>
            </w:pPr>
          </w:p>
        </w:tc>
        <w:tc>
          <w:tcPr>
            <w:tcW w:w="316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Research and development expense</w:t>
            </w:r>
          </w:p>
        </w:tc>
        <w:tc>
          <w:tcPr>
            <w:tcW w:w="13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CFF0FC"/>
            </w:tcBorders>
            <w:shd w:val="clear" w:color="auto" w:fill="CFF0FC"/>
          </w:tcPr>
          <w:p>
            <w:pPr>
              <w:jc w:val="right"/>
              <w:ind w:right="810"/>
              <w:spacing w:after="0" w:line="208" w:lineRule="exact"/>
              <w:rPr>
                <w:sz w:val="20"/>
                <w:szCs w:val="20"/>
                <w:color w:val="auto"/>
              </w:rPr>
            </w:pPr>
            <w:r>
              <w:rPr>
                <w:rFonts w:ascii="Calibri" w:cs="Calibri" w:eastAsia="Calibri" w:hAnsi="Calibri"/>
                <w:sz w:val="18"/>
                <w:szCs w:val="18"/>
                <w:color w:val="auto"/>
                <w:w w:val="87"/>
              </w:rPr>
              <w:t>$</w:t>
            </w:r>
          </w:p>
        </w:tc>
        <w:tc>
          <w:tcPr>
            <w:tcW w:w="5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1,776</w:t>
            </w:r>
          </w:p>
        </w:tc>
        <w:tc>
          <w:tcPr>
            <w:tcW w:w="1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CFF0FC"/>
            </w:tcBorders>
            <w:shd w:val="clear" w:color="auto" w:fill="CFF0FC"/>
          </w:tcPr>
          <w:p>
            <w:pPr>
              <w:jc w:val="right"/>
              <w:ind w:right="810"/>
              <w:spacing w:after="0" w:line="208" w:lineRule="exact"/>
              <w:rPr>
                <w:sz w:val="20"/>
                <w:szCs w:val="20"/>
                <w:color w:val="auto"/>
              </w:rPr>
            </w:pPr>
            <w:r>
              <w:rPr>
                <w:rFonts w:ascii="Calibri" w:cs="Calibri" w:eastAsia="Calibri" w:hAnsi="Calibri"/>
                <w:sz w:val="18"/>
                <w:szCs w:val="18"/>
                <w:color w:val="auto"/>
              </w:rPr>
              <w:t>$</w:t>
            </w:r>
          </w:p>
        </w:tc>
        <w:tc>
          <w:tcPr>
            <w:tcW w:w="5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1,139</w:t>
            </w:r>
          </w:p>
        </w:tc>
        <w:tc>
          <w:tcPr>
            <w:tcW w:w="1680" w:type="dxa"/>
            <w:vAlign w:val="bottom"/>
          </w:tcPr>
          <w:p>
            <w:pPr>
              <w:spacing w:after="0"/>
              <w:rPr>
                <w:sz w:val="18"/>
                <w:szCs w:val="18"/>
                <w:color w:val="auto"/>
              </w:rPr>
            </w:pPr>
          </w:p>
        </w:tc>
      </w:tr>
      <w:tr>
        <w:trPr>
          <w:trHeight w:val="215"/>
        </w:trPr>
        <w:tc>
          <w:tcPr>
            <w:tcW w:w="1700" w:type="dxa"/>
            <w:vAlign w:val="bottom"/>
          </w:tcPr>
          <w:p>
            <w:pPr>
              <w:spacing w:after="0"/>
              <w:rPr>
                <w:sz w:val="18"/>
                <w:szCs w:val="18"/>
                <w:color w:val="auto"/>
              </w:rPr>
            </w:pPr>
          </w:p>
        </w:tc>
        <w:tc>
          <w:tcPr>
            <w:tcW w:w="3160" w:type="dxa"/>
            <w:vAlign w:val="bottom"/>
          </w:tcPr>
          <w:p>
            <w:pPr>
              <w:spacing w:after="0" w:line="215" w:lineRule="exact"/>
              <w:rPr>
                <w:sz w:val="20"/>
                <w:szCs w:val="20"/>
                <w:color w:val="auto"/>
              </w:rPr>
            </w:pPr>
            <w:r>
              <w:rPr>
                <w:rFonts w:ascii="Calibri" w:cs="Calibri" w:eastAsia="Calibri" w:hAnsi="Calibri"/>
                <w:sz w:val="18"/>
                <w:szCs w:val="18"/>
                <w:color w:val="auto"/>
              </w:rPr>
              <w:t>General and administratve expense</w:t>
            </w:r>
          </w:p>
        </w:tc>
        <w:tc>
          <w:tcPr>
            <w:tcW w:w="1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line="215" w:lineRule="exact"/>
              <w:rPr>
                <w:sz w:val="20"/>
                <w:szCs w:val="20"/>
                <w:color w:val="auto"/>
              </w:rPr>
            </w:pPr>
            <w:r>
              <w:rPr>
                <w:rFonts w:ascii="Calibri" w:cs="Calibri" w:eastAsia="Calibri" w:hAnsi="Calibri"/>
                <w:sz w:val="18"/>
                <w:szCs w:val="18"/>
                <w:color w:val="auto"/>
              </w:rPr>
              <w:t>5,272</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line="215" w:lineRule="exact"/>
              <w:rPr>
                <w:sz w:val="20"/>
                <w:szCs w:val="20"/>
                <w:color w:val="auto"/>
              </w:rPr>
            </w:pPr>
            <w:r>
              <w:rPr>
                <w:rFonts w:ascii="Calibri" w:cs="Calibri" w:eastAsia="Calibri" w:hAnsi="Calibri"/>
                <w:sz w:val="18"/>
                <w:szCs w:val="18"/>
                <w:color w:val="auto"/>
              </w:rPr>
              <w:t>4,636</w:t>
            </w:r>
          </w:p>
        </w:tc>
        <w:tc>
          <w:tcPr>
            <w:tcW w:w="1680" w:type="dxa"/>
            <w:vAlign w:val="bottom"/>
          </w:tcPr>
          <w:p>
            <w:pPr>
              <w:spacing w:after="0"/>
              <w:rPr>
                <w:sz w:val="18"/>
                <w:szCs w:val="18"/>
                <w:color w:val="auto"/>
              </w:rPr>
            </w:pPr>
          </w:p>
        </w:tc>
      </w:tr>
      <w:tr>
        <w:trPr>
          <w:trHeight w:val="28"/>
        </w:trPr>
        <w:tc>
          <w:tcPr>
            <w:tcW w:w="17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82"/>
        </w:trPr>
        <w:tc>
          <w:tcPr>
            <w:tcW w:w="1700" w:type="dxa"/>
            <w:vAlign w:val="bottom"/>
          </w:tcPr>
          <w:p>
            <w:pPr>
              <w:spacing w:after="0"/>
              <w:rPr>
                <w:sz w:val="24"/>
                <w:szCs w:val="24"/>
                <w:color w:val="auto"/>
              </w:rPr>
            </w:pPr>
          </w:p>
        </w:tc>
        <w:tc>
          <w:tcPr>
            <w:tcW w:w="316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Total</w:t>
            </w:r>
          </w:p>
        </w:tc>
        <w:tc>
          <w:tcPr>
            <w:tcW w:w="13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top w:val="single" w:sz="8" w:color="auto"/>
              <w:bottom w:val="single" w:sz="8" w:color="CFF0FC"/>
            </w:tcBorders>
            <w:shd w:val="clear" w:color="auto" w:fill="CFF0FC"/>
          </w:tcPr>
          <w:p>
            <w:pPr>
              <w:jc w:val="right"/>
              <w:ind w:right="810"/>
              <w:spacing w:after="0" w:line="208" w:lineRule="exact"/>
              <w:rPr>
                <w:sz w:val="20"/>
                <w:szCs w:val="20"/>
                <w:color w:val="auto"/>
              </w:rPr>
            </w:pPr>
            <w:r>
              <w:rPr>
                <w:rFonts w:ascii="Calibri" w:cs="Calibri" w:eastAsia="Calibri" w:hAnsi="Calibri"/>
                <w:sz w:val="18"/>
                <w:szCs w:val="18"/>
                <w:color w:val="auto"/>
                <w:w w:val="87"/>
              </w:rPr>
              <w:t>$</w:t>
            </w:r>
          </w:p>
        </w:tc>
        <w:tc>
          <w:tcPr>
            <w:tcW w:w="58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7,048</w:t>
            </w:r>
          </w:p>
        </w:tc>
        <w:tc>
          <w:tcPr>
            <w:tcW w:w="16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top w:val="single" w:sz="8" w:color="auto"/>
              <w:bottom w:val="single" w:sz="8" w:color="CFF0FC"/>
            </w:tcBorders>
            <w:shd w:val="clear" w:color="auto" w:fill="CFF0FC"/>
          </w:tcPr>
          <w:p>
            <w:pPr>
              <w:jc w:val="right"/>
              <w:ind w:right="810"/>
              <w:spacing w:after="0" w:line="208" w:lineRule="exact"/>
              <w:rPr>
                <w:sz w:val="20"/>
                <w:szCs w:val="20"/>
                <w:color w:val="auto"/>
              </w:rPr>
            </w:pPr>
            <w:r>
              <w:rPr>
                <w:rFonts w:ascii="Calibri" w:cs="Calibri" w:eastAsia="Calibri" w:hAnsi="Calibri"/>
                <w:sz w:val="18"/>
                <w:szCs w:val="18"/>
                <w:color w:val="auto"/>
              </w:rPr>
              <w:t>$</w:t>
            </w:r>
          </w:p>
        </w:tc>
        <w:tc>
          <w:tcPr>
            <w:tcW w:w="5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5,775</w:t>
            </w:r>
          </w:p>
        </w:tc>
        <w:tc>
          <w:tcPr>
            <w:tcW w:w="1680" w:type="dxa"/>
            <w:vAlign w:val="bottom"/>
          </w:tcPr>
          <w:p>
            <w:pPr>
              <w:spacing w:after="0"/>
              <w:rPr>
                <w:sz w:val="24"/>
                <w:szCs w:val="24"/>
                <w:color w:val="auto"/>
              </w:rPr>
            </w:pPr>
          </w:p>
        </w:tc>
      </w:tr>
      <w:tr>
        <w:trPr>
          <w:trHeight w:val="804"/>
        </w:trPr>
        <w:tc>
          <w:tcPr>
            <w:tcW w:w="1700" w:type="dxa"/>
            <w:vAlign w:val="bottom"/>
          </w:tcPr>
          <w:p>
            <w:pPr>
              <w:spacing w:after="0"/>
              <w:rPr>
                <w:sz w:val="24"/>
                <w:szCs w:val="24"/>
                <w:color w:val="auto"/>
              </w:rPr>
            </w:pPr>
          </w:p>
        </w:tc>
        <w:tc>
          <w:tcPr>
            <w:tcW w:w="3160" w:type="dxa"/>
            <w:vAlign w:val="bottom"/>
            <w:tcBorders>
              <w:top w:val="single" w:sz="8" w:color="CFF0FC"/>
            </w:tcBorders>
          </w:tcPr>
          <w:p>
            <w:pPr>
              <w:spacing w:after="0"/>
              <w:rPr>
                <w:sz w:val="24"/>
                <w:szCs w:val="24"/>
                <w:color w:val="auto"/>
              </w:rPr>
            </w:pPr>
          </w:p>
        </w:tc>
        <w:tc>
          <w:tcPr>
            <w:tcW w:w="1380" w:type="dxa"/>
            <w:vAlign w:val="bottom"/>
            <w:tcBorders>
              <w:top w:val="single" w:sz="8" w:color="CFF0FC"/>
            </w:tcBorders>
          </w:tcPr>
          <w:p>
            <w:pPr>
              <w:ind w:left="600"/>
              <w:spacing w:after="0"/>
              <w:rPr>
                <w:sz w:val="20"/>
                <w:szCs w:val="20"/>
                <w:color w:val="auto"/>
              </w:rPr>
            </w:pPr>
            <w:r>
              <w:rPr>
                <w:rFonts w:ascii="Times New Roman" w:cs="Times New Roman" w:eastAsia="Times New Roman" w:hAnsi="Times New Roman"/>
                <w:sz w:val="18"/>
                <w:szCs w:val="18"/>
                <w:color w:val="auto"/>
              </w:rPr>
              <w:t>F-20</w:t>
            </w:r>
          </w:p>
        </w:tc>
        <w:tc>
          <w:tcPr>
            <w:tcW w:w="10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-633730</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-616585</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2" w:name="page23"/>
    <w:bookmarkEnd w:id="22"/>
    <w:p>
      <w:pPr>
        <w:spacing w:after="0"/>
        <w:rPr>
          <w:sz w:val="20"/>
          <w:szCs w:val="20"/>
          <w:color w:val="auto"/>
        </w:rPr>
      </w:pPr>
      <w:r>
        <w:rPr>
          <w:rFonts w:ascii="Calibri" w:cs="Calibri" w:eastAsia="Calibri" w:hAnsi="Calibri"/>
          <w:sz w:val="18"/>
          <w:szCs w:val="18"/>
          <w:b w:val="1"/>
          <w:bCs w:val="1"/>
          <w:color w:val="auto"/>
        </w:rPr>
        <w:t>9. Subsequent Event</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Amendment to Loan and Security Agreement</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On May 9, 2023, the Company entered into the Third Amendment to Loan and Security Agreement, or the Third Loan Amendment, with the lenders thereunder and Hercules Capital, Inc., in its capacity as administratve agent and collateral agent and as a lender (in such capacity, the “Agent” or “Hercules”), pursuant to which, among other things, (i) the second tranche availability was extended from May 15, 2023, to December 15, 2023, to become available on October 1, 2023 or earlier subject to certain conditons, (ii) the third tranche availability was extended from September 30, 2023, to December 15, 2023, to become available on October 1, 2023 or earlier subject to certain conditons, (iii) the efectve date of the Performance Covenants was amended to provide an opton to extend the covenant trigger date, subject to certain conditons, and (iv) the warrant agreement with Hercules was amended as described below. In connecton with the Third Loan Amendment, a tranche extension amendment fee of $150,000 and a covenant extension amendment fee of $100,000 was paid to the Agent.</w:t>
      </w:r>
    </w:p>
    <w:p>
      <w:pPr>
        <w:spacing w:after="0" w:line="11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Amendment to Warrants</w:t>
      </w:r>
    </w:p>
    <w:p>
      <w:pPr>
        <w:spacing w:after="0" w:line="177" w:lineRule="exact"/>
        <w:rPr>
          <w:sz w:val="20"/>
          <w:szCs w:val="20"/>
          <w:color w:val="auto"/>
        </w:rPr>
      </w:pPr>
    </w:p>
    <w:p>
      <w:pPr>
        <w:ind w:right="80" w:firstLine="509"/>
        <w:spacing w:after="0" w:line="251" w:lineRule="auto"/>
        <w:rPr>
          <w:sz w:val="20"/>
          <w:szCs w:val="20"/>
          <w:color w:val="auto"/>
        </w:rPr>
      </w:pPr>
      <w:r>
        <w:rPr>
          <w:rFonts w:ascii="Calibri" w:cs="Calibri" w:eastAsia="Calibri" w:hAnsi="Calibri"/>
          <w:sz w:val="17"/>
          <w:szCs w:val="17"/>
          <w:color w:val="auto"/>
        </w:rPr>
        <w:t>In connecton with the entry into the Third Loan Amendment, the Company amended the form of warrant agreement, the Revised Warrant Agreement, to purchase shares of the Company’s common stock, par value $0.0001 per share, the Common Stock, to be issued upon drawdowns of future tranches under the Term Loan. The exercise price under the Revised Warrant Agreement shall be equal to the lesser of (i) $11.6783, which was the trailing ten-day volume-weighted average price, or VWAP, prior to entering into the Third Loan Amendment, and (ii) the trailing ten-day VWAP preceding the date on which the Company drawdown future tranches. The number of shares of Common Stock shall contnue to be equal to 2.5% of the amount of the Term Loan advances funded, as such amounts are funded. The warrants shall be exercisable for a period of seven years from the date of issuance.</w:t>
      </w:r>
    </w:p>
    <w:p>
      <w:pPr>
        <w:spacing w:after="0" w:line="183" w:lineRule="exact"/>
        <w:rPr>
          <w:sz w:val="20"/>
          <w:szCs w:val="20"/>
          <w:color w:val="auto"/>
        </w:rPr>
      </w:pPr>
    </w:p>
    <w:p>
      <w:pPr>
        <w:ind w:right="380" w:firstLine="509"/>
        <w:spacing w:after="0" w:line="235" w:lineRule="auto"/>
        <w:rPr>
          <w:sz w:val="20"/>
          <w:szCs w:val="20"/>
          <w:color w:val="auto"/>
        </w:rPr>
      </w:pPr>
      <w:r>
        <w:rPr>
          <w:rFonts w:ascii="Calibri" w:cs="Calibri" w:eastAsia="Calibri" w:hAnsi="Calibri"/>
          <w:sz w:val="18"/>
          <w:szCs w:val="18"/>
          <w:color w:val="auto"/>
        </w:rPr>
        <w:t>The exercise price and terms of the outstanding warrants to purchase 74,783 shares of our Common Stock previously issued to Hercules remain unchanged. The Company entered into the First Amendment to Warrant, or the Warrant Amendment, to make technical changes to the defned terms to provide that the outstanding warrant only covers the inital $100.0 million advance already drawn under the Term Loan.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23" w:name="page24"/>
    <w:bookmarkEnd w:id="23"/>
    <w:p>
      <w:pPr>
        <w:spacing w:after="0"/>
        <w:rPr>
          <w:sz w:val="20"/>
          <w:szCs w:val="20"/>
          <w:color w:val="auto"/>
        </w:rPr>
      </w:pPr>
      <w:r>
        <w:rPr>
          <w:rFonts w:ascii="Calibri" w:cs="Calibri" w:eastAsia="Calibri" w:hAnsi="Calibri"/>
          <w:sz w:val="18"/>
          <w:szCs w:val="18"/>
          <w:b w:val="1"/>
          <w:bCs w:val="1"/>
          <w:color w:val="auto"/>
        </w:rPr>
        <w:t>Item 2. Management’s Discussion and Analysis of Financial Conditon and Results of Operatons</w:t>
      </w:r>
    </w:p>
    <w:p>
      <w:pPr>
        <w:spacing w:after="0" w:line="190" w:lineRule="exact"/>
        <w:rPr>
          <w:sz w:val="20"/>
          <w:szCs w:val="20"/>
          <w:color w:val="auto"/>
        </w:rPr>
      </w:pPr>
    </w:p>
    <w:p>
      <w:pPr>
        <w:jc w:val="both"/>
        <w:ind w:right="240" w:firstLine="509"/>
        <w:spacing w:after="0" w:line="235" w:lineRule="auto"/>
        <w:rPr>
          <w:sz w:val="20"/>
          <w:szCs w:val="20"/>
          <w:color w:val="auto"/>
        </w:rPr>
      </w:pPr>
      <w:r>
        <w:rPr>
          <w:rFonts w:ascii="Calibri" w:cs="Calibri" w:eastAsia="Calibri" w:hAnsi="Calibri"/>
          <w:sz w:val="18"/>
          <w:szCs w:val="18"/>
          <w:i w:val="1"/>
          <w:iCs w:val="1"/>
          <w:color w:val="auto"/>
        </w:rPr>
        <w:t>You should read the following discussion and analysis of our fnancial conditon and results of operatons in conjuncton with the unaudited interim fnancial statements and notes thereto included in this Quarterly Report on Form 10-Q and with our audited fnancial statements and notes thereto for the year ended December 31, 2022 and the related Management’s Discussion and Analysis of Financial Conditon and Results of Operatons, both of which are contained in our Annual Report on Form 10-K for the year ended December 31, 2022, or the 2022 Form 10-K.</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Forward Looking Statements</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following discussion and other parts of this quarterly report contain forward-looking statements within the meaning of Secton 21E of the Securites Exchange Act of 1934, as amended, or the Exchange Act. All statements other than statements of historical facts contained in this quarterly report, including statements regarding our future results of operatons and fnancial positon, business strategy, research and development plans and costs, the impact of COVID-19, the tming and likelihood of regulatory flings and approvals, commercializaton plans, pricing and reimbursement, the potental to develop future product candidates, the tming and likelihood of success of the plans and objectves of management for future operatons, and future results of antcipated product development eforts, are forward-looking statements. These statements are ofen identfed by the use of words such as “may,” “will,” “expect,” “believe,” “antcipate,” “intend,” “could,” “should,” “estmate,” or “contnue,” and similar expressions or variatons. The forward-looking statements in this quarterly report are only predictons. We have based these forward-looking statements largely on our current expectatons and projectons about future events and fnancial trends that we believe may afect our fnancial conditon, operatng results, business strategy, short-term and long-term business operatons and objectves. These forward-looking statements speak only as of the date of this quarterly report and are subject to a number of risks, uncertaintes and assumptons, including those described in the Part II, Item 1A under the heading “Risk Factors.” The events and circumstances refected in our forward-looking statements may not be achieved or occur and actual results could difer materially from those projected in the forward-looking statements. Except as required by applicable law, we do not plan to publicly update or revise any forward-looking statements contained herein, whether as a result of any new informaton, future events, changed circumstances or otherwise.</w:t>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 xml:space="preserve">We are a biopharmaceutcal company focused on developing and commercializing novel treatments for gastrointestnal, or GI, diseases. Our inital approved products, VOQUEZNA TRIPLE PAK and VOQUEZNA DUAL PAK, as well as our current product candidate, VOQUEZNA, contain vonoprazan, an oral small molecule potassium-compettve acid blocker, or PCAB. PCABs are a novel class of medicines that block acid secreton in the stomach. Vonoprazan has shown rapid, potent, and durable ant-secretory efects and has demonstrated clinical benefts over the current standard of care as a single agent in the treatment of erosive gastroesophageal refux disease, or Erosive GERD, and in combinaton with antbiotcs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Takeda developed vonoprazan and has received marketng approval in numerous countries in Asia and Latn America as well as Russia. Vonoprazan generated approximately $850 million in net sales in its seventh full year on the market since its approval in Japan in late 2014. In May 2019, we in-licensed the U.S., European, and Canadian rights to vonoprazan from Takeda.</w:t>
      </w:r>
    </w:p>
    <w:p>
      <w:pPr>
        <w:spacing w:after="0" w:line="1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In 2021 we reported positve topline data from two pivotal Phase 3 clinical trials for vonoprazan: one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or PHALCON-HP, and a second for the treatment of Erosive GERD, PHALCON-EE. In April 2021, we reported positve topline data from PHALCON-HP, and in October 2021, we reported positve topline data from PHALCON-EE. These data are supplemented by the extensive existng clinical data generated by Takeda as part of their development program for vonoprazan in Japan and other markets. In September 2021, we submited two new drug applicatons, or NDAs, for combinaton packs that contain vonoprazan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adults, one in combinaton with amoxicillin and clarithromycin (vonoprazan triple therapy) and the other in combinaton with amoxicillin alone (vonoprazan dual therapy). In May 2022, the FDA approved the NDAs for vonoprazan triple therapy, under the brand name VOQUEZNA TRIPLE PAK, and vonoprazan dual therapy, under the brand name VOQUEZNA DUAL PAK. Prior to approval, in May 2021, we received qualifed infectous disease product, or QIDP, designatons for VOQUEZNA TRIPLE PAK and VOQUEZNA DUAL PAK, which, upon approval of these products, added fve years of regulatory exclusivity to the fve years of new chemical entty, or NCE, exclusivity for vonoprazan to which these products were, and future products we develop containing vonoprazan will be, enttled.</w:t>
      </w:r>
    </w:p>
    <w:p>
      <w:pPr>
        <w:spacing w:after="0" w:line="19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March 2022, we submited an NDA for vonoprazan as a treatment for adults for the healing of all grades of Erosive GERD, maintenance of healing of all grades of Erosive GERD, and relief of heartburn associated with Erosive GERD. If approved, we expect to market the product under the brand name VOQUEZNA. In August 2022, we announced that, consistent with current FDA recommendatons for all chemically synthesized drug compounds, we previously initated post-approval testng to determine</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4" w:right="399" w:bottom="1440" w:gutter="0" w:footer="0" w:header="0"/>
        </w:sectPr>
      </w:pPr>
    </w:p>
    <w:bookmarkStart w:id="24" w:name="page25"/>
    <w:bookmarkEnd w:id="24"/>
    <w:p>
      <w:pPr>
        <w:spacing w:after="0" w:line="235" w:lineRule="auto"/>
        <w:rPr>
          <w:sz w:val="20"/>
          <w:szCs w:val="20"/>
          <w:color w:val="auto"/>
        </w:rPr>
      </w:pPr>
      <w:r>
        <w:rPr>
          <w:rFonts w:ascii="Calibri" w:cs="Calibri" w:eastAsia="Calibri" w:hAnsi="Calibri"/>
          <w:sz w:val="18"/>
          <w:szCs w:val="18"/>
          <w:color w:val="auto"/>
        </w:rPr>
        <w:t xml:space="preserve">whether nitrosamine impurites were present in our inital commercial drug product for VOQUEZNA TRIPLE PAK and VOQUEZNA DUAL PAK. These tests revealed trace levels of a nitrosamine impurity, </w:t>
      </w:r>
      <w:r>
        <w:rPr>
          <w:rFonts w:ascii="Calibri" w:cs="Calibri" w:eastAsia="Calibri" w:hAnsi="Calibri"/>
          <w:sz w:val="18"/>
          <w:szCs w:val="18"/>
          <w:i w:val="1"/>
          <w:iCs w:val="1"/>
          <w:color w:val="auto"/>
        </w:rPr>
        <w:t>N</w:t>
      </w:r>
      <w:r>
        <w:rPr>
          <w:rFonts w:ascii="Calibri" w:cs="Calibri" w:eastAsia="Calibri" w:hAnsi="Calibri"/>
          <w:sz w:val="18"/>
          <w:szCs w:val="18"/>
          <w:color w:val="auto"/>
        </w:rPr>
        <w:t xml:space="preserve">-nitroso-vonoprazan, or NVP, that is not described within the FDA guidance document enttled “Control of Nitrosamine Impurites in Human Drugs – Guidance for Industry.” In February 2023, we received complete response leters from the FDA relatng both to our Erosive GERD NDA and post approval supplements relatng to our approved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NDAs, both of which formalized the FDA’s prior request that we provide additonal stability data to demonstrate that levels of NVP will remain at or below 96 ng/day, the acceptable daily intake level (AI) for NVP established by the FDA, throughout the proposed shelf life of the product. No additonal defciencies were cited by the FDA in either leter. We antcipate resubmitng our Erosive GERD NDA to the FDA in the second quarter of 2023, and new post-approval supplements to our approved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NDAs in the third quarter of 2023. Based on these expected submission dates, we antcipate commercial launch of vonoprazan for both the Erosive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indicatons in the fourth quarter of 2023, subject to FDA approval. However, if we are unable to demonstrate to the FDA that we will be able to maintain NVP levels at or below the AI throughout the proposed shelf life of our products, launches of VOQUEZNA TRIPLE PAK and VOQUEZNA DUAL PAK will be further delayed and approval of our Erosive GERD NDA will contnue to be delayed, which could substantally increase our costs and delay or put at risk our ability to generate revenue and adversely afect our commercial prospects.</w:t>
      </w:r>
    </w:p>
    <w:p>
      <w:pPr>
        <w:spacing w:after="0" w:line="19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are also contnuing to develop vonoprazan as a treatment for symptomatc Non-Erosive GERD. In January 2023, we reported positve topline results from PHALCON-NERD-301, a Phase 3 study evaluatng the safety and efcacy of vonoprazan for the daily treatment of adults with Non-Erosive GERD. Based on the results from this study, we plan to seek FDA approval of vonoprazan as a once-daily treatment for Non-Erosive GERD in the second half of 2023. In additon, we are in discussions with the FDA regarding the design of a Phase 3 trial to evaluate the novel dosing regimen of vonoprazan as an as needed treatment for episodic heartburn relief in patents with Non-Erosive GERD, a dosing regimen not approved in the U.S. for PPIs. This trial would consttute our fourth Phase 3 trial for vonoprazan. In February 2022, we reported positve topline results from PHALCON-NERD-201, a Phase 2 proof-of-concept study evaluatng this novel dosing regimen.</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plan to independently commercialize VOQUEZNA TRIPLE PAK, VOQUEZNA DUAL PAK and, if approved, VOQUEZNA, in the United States. We plan to seek commercial partnerships for vonoprazan in Europe and Canada, expand development of vonoprazan into other indicatons, dosing regimens and alternatve formulatons and packaging, and in-license or acquire additonal clinical or commercial stage product candidates for the treatment of GI diseases in a capital efcient manner.</w:t>
      </w:r>
    </w:p>
    <w:p>
      <w:pPr>
        <w:spacing w:after="0" w:line="17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commenced our operatons in 2018 and have devoted substantally all of our resources to date to organizing and stafng our company, business planning, raising capital, in-licensing our inital product candidate, vonoprazan, meetng with regulatory authorites, conductng our clinical trials of vonoprazan, preparing applicatons for regulatory approval for vonoprazan and preparing for commercial launch. Our operatons to date have been funded primarily through the issuance of convertble promissory notes, commercial bank debt, the proceeds from our inital public ofering, our follow-on public ofering, our ATM Ofering and our Revenue Interest Financing Agreement. From our incepton through March 31, 2022, we have raised aggregate gross proceeds of $90.3 million from the issuance of convertble promissory notes, $100.0 million of debt, net proceeds from our inital public ofering of $191.5 million from the sale of 10,997,630 shares of common stock, which included the exercise in full by the underwriters of their opton to purchase 1,434,473 additonal shares at a public ofering price of $19.00 per share, afer deductng underwritng discounts, commissions and ofering costs, net proceeds of $88.6 million from the sale of 2,250,000 shares of common stock at a public ofering price of $39.48 per share afer deductng underwritng discounts and commissions, and an additonal $0.2 million in ofering costs, net proceeds of $95.4 million from the Revenue Interest Financing Agreement and net proceeds of $38.7 million from the sale of 3,929,116 shares under the ATM Ofering. As of March 31, 2023, we had cash and cash equivalents of $129.6 million. Based on our current operatng plan, we believe that our existng cash and cash equivalents together with the drawdown of the remaining $100 million under our Loan Agreement with Hercules are sufcient to fund operatons for at least the next twelve months and receipt of $175 million in additonal milestone payments under our Revenue Interest Financing Agreement, will be sufcient to fund our operatons through the end of 2024.</w:t>
      </w: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25" w:name="page26"/>
    <w:bookmarkEnd w:id="25"/>
    <w:p>
      <w:pPr>
        <w:ind w:right="60" w:firstLine="509"/>
        <w:spacing w:after="0" w:line="235" w:lineRule="auto"/>
        <w:rPr>
          <w:sz w:val="20"/>
          <w:szCs w:val="20"/>
          <w:color w:val="auto"/>
        </w:rPr>
      </w:pPr>
      <w:r>
        <w:rPr>
          <w:rFonts w:ascii="Calibri" w:cs="Calibri" w:eastAsia="Calibri" w:hAnsi="Calibri"/>
          <w:sz w:val="18"/>
          <w:szCs w:val="18"/>
          <w:color w:val="auto"/>
        </w:rPr>
        <w:t>We have not initated commercial launch of any products and have incurred net losses since our incepton. Our net losses for the three month periods ended March 31, 2023 and 2022 were $37.8 million and $40.7 million, respectvely. As of March 31, 2023, we had an accumulated defcit of $764.9 million. Our net losses may fuctuate signifcantly from quarter-to-quarter and year-to-year, depending on the tming of our clinical development actvites, other research and development actvites and pre-commercializaton actvites. We expect our expenses and operatng losses will increase as we contnue to advance vonoprazan through clinical trials, seek additonal regulatory approvals for vonoprazan, expand our quality, regulatory, manufacturing and commercializaton capabilites, incur signifcant commercializaton expenses for marketng, sales, manufacturing and distributon if we obtain marketng approval for VOQUEZNA for Erosive GERD in the U.S., protect our intellectual property, expand our general and administratve support functons, including hiring additonal personnel, and incur additonal costs associated with operatng as a public company.</w:t>
      </w:r>
    </w:p>
    <w:p>
      <w:pPr>
        <w:spacing w:after="0" w:line="19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never generated any revenue and do not expect to generate any revenues from product sales unless and untl we obtain regulatory approval for VOQUEZNA, or approval of our post-approval supplements for VOQUEZNA TRIPLE PAK and VOQUEZNA DUAL PAK, in the U.S. Accordingly, untl such tme as we can generate signifcant revenue from sales of products containing vonoprazan, if ever, we expect to fnance our cash needs through equity oferings, our Loan Agreement, our Revenue Interest Financing Agreement, additonal debt fnancings or other capital sources, including potental collaboratons, licenses and other similar arrangements. However, we may be unable to raise additonal funds or enter into such other arrangements when needed on favorable terms or at all, and this risk could be exacerbated by the impact of the ongoing hostlites in the Ukraine on global economic conditons. Our failure to raise capital or enter into such other arrangements when needed would have a negatve impact on our fnancial conditon and could force us to delay, limit, reduce or terminate our product development or future commercializaton eforts or grant rights to develop and market product candidates that we would otherwise prefer to develop and market ourselves.</w:t>
      </w:r>
    </w:p>
    <w:p>
      <w:pPr>
        <w:spacing w:after="0" w:line="1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License Agreement with Takeda</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On May 7, 2019, we and Takeda entered into an exclusive license, or the Takeda License, pursuant to which we in-licensed the U.S., European, and Canadian rights to vonoprazan fumarate. During the term of the Takeda License, we and our afliates are not permited to commercialize any pharmaceutcal product, other than vonoprazan, that treats acid-related disorders, except for certain generic and OTC competng products in specifed circumstances. We will be responsible at our cost for the development, manufacture and commercializaton of vonoprazan products. We are required to use commercially reasonable eforts to develop and commercialize the vonoprazan products in our licensed territory.</w:t>
      </w:r>
    </w:p>
    <w:p>
      <w:pPr>
        <w:spacing w:after="0" w:line="193"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Under the Takeda License, Takeda has the sole right and authority, with our input, to prepare, fle, prosecute, and maintain all Takeda and joint patents on a worldwide basis at its own cost. We are responsible, at our cost, for preparing, fling, prosecutng, and maintaining patents on inventons made solely by us in connecton with vonoprazan, subject to input from Takeda.</w:t>
      </w:r>
    </w:p>
    <w:p>
      <w:pPr>
        <w:spacing w:after="0" w:line="178"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paid Takeda upfront consideraton consistng of a cash fee of $25.0 million, 1,084,000 shares of our common stock, a warrant to purchase 7,588,000 shares of our common stock at an exercise price of $0.00004613 per share, or the Takeda Warrant, and issued Takeda a right to receive an additonal common stock warrant, or the Takeda Warrant Right, if Takeda’s fully-diluted ownership of the Company represented less than a certain specifed percentage of the fully-diluted capitalizaton, including shares issuable upon conversion of then outstanding convertble promissory notes, calculated immediately prior to the closing of our IPO. The Takeda Warrant Right expired without efect since no fair value had been allocated to it upon completon of our IPO, and no additonal warrant was issued. We agreed to make milestone payments to Takeda upon achieving certain tered aggregate annual net sales of licensed products in the United States, Europe, and Canada up to a total maximum milestone amount of $250.0 million. We also agreed to make tered royalty payments at percentages in the low double digits on net sales of licensed products, subject to specifed ofsets and reductons. Royaltes will be payable, on a product-by-product and country-by-country basis from the frst commercial sale of such product in such country, untl the latest of expiraton of the licensed patents covering the applicable product, expiraton of regulatory exclusivity in such country, or 15 years following frst commercial sale in such country.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26" w:name="page27"/>
    <w:bookmarkEnd w:id="26"/>
    <w:p>
      <w:pPr>
        <w:spacing w:after="0"/>
        <w:rPr>
          <w:sz w:val="20"/>
          <w:szCs w:val="20"/>
          <w:color w:val="auto"/>
        </w:rPr>
      </w:pPr>
      <w:r>
        <w:rPr>
          <w:rFonts w:ascii="Calibri" w:cs="Calibri" w:eastAsia="Calibri" w:hAnsi="Calibri"/>
          <w:sz w:val="18"/>
          <w:szCs w:val="18"/>
          <w:b w:val="1"/>
          <w:bCs w:val="1"/>
          <w:color w:val="auto"/>
        </w:rPr>
        <w:t>Components of Results of Operatons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Operatng Expenses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Research and Development</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untl the goods or services are received.</w:t>
      </w:r>
    </w:p>
    <w:p>
      <w:pPr>
        <w:spacing w:after="0" w:line="18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Research and development expenses include:</w:t>
      </w:r>
    </w:p>
    <w:p>
      <w:pPr>
        <w:spacing w:after="0" w:line="190" w:lineRule="exact"/>
        <w:rPr>
          <w:sz w:val="20"/>
          <w:szCs w:val="20"/>
          <w:color w:val="auto"/>
        </w:rPr>
      </w:pPr>
    </w:p>
    <w:p>
      <w:pPr>
        <w:ind w:left="900" w:right="320" w:hanging="383"/>
        <w:spacing w:after="0" w:line="235" w:lineRule="auto"/>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salaries, payroll taxes, employee benefts, and stock-based compensaton charges for those individuals involved in research and development eforts;</w:t>
      </w:r>
    </w:p>
    <w:p>
      <w:pPr>
        <w:spacing w:after="0" w:line="190" w:lineRule="exact"/>
        <w:rPr>
          <w:rFonts w:ascii="Times New Roman" w:cs="Times New Roman" w:eastAsia="Times New Roman" w:hAnsi="Times New Roman"/>
          <w:sz w:val="18"/>
          <w:szCs w:val="18"/>
          <w:color w:val="auto"/>
        </w:rPr>
      </w:pPr>
    </w:p>
    <w:p>
      <w:pPr>
        <w:ind w:left="900" w:right="20" w:hanging="383"/>
        <w:spacing w:after="0" w:line="235" w:lineRule="auto"/>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external research and development expenses incurred under agreements with CROs, and consultants to conduct and support our ongoing clinical trials of vonoprazan; and</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costs related to the manufacturing of vonoprazan for our clinical trials.</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We plan to contnue to invest in our research and development expenses for the foreseeable future as we contnue the development of vonoprazan. We cannot determine with certainty the tming of initaton, the duraton or the completon costs of current or future clinical trials and nonclinical studies of vonoprazan or any future product candidates due to the inherently unpredictable nature of clinical and preclinical development. Clinical and preclinical development tmelines, the probability of success and development costs can difer materially from expectatons. In additon, we cannot forecast which product candidates may be subject to future collaboratons, when such arrangements will be secured, if at all, and to what degree such arrangements would afect our development plans and capital requirements.</w:t>
      </w:r>
    </w:p>
    <w:p>
      <w:pPr>
        <w:spacing w:after="0" w:line="176"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future clinical development costs may vary signifcantly based on factors such as:</w:t>
      </w:r>
    </w:p>
    <w:p>
      <w:pPr>
        <w:spacing w:after="0" w:line="199" w:lineRule="exact"/>
        <w:rPr>
          <w:sz w:val="20"/>
          <w:szCs w:val="20"/>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 patent trial costs;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of trials required for approval;</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of sites included in the trials;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countries in which the trials are conducted;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length of tme required to enroll eligible patents;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of patents that partcipate in the trials;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number of doses evaluated in the trials;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drop-out or discontnuaton rates of patents;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potental additonal safety monitoring requested by regulatory agencies;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duraton of patent partcipaton in the trials and follow-up;</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phase of development of the product candidate;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efcacy and safety profle of the product candidate.</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General and Administratve</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General and administratve expenses consist of salaries and employee-related costs, including stock-based compensaton, for personnel in commercial, executve, fnance, accountng, legal, human resources and other administratve functons, legal fees relatng to intellectual property and corporate maters, and professional fees for accountng and consultng services. We antcipate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27" w:name="page28"/>
    <w:bookmarkEnd w:id="27"/>
    <w:p>
      <w:pPr>
        <w:ind w:right="400"/>
        <w:spacing w:after="0" w:line="252" w:lineRule="auto"/>
        <w:rPr>
          <w:sz w:val="20"/>
          <w:szCs w:val="20"/>
          <w:color w:val="auto"/>
        </w:rPr>
      </w:pPr>
      <w:r>
        <w:rPr>
          <w:rFonts w:ascii="Calibri" w:cs="Calibri" w:eastAsia="Calibri" w:hAnsi="Calibri"/>
          <w:sz w:val="17"/>
          <w:szCs w:val="17"/>
          <w:color w:val="auto"/>
        </w:rPr>
        <w:t>that our general and administratve expenses will increase in the future to support our contnued research and development actvites, pre-commercial preparaton actvites for vonoprazan and, if any future product candidate receives marketng approval, commercializaton actvites. We also antcipate increased expenses related to audit, legal, regulatory, and tax-related services associated with maintaining compliance with exchange listng and SEC requirements, director and ofcer insurance premiums, and investor relatons costs associated with operatng as a public company.</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Income</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Interest income consists of interest on our money market funds.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Expense</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Beginning on May 3, 2022, interest expense includes interest on the Revenue Interest Financing Agreement, which is based on the imputed efectve rate derived from expected future payments and the carrying value of the obligaton. The Company recalculates the efectve interest rate each period based on the current carrying value and the revised estmated future payments. Changes in future payments from previous estmates are included in current and future fnancing expense.</w:t>
      </w:r>
    </w:p>
    <w:p>
      <w:pPr>
        <w:spacing w:after="0" w:line="179" w:lineRule="exact"/>
        <w:rPr>
          <w:sz w:val="20"/>
          <w:szCs w:val="20"/>
          <w:color w:val="auto"/>
        </w:rPr>
      </w:pPr>
    </w:p>
    <w:p>
      <w:pPr>
        <w:ind w:right="80" w:firstLine="509"/>
        <w:spacing w:after="0" w:line="249" w:lineRule="auto"/>
        <w:rPr>
          <w:sz w:val="20"/>
          <w:szCs w:val="20"/>
          <w:color w:val="auto"/>
        </w:rPr>
      </w:pPr>
      <w:r>
        <w:rPr>
          <w:rFonts w:ascii="Calibri" w:cs="Calibri" w:eastAsia="Calibri" w:hAnsi="Calibri"/>
          <w:sz w:val="17"/>
          <w:szCs w:val="17"/>
          <w:color w:val="auto"/>
        </w:rPr>
        <w:t>Beginning on September 17, 2021, interest expense consists of (i) cash interest at a variable annual rate equal to the greater of (a) 5.50% and (b) the Prime Rate (as reported in the Wall Street Journal) plus 2.25%, or the Interest Rate, (ii) payment-in-kind interest at a per annum rate of interest equal to</w:t>
      </w:r>
    </w:p>
    <w:p>
      <w:pPr>
        <w:spacing w:after="0" w:line="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3.35%, and (iii) amortzaton of the Hercules Loan Agreement debt discount recorded in connecton with the fair value of warrants issued to the lenders, the debt issuance costs incurred, and the obligaton to make a fnal payment.</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Results of Operatons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Comparison of the Three Months Ended March 31, 2023 and 2022</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our results of operatons for the three months ended March 31, 2023 and 2022 (in thousands):</w:t>
      </w:r>
    </w:p>
    <w:p>
      <w:pPr>
        <w:spacing w:after="0" w:line="226" w:lineRule="exact"/>
        <w:rPr>
          <w:sz w:val="20"/>
          <w:szCs w:val="20"/>
          <w:color w:val="auto"/>
        </w:rPr>
      </w:pPr>
    </w:p>
    <w:tbl>
      <w:tblPr>
        <w:tblLayout w:type="fixed"/>
        <w:tblInd w:w="960" w:type="dxa"/>
        <w:tblCellMar>
          <w:top w:w="0" w:type="dxa"/>
          <w:left w:w="0" w:type="dxa"/>
          <w:bottom w:w="0" w:type="dxa"/>
          <w:right w:w="0" w:type="dxa"/>
        </w:tblCellMar>
      </w:tblPr>
      <w:tr>
        <w:trPr>
          <w:trHeight w:val="220"/>
        </w:trPr>
        <w:tc>
          <w:tcPr>
            <w:tcW w:w="4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40" w:type="dxa"/>
            <w:vAlign w:val="bottom"/>
            <w:gridSpan w:val="5"/>
          </w:tcPr>
          <w:p>
            <w:pPr>
              <w:jc w:val="right"/>
              <w:ind w:right="710"/>
              <w:spacing w:after="0"/>
              <w:rPr>
                <w:sz w:val="20"/>
                <w:szCs w:val="20"/>
                <w:color w:val="auto"/>
              </w:rPr>
            </w:pPr>
            <w:r>
              <w:rPr>
                <w:rFonts w:ascii="Calibri" w:cs="Calibri" w:eastAsia="Calibri" w:hAnsi="Calibri"/>
                <w:sz w:val="18"/>
                <w:szCs w:val="18"/>
                <w:b w:val="1"/>
                <w:bCs w:val="1"/>
                <w:color w:val="auto"/>
              </w:rPr>
              <w:t>Three Months Ended</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jc w:val="right"/>
              <w:spacing w:after="0" w:line="216" w:lineRule="exact"/>
              <w:rPr>
                <w:sz w:val="20"/>
                <w:szCs w:val="20"/>
                <w:color w:val="auto"/>
              </w:rPr>
            </w:pPr>
            <w:r>
              <w:rPr>
                <w:rFonts w:ascii="Calibri" w:cs="Calibri" w:eastAsia="Calibri" w:hAnsi="Calibri"/>
                <w:sz w:val="18"/>
                <w:szCs w:val="18"/>
                <w:b w:val="1"/>
                <w:bCs w:val="1"/>
                <w:color w:val="auto"/>
              </w:rPr>
              <w:t>March 31,</w:t>
            </w: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48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jc w:val="right"/>
              <w:ind w:right="460"/>
              <w:spacing w:after="0"/>
              <w:rPr>
                <w:sz w:val="20"/>
                <w:szCs w:val="20"/>
                <w:color w:val="auto"/>
              </w:rPr>
            </w:pPr>
            <w:r>
              <w:rPr>
                <w:rFonts w:ascii="Calibri" w:cs="Calibri" w:eastAsia="Calibri" w:hAnsi="Calibri"/>
                <w:sz w:val="18"/>
                <w:szCs w:val="18"/>
                <w:b w:val="1"/>
                <w:bCs w:val="1"/>
                <w:color w:val="auto"/>
              </w:rPr>
              <w:t>Change</w:t>
            </w:r>
          </w:p>
        </w:tc>
        <w:tc>
          <w:tcPr>
            <w:tcW w:w="0" w:type="dxa"/>
            <w:vAlign w:val="bottom"/>
          </w:tcPr>
          <w:p>
            <w:pPr>
              <w:spacing w:after="0"/>
              <w:rPr>
                <w:sz w:val="1"/>
                <w:szCs w:val="1"/>
                <w:color w:val="auto"/>
              </w:rPr>
            </w:pPr>
          </w:p>
        </w:tc>
      </w:tr>
      <w:tr>
        <w:trPr>
          <w:trHeight w:val="208"/>
        </w:trPr>
        <w:tc>
          <w:tcPr>
            <w:tcW w:w="4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390"/>
              <w:spacing w:after="0" w:line="208" w:lineRule="exact"/>
              <w:rPr>
                <w:sz w:val="20"/>
                <w:szCs w:val="20"/>
                <w:color w:val="auto"/>
              </w:rPr>
            </w:pPr>
            <w:r>
              <w:rPr>
                <w:rFonts w:ascii="Calibri" w:cs="Calibri" w:eastAsia="Calibri" w:hAnsi="Calibri"/>
                <w:sz w:val="18"/>
                <w:szCs w:val="18"/>
                <w:b w:val="1"/>
                <w:bCs w:val="1"/>
                <w:color w:val="auto"/>
              </w:rPr>
              <w:t>2023</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390"/>
              <w:spacing w:after="0" w:line="208" w:lineRule="exact"/>
              <w:rPr>
                <w:sz w:val="20"/>
                <w:szCs w:val="20"/>
                <w:color w:val="auto"/>
              </w:rPr>
            </w:pPr>
            <w:r>
              <w:rPr>
                <w:rFonts w:ascii="Calibri" w:cs="Calibri" w:eastAsia="Calibri" w:hAnsi="Calibri"/>
                <w:sz w:val="18"/>
                <w:szCs w:val="18"/>
                <w:b w:val="1"/>
                <w:bCs w:val="1"/>
                <w:color w:val="auto"/>
              </w:rPr>
              <w:t>2022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48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Operatng expenses:</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00"/>
              <w:spacing w:after="0" w:line="215" w:lineRule="exact"/>
              <w:rPr>
                <w:sz w:val="20"/>
                <w:szCs w:val="20"/>
                <w:color w:val="auto"/>
              </w:rPr>
            </w:pPr>
            <w:r>
              <w:rPr>
                <w:rFonts w:ascii="Calibri" w:cs="Calibri" w:eastAsia="Calibri" w:hAnsi="Calibri"/>
                <w:sz w:val="18"/>
                <w:szCs w:val="18"/>
                <w:color w:val="auto"/>
              </w:rPr>
              <w:t>Research and development</w:t>
            </w:r>
          </w:p>
        </w:tc>
        <w:tc>
          <w:tcPr>
            <w:tcW w:w="28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w w:val="87"/>
              </w:rPr>
              <w:t>$</w:t>
            </w:r>
          </w:p>
        </w:tc>
        <w:tc>
          <w:tcPr>
            <w:tcW w:w="1040" w:type="dxa"/>
            <w:vAlign w:val="bottom"/>
          </w:tcPr>
          <w:p>
            <w:pPr>
              <w:jc w:val="right"/>
              <w:spacing w:after="0" w:line="215" w:lineRule="exact"/>
              <w:rPr>
                <w:sz w:val="20"/>
                <w:szCs w:val="20"/>
                <w:color w:val="auto"/>
              </w:rPr>
            </w:pPr>
            <w:r>
              <w:rPr>
                <w:rFonts w:ascii="Calibri" w:cs="Calibri" w:eastAsia="Calibri" w:hAnsi="Calibri"/>
                <w:sz w:val="18"/>
                <w:szCs w:val="18"/>
                <w:color w:val="auto"/>
              </w:rPr>
              <w:t>11,479</w:t>
            </w:r>
          </w:p>
        </w:tc>
        <w:tc>
          <w:tcPr>
            <w:tcW w:w="240" w:type="dxa"/>
            <w:vAlign w:val="bottom"/>
          </w:tcPr>
          <w:p>
            <w:pPr>
              <w:spacing w:after="0"/>
              <w:rPr>
                <w:sz w:val="18"/>
                <w:szCs w:val="18"/>
                <w:color w:val="auto"/>
              </w:rPr>
            </w:pPr>
          </w:p>
        </w:tc>
        <w:tc>
          <w:tcPr>
            <w:tcW w:w="42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900" w:type="dxa"/>
            <w:vAlign w:val="bottom"/>
          </w:tcPr>
          <w:p>
            <w:pPr>
              <w:jc w:val="right"/>
              <w:spacing w:after="0" w:line="215" w:lineRule="exact"/>
              <w:rPr>
                <w:sz w:val="20"/>
                <w:szCs w:val="20"/>
                <w:color w:val="auto"/>
              </w:rPr>
            </w:pPr>
            <w:r>
              <w:rPr>
                <w:rFonts w:ascii="Calibri" w:cs="Calibri" w:eastAsia="Calibri" w:hAnsi="Calibri"/>
                <w:sz w:val="18"/>
                <w:szCs w:val="18"/>
                <w:color w:val="auto"/>
              </w:rPr>
              <w:t>17,660</w:t>
            </w:r>
          </w:p>
        </w:tc>
        <w:tc>
          <w:tcPr>
            <w:tcW w:w="240" w:type="dxa"/>
            <w:vAlign w:val="bottom"/>
          </w:tcPr>
          <w:p>
            <w:pPr>
              <w:spacing w:after="0"/>
              <w:rPr>
                <w:sz w:val="18"/>
                <w:szCs w:val="18"/>
                <w:color w:val="auto"/>
              </w:rPr>
            </w:pPr>
          </w:p>
        </w:tc>
        <w:tc>
          <w:tcPr>
            <w:tcW w:w="2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(6,181 )</w:t>
            </w: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General and administratve</w:t>
            </w:r>
          </w:p>
        </w:tc>
        <w:tc>
          <w:tcPr>
            <w:tcW w:w="2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18,598</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20,246</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Borders>
              <w:bottom w:val="single" w:sz="8" w:color="CFF0FC"/>
            </w:tcBorders>
            <w:gridSpan w:val="2"/>
            <w:shd w:val="clear" w:color="auto" w:fill="CFF0FC"/>
          </w:tcPr>
          <w:p>
            <w:pPr>
              <w:jc w:val="right"/>
              <w:ind w:right="20"/>
              <w:spacing w:after="0" w:line="215" w:lineRule="exact"/>
              <w:rPr>
                <w:sz w:val="20"/>
                <w:szCs w:val="20"/>
                <w:color w:val="auto"/>
              </w:rPr>
            </w:pPr>
            <w:r>
              <w:rPr>
                <w:rFonts w:ascii="Calibri" w:cs="Calibri" w:eastAsia="Calibri" w:hAnsi="Calibri"/>
                <w:sz w:val="18"/>
                <w:szCs w:val="18"/>
                <w:color w:val="auto"/>
              </w:rPr>
              <w:t>(1,648 )</w:t>
            </w: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20" w:type="dxa"/>
            <w:vAlign w:val="bottom"/>
          </w:tcPr>
          <w:p>
            <w:pPr>
              <w:ind w:left="20"/>
              <w:spacing w:after="0" w:line="208" w:lineRule="exact"/>
              <w:rPr>
                <w:sz w:val="20"/>
                <w:szCs w:val="20"/>
                <w:color w:val="auto"/>
              </w:rPr>
            </w:pPr>
            <w:r>
              <w:rPr>
                <w:rFonts w:ascii="Calibri" w:cs="Calibri" w:eastAsia="Calibri" w:hAnsi="Calibri"/>
                <w:sz w:val="18"/>
                <w:szCs w:val="18"/>
                <w:color w:val="auto"/>
              </w:rPr>
              <w:t>Total operatng expenses</w:t>
            </w:r>
          </w:p>
        </w:tc>
        <w:tc>
          <w:tcPr>
            <w:tcW w:w="280" w:type="dxa"/>
            <w:vAlign w:val="bottom"/>
          </w:tcPr>
          <w:p>
            <w:pPr>
              <w:spacing w:after="0"/>
              <w:rPr>
                <w:sz w:val="18"/>
                <w:szCs w:val="18"/>
                <w:color w:val="auto"/>
              </w:rPr>
            </w:pPr>
          </w:p>
        </w:tc>
        <w:tc>
          <w:tcPr>
            <w:tcW w:w="1040" w:type="dxa"/>
            <w:vAlign w:val="bottom"/>
          </w:tcPr>
          <w:p>
            <w:pPr>
              <w:jc w:val="right"/>
              <w:spacing w:after="0" w:line="208" w:lineRule="exact"/>
              <w:rPr>
                <w:sz w:val="20"/>
                <w:szCs w:val="20"/>
                <w:color w:val="auto"/>
              </w:rPr>
            </w:pPr>
            <w:r>
              <w:rPr>
                <w:rFonts w:ascii="Calibri" w:cs="Calibri" w:eastAsia="Calibri" w:hAnsi="Calibri"/>
                <w:sz w:val="18"/>
                <w:szCs w:val="18"/>
                <w:color w:val="auto"/>
              </w:rPr>
              <w:t>30,077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line="208" w:lineRule="exact"/>
              <w:rPr>
                <w:sz w:val="20"/>
                <w:szCs w:val="20"/>
                <w:color w:val="auto"/>
              </w:rPr>
            </w:pPr>
            <w:r>
              <w:rPr>
                <w:rFonts w:ascii="Calibri" w:cs="Calibri" w:eastAsia="Calibri" w:hAnsi="Calibri"/>
                <w:sz w:val="18"/>
                <w:szCs w:val="18"/>
                <w:color w:val="auto"/>
              </w:rPr>
              <w:t>37,906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
              <w:spacing w:after="0" w:line="208" w:lineRule="exact"/>
              <w:rPr>
                <w:sz w:val="20"/>
                <w:szCs w:val="20"/>
                <w:color w:val="auto"/>
              </w:rPr>
            </w:pPr>
            <w:r>
              <w:rPr>
                <w:rFonts w:ascii="Calibri" w:cs="Calibri" w:eastAsia="Calibri" w:hAnsi="Calibri"/>
                <w:sz w:val="18"/>
                <w:szCs w:val="18"/>
                <w:color w:val="auto"/>
              </w:rPr>
              <w:t>(7,829 )</w:t>
            </w: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8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Loss from operatons</w:t>
            </w:r>
          </w:p>
        </w:tc>
        <w:tc>
          <w:tcPr>
            <w:tcW w:w="280" w:type="dxa"/>
            <w:vAlign w:val="bottom"/>
            <w:tcBorders>
              <w:top w:val="single" w:sz="8" w:color="auto"/>
              <w:bottom w:val="single" w:sz="8" w:color="CFF0FC"/>
            </w:tcBorders>
            <w:shd w:val="clear" w:color="auto" w:fill="CFF0FC"/>
          </w:tcPr>
          <w:p>
            <w:pPr>
              <w:spacing w:after="0"/>
              <w:rPr>
                <w:sz w:val="20"/>
                <w:szCs w:val="20"/>
                <w:color w:val="auto"/>
              </w:rPr>
            </w:pPr>
          </w:p>
        </w:tc>
        <w:tc>
          <w:tcPr>
            <w:tcW w:w="10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(30,077</w:t>
            </w:r>
          </w:p>
        </w:tc>
        <w:tc>
          <w:tcPr>
            <w:tcW w:w="240" w:type="dxa"/>
            <w:vAlign w:val="bottom"/>
            <w:tcBorders>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color w:val="auto"/>
                <w:w w:val="72"/>
              </w:rPr>
              <w:t>)</w:t>
            </w:r>
          </w:p>
        </w:tc>
        <w:tc>
          <w:tcPr>
            <w:tcW w:w="420" w:type="dxa"/>
            <w:vAlign w:val="bottom"/>
            <w:tcBorders>
              <w:top w:val="single" w:sz="8" w:color="auto"/>
              <w:bottom w:val="single" w:sz="8" w:color="CFF0FC"/>
            </w:tcBorders>
            <w:shd w:val="clear" w:color="auto" w:fill="CFF0FC"/>
          </w:tcPr>
          <w:p>
            <w:pPr>
              <w:spacing w:after="0"/>
              <w:rPr>
                <w:sz w:val="20"/>
                <w:szCs w:val="20"/>
                <w:color w:val="auto"/>
              </w:rPr>
            </w:pPr>
          </w:p>
        </w:tc>
        <w:tc>
          <w:tcPr>
            <w:tcW w:w="9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(37,906</w:t>
            </w:r>
          </w:p>
        </w:tc>
        <w:tc>
          <w:tcPr>
            <w:tcW w:w="240" w:type="dxa"/>
            <w:vAlign w:val="bottom"/>
            <w:tcBorders>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color w:val="auto"/>
                <w:w w:val="72"/>
              </w:rPr>
              <w:t>)</w:t>
            </w:r>
          </w:p>
        </w:tc>
        <w:tc>
          <w:tcPr>
            <w:tcW w:w="240" w:type="dxa"/>
            <w:vAlign w:val="bottom"/>
            <w:tcBorders>
              <w:top w:val="single" w:sz="8" w:color="auto"/>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7,829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820" w:type="dxa"/>
            <w:vAlign w:val="bottom"/>
            <w:tcBorders>
              <w:top w:val="single" w:sz="8" w:color="CFF0FC"/>
            </w:tcBorders>
          </w:tcPr>
          <w:p>
            <w:pPr>
              <w:ind w:left="20"/>
              <w:spacing w:after="0" w:line="208" w:lineRule="exact"/>
              <w:rPr>
                <w:sz w:val="20"/>
                <w:szCs w:val="20"/>
                <w:color w:val="auto"/>
              </w:rPr>
            </w:pPr>
            <w:r>
              <w:rPr>
                <w:rFonts w:ascii="Calibri" w:cs="Calibri" w:eastAsia="Calibri" w:hAnsi="Calibri"/>
                <w:sz w:val="18"/>
                <w:szCs w:val="18"/>
                <w:color w:val="auto"/>
              </w:rPr>
              <w:t>Other income (expense):</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Interest income</w:t>
            </w:r>
          </w:p>
        </w:tc>
        <w:tc>
          <w:tcPr>
            <w:tcW w:w="2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1,460</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1,453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00"/>
              <w:spacing w:after="0" w:line="215" w:lineRule="exact"/>
              <w:rPr>
                <w:sz w:val="20"/>
                <w:szCs w:val="20"/>
                <w:color w:val="auto"/>
              </w:rPr>
            </w:pPr>
            <w:r>
              <w:rPr>
                <w:rFonts w:ascii="Calibri" w:cs="Calibri" w:eastAsia="Calibri" w:hAnsi="Calibri"/>
                <w:sz w:val="18"/>
                <w:szCs w:val="18"/>
                <w:color w:val="auto"/>
              </w:rPr>
              <w:t>Interest expense</w:t>
            </w:r>
          </w:p>
        </w:tc>
        <w:tc>
          <w:tcPr>
            <w:tcW w:w="280" w:type="dxa"/>
            <w:vAlign w:val="bottom"/>
          </w:tcPr>
          <w:p>
            <w:pPr>
              <w:spacing w:after="0"/>
              <w:rPr>
                <w:sz w:val="18"/>
                <w:szCs w:val="18"/>
                <w:color w:val="auto"/>
              </w:rPr>
            </w:pPr>
          </w:p>
        </w:tc>
        <w:tc>
          <w:tcPr>
            <w:tcW w:w="128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(9,217 )</w:t>
            </w:r>
          </w:p>
        </w:tc>
        <w:tc>
          <w:tcPr>
            <w:tcW w:w="420" w:type="dxa"/>
            <w:vAlign w:val="bottom"/>
          </w:tcPr>
          <w:p>
            <w:pPr>
              <w:spacing w:after="0"/>
              <w:rPr>
                <w:sz w:val="18"/>
                <w:szCs w:val="18"/>
                <w:color w:val="auto"/>
              </w:rPr>
            </w:pPr>
          </w:p>
        </w:tc>
        <w:tc>
          <w:tcPr>
            <w:tcW w:w="114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(2,759 )</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(6,458 )</w:t>
            </w: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82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Other income (expense)</w:t>
            </w:r>
          </w:p>
        </w:tc>
        <w:tc>
          <w:tcPr>
            <w:tcW w:w="2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20</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gridSpan w:val="2"/>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(7 )</w:t>
            </w:r>
          </w:p>
        </w:tc>
        <w:tc>
          <w:tcPr>
            <w:tcW w:w="2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20" w:type="dxa"/>
            <w:vAlign w:val="bottom"/>
          </w:tcPr>
          <w:p>
            <w:pPr>
              <w:ind w:left="20"/>
              <w:spacing w:after="0" w:line="208" w:lineRule="exact"/>
              <w:rPr>
                <w:sz w:val="20"/>
                <w:szCs w:val="20"/>
                <w:color w:val="auto"/>
              </w:rPr>
            </w:pPr>
            <w:r>
              <w:rPr>
                <w:rFonts w:ascii="Calibri" w:cs="Calibri" w:eastAsia="Calibri" w:hAnsi="Calibri"/>
                <w:sz w:val="18"/>
                <w:szCs w:val="18"/>
                <w:color w:val="auto"/>
              </w:rPr>
              <w:t>Total other income expense</w:t>
            </w:r>
          </w:p>
        </w:tc>
        <w:tc>
          <w:tcPr>
            <w:tcW w:w="280" w:type="dxa"/>
            <w:vAlign w:val="bottom"/>
          </w:tcPr>
          <w:p>
            <w:pPr>
              <w:spacing w:after="0"/>
              <w:rPr>
                <w:sz w:val="18"/>
                <w:szCs w:val="18"/>
                <w:color w:val="auto"/>
              </w:rPr>
            </w:pPr>
          </w:p>
        </w:tc>
        <w:tc>
          <w:tcPr>
            <w:tcW w:w="1280" w:type="dxa"/>
            <w:vAlign w:val="bottom"/>
            <w:gridSpan w:val="2"/>
          </w:tcPr>
          <w:p>
            <w:pPr>
              <w:jc w:val="right"/>
              <w:ind w:right="90"/>
              <w:spacing w:after="0" w:line="208" w:lineRule="exact"/>
              <w:rPr>
                <w:sz w:val="20"/>
                <w:szCs w:val="20"/>
                <w:color w:val="auto"/>
              </w:rPr>
            </w:pPr>
            <w:r>
              <w:rPr>
                <w:rFonts w:ascii="Calibri" w:cs="Calibri" w:eastAsia="Calibri" w:hAnsi="Calibri"/>
                <w:sz w:val="18"/>
                <w:szCs w:val="18"/>
                <w:color w:val="auto"/>
              </w:rPr>
              <w:t>(7,737 )</w:t>
            </w:r>
          </w:p>
        </w:tc>
        <w:tc>
          <w:tcPr>
            <w:tcW w:w="420" w:type="dxa"/>
            <w:vAlign w:val="bottom"/>
          </w:tcPr>
          <w:p>
            <w:pPr>
              <w:spacing w:after="0"/>
              <w:rPr>
                <w:sz w:val="18"/>
                <w:szCs w:val="18"/>
                <w:color w:val="auto"/>
              </w:rPr>
            </w:pPr>
          </w:p>
        </w:tc>
        <w:tc>
          <w:tcPr>
            <w:tcW w:w="1140" w:type="dxa"/>
            <w:vAlign w:val="bottom"/>
            <w:gridSpan w:val="2"/>
          </w:tcPr>
          <w:p>
            <w:pPr>
              <w:jc w:val="right"/>
              <w:ind w:right="90"/>
              <w:spacing w:after="0" w:line="208" w:lineRule="exact"/>
              <w:rPr>
                <w:sz w:val="20"/>
                <w:szCs w:val="20"/>
                <w:color w:val="auto"/>
              </w:rPr>
            </w:pPr>
            <w:r>
              <w:rPr>
                <w:rFonts w:ascii="Calibri" w:cs="Calibri" w:eastAsia="Calibri" w:hAnsi="Calibri"/>
                <w:sz w:val="18"/>
                <w:szCs w:val="18"/>
                <w:color w:val="auto"/>
              </w:rPr>
              <w:t>(2,759 )</w:t>
            </w:r>
          </w:p>
        </w:tc>
        <w:tc>
          <w:tcPr>
            <w:tcW w:w="240" w:type="dxa"/>
            <w:vAlign w:val="bottom"/>
          </w:tcPr>
          <w:p>
            <w:pPr>
              <w:spacing w:after="0"/>
              <w:rPr>
                <w:sz w:val="18"/>
                <w:szCs w:val="18"/>
                <w:color w:val="auto"/>
              </w:rPr>
            </w:pPr>
          </w:p>
        </w:tc>
        <w:tc>
          <w:tcPr>
            <w:tcW w:w="1140" w:type="dxa"/>
            <w:vAlign w:val="bottom"/>
            <w:gridSpan w:val="2"/>
          </w:tcPr>
          <w:p>
            <w:pPr>
              <w:jc w:val="right"/>
              <w:ind w:right="20"/>
              <w:spacing w:after="0" w:line="208" w:lineRule="exact"/>
              <w:rPr>
                <w:sz w:val="20"/>
                <w:szCs w:val="20"/>
                <w:color w:val="auto"/>
              </w:rPr>
            </w:pPr>
            <w:r>
              <w:rPr>
                <w:rFonts w:ascii="Calibri" w:cs="Calibri" w:eastAsia="Calibri" w:hAnsi="Calibri"/>
                <w:sz w:val="18"/>
                <w:szCs w:val="18"/>
                <w:color w:val="auto"/>
              </w:rPr>
              <w:t>(4,978 )</w:t>
            </w:r>
          </w:p>
        </w:tc>
        <w:tc>
          <w:tcPr>
            <w:tcW w:w="0" w:type="dxa"/>
            <w:vAlign w:val="bottom"/>
          </w:tcPr>
          <w:p>
            <w:pPr>
              <w:spacing w:after="0"/>
              <w:rPr>
                <w:sz w:val="1"/>
                <w:szCs w:val="1"/>
                <w:color w:val="auto"/>
              </w:rPr>
            </w:pPr>
          </w:p>
        </w:tc>
      </w:tr>
      <w:tr>
        <w:trPr>
          <w:trHeight w:val="28"/>
        </w:trPr>
        <w:tc>
          <w:tcPr>
            <w:tcW w:w="4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820" w:type="dxa"/>
            <w:vAlign w:val="bottom"/>
            <w:tcBorders>
              <w:bottom w:val="single" w:sz="8" w:color="CFF0FC"/>
            </w:tcBorders>
            <w:shd w:val="clear" w:color="auto" w:fill="CFF0FC"/>
          </w:tcPr>
          <w:p>
            <w:pPr>
              <w:ind w:left="20"/>
              <w:spacing w:after="0" w:line="208" w:lineRule="exact"/>
              <w:rPr>
                <w:sz w:val="20"/>
                <w:szCs w:val="20"/>
                <w:color w:val="auto"/>
              </w:rPr>
            </w:pPr>
            <w:r>
              <w:rPr>
                <w:rFonts w:ascii="Calibri" w:cs="Calibri" w:eastAsia="Calibri" w:hAnsi="Calibri"/>
                <w:sz w:val="18"/>
                <w:szCs w:val="18"/>
                <w:color w:val="auto"/>
              </w:rPr>
              <w:t>Net loss</w:t>
            </w:r>
          </w:p>
        </w:tc>
        <w:tc>
          <w:tcPr>
            <w:tcW w:w="280" w:type="dxa"/>
            <w:vAlign w:val="bottom"/>
            <w:tcBorders>
              <w:top w:val="single" w:sz="8" w:color="auto"/>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color w:val="auto"/>
                <w:w w:val="87"/>
              </w:rPr>
              <w:t>$</w:t>
            </w:r>
          </w:p>
        </w:tc>
        <w:tc>
          <w:tcPr>
            <w:tcW w:w="10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(37,814</w:t>
            </w:r>
          </w:p>
        </w:tc>
        <w:tc>
          <w:tcPr>
            <w:tcW w:w="240" w:type="dxa"/>
            <w:vAlign w:val="bottom"/>
            <w:tcBorders>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color w:val="auto"/>
                <w:w w:val="72"/>
              </w:rPr>
              <w:t>)</w:t>
            </w:r>
          </w:p>
        </w:tc>
        <w:tc>
          <w:tcPr>
            <w:tcW w:w="420" w:type="dxa"/>
            <w:vAlign w:val="bottom"/>
            <w:tcBorders>
              <w:top w:val="single" w:sz="8" w:color="auto"/>
              <w:bottom w:val="single" w:sz="8" w:color="CFF0FC"/>
            </w:tcBorders>
            <w:shd w:val="clear" w:color="auto" w:fill="CFF0FC"/>
          </w:tcPr>
          <w:p>
            <w:pPr>
              <w:jc w:val="right"/>
              <w:ind w:right="230"/>
              <w:spacing w:after="0" w:line="208" w:lineRule="exact"/>
              <w:rPr>
                <w:sz w:val="20"/>
                <w:szCs w:val="20"/>
                <w:color w:val="auto"/>
              </w:rPr>
            </w:pPr>
            <w:r>
              <w:rPr>
                <w:rFonts w:ascii="Calibri" w:cs="Calibri" w:eastAsia="Calibri" w:hAnsi="Calibri"/>
                <w:sz w:val="18"/>
                <w:szCs w:val="18"/>
                <w:color w:val="auto"/>
                <w:w w:val="87"/>
              </w:rPr>
              <w:t>$</w:t>
            </w:r>
          </w:p>
        </w:tc>
        <w:tc>
          <w:tcPr>
            <w:tcW w:w="90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(40,665</w:t>
            </w:r>
          </w:p>
        </w:tc>
        <w:tc>
          <w:tcPr>
            <w:tcW w:w="240" w:type="dxa"/>
            <w:vAlign w:val="bottom"/>
            <w:tcBorders>
              <w:bottom w:val="single" w:sz="8" w:color="CFF0FC"/>
            </w:tcBorders>
            <w:shd w:val="clear" w:color="auto" w:fill="CFF0FC"/>
          </w:tcPr>
          <w:p>
            <w:pPr>
              <w:jc w:val="right"/>
              <w:ind w:right="90"/>
              <w:spacing w:after="0" w:line="208" w:lineRule="exact"/>
              <w:rPr>
                <w:sz w:val="20"/>
                <w:szCs w:val="20"/>
                <w:color w:val="auto"/>
              </w:rPr>
            </w:pPr>
            <w:r>
              <w:rPr>
                <w:rFonts w:ascii="Calibri" w:cs="Calibri" w:eastAsia="Calibri" w:hAnsi="Calibri"/>
                <w:sz w:val="18"/>
                <w:szCs w:val="18"/>
                <w:color w:val="auto"/>
                <w:w w:val="72"/>
              </w:rPr>
              <w:t>)</w:t>
            </w:r>
          </w:p>
        </w:tc>
        <w:tc>
          <w:tcPr>
            <w:tcW w:w="240" w:type="dxa"/>
            <w:vAlign w:val="bottom"/>
            <w:tcBorders>
              <w:top w:val="single" w:sz="8" w:color="auto"/>
              <w:bottom w:val="single" w:sz="8" w:color="CFF0FC"/>
            </w:tcBorders>
            <w:shd w:val="clear" w:color="auto" w:fill="CFF0FC"/>
          </w:tcPr>
          <w:p>
            <w:pPr>
              <w:jc w:val="right"/>
              <w:ind w:right="50"/>
              <w:spacing w:after="0" w:line="208" w:lineRule="exact"/>
              <w:rPr>
                <w:sz w:val="20"/>
                <w:szCs w:val="20"/>
                <w:color w:val="auto"/>
              </w:rPr>
            </w:pPr>
            <w:r>
              <w:rPr>
                <w:rFonts w:ascii="Calibri" w:cs="Calibri" w:eastAsia="Calibri" w:hAnsi="Calibri"/>
                <w:sz w:val="18"/>
                <w:szCs w:val="18"/>
                <w:color w:val="auto"/>
                <w:w w:val="87"/>
              </w:rPr>
              <w:t>$</w:t>
            </w:r>
          </w:p>
        </w:tc>
        <w:tc>
          <w:tcPr>
            <w:tcW w:w="106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2,851</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4492625</wp:posOffset>
            </wp:positionH>
            <wp:positionV relativeFrom="paragraph">
              <wp:posOffset>-1949450</wp:posOffset>
            </wp:positionV>
            <wp:extent cx="2035810" cy="196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035810" cy="19685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-1302385</wp:posOffset>
            </wp:positionV>
            <wp:extent cx="60325"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-1302385</wp:posOffset>
            </wp:positionV>
            <wp:extent cx="60325"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-1302385</wp:posOffset>
            </wp:positionV>
            <wp:extent cx="5143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-976630</wp:posOffset>
            </wp:positionV>
            <wp:extent cx="60325"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-976630</wp:posOffset>
            </wp:positionV>
            <wp:extent cx="60325"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-976630</wp:posOffset>
            </wp:positionV>
            <wp:extent cx="51435"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-350520</wp:posOffset>
            </wp:positionV>
            <wp:extent cx="6032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-350520</wp:posOffset>
            </wp:positionV>
            <wp:extent cx="6032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-350520</wp:posOffset>
            </wp:positionV>
            <wp:extent cx="5143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03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03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-24765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49"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i w:val="1"/>
          <w:iCs w:val="1"/>
          <w:color w:val="auto"/>
        </w:rPr>
        <w:t xml:space="preserve">Research and Development Expenses. </w:t>
      </w:r>
      <w:r>
        <w:rPr>
          <w:rFonts w:ascii="Calibri" w:cs="Calibri" w:eastAsia="Calibri" w:hAnsi="Calibri"/>
          <w:sz w:val="18"/>
          <w:szCs w:val="18"/>
          <w:color w:val="auto"/>
        </w:rPr>
        <w:t>Research and development expenses were $11.5 million and $17.7 million for the three months ended March</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31, 2023 and 2022, respectvely. The decrease of $6.2 million consisted of a $3.9 million reducton of clinical trial cost, $2.7 million of chemistry manufacturing and controls, or CMC, costs related to vonoprazan, and $0.2 million of regulatory costs partally ofset by an increase of $0.6 million of personnel-related and consultng expenses.</w:t>
      </w:r>
    </w:p>
    <w:p>
      <w:pPr>
        <w:spacing w:after="0" w:line="192" w:lineRule="exact"/>
        <w:rPr>
          <w:sz w:val="20"/>
          <w:szCs w:val="20"/>
          <w:color w:val="auto"/>
        </w:rPr>
      </w:pPr>
    </w:p>
    <w:p>
      <w:pPr>
        <w:ind w:right="20" w:firstLine="509"/>
        <w:spacing w:after="0" w:line="252" w:lineRule="auto"/>
        <w:rPr>
          <w:sz w:val="20"/>
          <w:szCs w:val="20"/>
          <w:color w:val="auto"/>
        </w:rPr>
      </w:pPr>
      <w:r>
        <w:rPr>
          <w:rFonts w:ascii="Calibri" w:cs="Calibri" w:eastAsia="Calibri" w:hAnsi="Calibri"/>
          <w:sz w:val="17"/>
          <w:szCs w:val="17"/>
          <w:i w:val="1"/>
          <w:iCs w:val="1"/>
          <w:color w:val="auto"/>
        </w:rPr>
        <w:t xml:space="preserve">General and Administratve Expenses. </w:t>
      </w:r>
      <w:r>
        <w:rPr>
          <w:rFonts w:ascii="Calibri" w:cs="Calibri" w:eastAsia="Calibri" w:hAnsi="Calibri"/>
          <w:sz w:val="17"/>
          <w:szCs w:val="17"/>
          <w:color w:val="auto"/>
        </w:rPr>
        <w:t>General and administratve expenses were $18.6 million and $20.2 million for the three months ended March</w:t>
      </w:r>
      <w:r>
        <w:rPr>
          <w:rFonts w:ascii="Calibri" w:cs="Calibri" w:eastAsia="Calibri" w:hAnsi="Calibri"/>
          <w:sz w:val="17"/>
          <w:szCs w:val="17"/>
          <w:i w:val="1"/>
          <w:iCs w:val="1"/>
          <w:color w:val="auto"/>
        </w:rPr>
        <w:t xml:space="preserve"> </w:t>
      </w:r>
      <w:r>
        <w:rPr>
          <w:rFonts w:ascii="Calibri" w:cs="Calibri" w:eastAsia="Calibri" w:hAnsi="Calibri"/>
          <w:sz w:val="17"/>
          <w:szCs w:val="17"/>
          <w:color w:val="auto"/>
        </w:rPr>
        <w:t>31, 2023 and 2022, respectvely. The decrease of $1.6 million was due to decreases of $4.4 million in professional services expenses for commercial, medical afairs and other services and $0.3 million of other expense, partally ofset by a $3.1 million increase in personnel related expense. Due to the planned contnued buildout of administratve and commercial functons we expect general and administratve expenses to increase in future periods.</w:t>
      </w:r>
    </w:p>
    <w:p>
      <w:pPr>
        <w:spacing w:after="0" w:line="2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09" w:right="459" w:bottom="1440" w:gutter="0" w:footer="0" w:header="0"/>
        </w:sectPr>
      </w:pPr>
    </w:p>
    <w:bookmarkStart w:id="28" w:name="page29"/>
    <w:bookmarkEnd w:id="28"/>
    <w:p>
      <w:pPr>
        <w:ind w:right="40" w:firstLine="509"/>
        <w:spacing w:after="0" w:line="235" w:lineRule="auto"/>
        <w:rPr>
          <w:sz w:val="20"/>
          <w:szCs w:val="20"/>
          <w:color w:val="auto"/>
        </w:rPr>
      </w:pPr>
      <w:r>
        <w:rPr>
          <w:rFonts w:ascii="Calibri" w:cs="Calibri" w:eastAsia="Calibri" w:hAnsi="Calibri"/>
          <w:sz w:val="18"/>
          <w:szCs w:val="18"/>
          <w:i w:val="1"/>
          <w:iCs w:val="1"/>
          <w:color w:val="auto"/>
        </w:rPr>
        <w:t xml:space="preserve">Other Income (Expense). </w:t>
      </w:r>
      <w:r>
        <w:rPr>
          <w:rFonts w:ascii="Calibri" w:cs="Calibri" w:eastAsia="Calibri" w:hAnsi="Calibri"/>
          <w:sz w:val="18"/>
          <w:szCs w:val="18"/>
          <w:color w:val="auto"/>
        </w:rPr>
        <w:t>Other expense of $7.7 million for the three months ended March 31, 2023 consisted of $9.2 million of interest expense under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Hercules Loan Agreement and Revenue Interest Financing Agreement, partally ofset by $1.5 million of interest income on deposits. Other expense of $2.8 million for the three months ended March 31, 2022 consisted of interest expense under the Hercules Loan Agreement.</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77"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We have incurred net losses and negatve cash fows from operatons since our incepton and antcipate we will contnue to incur net losses for the foreseeable future. As of March 31, 2023, we had cash and cash equivalents of $129.6 million.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Loan Agreement with Hercules</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On September 17, 2021, or the Closing Date, we entered into a Loan and Security Agreement, as amended by the Third Loan Amendment, the Loan Agreement, with Hercules Capital, Inc. (in such capacity, the “Agent” or “Hercules”), as administratve agent and collateral agent and as a lender and the other fnancial insttutons that from tme to tme become partes to the Loan Agreement as lenders (collectvely, the “Lenders”).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On May 9, 2023, we entered into an amendment to the Loan Agreement, or the Third Loan Amendment, pursuant to which, among other things, (i) the second tranche availability was extended from May 15, 2023, to December 15, 2023, to become available on October 1, 2023 or earlier subject to certain conditons, (ii) the third tranche availability was extended from September 30, 2023, to December 15, 2023, to become available on October 1, 2023 or earlier subject to certain conditons, (iii) the efectve date of the Performance Covenants (as defned below) was amended to provide an opton to extend the covenant trigger date, subject to certain conditons, and (iv) the form of warrants to purchase shares of our common stock to be issued upon drawdowns of future tranches was amended such that the exercise price of such warrants shall be equal to the lesser (i) of $11.6783, which is the trailing ten-day volume-weighted average price, or VWAP, prior to entering into the Third Loan Amendment and (ii) the trailing ten-day VWAP preceding the date on which we drawdown future tranches. In connecton with the Third Loan Amendment, a tranche extension amendment fee of $150,000 and a covenant extension amendment fee of $100,000 was paid to the Agent.</w:t>
      </w:r>
    </w:p>
    <w:p>
      <w:pPr>
        <w:spacing w:after="0" w:line="183" w:lineRule="exact"/>
        <w:rPr>
          <w:sz w:val="20"/>
          <w:szCs w:val="20"/>
          <w:color w:val="auto"/>
        </w:rPr>
      </w:pPr>
    </w:p>
    <w:p>
      <w:pPr>
        <w:ind w:right="60" w:firstLine="509"/>
        <w:spacing w:after="0" w:line="249" w:lineRule="auto"/>
        <w:rPr>
          <w:sz w:val="20"/>
          <w:szCs w:val="20"/>
          <w:color w:val="auto"/>
        </w:rPr>
      </w:pPr>
      <w:r>
        <w:rPr>
          <w:rFonts w:ascii="Calibri" w:cs="Calibri" w:eastAsia="Calibri" w:hAnsi="Calibri"/>
          <w:sz w:val="17"/>
          <w:szCs w:val="17"/>
          <w:color w:val="auto"/>
        </w:rPr>
        <w:t>The Loan Agreement provides for term loans in an aggregate principal amount of up to $200.0 million, or the Term Loan, under multple tranches. The tranches consist of (i) a frst tranche consistng of term loans in an aggregate principal amount of $100.0 million, all of which was funded on the Closing Date, or the First Advance, (ii) a second tranche consistng of up to an additonal $50.0 million, available in minimum of $25.0 million per draw, which will become available to us through December 15, 2023, upon the earliest to occur of (a) October 1, 2023, (b) the FDA’s approval of Company’s new drug applicaton (or supplemental new drug applicaton) for vonoprazan for an indicaton relatng to the healing and maintenance of healing of erosive esophagits with an approved indicaton on the label that is generally consistent with that sought in Company’s new drug applicaton submission (or Company’s supplemental new drug applicaton submission, or the EE Milestone, and (c) upon the determinaton by the Agent’s investment commitee in its sole and unfetered discreton, (iii) a third tranche consistng of an additonal $25.0 million, which will become available to us through December 15, 2023, upon the earliest to occur of (a) October 1, 2023, (b) the EE Milestone, and (c) upon the determinaton by the Agent’s investment commitee in its sole and unfetered discreton, and (iv) a fourth tranche consistng of up to an additonal $25.0 million, which will be available, if specifed conditons are met, through March 31, 2024, upon achievement of (a) FDA approval of our NDA for vonoprazan and amoxicillin, or its NDA for vonoprazan, amoxicillin and clarithromycin, in each case for an indicaton relatng to the treatment of H. pylori with an approved indicaton on the claim that is generally consistent with that sought in our NDA submission; and (b) fling of an NDA or supplemental NDA for vonoprazan for indicatons relatng to the healing and maintenance of healing of erosive GERD (milestones</w:t>
      </w:r>
    </w:p>
    <w:p>
      <w:pPr>
        <w:spacing w:after="0" w:line="9" w:lineRule="exact"/>
        <w:rPr>
          <w:sz w:val="20"/>
          <w:szCs w:val="20"/>
          <w:color w:val="auto"/>
        </w:rPr>
      </w:pPr>
    </w:p>
    <w:p>
      <w:pPr>
        <w:ind w:right="500" w:firstLine="8"/>
        <w:spacing w:after="0" w:line="235" w:lineRule="auto"/>
        <w:tabs>
          <w:tab w:leader="none" w:pos="230" w:val="left"/>
        </w:tabs>
        <w:numPr>
          <w:ilvl w:val="0"/>
          <w:numId w:val="5"/>
        </w:numPr>
        <w:rPr>
          <w:rFonts w:ascii="Calibri" w:cs="Calibri" w:eastAsia="Calibri" w:hAnsi="Calibri"/>
          <w:sz w:val="18"/>
          <w:szCs w:val="18"/>
          <w:color w:val="auto"/>
        </w:rPr>
      </w:pPr>
      <w:r>
        <w:rPr>
          <w:rFonts w:ascii="Calibri" w:cs="Calibri" w:eastAsia="Calibri" w:hAnsi="Calibri"/>
          <w:sz w:val="18"/>
          <w:szCs w:val="18"/>
          <w:color w:val="auto"/>
        </w:rPr>
        <w:t>and (b), or, together, the Second Performance Milestone). We intend to use the proceeds of the Term Loan advances for working capital and general corporate purposes.</w:t>
      </w:r>
    </w:p>
    <w:p>
      <w:pPr>
        <w:spacing w:after="0" w:line="19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Term Loan will mature on October 1, 2026, the Maturity Date. The Term Loan bears (i) cash interest at a variable annual rate equal to the greater of (a) 5.50% and (b) the Prime Rate (as reported in the Wall Street Journal) plus 2.25%, the Interest Rate, and (ii) payment-in-kind interest at a per annum rate of interest equal to 3.35%. We may make payments of interest only through October 1, 2024, which may be extended to October 1, 2025, upon the achievement of the Second Performance Milestone on or prior to September 30, 2024 and the conditon that no default or event of default exists, and which is further extendable to October 1, 2026, subject to FDA approval of our NDA (or supplemental NDA) for vonoprazan for an indicaton relatng to the healing and maintenance of healing of erosive esophagits with an approved indicaton on the label that is generally consistent with that sought in our NDA submission (or supplemental NDA submission), and subject to the achievement of the EE Milestone, on or prior to September 30, 2025 and no default or event of default exists, or the interest only period. Afer the interest-only period, the principal balance and related interest will be required to be repaid in equal monthly installments and contnuing untl the Maturity Date.</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29" w:name="page30"/>
    <w:bookmarkEnd w:id="29"/>
    <w:p>
      <w:pPr>
        <w:jc w:val="center"/>
        <w:ind w:right="140"/>
        <w:spacing w:after="0"/>
        <w:rPr>
          <w:sz w:val="20"/>
          <w:szCs w:val="20"/>
          <w:color w:val="auto"/>
        </w:rPr>
      </w:pPr>
      <w:r>
        <w:rPr>
          <w:rFonts w:ascii="Calibri" w:cs="Calibri" w:eastAsia="Calibri" w:hAnsi="Calibri"/>
          <w:sz w:val="18"/>
          <w:szCs w:val="18"/>
          <w:color w:val="auto"/>
        </w:rPr>
        <w:t>The Loan Agreement contains customary closing fees, prepayment fees and provisions, events of default, and representatons, warrantes and</w:t>
      </w:r>
    </w:p>
    <w:p>
      <w:pPr>
        <w:spacing w:after="0" w:line="1" w:lineRule="exact"/>
        <w:rPr>
          <w:sz w:val="20"/>
          <w:szCs w:val="20"/>
          <w:color w:val="auto"/>
        </w:rPr>
      </w:pPr>
    </w:p>
    <w:p>
      <w:pPr>
        <w:spacing w:after="0"/>
        <w:rPr>
          <w:sz w:val="20"/>
          <w:szCs w:val="20"/>
          <w:color w:val="auto"/>
        </w:rPr>
      </w:pPr>
      <w:r>
        <w:rPr>
          <w:rFonts w:ascii="Calibri" w:cs="Calibri" w:eastAsia="Calibri" w:hAnsi="Calibri"/>
          <w:sz w:val="17"/>
          <w:szCs w:val="17"/>
          <w:color w:val="auto"/>
        </w:rPr>
        <w:t>covenants, including a fnancial covenant requiring us to maintain certain levels of cash subject to a control agreement in favor of the Agent (minus accounts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payable not paid within 120 days of invoice) (“Qualifed Cash”), and commencing on November 15, 2023, if the outstanding loan amount is greater than</w:t>
      </w:r>
    </w:p>
    <w:p>
      <w:pPr>
        <w:spacing w:after="0" w:line="235" w:lineRule="auto"/>
        <w:rPr>
          <w:sz w:val="20"/>
          <w:szCs w:val="20"/>
          <w:color w:val="auto"/>
        </w:rPr>
      </w:pPr>
      <w:r>
        <w:rPr>
          <w:rFonts w:ascii="Calibri" w:cs="Calibri" w:eastAsia="Calibri" w:hAnsi="Calibri"/>
          <w:sz w:val="18"/>
          <w:szCs w:val="18"/>
          <w:color w:val="auto"/>
        </w:rPr>
        <w:t>$100.0 million, comply with either (a) at all tmes (i) maintain Qualifed Cash in an amount greater than or equal to (x) the outstanding principal amount of</w:t>
      </w:r>
    </w:p>
    <w:p>
      <w:pPr>
        <w:spacing w:after="0" w:line="2" w:lineRule="exact"/>
        <w:rPr>
          <w:sz w:val="20"/>
          <w:szCs w:val="20"/>
          <w:color w:val="auto"/>
        </w:rPr>
      </w:pPr>
    </w:p>
    <w:p>
      <w:pPr>
        <w:spacing w:after="0"/>
        <w:rPr>
          <w:sz w:val="20"/>
          <w:szCs w:val="20"/>
          <w:color w:val="auto"/>
        </w:rPr>
      </w:pPr>
      <w:r>
        <w:rPr>
          <w:rFonts w:ascii="Calibri" w:cs="Calibri" w:eastAsia="Calibri" w:hAnsi="Calibri"/>
          <w:sz w:val="17"/>
          <w:szCs w:val="17"/>
          <w:color w:val="auto"/>
        </w:rPr>
        <w:t>the term loans, multplied by (y)(i) at all tmes prior to the Second Performance Milestone and the EE Milestone (together, the Approval Milestone), 65% and</w:t>
      </w:r>
    </w:p>
    <w:p>
      <w:pPr>
        <w:spacing w:after="0" w:line="8" w:lineRule="exact"/>
        <w:rPr>
          <w:sz w:val="20"/>
          <w:szCs w:val="20"/>
          <w:color w:val="auto"/>
        </w:rPr>
      </w:pPr>
    </w:p>
    <w:p>
      <w:pPr>
        <w:ind w:firstLine="8"/>
        <w:spacing w:after="0" w:line="235" w:lineRule="auto"/>
        <w:tabs>
          <w:tab w:leader="none" w:pos="227" w:val="left"/>
        </w:tabs>
        <w:numPr>
          <w:ilvl w:val="0"/>
          <w:numId w:val="6"/>
        </w:numPr>
        <w:rPr>
          <w:rFonts w:ascii="Calibri" w:cs="Calibri" w:eastAsia="Calibri" w:hAnsi="Calibri"/>
          <w:sz w:val="18"/>
          <w:szCs w:val="18"/>
          <w:color w:val="auto"/>
        </w:rPr>
      </w:pPr>
      <w:r>
        <w:rPr>
          <w:rFonts w:ascii="Calibri" w:cs="Calibri" w:eastAsia="Calibri" w:hAnsi="Calibri"/>
          <w:sz w:val="18"/>
          <w:szCs w:val="18"/>
          <w:color w:val="auto"/>
        </w:rPr>
        <w:t>at all tmes afer the Approval Milestone, 45%, (ii) meet market capitalizaton of at least $900.0 million, or (b) meet trailing three-month net product revenue from the sale of vonoprazan and products containing vonoprazan equal to or greater than the least of (x) 50% of projectons, (y) the outstanding loan amount divided by 2.75, and (z) $65,000,000 (both (a) and (b), collectvely, the Performance Covenants). Pursuant to the Third Loan Amendment, the efectve date of the Performance Covenants will be extended from November 15, 2023, to May 15, 2024, if we achieve the EE Milestone prior to February 15, 2024.</w:t>
      </w:r>
    </w:p>
    <w:p>
      <w:pPr>
        <w:spacing w:after="0" w:line="193"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As collateral for the obligatons, we granted Hercules a senior security interest in all of our right, ttle, and interest in, to and under substantally all of our property, inclusive of intellectual property.</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connecton with the entry into the Loan Agreement, we issued to Hercules a warrant, or the Warrant, to purchase a number of shares of our common stock equal to 2.5% of the aggregate amount of the Term Loan advances funded, and will issue to Hercules additonal warrants when future Term Loan advances are funded. On the Closing Date, we issued a Warrant for 74,782 shares of common stock. The Warrant is exercisable for a period of seven years from the date of issuance at a per-share exercise price equal to $33.43, which was the closing price of our common stock on September 16, 2021. In connecton with the entry into the Third Loan Amendment, we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we drawdown future tranches. The exercise price and terms of the outstanding Warrant remain unchanged</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Interest Financing Agreement</w:t>
      </w:r>
    </w:p>
    <w:p>
      <w:pPr>
        <w:spacing w:after="0" w:line="190" w:lineRule="exact"/>
        <w:rPr>
          <w:sz w:val="20"/>
          <w:szCs w:val="20"/>
          <w:color w:val="auto"/>
        </w:rPr>
      </w:pPr>
    </w:p>
    <w:p>
      <w:pPr>
        <w:ind w:right="80" w:firstLine="509"/>
        <w:spacing w:after="0" w:line="249" w:lineRule="auto"/>
        <w:rPr>
          <w:sz w:val="20"/>
          <w:szCs w:val="20"/>
          <w:color w:val="auto"/>
        </w:rPr>
      </w:pPr>
      <w:r>
        <w:rPr>
          <w:rFonts w:ascii="Calibri" w:cs="Calibri" w:eastAsia="Calibri" w:hAnsi="Calibri"/>
          <w:sz w:val="17"/>
          <w:szCs w:val="17"/>
          <w:color w:val="auto"/>
        </w:rPr>
        <w:t>On May 3, 2022, we entered into a Revenue Interest Financing Agreement, or the Revenue Interest Financing Agreement, with enttes managed or advised by NovaQuest Capital Management, or NQ, Sagard Holdings Manager LP, or Sagard, and Hercules Capital, Inc., or Hercules, together with NQ and Sagard, the “Inital Investors” pursuant to which we can receive up to $260 million in funding from the Inital Investors. Under the terms of the Revenue Interest Financing Agreement, we received $100 million at the inital closing and can receive an additonal $160 million upon FDA approval of vonoprazan for treatment of Erosive GERD on or before March 31, 2024. In additon, we had the right to obtain a writen commitment from a third party for up to (i) at any tme prior to December 31, 2022, $15,000,000 in additonal funding upon FDA approval of vonoprazan for Erosive GERD, or Approval Additonal Funding, and</w:t>
      </w:r>
    </w:p>
    <w:p>
      <w:pPr>
        <w:spacing w:after="0" w:line="4" w:lineRule="exact"/>
        <w:rPr>
          <w:sz w:val="20"/>
          <w:szCs w:val="20"/>
          <w:color w:val="auto"/>
        </w:rPr>
      </w:pPr>
    </w:p>
    <w:p>
      <w:pPr>
        <w:ind w:right="40" w:firstLine="8"/>
        <w:spacing w:after="0" w:line="258" w:lineRule="auto"/>
        <w:tabs>
          <w:tab w:leader="none" w:pos="227" w:val="left"/>
        </w:tabs>
        <w:numPr>
          <w:ilvl w:val="0"/>
          <w:numId w:val="7"/>
        </w:numPr>
        <w:rPr>
          <w:rFonts w:ascii="Calibri" w:cs="Calibri" w:eastAsia="Calibri" w:hAnsi="Calibri"/>
          <w:sz w:val="17"/>
          <w:szCs w:val="17"/>
          <w:color w:val="auto"/>
        </w:rPr>
      </w:pPr>
      <w:r>
        <w:rPr>
          <w:rFonts w:ascii="Calibri" w:cs="Calibri" w:eastAsia="Calibri" w:hAnsi="Calibri"/>
          <w:sz w:val="17"/>
          <w:szCs w:val="17"/>
          <w:color w:val="auto"/>
        </w:rPr>
        <w:t>at any tme prior to June 30, 2024, $25,000,000 in additonal funding for achievement of a sales milestone, or Milestone Additonal Funding, and, together with the Approval Additonal Funding, or the Additonal Investor Funding. The Inital Investors had a right of frst ofer for any Additonal Investor Funding.</w:t>
      </w:r>
    </w:p>
    <w:p>
      <w:pPr>
        <w:spacing w:after="0" w:line="16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On October 31, 2022, we entered into a Joinder and Waiver Agreement with the Inital Investors and CO Finance LVS XXXVII LLC, or the Additonal Investor, and Hercules Capital, Inc. in its capacity as administratve agent and collateral agent for itself and the lenders under that certain Loan Agreement, or the Joinder Agreement, in respect of the Revenue Interest Financing Agreement. Under the terms of the Joinder Agreement, the Inital Investors waived their rights of frst ofer regarding the Additonal Investor Funding and the Additonal Investor joined the Revenue Interest Financing Agreement to extend commitments for the Additonal Investor Funding. The total amount funded by the Inital Investors and any subsequent investors is referred to herein as the “Investment Amount.”</w:t>
      </w:r>
    </w:p>
    <w:p>
      <w:pPr>
        <w:spacing w:after="0" w:line="18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Under the Revenue Interest Financing Agreement, the Inital Investors, and subsequent to the payment of the Approval Additonal Funding, the Additonal Investor, are enttled to receive a 10% royalty on net sales of products containing vonoprazan. The royalty rate is subject to a step-down on net sales exceeding certain annual thresholds and if we receive FDA approval for vonoprazan for an indicaton relatng to the treatment of heartburn associated with Non-Erosive GERD. The investors’ right to receive royaltes on net sales will terminate when the investors have aggregate payments equal to 200% of the Investment Amount. In additon, at any tme afer the earlier of (i) April 30, 2024 and (ii) the date that the payment for Erosive GERD regulatory approval is made, we have the right to make a cap payment equal to 200% of the Investment Amount less any royaltes already paid, at which tme the agreement will terminate.</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30" w:name="page31"/>
    <w:bookmarkEnd w:id="30"/>
    <w:p>
      <w:pPr>
        <w:ind w:right="320" w:firstLine="509"/>
        <w:spacing w:after="0" w:line="235" w:lineRule="auto"/>
        <w:rPr>
          <w:sz w:val="20"/>
          <w:szCs w:val="20"/>
          <w:color w:val="auto"/>
        </w:rPr>
      </w:pPr>
      <w:r>
        <w:rPr>
          <w:rFonts w:ascii="Calibri" w:cs="Calibri" w:eastAsia="Calibri" w:hAnsi="Calibri"/>
          <w:sz w:val="18"/>
          <w:szCs w:val="18"/>
          <w:color w:val="auto"/>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sufcient to gross the investors up to the applicable Minimum Amount.</w:t>
      </w:r>
    </w:p>
    <w:p>
      <w:pPr>
        <w:spacing w:after="0" w:line="19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Upon the occurrence of an event of default taking place prior to April 1, 2025, between April 1, 2025, and April 1, 2028, and afer April 1, 2028, we are obligated to pay 1.30 tmes Investment Amount, 1.65 tmes Investment Amount, and 2.0 tmes investment amount, respectvely, less any amounts the Company previously paid pursuant to the agreement. Upon the occurrence of a change in control event taking place prior to the earlier of April 1, 2024, or FDA approval of vonoprazan for Erosive GERD, we are obligated to pay 200% of the Investment Amount plus either 15% of the Investment Amount if occurrence prior to May 3, 2023, or plus 30% of the Investment Amount if occurrence thereafer.</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At-the-Market-Ofering</w:t>
      </w:r>
    </w:p>
    <w:p>
      <w:pPr>
        <w:spacing w:after="0" w:line="190" w:lineRule="exact"/>
        <w:rPr>
          <w:sz w:val="20"/>
          <w:szCs w:val="20"/>
          <w:color w:val="auto"/>
        </w:rPr>
      </w:pPr>
    </w:p>
    <w:p>
      <w:pPr>
        <w:ind w:right="120" w:firstLine="509"/>
        <w:spacing w:after="0" w:line="232" w:lineRule="auto"/>
        <w:rPr>
          <w:sz w:val="20"/>
          <w:szCs w:val="20"/>
          <w:color w:val="auto"/>
        </w:rPr>
      </w:pPr>
      <w:r>
        <w:rPr>
          <w:rFonts w:ascii="Calibri" w:cs="Calibri" w:eastAsia="Calibri" w:hAnsi="Calibri"/>
          <w:sz w:val="18"/>
          <w:szCs w:val="18"/>
          <w:color w:val="auto"/>
        </w:rPr>
        <w:t>On November 10, 2020, we entered into an Open Market Sale Agreement</w:t>
      </w:r>
      <w:r>
        <w:rPr>
          <w:rFonts w:ascii="Calibri" w:cs="Calibri" w:eastAsia="Calibri" w:hAnsi="Calibri"/>
          <w:sz w:val="20"/>
          <w:szCs w:val="20"/>
          <w:color w:val="auto"/>
          <w:vertAlign w:val="superscript"/>
        </w:rPr>
        <w:t>SM</w:t>
      </w:r>
      <w:r>
        <w:rPr>
          <w:rFonts w:ascii="Calibri" w:cs="Calibri" w:eastAsia="Calibri" w:hAnsi="Calibri"/>
          <w:sz w:val="18"/>
          <w:szCs w:val="18"/>
          <w:color w:val="auto"/>
        </w:rPr>
        <w:t>, or the Sales Agreement, with Jeferies LLC, or the Sales Agent, under which we may, from tme to tme, sell shares of our common stock having an aggregate ofering price of up to $125.0 million through the Sales Agent, or the ATM Ofering. Sales of our common stock made pursuant to the Sales Agreement, if any, will be made under our shelf registraton statement on Form S-3 which was fled on November 10, 2020 and declared efectve by the SEC on November 16, 2020. We are not obligated to, and we cannot provide any assurances that we will, make any sales of the shares under the Sales Agreement. The Sales Agreement may be terminated by the Sales Agent or us at any tme. For the year ended December 31, 2022, we sold 2,414,897 shares of our common stock under the ATM Ofering for net proceeds of approximately $24.6 million afer deductng $0.8 million of issuance costs. For the three months ended March 31, 2023 we sold 1,514,219 shares for net proceeds of approximately $14.1 million afer deductng $0.4 million of issuance costs. As of March 31, 2023, we utlized $39.9 million of the available $125.0 million under the ATM Ofering.</w:t>
      </w:r>
    </w:p>
    <w:p>
      <w:pPr>
        <w:spacing w:after="0" w:line="19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Underwriten Public Ofering</w:t>
      </w:r>
    </w:p>
    <w:p>
      <w:pPr>
        <w:spacing w:after="0" w:line="177" w:lineRule="exact"/>
        <w:rPr>
          <w:sz w:val="20"/>
          <w:szCs w:val="20"/>
          <w:color w:val="auto"/>
        </w:rPr>
      </w:pPr>
    </w:p>
    <w:p>
      <w:pPr>
        <w:jc w:val="both"/>
        <w:ind w:right="200" w:firstLine="509"/>
        <w:spacing w:after="0" w:line="254" w:lineRule="auto"/>
        <w:rPr>
          <w:sz w:val="20"/>
          <w:szCs w:val="20"/>
          <w:color w:val="auto"/>
        </w:rPr>
      </w:pPr>
      <w:r>
        <w:rPr>
          <w:rFonts w:ascii="Calibri" w:cs="Calibri" w:eastAsia="Calibri" w:hAnsi="Calibri"/>
          <w:sz w:val="17"/>
          <w:szCs w:val="17"/>
          <w:color w:val="auto"/>
        </w:rPr>
        <w:t>On December 16, 2020, the Company completed an underwriten public ofering, in which it sold 2,250,000 shares of its common stock at a price of $42.00 per share for total gross proceeds of $94.5 million. The net purchase price afer deductng underwritng discounts and commissions was $39.48 per share, which generated net proceeds of $88.8 million. We incurred an additonal $0.2 million of ofering expenses in connecton with the public ofering.</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Funding Requirements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Based on our current operatng plan, we believe that our existng cash and cash equivalents together with the drawdown of the remaining $100 million under our Loan Agreement with Hercules are sufcient to fund operatons for at least the next twelve months and receipt of $175 million in additonal milestone payments under our Revenue Interest Financing Agreement, will be sufcient to fund our operatons through the end of 2024. We expect such amounts will allow us to complete our ongoing Phase 3 clinical trial studying vonoprazan for Non-Erosive GERD (daily dosing), and, if our post-complete response leter submissions concerning NVP are approved by FDA, launch vonoprazan for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and Erosive GERD. However, our forecast of the period of tme through which our fnancial resources will be adequate to support our operatons is a forward-looking statement that involves risks and uncertaintes and actual results could vary materially. We have based this estmate on assumptons that may prove to be wrong, and we could deplete our capital resources sooner than we expect. Additonally, the process of testng product candidates in clinical trials is costly, and the tming of progress and expenses in these trials is uncertain.</w:t>
      </w:r>
    </w:p>
    <w:p>
      <w:pPr>
        <w:spacing w:after="0" w:line="17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future capital requirements will depend on many factors, including:</w:t>
      </w:r>
    </w:p>
    <w:p>
      <w:pPr>
        <w:spacing w:after="0" w:line="123" w:lineRule="exact"/>
        <w:rPr>
          <w:sz w:val="20"/>
          <w:szCs w:val="20"/>
          <w:color w:val="auto"/>
        </w:rPr>
      </w:pPr>
    </w:p>
    <w:p>
      <w:pPr>
        <w:ind w:left="1020" w:right="12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initaton, type, number, scope, results, costs and tming of our clinical trials of vonoprazan, and preclinical studies or clinical trials of other potental product candidates we may choose to pursue in the future, including feedback received from regulatory authorites;</w:t>
      </w:r>
    </w:p>
    <w:p>
      <w:pPr>
        <w:spacing w:after="0" w:line="123" w:lineRule="exact"/>
        <w:rPr>
          <w:rFonts w:ascii="Times New Roman" w:cs="Times New Roman" w:eastAsia="Times New Roman" w:hAnsi="Times New Roman"/>
          <w:sz w:val="18"/>
          <w:szCs w:val="18"/>
          <w:color w:val="auto"/>
        </w:rPr>
      </w:pPr>
    </w:p>
    <w:p>
      <w:pPr>
        <w:ind w:left="1020" w:right="50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and tming of manufacturing for vonoprazan or any future product candidates, including commercial scale manufacturing if any product candidate is approved;</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tming and outcome of regulatory review of vonoprazan or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of obtaining, maintaining and enforcing our patents and other intellectual property rights;</w:t>
      </w:r>
    </w:p>
    <w:p>
      <w:pPr>
        <w:spacing w:after="0" w:line="122" w:lineRule="exact"/>
        <w:rPr>
          <w:rFonts w:ascii="Times New Roman" w:cs="Times New Roman" w:eastAsia="Times New Roman" w:hAnsi="Times New Roman"/>
          <w:sz w:val="18"/>
          <w:szCs w:val="18"/>
          <w:color w:val="auto"/>
        </w:rPr>
      </w:pPr>
    </w:p>
    <w:p>
      <w:pPr>
        <w:ind w:left="1020" w:right="300" w:hanging="503"/>
        <w:spacing w:after="0" w:line="235" w:lineRule="auto"/>
        <w:tabs>
          <w:tab w:leader="none" w:pos="102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eforts to enhance operatonal systems and hire additonal personnel to satsfy our obligatons as a public company, including enhanced internal controls over fnancial reportng;</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31" w:name="page32"/>
    <w:bookmarkEnd w:id="31"/>
    <w:p>
      <w:pPr>
        <w:ind w:left="1020" w:right="10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associated with hiring additonal personnel and consultants as our business grows, including additonal executve ofcers and clinical development personnel;</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amount of the milestone or other payments we must make to Takeda and any future licensors;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and tming of establishing or securing sales and marketng capabilites for vonoprazan or any future product candidate;</w:t>
      </w:r>
    </w:p>
    <w:p>
      <w:pPr>
        <w:spacing w:after="0" w:line="122" w:lineRule="exact"/>
        <w:rPr>
          <w:rFonts w:ascii="Times New Roman" w:cs="Times New Roman" w:eastAsia="Times New Roman" w:hAnsi="Times New Roman"/>
          <w:sz w:val="18"/>
          <w:szCs w:val="18"/>
          <w:color w:val="auto"/>
        </w:rPr>
      </w:pPr>
    </w:p>
    <w:p>
      <w:pPr>
        <w:ind w:left="1020" w:right="4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achieve sufcient market acceptance, coverage and adequate reimbursement from third-party payers and adequate market share and revenue for any approved products;</w:t>
      </w:r>
    </w:p>
    <w:p>
      <w:pPr>
        <w:spacing w:after="0" w:line="123" w:lineRule="exact"/>
        <w:rPr>
          <w:rFonts w:ascii="Times New Roman" w:cs="Times New Roman" w:eastAsia="Times New Roman" w:hAnsi="Times New Roman"/>
          <w:sz w:val="18"/>
          <w:szCs w:val="18"/>
          <w:color w:val="auto"/>
        </w:rPr>
      </w:pPr>
    </w:p>
    <w:p>
      <w:pPr>
        <w:ind w:left="1020" w:right="200" w:hanging="503"/>
        <w:spacing w:after="0" w:line="235" w:lineRule="auto"/>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patents’ willingness to pay out-of-pocket for any approved products in the absence of coverage and/or adequate reimbursement from third-party payers;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terms and tming of establishing and maintaining collaboratons, licenses and other similar arrangements;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costs associated with any products or technologies that we may in-license or acquire.</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Untl such tme, if ever, as we can generate substantal product revenues to support our cost structure, we expect to fnance our cash needs through equity oferings, the Loan Agreement, the Revenue Interest Financing Agreement, debt fnancings, or other capital sources, including potental collaboratons, licenses and other similar arrangements. To the extent that we raise additonal capital through the sale of equity or convertble debt securites, the ownership interest of our stockholders will be or could be diluted, and the terms of these securites may include liquidaton or other preferences that adversely afect the rights of our common stockholders. Debt fnancing and equity fnancing, if available, may involve agreements that include covenants limitng or restrictng our ability to take specifc actons, such as incurring additonal debt, making capital expenditures or declaring dividends. If we raise funds through collaboratons, or other similar arrangements with third partes, we may have to relinquish valuable rights to our technologies, future revenue streams, research programs or product candidates or grant licenses on terms that may not be favorable to us and/or may reduce the value of our common stock. If we are unable to raise additonal funds through equity or debt fnancings when needed, we may be required to delay, limit, reduce or terminate our product development or future commercializaton eforts or grant rights to develop and market our product candidates even if we would otherwise prefer to develop and market such product candidates ourselves.</w:t>
      </w:r>
    </w:p>
    <w:p>
      <w:pPr>
        <w:spacing w:after="0" w:line="185"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Including our existng cash and cash equivalents, we believe that we have sufcient working capital on hand to fund operatons such that there is no substantal doubt as to our ability to contnue as a going concern at the date the fnancial statements were issued. There can be no assurance that we will be successful in acquiring additonal funding, that our projectons of future working capital needs will prove accurate, or that any additonal funding would be sufcient to contnue operatons in future years. Based on our current operatng plan, we believe that our existng cash and cash equivalents together with the drawdown of the remaining $100 million under our Loan Agreement with Hercules are sufcient to fund operatons for at least the next twelve months and receipt of $175 million in additonal milestone payments under our Revenue Interest Financing Agreement, will be sufcient to fund our operatons through the end of 2024.</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Flows</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sets forth a summary of the net cash fow actvity for each of the periods indicated (in thousands):</w:t>
      </w:r>
    </w:p>
    <w:p>
      <w:pPr>
        <w:spacing w:after="0" w:line="226"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5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4"/>
          </w:tcPr>
          <w:p>
            <w:pPr>
              <w:jc w:val="right"/>
              <w:ind w:right="410"/>
              <w:spacing w:after="0"/>
              <w:rPr>
                <w:sz w:val="20"/>
                <w:szCs w:val="20"/>
                <w:color w:val="auto"/>
              </w:rPr>
            </w:pPr>
            <w:r>
              <w:rPr>
                <w:rFonts w:ascii="Calibri" w:cs="Calibri" w:eastAsia="Calibri" w:hAnsi="Calibri"/>
                <w:sz w:val="18"/>
                <w:szCs w:val="18"/>
                <w:b w:val="1"/>
                <w:bCs w:val="1"/>
                <w:color w:val="auto"/>
              </w:rPr>
              <w:t>Three Months Ended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3"/>
          </w:tcPr>
          <w:p>
            <w:pPr>
              <w:jc w:val="right"/>
              <w:spacing w:after="0" w:line="216" w:lineRule="exact"/>
              <w:rPr>
                <w:sz w:val="20"/>
                <w:szCs w:val="20"/>
                <w:color w:val="auto"/>
              </w:rPr>
            </w:pPr>
            <w:r>
              <w:rPr>
                <w:rFonts w:ascii="Calibri" w:cs="Calibri" w:eastAsia="Calibri" w:hAnsi="Calibri"/>
                <w:sz w:val="18"/>
                <w:szCs w:val="18"/>
                <w:b w:val="1"/>
                <w:bCs w:val="1"/>
                <w:color w:val="auto"/>
              </w:rPr>
              <w:t>March 31,</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vMerge w:val="restart"/>
          </w:tcPr>
          <w:p>
            <w:pPr>
              <w:jc w:val="right"/>
              <w:ind w:right="190"/>
              <w:spacing w:after="0"/>
              <w:rPr>
                <w:sz w:val="20"/>
                <w:szCs w:val="20"/>
                <w:color w:val="auto"/>
              </w:rPr>
            </w:pPr>
            <w:r>
              <w:rPr>
                <w:rFonts w:ascii="Calibri" w:cs="Calibri" w:eastAsia="Calibri" w:hAnsi="Calibri"/>
                <w:sz w:val="18"/>
                <w:szCs w:val="18"/>
                <w:b w:val="1"/>
                <w:bCs w:val="1"/>
                <w:color w:val="auto"/>
              </w:rPr>
              <w:t>$ Change</w:t>
            </w:r>
          </w:p>
        </w:tc>
        <w:tc>
          <w:tcPr>
            <w:tcW w:w="0" w:type="dxa"/>
            <w:vAlign w:val="bottom"/>
          </w:tcPr>
          <w:p>
            <w:pPr>
              <w:spacing w:after="0"/>
              <w:rPr>
                <w:sz w:val="1"/>
                <w:szCs w:val="1"/>
                <w:color w:val="auto"/>
              </w:rPr>
            </w:pPr>
          </w:p>
        </w:tc>
      </w:tr>
      <w:tr>
        <w:trPr>
          <w:trHeight w:val="208"/>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350"/>
              <w:spacing w:after="0" w:line="208" w:lineRule="exact"/>
              <w:rPr>
                <w:sz w:val="20"/>
                <w:szCs w:val="20"/>
                <w:color w:val="auto"/>
              </w:rPr>
            </w:pPr>
            <w:r>
              <w:rPr>
                <w:rFonts w:ascii="Calibri" w:cs="Calibri" w:eastAsia="Calibri" w:hAnsi="Calibri"/>
                <w:sz w:val="18"/>
                <w:szCs w:val="18"/>
                <w:b w:val="1"/>
                <w:bCs w:val="1"/>
                <w:color w:val="auto"/>
              </w:rPr>
              <w:t>2022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5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Net cash provided by (used in):</w:t>
            </w: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tcPr>
          <w:p>
            <w:pPr>
              <w:ind w:left="180"/>
              <w:spacing w:after="0" w:line="215" w:lineRule="exact"/>
              <w:rPr>
                <w:sz w:val="20"/>
                <w:szCs w:val="20"/>
                <w:color w:val="auto"/>
              </w:rPr>
            </w:pPr>
            <w:r>
              <w:rPr>
                <w:rFonts w:ascii="Calibri" w:cs="Calibri" w:eastAsia="Calibri" w:hAnsi="Calibri"/>
                <w:sz w:val="18"/>
                <w:szCs w:val="18"/>
                <w:color w:val="auto"/>
              </w:rPr>
              <w:t>Operatng actvites</w:t>
            </w:r>
          </w:p>
        </w:tc>
        <w:tc>
          <w:tcPr>
            <w:tcW w:w="2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w w:val="87"/>
              </w:rPr>
              <w:t>$</w:t>
            </w:r>
          </w:p>
        </w:tc>
        <w:tc>
          <w:tcPr>
            <w:tcW w:w="920" w:type="dxa"/>
            <w:vAlign w:val="bottom"/>
          </w:tcPr>
          <w:p>
            <w:pPr>
              <w:jc w:val="right"/>
              <w:spacing w:after="0" w:line="215" w:lineRule="exact"/>
              <w:rPr>
                <w:sz w:val="20"/>
                <w:szCs w:val="20"/>
                <w:color w:val="auto"/>
              </w:rPr>
            </w:pPr>
            <w:r>
              <w:rPr>
                <w:rFonts w:ascii="Calibri" w:cs="Calibri" w:eastAsia="Calibri" w:hAnsi="Calibri"/>
                <w:sz w:val="18"/>
                <w:szCs w:val="18"/>
                <w:color w:val="auto"/>
              </w:rPr>
              <w:t>(39,669 )</w:t>
            </w:r>
          </w:p>
        </w:tc>
        <w:tc>
          <w:tcPr>
            <w:tcW w:w="440" w:type="dxa"/>
            <w:vAlign w:val="bottom"/>
            <w:gridSpan w:val="2"/>
          </w:tcPr>
          <w:p>
            <w:pPr>
              <w:jc w:val="right"/>
              <w:ind w:right="130"/>
              <w:spacing w:after="0" w:line="215" w:lineRule="exact"/>
              <w:rPr>
                <w:sz w:val="20"/>
                <w:szCs w:val="20"/>
                <w:color w:val="auto"/>
              </w:rPr>
            </w:pPr>
            <w:r>
              <w:rPr>
                <w:rFonts w:ascii="Calibri" w:cs="Calibri" w:eastAsia="Calibri" w:hAnsi="Calibri"/>
                <w:sz w:val="18"/>
                <w:szCs w:val="18"/>
                <w:color w:val="auto"/>
              </w:rPr>
              <w:t>$</w:t>
            </w:r>
          </w:p>
        </w:tc>
        <w:tc>
          <w:tcPr>
            <w:tcW w:w="840" w:type="dxa"/>
            <w:vAlign w:val="bottom"/>
          </w:tcPr>
          <w:p>
            <w:pPr>
              <w:jc w:val="right"/>
              <w:spacing w:after="0" w:line="215" w:lineRule="exact"/>
              <w:rPr>
                <w:sz w:val="20"/>
                <w:szCs w:val="20"/>
                <w:color w:val="auto"/>
              </w:rPr>
            </w:pPr>
            <w:r>
              <w:rPr>
                <w:rFonts w:ascii="Calibri" w:cs="Calibri" w:eastAsia="Calibri" w:hAnsi="Calibri"/>
                <w:sz w:val="18"/>
                <w:szCs w:val="18"/>
                <w:color w:val="auto"/>
              </w:rPr>
              <w:t>(44,757 )</w:t>
            </w:r>
          </w:p>
        </w:tc>
        <w:tc>
          <w:tcPr>
            <w:tcW w:w="2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0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5,088</w:t>
            </w:r>
          </w:p>
        </w:tc>
        <w:tc>
          <w:tcPr>
            <w:tcW w:w="0" w:type="dxa"/>
            <w:vAlign w:val="bottom"/>
          </w:tcPr>
          <w:p>
            <w:pPr>
              <w:spacing w:after="0"/>
              <w:rPr>
                <w:sz w:val="1"/>
                <w:szCs w:val="1"/>
                <w:color w:val="auto"/>
              </w:rPr>
            </w:pPr>
          </w:p>
        </w:tc>
      </w:tr>
      <w:tr>
        <w:trPr>
          <w:trHeight w:val="28"/>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320" w:type="dxa"/>
            <w:vAlign w:val="bottom"/>
            <w:tcBorders>
              <w:bottom w:val="single" w:sz="8" w:color="CFF0FC"/>
            </w:tcBorders>
            <w:shd w:val="clear" w:color="auto" w:fill="CFF0FC"/>
          </w:tcPr>
          <w:p>
            <w:pPr>
              <w:ind w:left="180"/>
              <w:spacing w:after="0" w:line="215" w:lineRule="exact"/>
              <w:rPr>
                <w:sz w:val="20"/>
                <w:szCs w:val="20"/>
                <w:color w:val="auto"/>
              </w:rPr>
            </w:pPr>
            <w:r>
              <w:rPr>
                <w:rFonts w:ascii="Calibri" w:cs="Calibri" w:eastAsia="Calibri" w:hAnsi="Calibri"/>
                <w:sz w:val="18"/>
                <w:szCs w:val="18"/>
                <w:color w:val="auto"/>
              </w:rPr>
              <w:t>Investng actvites</w:t>
            </w:r>
          </w:p>
        </w:tc>
        <w:tc>
          <w:tcPr>
            <w:tcW w:w="2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(214 )</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(67 )</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(147 )</w:t>
            </w:r>
          </w:p>
        </w:tc>
        <w:tc>
          <w:tcPr>
            <w:tcW w:w="0" w:type="dxa"/>
            <w:vAlign w:val="bottom"/>
          </w:tcPr>
          <w:p>
            <w:pPr>
              <w:spacing w:after="0"/>
              <w:rPr>
                <w:sz w:val="1"/>
                <w:szCs w:val="1"/>
                <w:color w:val="auto"/>
              </w:rPr>
            </w:pPr>
          </w:p>
        </w:tc>
      </w:tr>
      <w:tr>
        <w:trPr>
          <w:trHeight w:val="215"/>
        </w:trPr>
        <w:tc>
          <w:tcPr>
            <w:tcW w:w="5320" w:type="dxa"/>
            <w:vAlign w:val="bottom"/>
          </w:tcPr>
          <w:p>
            <w:pPr>
              <w:ind w:left="180"/>
              <w:spacing w:after="0" w:line="215" w:lineRule="exact"/>
              <w:rPr>
                <w:sz w:val="20"/>
                <w:szCs w:val="20"/>
                <w:color w:val="auto"/>
              </w:rPr>
            </w:pPr>
            <w:r>
              <w:rPr>
                <w:rFonts w:ascii="Calibri" w:cs="Calibri" w:eastAsia="Calibri" w:hAnsi="Calibri"/>
                <w:sz w:val="18"/>
                <w:szCs w:val="18"/>
                <w:color w:val="auto"/>
              </w:rPr>
              <w:t>Financing actvites</w:t>
            </w:r>
          </w:p>
        </w:tc>
        <w:tc>
          <w:tcPr>
            <w:tcW w:w="220" w:type="dxa"/>
            <w:vAlign w:val="bottom"/>
          </w:tcPr>
          <w:p>
            <w:pPr>
              <w:spacing w:after="0"/>
              <w:rPr>
                <w:sz w:val="18"/>
                <w:szCs w:val="18"/>
                <w:color w:val="auto"/>
              </w:rPr>
            </w:pPr>
          </w:p>
        </w:tc>
        <w:tc>
          <w:tcPr>
            <w:tcW w:w="9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14,072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14,072</w:t>
            </w:r>
          </w:p>
        </w:tc>
        <w:tc>
          <w:tcPr>
            <w:tcW w:w="0" w:type="dxa"/>
            <w:vAlign w:val="bottom"/>
          </w:tcPr>
          <w:p>
            <w:pPr>
              <w:spacing w:after="0"/>
              <w:rPr>
                <w:sz w:val="1"/>
                <w:szCs w:val="1"/>
                <w:color w:val="auto"/>
              </w:rPr>
            </w:pPr>
          </w:p>
        </w:tc>
      </w:tr>
      <w:tr>
        <w:trPr>
          <w:trHeight w:val="28"/>
        </w:trPr>
        <w:tc>
          <w:tcPr>
            <w:tcW w:w="5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320" w:type="dxa"/>
            <w:vAlign w:val="bottom"/>
            <w:tcBorders>
              <w:bottom w:val="single" w:sz="8" w:color="CFF0FC"/>
            </w:tcBorders>
            <w:shd w:val="clear" w:color="auto" w:fill="CFF0FC"/>
          </w:tcPr>
          <w:p>
            <w:pPr>
              <w:spacing w:after="0" w:line="208" w:lineRule="exact"/>
              <w:rPr>
                <w:sz w:val="20"/>
                <w:szCs w:val="20"/>
                <w:color w:val="auto"/>
              </w:rPr>
            </w:pPr>
            <w:r>
              <w:rPr>
                <w:rFonts w:ascii="Calibri" w:cs="Calibri" w:eastAsia="Calibri" w:hAnsi="Calibri"/>
                <w:sz w:val="18"/>
                <w:szCs w:val="18"/>
                <w:color w:val="auto"/>
              </w:rPr>
              <w:t>Net decrease in cash</w:t>
            </w:r>
          </w:p>
        </w:tc>
        <w:tc>
          <w:tcPr>
            <w:tcW w:w="220" w:type="dxa"/>
            <w:vAlign w:val="bottom"/>
            <w:tcBorders>
              <w:top w:val="single" w:sz="8" w:color="auto"/>
              <w:bottom w:val="single" w:sz="8" w:color="CFF0FC"/>
            </w:tcBorders>
            <w:shd w:val="clear" w:color="auto" w:fill="CFF0FC"/>
          </w:tcPr>
          <w:p>
            <w:pPr>
              <w:jc w:val="right"/>
              <w:ind w:right="30"/>
              <w:spacing w:after="0" w:line="208" w:lineRule="exact"/>
              <w:rPr>
                <w:sz w:val="20"/>
                <w:szCs w:val="20"/>
                <w:color w:val="auto"/>
              </w:rPr>
            </w:pPr>
            <w:r>
              <w:rPr>
                <w:rFonts w:ascii="Calibri" w:cs="Calibri" w:eastAsia="Calibri" w:hAnsi="Calibri"/>
                <w:sz w:val="18"/>
                <w:szCs w:val="18"/>
                <w:color w:val="auto"/>
                <w:w w:val="87"/>
              </w:rPr>
              <w:t>$</w:t>
            </w:r>
          </w:p>
        </w:tc>
        <w:tc>
          <w:tcPr>
            <w:tcW w:w="92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(25,811 )</w:t>
            </w:r>
          </w:p>
        </w:tc>
        <w:tc>
          <w:tcPr>
            <w:tcW w:w="1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top w:val="single" w:sz="8" w:color="auto"/>
              <w:bottom w:val="single" w:sz="8" w:color="CFF0FC"/>
            </w:tcBorders>
            <w:shd w:val="clear" w:color="auto" w:fill="CFF0FC"/>
          </w:tcPr>
          <w:p>
            <w:pPr>
              <w:jc w:val="right"/>
              <w:ind w:right="130"/>
              <w:spacing w:after="0" w:line="208" w:lineRule="exact"/>
              <w:rPr>
                <w:sz w:val="20"/>
                <w:szCs w:val="20"/>
                <w:color w:val="auto"/>
              </w:rPr>
            </w:pPr>
            <w:r>
              <w:rPr>
                <w:rFonts w:ascii="Calibri" w:cs="Calibri" w:eastAsia="Calibri" w:hAnsi="Calibri"/>
                <w:sz w:val="18"/>
                <w:szCs w:val="18"/>
                <w:color w:val="auto"/>
                <w:w w:val="87"/>
              </w:rPr>
              <w:t>$</w:t>
            </w:r>
          </w:p>
        </w:tc>
        <w:tc>
          <w:tcPr>
            <w:tcW w:w="8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rPr>
              <w:t>(44,824 )</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CFF0FC"/>
            </w:tcBorders>
            <w:shd w:val="clear" w:color="auto" w:fill="CFF0FC"/>
          </w:tcPr>
          <w:p>
            <w:pPr>
              <w:jc w:val="right"/>
              <w:spacing w:after="0" w:line="208" w:lineRule="exact"/>
              <w:rPr>
                <w:sz w:val="20"/>
                <w:szCs w:val="20"/>
                <w:color w:val="auto"/>
              </w:rPr>
            </w:pPr>
            <w:r>
              <w:rPr>
                <w:rFonts w:ascii="Calibri" w:cs="Calibri" w:eastAsia="Calibri" w:hAnsi="Calibri"/>
                <w:sz w:val="18"/>
                <w:szCs w:val="18"/>
                <w:color w:val="auto"/>
                <w:w w:val="87"/>
              </w:rPr>
              <w:t>$</w:t>
            </w:r>
          </w:p>
        </w:tc>
        <w:tc>
          <w:tcPr>
            <w:tcW w:w="1000" w:type="dxa"/>
            <w:vAlign w:val="bottom"/>
            <w:tcBorders>
              <w:top w:val="single" w:sz="8" w:color="auto"/>
              <w:bottom w:val="single" w:sz="8" w:color="CFF0FC"/>
            </w:tcBorders>
            <w:shd w:val="clear" w:color="auto" w:fill="CFF0FC"/>
          </w:tcPr>
          <w:p>
            <w:pPr>
              <w:jc w:val="right"/>
              <w:ind w:right="10"/>
              <w:spacing w:after="0" w:line="208" w:lineRule="exact"/>
              <w:rPr>
                <w:sz w:val="20"/>
                <w:szCs w:val="20"/>
                <w:color w:val="auto"/>
              </w:rPr>
            </w:pPr>
            <w:r>
              <w:rPr>
                <w:rFonts w:ascii="Calibri" w:cs="Calibri" w:eastAsia="Calibri" w:hAnsi="Calibri"/>
                <w:sz w:val="18"/>
                <w:szCs w:val="18"/>
                <w:color w:val="auto"/>
              </w:rPr>
              <w:t>19,013</w:t>
            </w: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-24765</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Operatng Actvites</w:t>
      </w:r>
    </w:p>
    <w:p>
      <w:pPr>
        <w:spacing w:after="0" w:line="17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Net cash used in operatng actvites was approximately $39.7 million and $44.8 million for the three months ended March 31, 2023 and 2022, respectvely. The net cash used in operatng actvites for the three months ended March 31, 2023 was due to approximately $23.3 million spent on ongoing research and development and general and administratve actvites and a $16.4</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5" w:right="359" w:bottom="1440" w:gutter="0" w:footer="0" w:header="0"/>
        </w:sectPr>
      </w:pPr>
    </w:p>
    <w:bookmarkStart w:id="32" w:name="page33"/>
    <w:bookmarkEnd w:id="32"/>
    <w:p>
      <w:pPr>
        <w:spacing w:after="0" w:line="235" w:lineRule="auto"/>
        <w:rPr>
          <w:sz w:val="20"/>
          <w:szCs w:val="20"/>
          <w:color w:val="auto"/>
        </w:rPr>
      </w:pPr>
      <w:r>
        <w:rPr>
          <w:rFonts w:ascii="Calibri" w:cs="Calibri" w:eastAsia="Calibri" w:hAnsi="Calibri"/>
          <w:sz w:val="18"/>
          <w:szCs w:val="18"/>
          <w:color w:val="auto"/>
        </w:rPr>
        <w:t>million net change in operatng assets and liabilites. The net change in operatng assets and liabilites primarily related to a $11.3 million decrease in accounts payable and accrued expenses (including clinical trial expenses), a $5.1 million increase in prepaid assets and other current assets. The net cash used in operatng actvites for the three months ended March 31, 2022 was due to approximately $32.8 million spent on ongoing research and development and general and administratve actvites and a $12.0 million net change in operatng assets and liabilites. The net change in operatng assets and liabilites primarily related to a $7.5 million decrease in accounts payable and accrued expenses (including clinical trial expenses), a $4.0 million increase in prepaid assets and other current assets, and a $0.5 million increase in other long-term assets.</w:t>
      </w:r>
    </w:p>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Investng Actvites</w:t>
      </w:r>
    </w:p>
    <w:p>
      <w:pPr>
        <w:spacing w:after="0" w:line="177" w:lineRule="exact"/>
        <w:rPr>
          <w:sz w:val="20"/>
          <w:szCs w:val="20"/>
          <w:color w:val="auto"/>
        </w:rPr>
      </w:pPr>
    </w:p>
    <w:p>
      <w:pPr>
        <w:ind w:right="600" w:firstLine="509"/>
        <w:spacing w:after="0" w:line="235" w:lineRule="auto"/>
        <w:rPr>
          <w:sz w:val="20"/>
          <w:szCs w:val="20"/>
          <w:color w:val="auto"/>
        </w:rPr>
      </w:pPr>
      <w:r>
        <w:rPr>
          <w:rFonts w:ascii="Calibri" w:cs="Calibri" w:eastAsia="Calibri" w:hAnsi="Calibri"/>
          <w:sz w:val="18"/>
          <w:szCs w:val="18"/>
          <w:color w:val="auto"/>
        </w:rPr>
        <w:t>Net cash used in investng actvites for the three months ended March 31, 2023 and 2022, was primarily due to the cash we paid for acquiring property, plant and equipment.</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Financing Actvites</w:t>
      </w:r>
    </w:p>
    <w:p>
      <w:pPr>
        <w:spacing w:after="0" w:line="217" w:lineRule="exact"/>
        <w:rPr>
          <w:sz w:val="20"/>
          <w:szCs w:val="20"/>
          <w:color w:val="auto"/>
        </w:rPr>
      </w:pPr>
    </w:p>
    <w:p>
      <w:pPr>
        <w:ind w:right="120" w:firstLine="562"/>
        <w:spacing w:after="0" w:line="235" w:lineRule="auto"/>
        <w:rPr>
          <w:sz w:val="20"/>
          <w:szCs w:val="20"/>
          <w:color w:val="auto"/>
        </w:rPr>
      </w:pPr>
      <w:r>
        <w:rPr>
          <w:rFonts w:ascii="Calibri" w:cs="Calibri" w:eastAsia="Calibri" w:hAnsi="Calibri"/>
          <w:sz w:val="18"/>
          <w:szCs w:val="18"/>
          <w:color w:val="auto"/>
        </w:rPr>
        <w:t>Net cash provided by fnancing actvites for the three months ended March 31, 2023 was $14.1 million. No cash was provided by fnancing actvites for the three months ended March 31, 2022.</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Contractual Obligatons and Commitments</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Other than disclosed below, there were no material changes outside the ordinary course of our business during the three months ended March 31, 2023 to the informaton regarding our contractual obligatons that was disclosed in Management’s Discussion and Analysis of Financial Conditon and Results of Operatons contained in our 2022 Form 10-K.</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 and Signifcant Judgments and Estmates</w:t>
      </w:r>
    </w:p>
    <w:p>
      <w:pPr>
        <w:spacing w:after="0" w:line="190"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Our management’s discussion and analysis of our fnancial conditon and results of operatons is based on our fnancial statements, which have been prepared in accordance with generally accepted accountng principles in the United States, or GAAP. The preparaton of our fnancial statements requires us to make estmates and assumptons that afect the reported amounts of assets, liabilites and expenses and the disclosure of contngent assets and liabilites in our fnancial statements and accompanying notes. We evaluate these estmates and judgments on an ongoing basis. We base our estmates on historical experience and on various other factors that we believe are reasonable under the circumstances, the results of which form the basis for making judgments about the carrying value of assets and liabilites that are not readily apparent from other sources. Actual results may difer from these estmates under diferent assumptons or conditons.</w:t>
      </w:r>
    </w:p>
    <w:p>
      <w:pPr>
        <w:spacing w:after="0" w:line="181"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For a descripton of our critcal accountng policies, please see the secton enttled “Management’s Discussion and Analysis of Financial Conditon and Results of Operatons — Critcal Accountng Policies and Signifcant Judgments and Estmates” contained in our 2022 Form 10-K. There have not been any material changes to the critcal accountng policies discussed therein during the three months ended March 31, 2023.</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Company Informaton</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JOBS Act</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As an emerging growth company under the Jumpstart Our Business Startups Act of 2012, or the JOBS Act, we can take advantage of an extended transiton period for complying with new or revised accountng standards. This allows an emerging growth company to delay the adopton of certain accountng standards untl those standards would otherwise apply to private companies. We have irrevocably elected not to avail ourselves of this exempton and, therefore, we will be subject to the same new or revised accountng standards as other public companies that are not emerging growth companies. We intend to rely on other exemptons provided by the JOBS Act, including without limitaton, not being required to comply with the auditor atestaton requirements of Secton 404(b) of Sarbanes-Oxley.</w:t>
      </w:r>
    </w:p>
    <w:p>
      <w:pPr>
        <w:spacing w:after="0" w:line="18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will remain an emerging growth company untl the earliest of (i) the last day of the fscal year following the ffh anniversary of the consummaton of our IPO, (ii) the last day of the fscal year in which we have total annual gross revenue of at least $1.235 billion, (iii) the last day of the fscal year in which we are deemed to be a “large accelerated fler” as defned in Rule 12b-2 under the Exchange Act, which would occur if the market value of our common stock held by non-afliates exceeded $700.0 million as of the last business day of the second fscal quarter of such year, or (iv) the date on which we have issued more than $1.0 billion in non-convertble debt securites during the prior three-year period.</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33" w:name="page34"/>
    <w:bookmarkEnd w:id="33"/>
    <w:p>
      <w:pPr>
        <w:spacing w:after="0"/>
        <w:rPr>
          <w:sz w:val="20"/>
          <w:szCs w:val="20"/>
          <w:color w:val="auto"/>
        </w:rPr>
      </w:pPr>
      <w:r>
        <w:rPr>
          <w:rFonts w:ascii="Calibri" w:cs="Calibri" w:eastAsia="Calibri" w:hAnsi="Calibri"/>
          <w:sz w:val="18"/>
          <w:szCs w:val="18"/>
          <w:b w:val="1"/>
          <w:bCs w:val="1"/>
          <w:i w:val="1"/>
          <w:iCs w:val="1"/>
          <w:color w:val="auto"/>
        </w:rPr>
        <w:t>Recent Accountng Pronouncements</w:t>
      </w:r>
    </w:p>
    <w:p>
      <w:pPr>
        <w:spacing w:after="0" w:line="190" w:lineRule="exact"/>
        <w:rPr>
          <w:sz w:val="20"/>
          <w:szCs w:val="20"/>
          <w:color w:val="auto"/>
        </w:rPr>
      </w:pPr>
    </w:p>
    <w:p>
      <w:pPr>
        <w:ind w:right="620" w:firstLine="509"/>
        <w:spacing w:after="0" w:line="235" w:lineRule="auto"/>
        <w:rPr>
          <w:sz w:val="20"/>
          <w:szCs w:val="20"/>
          <w:color w:val="auto"/>
        </w:rPr>
      </w:pPr>
      <w:r>
        <w:rPr>
          <w:rFonts w:ascii="Calibri" w:cs="Calibri" w:eastAsia="Calibri" w:hAnsi="Calibri"/>
          <w:sz w:val="18"/>
          <w:szCs w:val="18"/>
          <w:color w:val="auto"/>
        </w:rPr>
        <w:t>The informaton required by this item is included in Note 1, Organizaton, Basis of Presentaton and Summary of Signifcant Accountng Policies included in Part 1, Item 1 of this quarterly report.</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Of-Balance Sheet Arrangements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During the periods presented we did not have, nor do we currently have, any of-balance sheet arrangements as defned under SEC rules.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3. Quanttatve and Qualitative Disclosures About Market Risk</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As of March 31, 2023, there have been no material changes surrounding our market risk, including interest rate risk, foreign currency exchange risk, and infaton risk, from the discussion provided in “Management’s Discussion and Analysis of Financial Conditon and Results of Operatons – Quanttatve and Qualitatve Disclosures About Market Risk” of our 2022 Form 10-K.</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Conclusion Regarding the Efectveness of Disclosure Controls and Procedures</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We maintain disclosure controls and procedures that are designed to ensure that informaton required to be disclosed in our periodic and current reports that we fle with the SEC is recorded, processed, summarized and reported within the tme periods specifed in the SEC’s rules and forms, and that such informaton is accumulated and communicated to our management, including our principal executve ofcer and principal fnancial ofcer, as appropriate, to allow tmely decisions regarding required disclosure. In designing and evaluatng the disclosure controls and procedures, management recognized that any controls and procedures, no mater how well designed and operated, can provide only reasonable and not absolute assurance of achieving the desired control objectves. In reaching a reasonable level of assurance, management necessarily was required to apply its judgment in evaluatng the cost-beneft relatonship of possible controls and procedures. In additon, the design of any system of controls also is based in part upon certain assumptons about the likelihood of future events, and there can be no assurance that any design will succeed in achieving its stated goals under all potental future conditons; over tme, control may become inadequate because of changes in conditons, or the degree of compliance with policies or procedures may deteriorate. Because of the inherent limitatons in a cost-efectve control system, misstatements due to error or fraud may occur and not be detected.</w:t>
      </w:r>
    </w:p>
    <w:p>
      <w:pPr>
        <w:spacing w:after="0" w:line="1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management, with the partcipaton of our principal executve ofcer and principal fnancial ofcer, has evaluated the efectveness of our disclosure controls and procedures as defned in Rules 13a-15(e) and 15d-15(e) under the Exchange Act as of the end of the period covered by this quarterly report. Based on such evaluaton, our principal executve ofcer and principal fnancial ofcer have concluded that as of such date, our disclosure controls and procedures were efectve at the reasonable assurance level.</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Changes in Internal Control Over Financial Reportng</w:t>
      </w:r>
    </w:p>
    <w:p>
      <w:pPr>
        <w:spacing w:after="0" w:line="177" w:lineRule="exact"/>
        <w:rPr>
          <w:sz w:val="20"/>
          <w:szCs w:val="20"/>
          <w:color w:val="auto"/>
        </w:rPr>
      </w:pPr>
    </w:p>
    <w:p>
      <w:pPr>
        <w:ind w:right="500" w:firstLine="509"/>
        <w:spacing w:after="0" w:line="235" w:lineRule="auto"/>
        <w:rPr>
          <w:sz w:val="20"/>
          <w:szCs w:val="20"/>
          <w:color w:val="auto"/>
        </w:rPr>
      </w:pPr>
      <w:r>
        <w:rPr>
          <w:rFonts w:ascii="Calibri" w:cs="Calibri" w:eastAsia="Calibri" w:hAnsi="Calibri"/>
          <w:sz w:val="18"/>
          <w:szCs w:val="18"/>
          <w:color w:val="auto"/>
        </w:rPr>
        <w:t>There have been no changes in our internal control over fnancial reportng during the three months ended March 31, 2023 that have materially afected, or are reasonably likely to materially afect, our internal control over fnancial reportng.</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4" w:right="339" w:bottom="1440" w:gutter="0" w:footer="0" w:header="0"/>
        </w:sectPr>
      </w:pPr>
    </w:p>
    <w:bookmarkStart w:id="34" w:name="page35"/>
    <w:bookmarkEnd w:id="34"/>
    <w:p>
      <w:pPr>
        <w:jc w:val="center"/>
        <w:ind w:right="-19"/>
        <w:spacing w:after="0"/>
        <w:rPr>
          <w:sz w:val="20"/>
          <w:szCs w:val="20"/>
          <w:color w:val="auto"/>
        </w:rPr>
      </w:pPr>
      <w:r>
        <w:rPr>
          <w:rFonts w:ascii="Calibri" w:cs="Calibri" w:eastAsia="Calibri" w:hAnsi="Calibri"/>
          <w:sz w:val="18"/>
          <w:szCs w:val="18"/>
          <w:b w:val="1"/>
          <w:bCs w:val="1"/>
          <w:color w:val="auto"/>
        </w:rPr>
        <w:t>PART II. OTHER INFORMATION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 Legal Proceedings</w:t>
      </w:r>
    </w:p>
    <w:p>
      <w:pPr>
        <w:spacing w:after="0" w:line="190" w:lineRule="exact"/>
        <w:rPr>
          <w:sz w:val="20"/>
          <w:szCs w:val="20"/>
          <w:color w:val="auto"/>
        </w:rPr>
      </w:pPr>
    </w:p>
    <w:p>
      <w:pPr>
        <w:ind w:right="60" w:firstLine="509"/>
        <w:spacing w:after="0" w:line="311" w:lineRule="auto"/>
        <w:rPr>
          <w:sz w:val="20"/>
          <w:szCs w:val="20"/>
          <w:color w:val="auto"/>
        </w:rPr>
      </w:pPr>
      <w:r>
        <w:rPr>
          <w:rFonts w:ascii="MS PGothic" w:cs="MS PGothic" w:eastAsia="MS PGothic" w:hAnsi="MS PGothic"/>
          <w:sz w:val="18"/>
          <w:szCs w:val="18"/>
          <w:color w:val="auto"/>
        </w:rPr>
        <w:t>We are not currently subject to any material legal proceedings. From tme to tme, we may be involved in legal proceedings or subject to claims incident to the ordinary course of business. Regardless of the outcome, such proceedings or claims can have an adverse impact on us because of defense and setlement costs, diversion of resources and other factors, and there can be no assurances that favorable outcomes will be obtained.</w:t>
      </w:r>
    </w:p>
    <w:p>
      <w:pPr>
        <w:spacing w:after="0" w:line="11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1A. Risk Factors</w:t>
      </w:r>
    </w:p>
    <w:p>
      <w:pPr>
        <w:spacing w:after="0" w:line="177" w:lineRule="exact"/>
        <w:rPr>
          <w:sz w:val="20"/>
          <w:szCs w:val="20"/>
          <w:color w:val="auto"/>
        </w:rPr>
      </w:pPr>
    </w:p>
    <w:p>
      <w:pPr>
        <w:ind w:left="520"/>
        <w:spacing w:after="0"/>
        <w:rPr>
          <w:sz w:val="20"/>
          <w:szCs w:val="20"/>
          <w:color w:val="auto"/>
        </w:rPr>
      </w:pPr>
      <w:r>
        <w:rPr>
          <w:rFonts w:ascii="MS PGothic" w:cs="MS PGothic" w:eastAsia="MS PGothic" w:hAnsi="MS PGothic"/>
          <w:sz w:val="18"/>
          <w:szCs w:val="18"/>
          <w:color w:val="auto"/>
        </w:rPr>
        <w:t>There have been no material changes to the risk factors disclosed in Part I, Item 1A, “Risk Factors” of our 2022 Form 10-K.</w:t>
      </w:r>
    </w:p>
    <w:p>
      <w:pPr>
        <w:spacing w:after="0" w:line="2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2. Unregistered Sales of Equity Securites and Use of Proceeds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Unregistered Sales of Equity Securites</w:t>
      </w:r>
    </w:p>
    <w:p>
      <w:pPr>
        <w:spacing w:after="0" w:line="177" w:lineRule="exact"/>
        <w:rPr>
          <w:sz w:val="20"/>
          <w:szCs w:val="20"/>
          <w:color w:val="auto"/>
        </w:rPr>
      </w:pPr>
    </w:p>
    <w:p>
      <w:pPr>
        <w:ind w:left="520"/>
        <w:spacing w:after="0"/>
        <w:rPr>
          <w:sz w:val="20"/>
          <w:szCs w:val="20"/>
          <w:color w:val="auto"/>
        </w:rPr>
      </w:pPr>
      <w:r>
        <w:rPr>
          <w:rFonts w:ascii="MS PGothic" w:cs="MS PGothic" w:eastAsia="MS PGothic" w:hAnsi="MS PGothic"/>
          <w:sz w:val="18"/>
          <w:szCs w:val="18"/>
          <w:color w:val="auto"/>
        </w:rPr>
        <w:t>None.</w:t>
      </w:r>
    </w:p>
    <w:p>
      <w:pPr>
        <w:spacing w:after="0" w:line="2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Issuer Repurchases of Equity Securites</w:t>
      </w:r>
    </w:p>
    <w:p>
      <w:pPr>
        <w:spacing w:after="0" w:line="177" w:lineRule="exact"/>
        <w:rPr>
          <w:sz w:val="20"/>
          <w:szCs w:val="20"/>
          <w:color w:val="auto"/>
        </w:rPr>
      </w:pPr>
    </w:p>
    <w:p>
      <w:pPr>
        <w:ind w:left="520"/>
        <w:spacing w:after="0"/>
        <w:rPr>
          <w:sz w:val="20"/>
          <w:szCs w:val="20"/>
          <w:color w:val="auto"/>
        </w:rPr>
      </w:pPr>
      <w:r>
        <w:rPr>
          <w:rFonts w:ascii="MS PGothic" w:cs="MS PGothic" w:eastAsia="MS PGothic" w:hAnsi="MS PGothic"/>
          <w:sz w:val="18"/>
          <w:szCs w:val="18"/>
          <w:color w:val="auto"/>
        </w:rPr>
        <w:t>None.</w:t>
      </w:r>
    </w:p>
    <w:p>
      <w:pPr>
        <w:spacing w:after="0" w:line="2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3. Defaults Upon Senior Securites</w:t>
      </w:r>
    </w:p>
    <w:p>
      <w:pPr>
        <w:spacing w:after="0" w:line="190" w:lineRule="exact"/>
        <w:rPr>
          <w:sz w:val="20"/>
          <w:szCs w:val="20"/>
          <w:color w:val="auto"/>
        </w:rPr>
      </w:pPr>
    </w:p>
    <w:p>
      <w:pPr>
        <w:ind w:left="520"/>
        <w:spacing w:after="0"/>
        <w:rPr>
          <w:sz w:val="20"/>
          <w:szCs w:val="20"/>
          <w:color w:val="auto"/>
        </w:rPr>
      </w:pPr>
      <w:r>
        <w:rPr>
          <w:rFonts w:ascii="MS PGothic" w:cs="MS PGothic" w:eastAsia="MS PGothic" w:hAnsi="MS PGothic"/>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4. Mine Safety Disclosures</w:t>
      </w:r>
    </w:p>
    <w:p>
      <w:pPr>
        <w:spacing w:after="0" w:line="177" w:lineRule="exact"/>
        <w:rPr>
          <w:sz w:val="20"/>
          <w:szCs w:val="20"/>
          <w:color w:val="auto"/>
        </w:rPr>
      </w:pPr>
    </w:p>
    <w:p>
      <w:pPr>
        <w:ind w:left="520"/>
        <w:spacing w:after="0"/>
        <w:rPr>
          <w:sz w:val="20"/>
          <w:szCs w:val="20"/>
          <w:color w:val="auto"/>
        </w:rPr>
      </w:pPr>
      <w:r>
        <w:rPr>
          <w:rFonts w:ascii="MS PGothic" w:cs="MS PGothic" w:eastAsia="MS PGothic" w:hAnsi="MS PGothic"/>
          <w:sz w:val="18"/>
          <w:szCs w:val="18"/>
          <w:color w:val="auto"/>
        </w:rPr>
        <w:t>Not Applicable.</w:t>
      </w:r>
    </w:p>
    <w:p>
      <w:pPr>
        <w:spacing w:after="0" w:line="22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5. Other Informaton</w:t>
      </w:r>
    </w:p>
    <w:p>
      <w:pPr>
        <w:spacing w:after="0" w:line="177" w:lineRule="exact"/>
        <w:rPr>
          <w:sz w:val="20"/>
          <w:szCs w:val="20"/>
          <w:color w:val="auto"/>
        </w:rPr>
      </w:pPr>
    </w:p>
    <w:p>
      <w:pPr>
        <w:ind w:right="220" w:firstLine="509"/>
        <w:spacing w:after="0" w:line="311" w:lineRule="auto"/>
        <w:rPr>
          <w:sz w:val="20"/>
          <w:szCs w:val="20"/>
          <w:color w:val="auto"/>
        </w:rPr>
      </w:pPr>
      <w:r>
        <w:rPr>
          <w:rFonts w:ascii="MS PGothic" w:cs="MS PGothic" w:eastAsia="MS PGothic" w:hAnsi="MS PGothic"/>
          <w:sz w:val="18"/>
          <w:szCs w:val="18"/>
          <w:color w:val="auto"/>
        </w:rPr>
        <w:t>The informaton set forth below in this Item 5 is included herein in lieu of reportng on a Current Report on Form 8‑K under Item 1.01 Entry into a Material Defnitve Agreement, Item 2.03 Creaton of a Direct Financial Obligaton or an Obligaton under an Of-Balance Sheet Arrangement of a Registrant and Item 3.02 Unregistered Sales of Equity Securites.</w:t>
      </w:r>
    </w:p>
    <w:p>
      <w:pPr>
        <w:spacing w:after="0" w:line="5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Amendment to Loan and Security Agreement</w:t>
      </w:r>
    </w:p>
    <w:p>
      <w:pPr>
        <w:spacing w:after="0" w:line="177" w:lineRule="exact"/>
        <w:rPr>
          <w:sz w:val="20"/>
          <w:szCs w:val="20"/>
          <w:color w:val="auto"/>
        </w:rPr>
      </w:pPr>
    </w:p>
    <w:p>
      <w:pPr>
        <w:ind w:firstLine="509"/>
        <w:spacing w:after="0" w:line="294" w:lineRule="auto"/>
        <w:rPr>
          <w:sz w:val="20"/>
          <w:szCs w:val="20"/>
          <w:color w:val="auto"/>
        </w:rPr>
      </w:pPr>
      <w:r>
        <w:rPr>
          <w:rFonts w:ascii="MS PGothic" w:cs="MS PGothic" w:eastAsia="MS PGothic" w:hAnsi="MS PGothic"/>
          <w:sz w:val="18"/>
          <w:szCs w:val="18"/>
          <w:color w:val="auto"/>
        </w:rPr>
        <w:t>On May 9, 2023, the Company entered into the Third Amendment to Loan and Security Agreement, or the Third Loan Amendment, with the lenders thereunder and Hercules Capital, Inc., in its capacity as administratve agent and collateral agent and as a lender (in such capacity, the “Agent” or “Hercules”), pursuant to which, among other things, (i) the second tranche availability was extended from May 15, 2023, to December 15, 2023, to become available on October 1, 2023 or earlier subject to certain conditons, (ii) the third tranche availability was extended from September 30, 2023, to December 15, 2023, to become available on October 1, 2023 or earlier subject to certain conditons, (iii) the efectve date of the Performance Covenants was amended to provide an opton to extend the covenant trigger date, subject to certain conditons, and (iv) the warrant agreement with Hercules was amended as described below. In connecton with the Third Loan Amendment, a tranche extension amendment fee of $150,000 and a covenant extension amendment fee of $100,000 was paid to the Agent.</w:t>
      </w:r>
    </w:p>
    <w:p>
      <w:pPr>
        <w:spacing w:after="0" w:line="153" w:lineRule="exact"/>
        <w:rPr>
          <w:sz w:val="20"/>
          <w:szCs w:val="20"/>
          <w:color w:val="auto"/>
        </w:rPr>
      </w:pPr>
    </w:p>
    <w:p>
      <w:pPr>
        <w:ind w:right="120" w:firstLine="509"/>
        <w:spacing w:after="0" w:line="334" w:lineRule="auto"/>
        <w:rPr>
          <w:sz w:val="20"/>
          <w:szCs w:val="20"/>
          <w:color w:val="auto"/>
        </w:rPr>
      </w:pPr>
      <w:r>
        <w:rPr>
          <w:rFonts w:ascii="MS PGothic" w:cs="MS PGothic" w:eastAsia="MS PGothic" w:hAnsi="MS PGothic"/>
          <w:sz w:val="18"/>
          <w:szCs w:val="18"/>
          <w:color w:val="auto"/>
        </w:rPr>
        <w:t>The foregoing descripton of the terms of the Third Loan Amendment is not complete and is qualifed in its entrety by reference to the full text of the Third Loan Amendment, which is fled as an exhibit to this Quarterly Report on Form 10-Q.</w:t>
      </w:r>
    </w:p>
    <w:p>
      <w:pPr>
        <w:spacing w:after="0" w:line="3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Amendment to Warrants</w:t>
      </w:r>
    </w:p>
    <w:p>
      <w:pPr>
        <w:spacing w:after="0" w:line="177" w:lineRule="exact"/>
        <w:rPr>
          <w:sz w:val="20"/>
          <w:szCs w:val="20"/>
          <w:color w:val="auto"/>
        </w:rPr>
      </w:pPr>
    </w:p>
    <w:p>
      <w:pPr>
        <w:ind w:firstLine="509"/>
        <w:spacing w:after="0" w:line="320" w:lineRule="auto"/>
        <w:rPr>
          <w:sz w:val="20"/>
          <w:szCs w:val="20"/>
          <w:color w:val="auto"/>
        </w:rPr>
      </w:pPr>
      <w:r>
        <w:rPr>
          <w:rFonts w:ascii="MS PGothic" w:cs="MS PGothic" w:eastAsia="MS PGothic" w:hAnsi="MS PGothic"/>
          <w:sz w:val="17"/>
          <w:szCs w:val="17"/>
          <w:color w:val="auto"/>
        </w:rPr>
        <w:t>In connecton with the entry into the Third Loan Amendment, the Company amended the form of warrant agreement (the “Revised Warrant Agreement”) to purchase shares of the Company’s common stock, par value $0.0001 per share (the “Common Stock”) to be issued upon drawdowns of future tranches under the Term Loan. The exercise price under the Revised Warrant Agreement shall be equal to the lesser (i) of $11.6783, which was the trailing ten-day volume-weighted average price, or VWAP, prior to entering into the Third Loan Amendment, and (ii) the trailing ten-day VWAP preceding the date on which the Company drawdown future tranches. The number of shares of Common Stock shall contnue to be equal to 2.5% of the amount of the Term</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p>
      <w:pPr>
        <w:spacing w:after="0"/>
        <w:rPr>
          <w:sz w:val="20"/>
          <w:szCs w:val="20"/>
          <w:color w:val="auto"/>
        </w:rPr>
      </w:pPr>
      <w:r>
        <w:rPr>
          <w:rFonts w:ascii="Calibri" w:cs="Calibri" w:eastAsia="Calibri" w:hAnsi="Calibri"/>
          <w:sz w:val="18"/>
          <w:szCs w:val="18"/>
          <w:color w:val="auto"/>
        </w:rPr>
        <w:t>Loan advances funded, as such amounts are funded. The warrants shall be exercisable for a period of seven years from the date of issuance.</w:t>
      </w:r>
    </w:p>
    <w:p>
      <w:pPr>
        <w:spacing w:after="0" w:line="190"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The exercise price and terms of the outstanding warrant to purchase 74,783 shares of our Common Stock previously issued to Hercules remain unchanged. The Company entered into the First Amendment to Warrant (the “Warrant Amendment”) to make technical changes to the defned terms to provide that the outstanding warrant only covers the inital $100.0 million advance already drawn under the Term Loan.</w:t>
      </w:r>
    </w:p>
    <w:p>
      <w:pPr>
        <w:spacing w:after="0" w:line="178"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foregoing descriptons of the terms of the Revised Warrant Agreement and the Warrant Amendment are not complete and are qualifed in their entrety by reference to the full text of the Revised Warrant Agreement and the Warrant Amendment, which is fled as an exhibit to this Quarterly Report on Form 10-Q.</w:t>
      </w: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04" w:right="479" w:bottom="1440" w:gutter="0" w:footer="0" w:header="0"/>
        </w:sectPr>
      </w:pPr>
    </w:p>
    <w:bookmarkStart w:id="36" w:name="page37"/>
    <w:bookmarkEnd w:id="36"/>
    <w:p>
      <w:pPr>
        <w:spacing w:after="0"/>
        <w:rPr>
          <w:sz w:val="20"/>
          <w:szCs w:val="20"/>
          <w:color w:val="auto"/>
        </w:rPr>
      </w:pPr>
      <w:r>
        <w:rPr>
          <w:rFonts w:ascii="Calibri" w:cs="Calibri" w:eastAsia="Calibri" w:hAnsi="Calibri"/>
          <w:sz w:val="18"/>
          <w:szCs w:val="18"/>
          <w:b w:val="1"/>
          <w:bCs w:val="1"/>
          <w:color w:val="auto"/>
        </w:rPr>
        <w:t>Item 6. Exhibits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00" w:type="dxa"/>
            <w:vAlign w:val="bottom"/>
            <w:gridSpan w:val="4"/>
          </w:tcPr>
          <w:p>
            <w:pPr>
              <w:spacing w:after="0"/>
              <w:rPr>
                <w:sz w:val="20"/>
                <w:szCs w:val="20"/>
                <w:color w:val="auto"/>
              </w:rPr>
            </w:pPr>
            <w:r>
              <w:rPr>
                <w:rFonts w:ascii="Calibri" w:cs="Calibri" w:eastAsia="Calibri" w:hAnsi="Calibri"/>
                <w:sz w:val="14"/>
                <w:szCs w:val="14"/>
                <w:b w:val="1"/>
                <w:bCs w:val="1"/>
                <w:color w:val="auto"/>
              </w:rPr>
              <w:t>Incorporated by Reference</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106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Exhibit</w:t>
            </w: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vMerge w:val="restart"/>
          </w:tcPr>
          <w:p>
            <w:pPr>
              <w:jc w:val="center"/>
              <w:spacing w:after="0"/>
              <w:rPr>
                <w:sz w:val="20"/>
                <w:szCs w:val="20"/>
                <w:color w:val="auto"/>
              </w:rPr>
            </w:pPr>
            <w:r>
              <w:rPr>
                <w:rFonts w:ascii="Calibri" w:cs="Calibri" w:eastAsia="Calibri" w:hAnsi="Calibri"/>
                <w:sz w:val="14"/>
                <w:szCs w:val="14"/>
                <w:b w:val="1"/>
                <w:bCs w:val="1"/>
                <w:color w:val="auto"/>
              </w:rPr>
              <w:t>Filed</w:t>
            </w:r>
          </w:p>
        </w:tc>
        <w:tc>
          <w:tcPr>
            <w:tcW w:w="0" w:type="dxa"/>
            <w:vAlign w:val="bottom"/>
          </w:tcPr>
          <w:p>
            <w:pPr>
              <w:spacing w:after="0"/>
              <w:rPr>
                <w:sz w:val="1"/>
                <w:szCs w:val="1"/>
                <w:color w:val="auto"/>
              </w:rPr>
            </w:pPr>
          </w:p>
        </w:tc>
      </w:tr>
      <w:tr>
        <w:trPr>
          <w:trHeight w:val="163"/>
        </w:trPr>
        <w:tc>
          <w:tcPr>
            <w:tcW w:w="10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60" w:type="dxa"/>
            <w:vAlign w:val="bottom"/>
          </w:tcPr>
          <w:p>
            <w:pPr>
              <w:jc w:val="center"/>
              <w:spacing w:after="0"/>
              <w:rPr>
                <w:sz w:val="20"/>
                <w:szCs w:val="20"/>
                <w:color w:val="auto"/>
              </w:rPr>
            </w:pPr>
            <w:r>
              <w:rPr>
                <w:rFonts w:ascii="Calibri" w:cs="Calibri" w:eastAsia="Calibri" w:hAnsi="Calibri"/>
                <w:sz w:val="14"/>
                <w:szCs w:val="14"/>
                <w:b w:val="1"/>
                <w:bCs w:val="1"/>
                <w:color w:val="auto"/>
              </w:rPr>
              <w:t>Number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700" w:type="dxa"/>
            <w:vAlign w:val="bottom"/>
            <w:gridSpan w:val="19"/>
          </w:tcPr>
          <w:p>
            <w:pPr>
              <w:ind w:left="120"/>
              <w:spacing w:after="0"/>
              <w:rPr>
                <w:sz w:val="20"/>
                <w:szCs w:val="20"/>
                <w:color w:val="auto"/>
              </w:rPr>
            </w:pPr>
            <w:r>
              <w:rPr>
                <w:rFonts w:ascii="Calibri" w:cs="Calibri" w:eastAsia="Calibri" w:hAnsi="Calibri"/>
                <w:sz w:val="14"/>
                <w:szCs w:val="14"/>
                <w:b w:val="1"/>
                <w:bCs w:val="1"/>
                <w:color w:val="auto"/>
              </w:rPr>
              <w:t>Exhibit Descripton</w:t>
            </w:r>
          </w:p>
        </w:tc>
        <w:tc>
          <w:tcPr>
            <w:tcW w:w="700" w:type="dxa"/>
            <w:vAlign w:val="bottom"/>
          </w:tcPr>
          <w:p>
            <w:pPr>
              <w:jc w:val="center"/>
              <w:spacing w:after="0"/>
              <w:rPr>
                <w:sz w:val="20"/>
                <w:szCs w:val="20"/>
                <w:color w:val="auto"/>
              </w:rPr>
            </w:pPr>
            <w:r>
              <w:rPr>
                <w:rFonts w:ascii="Calibri" w:cs="Calibri" w:eastAsia="Calibri" w:hAnsi="Calibri"/>
                <w:sz w:val="14"/>
                <w:szCs w:val="14"/>
                <w:b w:val="1"/>
                <w:bCs w:val="1"/>
                <w:color w:val="auto"/>
                <w:w w:val="98"/>
              </w:rPr>
              <w:t>Form</w:t>
            </w:r>
          </w:p>
        </w:tc>
        <w:tc>
          <w:tcPr>
            <w:tcW w:w="100" w:type="dxa"/>
            <w:vAlign w:val="bottom"/>
          </w:tcPr>
          <w:p>
            <w:pPr>
              <w:spacing w:after="0"/>
              <w:rPr>
                <w:sz w:val="15"/>
                <w:szCs w:val="15"/>
                <w:color w:val="auto"/>
              </w:rPr>
            </w:pPr>
          </w:p>
        </w:tc>
        <w:tc>
          <w:tcPr>
            <w:tcW w:w="1040" w:type="dxa"/>
            <w:vAlign w:val="bottom"/>
          </w:tcPr>
          <w:p>
            <w:pPr>
              <w:ind w:left="380"/>
              <w:spacing w:after="0"/>
              <w:rPr>
                <w:sz w:val="20"/>
                <w:szCs w:val="20"/>
                <w:color w:val="auto"/>
              </w:rPr>
            </w:pPr>
            <w:r>
              <w:rPr>
                <w:rFonts w:ascii="Calibri" w:cs="Calibri" w:eastAsia="Calibri" w:hAnsi="Calibri"/>
                <w:sz w:val="14"/>
                <w:szCs w:val="14"/>
                <w:b w:val="1"/>
                <w:bCs w:val="1"/>
                <w:color w:val="auto"/>
              </w:rPr>
              <w:t>Date</w:t>
            </w:r>
          </w:p>
        </w:tc>
        <w:tc>
          <w:tcPr>
            <w:tcW w:w="120" w:type="dxa"/>
            <w:vAlign w:val="bottom"/>
          </w:tcPr>
          <w:p>
            <w:pPr>
              <w:spacing w:after="0"/>
              <w:rPr>
                <w:sz w:val="15"/>
                <w:szCs w:val="15"/>
                <w:color w:val="auto"/>
              </w:rPr>
            </w:pPr>
          </w:p>
        </w:tc>
        <w:tc>
          <w:tcPr>
            <w:tcW w:w="1040" w:type="dxa"/>
            <w:vAlign w:val="bottom"/>
          </w:tcPr>
          <w:p>
            <w:pPr>
              <w:ind w:left="260"/>
              <w:spacing w:after="0"/>
              <w:rPr>
                <w:sz w:val="20"/>
                <w:szCs w:val="20"/>
                <w:color w:val="auto"/>
              </w:rPr>
            </w:pPr>
            <w:r>
              <w:rPr>
                <w:rFonts w:ascii="Calibri" w:cs="Calibri" w:eastAsia="Calibri" w:hAnsi="Calibri"/>
                <w:sz w:val="14"/>
                <w:szCs w:val="14"/>
                <w:b w:val="1"/>
                <w:bCs w:val="1"/>
                <w:color w:val="auto"/>
              </w:rPr>
              <w:t>Number</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Herewith</w:t>
            </w:r>
          </w:p>
        </w:tc>
        <w:tc>
          <w:tcPr>
            <w:tcW w:w="0" w:type="dxa"/>
            <w:vAlign w:val="bottom"/>
          </w:tcPr>
          <w:p>
            <w:pPr>
              <w:spacing w:after="0"/>
              <w:rPr>
                <w:sz w:val="1"/>
                <w:szCs w:val="1"/>
                <w:color w:val="auto"/>
              </w:rPr>
            </w:pPr>
          </w:p>
        </w:tc>
      </w:tr>
      <w:tr>
        <w:trPr>
          <w:trHeight w:val="33"/>
        </w:trPr>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1"/>
        </w:trPr>
        <w:tc>
          <w:tcPr>
            <w:tcW w:w="1060" w:type="dxa"/>
            <w:vAlign w:val="bottom"/>
          </w:tcPr>
          <w:p>
            <w:pPr>
              <w:jc w:val="center"/>
              <w:spacing w:after="0"/>
              <w:rPr>
                <w:sz w:val="20"/>
                <w:szCs w:val="20"/>
                <w:color w:val="auto"/>
              </w:rPr>
            </w:pPr>
            <w:r>
              <w:rPr>
                <w:rFonts w:ascii="Calibri" w:cs="Calibri" w:eastAsia="Calibri" w:hAnsi="Calibri"/>
                <w:sz w:val="18"/>
                <w:szCs w:val="18"/>
                <w:color w:val="auto"/>
                <w:w w:val="96"/>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8"/>
          </w:tcPr>
          <w:p>
            <w:pPr>
              <w:spacing w:after="0"/>
              <w:rPr>
                <w:rFonts w:ascii="Calibri" w:cs="Calibri" w:eastAsia="Calibri" w:hAnsi="Calibri"/>
                <w:sz w:val="18"/>
                <w:szCs w:val="18"/>
                <w:color w:val="0000FF"/>
              </w:rPr>
            </w:pPr>
            <w:hyperlink r:id="rId140">
              <w:r>
                <w:rPr>
                  <w:rFonts w:ascii="Calibri" w:cs="Calibri" w:eastAsia="Calibri" w:hAnsi="Calibri"/>
                  <w:sz w:val="18"/>
                  <w:szCs w:val="18"/>
                  <w:color w:val="0000FF"/>
                </w:rPr>
                <w:t>Amended and Restated Certfcate of Incorporaton</w:t>
              </w:r>
            </w:hyperlink>
          </w:p>
        </w:tc>
        <w:tc>
          <w:tcPr>
            <w:tcW w:w="70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1140" w:type="dxa"/>
            <w:vAlign w:val="bottom"/>
            <w:gridSpan w:val="2"/>
          </w:tcPr>
          <w:p>
            <w:pPr>
              <w:jc w:val="center"/>
              <w:ind w:left="32"/>
              <w:spacing w:after="0"/>
              <w:rPr>
                <w:sz w:val="20"/>
                <w:szCs w:val="20"/>
                <w:color w:val="auto"/>
              </w:rPr>
            </w:pPr>
            <w:r>
              <w:rPr>
                <w:rFonts w:ascii="Calibri" w:cs="Calibri" w:eastAsia="Calibri" w:hAnsi="Calibri"/>
                <w:sz w:val="18"/>
                <w:szCs w:val="18"/>
                <w:color w:val="auto"/>
                <w:w w:val="96"/>
              </w:rPr>
              <w:t>10/29/19</w:t>
            </w:r>
          </w:p>
        </w:tc>
        <w:tc>
          <w:tcPr>
            <w:tcW w:w="1160" w:type="dxa"/>
            <w:vAlign w:val="bottom"/>
            <w:gridSpan w:val="2"/>
          </w:tcPr>
          <w:p>
            <w:pPr>
              <w:jc w:val="center"/>
              <w:ind w:left="10"/>
              <w:spacing w:after="0"/>
              <w:rPr>
                <w:sz w:val="20"/>
                <w:szCs w:val="20"/>
                <w:color w:val="auto"/>
              </w:rPr>
            </w:pPr>
            <w:r>
              <w:rPr>
                <w:rFonts w:ascii="Calibri" w:cs="Calibri" w:eastAsia="Calibri" w:hAnsi="Calibri"/>
                <w:sz w:val="18"/>
                <w:szCs w:val="18"/>
                <w:color w:val="auto"/>
                <w:w w:val="96"/>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Calibri" w:cs="Calibri" w:eastAsia="Calibri" w:hAnsi="Calibri"/>
                <w:sz w:val="18"/>
                <w:szCs w:val="18"/>
                <w:color w:val="auto"/>
                <w:w w:val="96"/>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tcBorders>
              <w:top w:val="single" w:sz="8" w:color="0000FF"/>
            </w:tcBorders>
            <w:gridSpan w:val="16"/>
          </w:tcPr>
          <w:p>
            <w:pPr>
              <w:spacing w:after="0"/>
              <w:rPr>
                <w:rFonts w:ascii="Calibri" w:cs="Calibri" w:eastAsia="Calibri" w:hAnsi="Calibri"/>
                <w:sz w:val="18"/>
                <w:szCs w:val="18"/>
                <w:color w:val="0000FF"/>
              </w:rPr>
            </w:pPr>
            <w:hyperlink r:id="rId141">
              <w:r>
                <w:rPr>
                  <w:rFonts w:ascii="Calibri" w:cs="Calibri" w:eastAsia="Calibri" w:hAnsi="Calibri"/>
                  <w:sz w:val="18"/>
                  <w:szCs w:val="18"/>
                  <w:color w:val="0000FF"/>
                </w:rPr>
                <w:t>Amended and Restated Bylaws</w:t>
              </w:r>
            </w:hyperlink>
          </w:p>
        </w:tc>
        <w:tc>
          <w:tcPr>
            <w:tcW w:w="2280" w:type="dxa"/>
            <w:vAlign w:val="bottom"/>
            <w:gridSpan w:val="12"/>
          </w:tcPr>
          <w:p>
            <w:pPr>
              <w:spacing w:after="0"/>
              <w:rPr>
                <w:sz w:val="24"/>
                <w:szCs w:val="24"/>
                <w:color w:val="auto"/>
              </w:rPr>
            </w:pPr>
          </w:p>
        </w:tc>
        <w:tc>
          <w:tcPr>
            <w:tcW w:w="700" w:type="dxa"/>
            <w:vAlign w:val="bottom"/>
          </w:tcPr>
          <w:p>
            <w:pPr>
              <w:jc w:val="center"/>
              <w:spacing w:after="0"/>
              <w:rPr>
                <w:sz w:val="20"/>
                <w:szCs w:val="20"/>
                <w:color w:val="auto"/>
              </w:rPr>
            </w:pPr>
            <w:r>
              <w:rPr>
                <w:rFonts w:ascii="Calibri" w:cs="Calibri" w:eastAsia="Calibri" w:hAnsi="Calibri"/>
                <w:sz w:val="18"/>
                <w:szCs w:val="18"/>
                <w:color w:val="auto"/>
                <w:w w:val="99"/>
              </w:rPr>
              <w:t>8-K</w:t>
            </w:r>
          </w:p>
        </w:tc>
        <w:tc>
          <w:tcPr>
            <w:tcW w:w="1140" w:type="dxa"/>
            <w:vAlign w:val="bottom"/>
            <w:gridSpan w:val="2"/>
          </w:tcPr>
          <w:p>
            <w:pPr>
              <w:jc w:val="center"/>
              <w:ind w:left="32"/>
              <w:spacing w:after="0"/>
              <w:rPr>
                <w:sz w:val="20"/>
                <w:szCs w:val="20"/>
                <w:color w:val="auto"/>
              </w:rPr>
            </w:pPr>
            <w:r>
              <w:rPr>
                <w:rFonts w:ascii="Calibri" w:cs="Calibri" w:eastAsia="Calibri" w:hAnsi="Calibri"/>
                <w:sz w:val="18"/>
                <w:szCs w:val="18"/>
                <w:color w:val="auto"/>
                <w:w w:val="98"/>
              </w:rPr>
              <w:t>09/25/2020</w:t>
            </w:r>
          </w:p>
        </w:tc>
        <w:tc>
          <w:tcPr>
            <w:tcW w:w="1160" w:type="dxa"/>
            <w:vAlign w:val="bottom"/>
            <w:gridSpan w:val="2"/>
          </w:tcPr>
          <w:p>
            <w:pPr>
              <w:jc w:val="center"/>
              <w:ind w:left="10"/>
              <w:spacing w:after="0"/>
              <w:rPr>
                <w:sz w:val="20"/>
                <w:szCs w:val="20"/>
                <w:color w:val="auto"/>
              </w:rPr>
            </w:pPr>
            <w:r>
              <w:rPr>
                <w:rFonts w:ascii="Calibri" w:cs="Calibri" w:eastAsia="Calibri" w:hAnsi="Calibri"/>
                <w:sz w:val="18"/>
                <w:szCs w:val="18"/>
                <w:color w:val="auto"/>
                <w:w w:val="96"/>
              </w:rPr>
              <w:t>3.1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60" w:type="dxa"/>
            <w:vAlign w:val="bottom"/>
          </w:tcPr>
          <w:p>
            <w:pPr>
              <w:jc w:val="center"/>
              <w:spacing w:after="0"/>
              <w:rPr>
                <w:sz w:val="20"/>
                <w:szCs w:val="20"/>
                <w:color w:val="auto"/>
              </w:rPr>
            </w:pPr>
            <w:r>
              <w:rPr>
                <w:rFonts w:ascii="Calibri" w:cs="Calibri" w:eastAsia="Calibri" w:hAnsi="Calibri"/>
                <w:sz w:val="18"/>
                <w:szCs w:val="18"/>
                <w:color w:val="auto"/>
                <w:w w:val="96"/>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8"/>
          </w:tcPr>
          <w:p>
            <w:pPr>
              <w:spacing w:after="0"/>
              <w:rPr>
                <w:rFonts w:ascii="Calibri" w:cs="Calibri" w:eastAsia="Calibri" w:hAnsi="Calibri"/>
                <w:sz w:val="18"/>
                <w:szCs w:val="18"/>
                <w:color w:val="0000FF"/>
              </w:rPr>
            </w:pPr>
            <w:hyperlink r:id="rId142">
              <w:r>
                <w:rPr>
                  <w:rFonts w:ascii="Calibri" w:cs="Calibri" w:eastAsia="Calibri" w:hAnsi="Calibri"/>
                  <w:sz w:val="18"/>
                  <w:szCs w:val="18"/>
                  <w:color w:val="0000FF"/>
                </w:rPr>
                <w:t>Form of Common Stock Certfcate</w:t>
              </w:r>
            </w:hyperlink>
          </w:p>
        </w:tc>
        <w:tc>
          <w:tcPr>
            <w:tcW w:w="700" w:type="dxa"/>
            <w:vAlign w:val="bottom"/>
          </w:tcPr>
          <w:p>
            <w:pPr>
              <w:jc w:val="center"/>
              <w:spacing w:after="0"/>
              <w:rPr>
                <w:sz w:val="20"/>
                <w:szCs w:val="20"/>
                <w:color w:val="auto"/>
              </w:rPr>
            </w:pPr>
            <w:r>
              <w:rPr>
                <w:rFonts w:ascii="Calibri" w:cs="Calibri" w:eastAsia="Calibri" w:hAnsi="Calibri"/>
                <w:sz w:val="18"/>
                <w:szCs w:val="18"/>
                <w:color w:val="auto"/>
                <w:w w:val="94"/>
              </w:rPr>
              <w:t>S-1/A</w:t>
            </w:r>
          </w:p>
        </w:tc>
        <w:tc>
          <w:tcPr>
            <w:tcW w:w="1140" w:type="dxa"/>
            <w:vAlign w:val="bottom"/>
            <w:gridSpan w:val="2"/>
          </w:tcPr>
          <w:p>
            <w:pPr>
              <w:jc w:val="center"/>
              <w:ind w:left="32"/>
              <w:spacing w:after="0"/>
              <w:rPr>
                <w:sz w:val="20"/>
                <w:szCs w:val="20"/>
                <w:color w:val="auto"/>
              </w:rPr>
            </w:pPr>
            <w:r>
              <w:rPr>
                <w:rFonts w:ascii="Calibri" w:cs="Calibri" w:eastAsia="Calibri" w:hAnsi="Calibri"/>
                <w:sz w:val="18"/>
                <w:szCs w:val="18"/>
                <w:color w:val="auto"/>
                <w:w w:val="96"/>
              </w:rPr>
              <w:t>10/15/19</w:t>
            </w:r>
          </w:p>
        </w:tc>
        <w:tc>
          <w:tcPr>
            <w:tcW w:w="1160" w:type="dxa"/>
            <w:vAlign w:val="bottom"/>
            <w:gridSpan w:val="2"/>
          </w:tcPr>
          <w:p>
            <w:pPr>
              <w:jc w:val="center"/>
              <w:ind w:left="10"/>
              <w:spacing w:after="0"/>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60" w:type="dxa"/>
            <w:vAlign w:val="bottom"/>
          </w:tcPr>
          <w:p>
            <w:pPr>
              <w:jc w:val="center"/>
              <w:spacing w:after="0"/>
              <w:rPr>
                <w:sz w:val="20"/>
                <w:szCs w:val="20"/>
                <w:color w:val="auto"/>
              </w:rPr>
            </w:pPr>
            <w:r>
              <w:rPr>
                <w:rFonts w:ascii="Calibri" w:cs="Calibri" w:eastAsia="Calibri" w:hAnsi="Calibri"/>
                <w:sz w:val="18"/>
                <w:szCs w:val="18"/>
                <w:color w:val="auto"/>
                <w:w w:val="96"/>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8"/>
          </w:tcPr>
          <w:p>
            <w:pPr>
              <w:spacing w:after="0"/>
              <w:rPr>
                <w:rFonts w:ascii="Calibri" w:cs="Calibri" w:eastAsia="Calibri" w:hAnsi="Calibri"/>
                <w:sz w:val="18"/>
                <w:szCs w:val="18"/>
                <w:color w:val="0000FF"/>
              </w:rPr>
            </w:pPr>
            <w:hyperlink r:id="rId143">
              <w:r>
                <w:rPr>
                  <w:rFonts w:ascii="Calibri" w:cs="Calibri" w:eastAsia="Calibri" w:hAnsi="Calibri"/>
                  <w:sz w:val="18"/>
                  <w:szCs w:val="18"/>
                  <w:color w:val="0000FF"/>
                </w:rPr>
                <w:t>Warrant to purchase stock issued to Silicon Valley Bank, dated May 14, 2019</w:t>
              </w:r>
            </w:hyperlink>
          </w:p>
        </w:tc>
        <w:tc>
          <w:tcPr>
            <w:tcW w:w="700" w:type="dxa"/>
            <w:vAlign w:val="bottom"/>
          </w:tcPr>
          <w:p>
            <w:pPr>
              <w:jc w:val="center"/>
              <w:spacing w:after="0"/>
              <w:rPr>
                <w:sz w:val="20"/>
                <w:szCs w:val="20"/>
                <w:color w:val="auto"/>
              </w:rPr>
            </w:pPr>
            <w:r>
              <w:rPr>
                <w:rFonts w:ascii="Calibri" w:cs="Calibri" w:eastAsia="Calibri" w:hAnsi="Calibri"/>
                <w:sz w:val="18"/>
                <w:szCs w:val="18"/>
                <w:color w:val="auto"/>
                <w:w w:val="95"/>
              </w:rPr>
              <w:t>S-1</w:t>
            </w:r>
          </w:p>
        </w:tc>
        <w:tc>
          <w:tcPr>
            <w:tcW w:w="1140" w:type="dxa"/>
            <w:vAlign w:val="bottom"/>
            <w:gridSpan w:val="2"/>
          </w:tcPr>
          <w:p>
            <w:pPr>
              <w:jc w:val="center"/>
              <w:ind w:left="32"/>
              <w:spacing w:after="0"/>
              <w:rPr>
                <w:sz w:val="20"/>
                <w:szCs w:val="20"/>
                <w:color w:val="auto"/>
              </w:rPr>
            </w:pPr>
            <w:r>
              <w:rPr>
                <w:rFonts w:ascii="Calibri" w:cs="Calibri" w:eastAsia="Calibri" w:hAnsi="Calibri"/>
                <w:sz w:val="18"/>
                <w:szCs w:val="18"/>
                <w:color w:val="auto"/>
                <w:w w:val="97"/>
              </w:rPr>
              <w:t>9/30/19</w:t>
            </w:r>
          </w:p>
        </w:tc>
        <w:tc>
          <w:tcPr>
            <w:tcW w:w="1160" w:type="dxa"/>
            <w:vAlign w:val="bottom"/>
            <w:gridSpan w:val="2"/>
          </w:tcPr>
          <w:p>
            <w:pPr>
              <w:jc w:val="center"/>
              <w:ind w:left="10"/>
              <w:spacing w:after="0"/>
              <w:rPr>
                <w:sz w:val="20"/>
                <w:szCs w:val="20"/>
                <w:color w:val="auto"/>
              </w:rPr>
            </w:pPr>
            <w:r>
              <w:rPr>
                <w:rFonts w:ascii="Calibri" w:cs="Calibri" w:eastAsia="Calibri" w:hAnsi="Calibri"/>
                <w:sz w:val="18"/>
                <w:szCs w:val="18"/>
                <w:color w:val="auto"/>
                <w:w w:val="96"/>
              </w:rPr>
              <w:t>4.3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4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2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60" w:type="dxa"/>
            <w:vAlign w:val="bottom"/>
          </w:tcPr>
          <w:p>
            <w:pPr>
              <w:jc w:val="center"/>
              <w:spacing w:after="0"/>
              <w:rPr>
                <w:sz w:val="20"/>
                <w:szCs w:val="20"/>
                <w:color w:val="auto"/>
              </w:rPr>
            </w:pPr>
            <w:r>
              <w:rPr>
                <w:rFonts w:ascii="Calibri" w:cs="Calibri" w:eastAsia="Calibri" w:hAnsi="Calibri"/>
                <w:sz w:val="18"/>
                <w:szCs w:val="18"/>
                <w:color w:val="auto"/>
                <w:w w:val="96"/>
              </w:rPr>
              <w:t>4.3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80" w:type="dxa"/>
            <w:vAlign w:val="bottom"/>
            <w:tcBorders>
              <w:bottom w:val="single" w:sz="8" w:color="0000FF"/>
            </w:tcBorders>
            <w:gridSpan w:val="26"/>
          </w:tcPr>
          <w:p>
            <w:pPr>
              <w:spacing w:after="0"/>
              <w:rPr>
                <w:rFonts w:ascii="Calibri" w:cs="Calibri" w:eastAsia="Calibri" w:hAnsi="Calibri"/>
                <w:sz w:val="18"/>
                <w:szCs w:val="18"/>
                <w:color w:val="0000FF"/>
                <w:w w:val="97"/>
              </w:rPr>
            </w:pPr>
            <w:hyperlink r:id="rId144">
              <w:r>
                <w:rPr>
                  <w:rFonts w:ascii="Calibri" w:cs="Calibri" w:eastAsia="Calibri" w:hAnsi="Calibri"/>
                  <w:sz w:val="18"/>
                  <w:szCs w:val="18"/>
                  <w:color w:val="0000FF"/>
                  <w:w w:val="97"/>
                </w:rPr>
                <w:t>Warrant to purchase stock issued to WestRiver Innovaton Lending Fund VIII, L.P.,</w:t>
              </w:r>
            </w:hyperlink>
          </w:p>
        </w:tc>
        <w:tc>
          <w:tcPr>
            <w:tcW w:w="120" w:type="dxa"/>
            <w:vAlign w:val="bottom"/>
            <w:gridSpan w:val="2"/>
          </w:tcPr>
          <w:p>
            <w:pPr>
              <w:spacing w:after="0"/>
              <w:rPr>
                <w:sz w:val="24"/>
                <w:szCs w:val="24"/>
                <w:color w:val="auto"/>
              </w:rPr>
            </w:pPr>
          </w:p>
        </w:tc>
        <w:tc>
          <w:tcPr>
            <w:tcW w:w="700" w:type="dxa"/>
            <w:vAlign w:val="bottom"/>
          </w:tcPr>
          <w:p>
            <w:pPr>
              <w:jc w:val="center"/>
              <w:spacing w:after="0"/>
              <w:rPr>
                <w:sz w:val="20"/>
                <w:szCs w:val="20"/>
                <w:color w:val="auto"/>
              </w:rPr>
            </w:pPr>
            <w:r>
              <w:rPr>
                <w:rFonts w:ascii="Calibri" w:cs="Calibri" w:eastAsia="Calibri" w:hAnsi="Calibri"/>
                <w:sz w:val="18"/>
                <w:szCs w:val="18"/>
                <w:color w:val="auto"/>
                <w:w w:val="95"/>
              </w:rPr>
              <w:t>S-1</w:t>
            </w:r>
          </w:p>
        </w:tc>
        <w:tc>
          <w:tcPr>
            <w:tcW w:w="1140" w:type="dxa"/>
            <w:vAlign w:val="bottom"/>
            <w:gridSpan w:val="2"/>
          </w:tcPr>
          <w:p>
            <w:pPr>
              <w:jc w:val="center"/>
              <w:ind w:left="32"/>
              <w:spacing w:after="0"/>
              <w:rPr>
                <w:sz w:val="20"/>
                <w:szCs w:val="20"/>
                <w:color w:val="auto"/>
              </w:rPr>
            </w:pPr>
            <w:r>
              <w:rPr>
                <w:rFonts w:ascii="Calibri" w:cs="Calibri" w:eastAsia="Calibri" w:hAnsi="Calibri"/>
                <w:sz w:val="18"/>
                <w:szCs w:val="18"/>
                <w:color w:val="auto"/>
                <w:w w:val="97"/>
              </w:rPr>
              <w:t>9/30/19</w:t>
            </w:r>
          </w:p>
        </w:tc>
        <w:tc>
          <w:tcPr>
            <w:tcW w:w="1160" w:type="dxa"/>
            <w:vAlign w:val="bottom"/>
            <w:gridSpan w:val="2"/>
          </w:tcPr>
          <w:p>
            <w:pPr>
              <w:jc w:val="center"/>
              <w:ind w:left="10"/>
              <w:spacing w:after="0"/>
              <w:rPr>
                <w:sz w:val="20"/>
                <w:szCs w:val="20"/>
                <w:color w:val="auto"/>
              </w:rPr>
            </w:pPr>
            <w:r>
              <w:rPr>
                <w:rFonts w:ascii="Calibri" w:cs="Calibri" w:eastAsia="Calibri" w:hAnsi="Calibri"/>
                <w:sz w:val="18"/>
                <w:szCs w:val="18"/>
                <w:color w:val="auto"/>
                <w:w w:val="96"/>
              </w:rPr>
              <w:t>4.4</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0000FF"/>
            </w:tcBorders>
            <w:gridSpan w:val="7"/>
          </w:tcPr>
          <w:p>
            <w:pPr>
              <w:spacing w:after="0" w:line="196" w:lineRule="exact"/>
              <w:rPr>
                <w:rFonts w:ascii="Calibri" w:cs="Calibri" w:eastAsia="Calibri" w:hAnsi="Calibri"/>
                <w:sz w:val="18"/>
                <w:szCs w:val="18"/>
                <w:color w:val="0000FF"/>
                <w:w w:val="95"/>
              </w:rPr>
            </w:pPr>
            <w:hyperlink r:id="rId144">
              <w:r>
                <w:rPr>
                  <w:rFonts w:ascii="Calibri" w:cs="Calibri" w:eastAsia="Calibri" w:hAnsi="Calibri"/>
                  <w:sz w:val="18"/>
                  <w:szCs w:val="18"/>
                  <w:color w:val="0000FF"/>
                  <w:w w:val="95"/>
                </w:rPr>
                <w:t>dated May 14, 2019</w:t>
              </w:r>
            </w:hyperlink>
          </w:p>
        </w:tc>
        <w:tc>
          <w:tcPr>
            <w:tcW w:w="20" w:type="dxa"/>
            <w:vAlign w:val="bottom"/>
            <w:tcBorders>
              <w:bottom w:val="single" w:sz="8" w:color="0000EE"/>
            </w:tcBorders>
          </w:tcPr>
          <w:p>
            <w:pPr>
              <w:spacing w:after="0"/>
              <w:rPr>
                <w:sz w:val="17"/>
                <w:szCs w:val="17"/>
                <w:color w:val="auto"/>
              </w:rPr>
            </w:pPr>
          </w:p>
        </w:tc>
        <w:tc>
          <w:tcPr>
            <w:tcW w:w="4460" w:type="dxa"/>
            <w:vAlign w:val="bottom"/>
            <w:gridSpan w:val="20"/>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Calibri" w:cs="Calibri" w:eastAsia="Calibri" w:hAnsi="Calibri"/>
                <w:sz w:val="18"/>
                <w:szCs w:val="18"/>
                <w:color w:val="auto"/>
                <w:w w:val="96"/>
              </w:rPr>
              <w:t>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tcBorders>
              <w:bottom w:val="single" w:sz="8" w:color="0000FF"/>
            </w:tcBorders>
            <w:gridSpan w:val="23"/>
          </w:tcPr>
          <w:p>
            <w:pPr>
              <w:spacing w:after="0"/>
              <w:rPr>
                <w:rFonts w:ascii="Calibri" w:cs="Calibri" w:eastAsia="Calibri" w:hAnsi="Calibri"/>
                <w:sz w:val="18"/>
                <w:szCs w:val="18"/>
                <w:color w:val="0000FF"/>
                <w:w w:val="96"/>
              </w:rPr>
            </w:pPr>
            <w:hyperlink r:id="rId145">
              <w:r>
                <w:rPr>
                  <w:rFonts w:ascii="Calibri" w:cs="Calibri" w:eastAsia="Calibri" w:hAnsi="Calibri"/>
                  <w:sz w:val="18"/>
                  <w:szCs w:val="18"/>
                  <w:color w:val="0000FF"/>
                  <w:w w:val="96"/>
                </w:rPr>
                <w:t>Warrant to purchase stock issued to Hercules Capital, dated September 17, 2021</w:t>
              </w:r>
            </w:hyperlink>
          </w:p>
        </w:tc>
        <w:tc>
          <w:tcPr>
            <w:tcW w:w="180" w:type="dxa"/>
            <w:vAlign w:val="bottom"/>
            <w:gridSpan w:val="5"/>
          </w:tcPr>
          <w:p>
            <w:pPr>
              <w:spacing w:after="0"/>
              <w:rPr>
                <w:sz w:val="24"/>
                <w:szCs w:val="24"/>
                <w:color w:val="auto"/>
              </w:rPr>
            </w:pPr>
          </w:p>
        </w:tc>
        <w:tc>
          <w:tcPr>
            <w:tcW w:w="700" w:type="dxa"/>
            <w:vAlign w:val="bottom"/>
          </w:tcPr>
          <w:p>
            <w:pPr>
              <w:jc w:val="center"/>
              <w:spacing w:after="0"/>
              <w:rPr>
                <w:sz w:val="20"/>
                <w:szCs w:val="20"/>
                <w:color w:val="auto"/>
              </w:rPr>
            </w:pPr>
            <w:r>
              <w:rPr>
                <w:rFonts w:ascii="Calibri" w:cs="Calibri" w:eastAsia="Calibri" w:hAnsi="Calibri"/>
                <w:sz w:val="18"/>
                <w:szCs w:val="18"/>
                <w:color w:val="auto"/>
                <w:w w:val="94"/>
              </w:rPr>
              <w:t>10-Q</w:t>
            </w:r>
          </w:p>
        </w:tc>
        <w:tc>
          <w:tcPr>
            <w:tcW w:w="1140" w:type="dxa"/>
            <w:vAlign w:val="bottom"/>
            <w:gridSpan w:val="2"/>
          </w:tcPr>
          <w:p>
            <w:pPr>
              <w:jc w:val="center"/>
              <w:ind w:left="32"/>
              <w:spacing w:after="0"/>
              <w:rPr>
                <w:sz w:val="20"/>
                <w:szCs w:val="20"/>
                <w:color w:val="auto"/>
              </w:rPr>
            </w:pPr>
            <w:r>
              <w:rPr>
                <w:rFonts w:ascii="Calibri" w:cs="Calibri" w:eastAsia="Calibri" w:hAnsi="Calibri"/>
                <w:sz w:val="18"/>
                <w:szCs w:val="18"/>
                <w:color w:val="auto"/>
                <w:w w:val="97"/>
              </w:rPr>
              <w:t>11/8/21</w:t>
            </w:r>
          </w:p>
        </w:tc>
        <w:tc>
          <w:tcPr>
            <w:tcW w:w="1160" w:type="dxa"/>
            <w:vAlign w:val="bottom"/>
            <w:gridSpan w:val="2"/>
          </w:tcPr>
          <w:p>
            <w:pPr>
              <w:jc w:val="center"/>
              <w:ind w:left="30"/>
              <w:spacing w:after="0"/>
              <w:rPr>
                <w:sz w:val="20"/>
                <w:szCs w:val="20"/>
                <w:color w:val="auto"/>
              </w:rPr>
            </w:pPr>
            <w:r>
              <w:rPr>
                <w:rFonts w:ascii="Calibri" w:cs="Calibri" w:eastAsia="Calibri" w:hAnsi="Calibri"/>
                <w:sz w:val="18"/>
                <w:szCs w:val="18"/>
                <w:color w:val="auto"/>
              </w:rPr>
              <w:t>10.2</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Calibri" w:cs="Calibri" w:eastAsia="Calibri" w:hAnsi="Calibri"/>
                <w:sz w:val="18"/>
                <w:szCs w:val="18"/>
                <w:color w:val="auto"/>
                <w:w w:val="96"/>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Borders>
              <w:bottom w:val="single" w:sz="8" w:color="0000FF"/>
            </w:tcBorders>
            <w:gridSpan w:val="24"/>
          </w:tcPr>
          <w:p>
            <w:pPr>
              <w:spacing w:after="0"/>
              <w:rPr>
                <w:sz w:val="20"/>
                <w:szCs w:val="20"/>
                <w:color w:val="auto"/>
              </w:rPr>
            </w:pPr>
            <w:r>
              <w:rPr>
                <w:rFonts w:ascii="Calibri" w:cs="Calibri" w:eastAsia="Calibri" w:hAnsi="Calibri"/>
                <w:sz w:val="18"/>
                <w:szCs w:val="18"/>
                <w:color w:val="0000FF"/>
                <w:w w:val="97"/>
              </w:rPr>
              <w:t>First Amendment to Warrant to purchase stock issued to Hercules Capital, dated</w:t>
            </w:r>
          </w:p>
        </w:tc>
        <w:tc>
          <w:tcPr>
            <w:tcW w:w="16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bottom w:val="single" w:sz="8" w:color="0000FF"/>
            </w:tcBorders>
            <w:gridSpan w:val="3"/>
          </w:tcPr>
          <w:p>
            <w:pPr>
              <w:spacing w:after="0" w:line="196" w:lineRule="exact"/>
              <w:rPr>
                <w:sz w:val="20"/>
                <w:szCs w:val="20"/>
                <w:color w:val="auto"/>
              </w:rPr>
            </w:pPr>
            <w:r>
              <w:rPr>
                <w:rFonts w:ascii="Calibri" w:cs="Calibri" w:eastAsia="Calibri" w:hAnsi="Calibri"/>
                <w:sz w:val="18"/>
                <w:szCs w:val="18"/>
                <w:color w:val="0000FF"/>
                <w:w w:val="95"/>
              </w:rPr>
              <w:t>May 9, 2023</w:t>
            </w:r>
          </w:p>
        </w:tc>
        <w:tc>
          <w:tcPr>
            <w:tcW w:w="20" w:type="dxa"/>
            <w:vAlign w:val="bottom"/>
            <w:tcBorders>
              <w:bottom w:val="single" w:sz="8" w:color="0000EE"/>
            </w:tcBorders>
          </w:tcPr>
          <w:p>
            <w:pPr>
              <w:spacing w:after="0"/>
              <w:rPr>
                <w:sz w:val="17"/>
                <w:szCs w:val="17"/>
                <w:color w:val="auto"/>
              </w:rPr>
            </w:pPr>
          </w:p>
        </w:tc>
        <w:tc>
          <w:tcPr>
            <w:tcW w:w="5000" w:type="dxa"/>
            <w:vAlign w:val="bottom"/>
            <w:gridSpan w:val="24"/>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Calibri" w:cs="Calibri" w:eastAsia="Calibri" w:hAnsi="Calibri"/>
                <w:sz w:val="18"/>
                <w:szCs w:val="18"/>
                <w:color w:val="auto"/>
                <w:w w:val="96"/>
              </w:rPr>
              <w:t>4.6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60" w:type="dxa"/>
            <w:vAlign w:val="bottom"/>
            <w:tcBorders>
              <w:bottom w:val="single" w:sz="8" w:color="0000FF"/>
            </w:tcBorders>
            <w:gridSpan w:val="19"/>
          </w:tcPr>
          <w:p>
            <w:pPr>
              <w:spacing w:after="0"/>
              <w:rPr>
                <w:sz w:val="20"/>
                <w:szCs w:val="20"/>
                <w:color w:val="auto"/>
              </w:rPr>
            </w:pPr>
            <w:r>
              <w:rPr>
                <w:rFonts w:ascii="Calibri" w:cs="Calibri" w:eastAsia="Calibri" w:hAnsi="Calibri"/>
                <w:sz w:val="18"/>
                <w:szCs w:val="18"/>
                <w:color w:val="0000FF"/>
                <w:w w:val="97"/>
              </w:rPr>
              <w:t>Form of Warrant to purchase stock issuable pursuant to the Loan and Security</w:t>
            </w:r>
          </w:p>
        </w:tc>
        <w:tc>
          <w:tcPr>
            <w:tcW w:w="340" w:type="dxa"/>
            <w:vAlign w:val="bottom"/>
            <w:gridSpan w:val="9"/>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tcBorders>
              <w:bottom w:val="single" w:sz="8" w:color="0000FF"/>
            </w:tcBorders>
            <w:gridSpan w:val="20"/>
          </w:tcPr>
          <w:p>
            <w:pPr>
              <w:spacing w:after="0" w:line="196" w:lineRule="exact"/>
              <w:rPr>
                <w:sz w:val="20"/>
                <w:szCs w:val="20"/>
                <w:color w:val="auto"/>
              </w:rPr>
            </w:pPr>
            <w:r>
              <w:rPr>
                <w:rFonts w:ascii="Calibri" w:cs="Calibri" w:eastAsia="Calibri" w:hAnsi="Calibri"/>
                <w:sz w:val="18"/>
                <w:szCs w:val="18"/>
                <w:color w:val="0000FF"/>
                <w:w w:val="97"/>
              </w:rPr>
              <w:t>Agreement, as amended, by and between the Registrant and Hercules Capital,</w:t>
            </w:r>
          </w:p>
        </w:tc>
        <w:tc>
          <w:tcPr>
            <w:tcW w:w="32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0000FF"/>
            </w:tcBorders>
          </w:tcPr>
          <w:p>
            <w:pPr>
              <w:spacing w:after="0" w:line="196" w:lineRule="exact"/>
              <w:rPr>
                <w:sz w:val="20"/>
                <w:szCs w:val="20"/>
                <w:color w:val="auto"/>
              </w:rPr>
            </w:pPr>
            <w:r>
              <w:rPr>
                <w:rFonts w:ascii="Calibri" w:cs="Calibri" w:eastAsia="Calibri" w:hAnsi="Calibri"/>
                <w:sz w:val="18"/>
                <w:szCs w:val="18"/>
                <w:color w:val="0000FF"/>
                <w:w w:val="91"/>
              </w:rPr>
              <w:t>Inc.</w:t>
            </w:r>
          </w:p>
        </w:tc>
        <w:tc>
          <w:tcPr>
            <w:tcW w:w="20" w:type="dxa"/>
            <w:vAlign w:val="bottom"/>
            <w:tcBorders>
              <w:bottom w:val="single" w:sz="8" w:color="0000EE"/>
            </w:tcBorders>
          </w:tcPr>
          <w:p>
            <w:pPr>
              <w:spacing w:after="0"/>
              <w:rPr>
                <w:sz w:val="17"/>
                <w:szCs w:val="17"/>
                <w:color w:val="auto"/>
              </w:rPr>
            </w:pPr>
          </w:p>
        </w:tc>
        <w:tc>
          <w:tcPr>
            <w:tcW w:w="5620" w:type="dxa"/>
            <w:vAlign w:val="bottom"/>
            <w:gridSpan w:val="26"/>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Calibri" w:cs="Calibri" w:eastAsia="Calibri" w:hAnsi="Calibri"/>
                <w:sz w:val="18"/>
                <w:szCs w:val="18"/>
                <w:color w:val="auto"/>
                <w:w w:val="96"/>
              </w:rPr>
              <w:t>4.7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tcBorders>
              <w:bottom w:val="single" w:sz="8" w:color="0000FF"/>
            </w:tcBorders>
            <w:gridSpan w:val="25"/>
          </w:tcPr>
          <w:p>
            <w:pPr>
              <w:spacing w:after="0"/>
              <w:rPr>
                <w:rFonts w:ascii="Calibri" w:cs="Calibri" w:eastAsia="Calibri" w:hAnsi="Calibri"/>
                <w:sz w:val="18"/>
                <w:szCs w:val="18"/>
                <w:color w:val="0000FF"/>
                <w:w w:val="97"/>
              </w:rPr>
            </w:pPr>
            <w:hyperlink r:id="rId146">
              <w:r>
                <w:rPr>
                  <w:rFonts w:ascii="Calibri" w:cs="Calibri" w:eastAsia="Calibri" w:hAnsi="Calibri"/>
                  <w:sz w:val="18"/>
                  <w:szCs w:val="18"/>
                  <w:color w:val="0000FF"/>
                  <w:w w:val="97"/>
                </w:rPr>
                <w:t>Note Purchase Agreement, dated May 7, 2019, by and among the Registrant and</w:t>
              </w:r>
            </w:hyperlink>
          </w:p>
        </w:tc>
        <w:tc>
          <w:tcPr>
            <w:tcW w:w="140" w:type="dxa"/>
            <w:vAlign w:val="bottom"/>
            <w:gridSpan w:val="3"/>
          </w:tcPr>
          <w:p>
            <w:pPr>
              <w:spacing w:after="0"/>
              <w:rPr>
                <w:sz w:val="24"/>
                <w:szCs w:val="24"/>
                <w:color w:val="auto"/>
              </w:rPr>
            </w:pPr>
          </w:p>
        </w:tc>
        <w:tc>
          <w:tcPr>
            <w:tcW w:w="700" w:type="dxa"/>
            <w:vAlign w:val="bottom"/>
          </w:tcPr>
          <w:p>
            <w:pPr>
              <w:jc w:val="center"/>
              <w:spacing w:after="0"/>
              <w:rPr>
                <w:sz w:val="20"/>
                <w:szCs w:val="20"/>
                <w:color w:val="auto"/>
              </w:rPr>
            </w:pPr>
            <w:r>
              <w:rPr>
                <w:rFonts w:ascii="Calibri" w:cs="Calibri" w:eastAsia="Calibri" w:hAnsi="Calibri"/>
                <w:sz w:val="18"/>
                <w:szCs w:val="18"/>
                <w:color w:val="auto"/>
                <w:w w:val="94"/>
              </w:rPr>
              <w:t>S-1/A</w:t>
            </w:r>
          </w:p>
        </w:tc>
        <w:tc>
          <w:tcPr>
            <w:tcW w:w="1140" w:type="dxa"/>
            <w:vAlign w:val="bottom"/>
            <w:gridSpan w:val="2"/>
          </w:tcPr>
          <w:p>
            <w:pPr>
              <w:jc w:val="center"/>
              <w:ind w:left="32"/>
              <w:spacing w:after="0"/>
              <w:rPr>
                <w:sz w:val="20"/>
                <w:szCs w:val="20"/>
                <w:color w:val="auto"/>
              </w:rPr>
            </w:pPr>
            <w:r>
              <w:rPr>
                <w:rFonts w:ascii="Calibri" w:cs="Calibri" w:eastAsia="Calibri" w:hAnsi="Calibri"/>
                <w:sz w:val="18"/>
                <w:szCs w:val="18"/>
                <w:color w:val="auto"/>
                <w:w w:val="96"/>
              </w:rPr>
              <w:t>10/15/19</w:t>
            </w:r>
          </w:p>
        </w:tc>
        <w:tc>
          <w:tcPr>
            <w:tcW w:w="1160" w:type="dxa"/>
            <w:vAlign w:val="bottom"/>
            <w:gridSpan w:val="2"/>
          </w:tcPr>
          <w:p>
            <w:pPr>
              <w:jc w:val="center"/>
              <w:ind w:left="10"/>
              <w:spacing w:after="0"/>
              <w:rPr>
                <w:sz w:val="20"/>
                <w:szCs w:val="20"/>
                <w:color w:val="auto"/>
              </w:rPr>
            </w:pPr>
            <w:r>
              <w:rPr>
                <w:rFonts w:ascii="Calibri" w:cs="Calibri" w:eastAsia="Calibri" w:hAnsi="Calibri"/>
                <w:sz w:val="18"/>
                <w:szCs w:val="18"/>
                <w:color w:val="auto"/>
                <w:w w:val="96"/>
              </w:rPr>
              <w:t>4.5</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bottom w:val="single" w:sz="8" w:color="0000FF"/>
            </w:tcBorders>
            <w:gridSpan w:val="12"/>
          </w:tcPr>
          <w:p>
            <w:pPr>
              <w:spacing w:after="0" w:line="196" w:lineRule="exact"/>
              <w:rPr>
                <w:rFonts w:ascii="Calibri" w:cs="Calibri" w:eastAsia="Calibri" w:hAnsi="Calibri"/>
                <w:sz w:val="18"/>
                <w:szCs w:val="18"/>
                <w:color w:val="0000FF"/>
                <w:w w:val="97"/>
              </w:rPr>
            </w:pPr>
            <w:hyperlink r:id="rId146">
              <w:r>
                <w:rPr>
                  <w:rFonts w:ascii="Calibri" w:cs="Calibri" w:eastAsia="Calibri" w:hAnsi="Calibri"/>
                  <w:sz w:val="18"/>
                  <w:szCs w:val="18"/>
                  <w:color w:val="0000FF"/>
                  <w:w w:val="97"/>
                </w:rPr>
                <w:t>the other partes party thereto, as amended</w:t>
              </w:r>
            </w:hyperlink>
          </w:p>
        </w:tc>
        <w:tc>
          <w:tcPr>
            <w:tcW w:w="20" w:type="dxa"/>
            <w:vAlign w:val="bottom"/>
            <w:tcBorders>
              <w:bottom w:val="single" w:sz="8" w:color="0000EE"/>
            </w:tcBorders>
          </w:tcPr>
          <w:p>
            <w:pPr>
              <w:spacing w:after="0"/>
              <w:rPr>
                <w:sz w:val="17"/>
                <w:szCs w:val="17"/>
                <w:color w:val="auto"/>
              </w:rPr>
            </w:pPr>
          </w:p>
        </w:tc>
        <w:tc>
          <w:tcPr>
            <w:tcW w:w="2740" w:type="dxa"/>
            <w:vAlign w:val="bottom"/>
            <w:gridSpan w:val="15"/>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Calibri" w:cs="Calibri" w:eastAsia="Calibri" w:hAnsi="Calibri"/>
                <w:sz w:val="18"/>
                <w:szCs w:val="18"/>
                <w:color w:val="auto"/>
                <w:w w:val="97"/>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60" w:type="dxa"/>
            <w:vAlign w:val="bottom"/>
            <w:tcBorders>
              <w:bottom w:val="single" w:sz="8" w:color="0000FF"/>
            </w:tcBorders>
            <w:gridSpan w:val="22"/>
          </w:tcPr>
          <w:p>
            <w:pPr>
              <w:spacing w:after="0"/>
              <w:rPr>
                <w:sz w:val="20"/>
                <w:szCs w:val="20"/>
                <w:color w:val="auto"/>
              </w:rPr>
            </w:pPr>
            <w:r>
              <w:rPr>
                <w:rFonts w:ascii="Calibri" w:cs="Calibri" w:eastAsia="Calibri" w:hAnsi="Calibri"/>
                <w:sz w:val="18"/>
                <w:szCs w:val="18"/>
                <w:color w:val="0000FF"/>
                <w:w w:val="97"/>
              </w:rPr>
              <w:t>Third Amendment to Loan and Security Agreement, dated May 9, 2023, by and</w:t>
            </w:r>
          </w:p>
        </w:tc>
        <w:tc>
          <w:tcPr>
            <w:tcW w:w="240" w:type="dxa"/>
            <w:vAlign w:val="bottom"/>
            <w:gridSpan w:val="6"/>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bottom w:val="single" w:sz="8" w:color="0000FF"/>
            </w:tcBorders>
            <w:gridSpan w:val="14"/>
          </w:tcPr>
          <w:p>
            <w:pPr>
              <w:spacing w:after="0" w:line="196" w:lineRule="exact"/>
              <w:rPr>
                <w:sz w:val="20"/>
                <w:szCs w:val="20"/>
                <w:color w:val="auto"/>
              </w:rPr>
            </w:pPr>
            <w:r>
              <w:rPr>
                <w:rFonts w:ascii="Calibri" w:cs="Calibri" w:eastAsia="Calibri" w:hAnsi="Calibri"/>
                <w:sz w:val="18"/>
                <w:szCs w:val="18"/>
                <w:color w:val="0000FF"/>
                <w:w w:val="96"/>
              </w:rPr>
              <w:t>among the Registrant and Hercules Capital, Inc.</w:t>
            </w:r>
          </w:p>
        </w:tc>
        <w:tc>
          <w:tcPr>
            <w:tcW w:w="20" w:type="dxa"/>
            <w:vAlign w:val="bottom"/>
            <w:tcBorders>
              <w:bottom w:val="single" w:sz="8" w:color="0000EE"/>
            </w:tcBorders>
          </w:tcPr>
          <w:p>
            <w:pPr>
              <w:spacing w:after="0"/>
              <w:rPr>
                <w:sz w:val="17"/>
                <w:szCs w:val="17"/>
                <w:color w:val="auto"/>
              </w:rPr>
            </w:pPr>
          </w:p>
        </w:tc>
        <w:tc>
          <w:tcPr>
            <w:tcW w:w="2520" w:type="dxa"/>
            <w:vAlign w:val="bottom"/>
            <w:gridSpan w:val="13"/>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Calibri" w:cs="Calibri" w:eastAsia="Calibri" w:hAnsi="Calibri"/>
                <w:sz w:val="18"/>
                <w:szCs w:val="18"/>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Borders>
              <w:bottom w:val="single" w:sz="8" w:color="0000FF"/>
            </w:tcBorders>
            <w:gridSpan w:val="17"/>
          </w:tcPr>
          <w:p>
            <w:pPr>
              <w:spacing w:after="0"/>
              <w:rPr>
                <w:sz w:val="20"/>
                <w:szCs w:val="20"/>
                <w:color w:val="auto"/>
              </w:rPr>
            </w:pPr>
            <w:r>
              <w:rPr>
                <w:rFonts w:ascii="Calibri" w:cs="Calibri" w:eastAsia="Calibri" w:hAnsi="Calibri"/>
                <w:sz w:val="18"/>
                <w:szCs w:val="18"/>
                <w:color w:val="0000FF"/>
              </w:rPr>
              <w:t>Certfcaton of Chief Executve Ofcer of Phathom Pharmaceutcals, Inc., as</w:t>
            </w:r>
          </w:p>
        </w:tc>
        <w:tc>
          <w:tcPr>
            <w:tcW w:w="500" w:type="dxa"/>
            <w:vAlign w:val="bottom"/>
            <w:gridSpan w:val="11"/>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tcBorders>
              <w:bottom w:val="single" w:sz="8" w:color="0000FF"/>
            </w:tcBorders>
            <w:gridSpan w:val="18"/>
          </w:tcPr>
          <w:p>
            <w:pPr>
              <w:spacing w:after="0" w:line="196" w:lineRule="exact"/>
              <w:rPr>
                <w:sz w:val="20"/>
                <w:szCs w:val="20"/>
                <w:color w:val="auto"/>
              </w:rPr>
            </w:pPr>
            <w:r>
              <w:rPr>
                <w:rFonts w:ascii="Calibri" w:cs="Calibri" w:eastAsia="Calibri" w:hAnsi="Calibri"/>
                <w:sz w:val="18"/>
                <w:szCs w:val="18"/>
                <w:color w:val="0000FF"/>
                <w:w w:val="98"/>
              </w:rPr>
              <w:t>required by Rule 13a-14(a) or Rule 15d-14(a), as adopted pursuant to Secton</w:t>
            </w:r>
          </w:p>
        </w:tc>
        <w:tc>
          <w:tcPr>
            <w:tcW w:w="38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00" w:type="dxa"/>
            <w:vAlign w:val="bottom"/>
            <w:gridSpan w:val="28"/>
          </w:tcPr>
          <w:p>
            <w:pPr>
              <w:spacing w:after="0" w:line="196" w:lineRule="exact"/>
              <w:rPr>
                <w:sz w:val="20"/>
                <w:szCs w:val="20"/>
                <w:color w:val="auto"/>
              </w:rPr>
            </w:pPr>
            <w:r>
              <w:rPr>
                <w:rFonts w:ascii="Calibri" w:cs="Calibri" w:eastAsia="Calibri" w:hAnsi="Calibri"/>
                <w:sz w:val="18"/>
                <w:szCs w:val="18"/>
                <w:color w:val="0000FF"/>
              </w:rPr>
              <w:t>302 of the Sarbanes-Oxley Act of 2002.</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tcBorders>
              <w:right w:val="single" w:sz="8" w:color="0000EE"/>
            </w:tcBorders>
            <w:gridSpan w:val="5"/>
            <w:shd w:val="clear" w:color="auto" w:fill="0000FF"/>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60" w:type="dxa"/>
            <w:vAlign w:val="bottom"/>
          </w:tcPr>
          <w:p>
            <w:pPr>
              <w:jc w:val="center"/>
              <w:spacing w:after="0"/>
              <w:rPr>
                <w:sz w:val="20"/>
                <w:szCs w:val="20"/>
                <w:color w:val="auto"/>
              </w:rPr>
            </w:pPr>
            <w:r>
              <w:rPr>
                <w:rFonts w:ascii="Calibri" w:cs="Calibri" w:eastAsia="Calibri" w:hAnsi="Calibri"/>
                <w:sz w:val="18"/>
                <w:szCs w:val="18"/>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tcBorders>
              <w:bottom w:val="single" w:sz="8" w:color="0000FF"/>
            </w:tcBorders>
            <w:gridSpan w:val="17"/>
          </w:tcPr>
          <w:p>
            <w:pPr>
              <w:spacing w:after="0"/>
              <w:rPr>
                <w:sz w:val="20"/>
                <w:szCs w:val="20"/>
                <w:color w:val="auto"/>
              </w:rPr>
            </w:pPr>
            <w:r>
              <w:rPr>
                <w:rFonts w:ascii="Calibri" w:cs="Calibri" w:eastAsia="Calibri" w:hAnsi="Calibri"/>
                <w:sz w:val="18"/>
                <w:szCs w:val="18"/>
                <w:color w:val="0000FF"/>
              </w:rPr>
              <w:t>Certfcaton of Chief Financial Ofcer of Phathom Pharmaceutcals, Inc., as</w:t>
            </w:r>
          </w:p>
        </w:tc>
        <w:tc>
          <w:tcPr>
            <w:tcW w:w="500" w:type="dxa"/>
            <w:vAlign w:val="bottom"/>
            <w:gridSpan w:val="11"/>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520" w:type="dxa"/>
            <w:vAlign w:val="bottom"/>
            <w:tcBorders>
              <w:bottom w:val="single" w:sz="8" w:color="0000FF"/>
            </w:tcBorders>
            <w:gridSpan w:val="18"/>
          </w:tcPr>
          <w:p>
            <w:pPr>
              <w:spacing w:after="0" w:line="196" w:lineRule="exact"/>
              <w:rPr>
                <w:sz w:val="20"/>
                <w:szCs w:val="20"/>
                <w:color w:val="auto"/>
              </w:rPr>
            </w:pPr>
            <w:r>
              <w:rPr>
                <w:rFonts w:ascii="Calibri" w:cs="Calibri" w:eastAsia="Calibri" w:hAnsi="Calibri"/>
                <w:sz w:val="18"/>
                <w:szCs w:val="18"/>
                <w:color w:val="0000FF"/>
                <w:w w:val="98"/>
              </w:rPr>
              <w:t>required by Rule 13a-14(a) or Rule 15d-14(a), as adopted pursuant to Secton</w:t>
            </w:r>
          </w:p>
        </w:tc>
        <w:tc>
          <w:tcPr>
            <w:tcW w:w="38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00" w:type="dxa"/>
            <w:vAlign w:val="bottom"/>
            <w:gridSpan w:val="28"/>
          </w:tcPr>
          <w:p>
            <w:pPr>
              <w:spacing w:after="0" w:line="196" w:lineRule="exact"/>
              <w:rPr>
                <w:sz w:val="20"/>
                <w:szCs w:val="20"/>
                <w:color w:val="auto"/>
              </w:rPr>
            </w:pPr>
            <w:r>
              <w:rPr>
                <w:rFonts w:ascii="Calibri" w:cs="Calibri" w:eastAsia="Calibri" w:hAnsi="Calibri"/>
                <w:sz w:val="18"/>
                <w:szCs w:val="18"/>
                <w:color w:val="0000FF"/>
              </w:rPr>
              <w:t>302 of the Sarbanes-Oxley Act of 2002.</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tcBorders>
              <w:right w:val="single" w:sz="8" w:color="0000EE"/>
            </w:tcBorders>
            <w:gridSpan w:val="5"/>
            <w:shd w:val="clear" w:color="auto" w:fill="0000FF"/>
          </w:tcPr>
          <w:p>
            <w:pPr>
              <w:spacing w:after="0" w:line="20" w:lineRule="exact"/>
              <w:rPr>
                <w:sz w:val="1"/>
                <w:szCs w:val="1"/>
                <w:color w:val="auto"/>
              </w:rPr>
            </w:pPr>
          </w:p>
        </w:tc>
        <w:tc>
          <w:tcPr>
            <w:tcW w:w="28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60" w:type="dxa"/>
            <w:vAlign w:val="bottom"/>
          </w:tcPr>
          <w:p>
            <w:pPr>
              <w:jc w:val="center"/>
              <w:spacing w:after="0"/>
              <w:rPr>
                <w:sz w:val="20"/>
                <w:szCs w:val="20"/>
                <w:color w:val="auto"/>
              </w:rPr>
            </w:pPr>
            <w:r>
              <w:rPr>
                <w:rFonts w:ascii="Calibri" w:cs="Calibri" w:eastAsia="Calibri" w:hAnsi="Calibri"/>
                <w:sz w:val="18"/>
                <w:szCs w:val="18"/>
                <w:color w:val="auto"/>
                <w:w w:val="97"/>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40" w:type="dxa"/>
            <w:vAlign w:val="bottom"/>
            <w:tcBorders>
              <w:bottom w:val="single" w:sz="8" w:color="0000FF"/>
            </w:tcBorders>
            <w:gridSpan w:val="21"/>
          </w:tcPr>
          <w:p>
            <w:pPr>
              <w:spacing w:after="0"/>
              <w:rPr>
                <w:sz w:val="20"/>
                <w:szCs w:val="20"/>
                <w:color w:val="auto"/>
              </w:rPr>
            </w:pPr>
            <w:r>
              <w:rPr>
                <w:rFonts w:ascii="Calibri" w:cs="Calibri" w:eastAsia="Calibri" w:hAnsi="Calibri"/>
                <w:sz w:val="18"/>
                <w:szCs w:val="18"/>
                <w:color w:val="0000FF"/>
              </w:rPr>
              <w:t>Certfcaton of Chief Executve Ofcer pursuant to Secton 906 of the Sarbanes-</w:t>
            </w:r>
          </w:p>
        </w:tc>
        <w:tc>
          <w:tcPr>
            <w:tcW w:w="260" w:type="dxa"/>
            <w:vAlign w:val="bottom"/>
            <w:gridSpan w:val="7"/>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0000FF"/>
            </w:tcBorders>
            <w:gridSpan w:val="5"/>
          </w:tcPr>
          <w:p>
            <w:pPr>
              <w:spacing w:after="0" w:line="196" w:lineRule="exact"/>
              <w:rPr>
                <w:sz w:val="20"/>
                <w:szCs w:val="20"/>
                <w:color w:val="auto"/>
              </w:rPr>
            </w:pPr>
            <w:r>
              <w:rPr>
                <w:rFonts w:ascii="Calibri" w:cs="Calibri" w:eastAsia="Calibri" w:hAnsi="Calibri"/>
                <w:sz w:val="18"/>
                <w:szCs w:val="18"/>
                <w:color w:val="0000FF"/>
                <w:w w:val="96"/>
              </w:rPr>
              <w:t>Oxley Act of 2002.</w:t>
            </w:r>
          </w:p>
        </w:tc>
        <w:tc>
          <w:tcPr>
            <w:tcW w:w="20" w:type="dxa"/>
            <w:vAlign w:val="bottom"/>
            <w:tcBorders>
              <w:bottom w:val="single" w:sz="8" w:color="0000EE"/>
            </w:tcBorders>
          </w:tcPr>
          <w:p>
            <w:pPr>
              <w:spacing w:after="0"/>
              <w:rPr>
                <w:sz w:val="17"/>
                <w:szCs w:val="17"/>
                <w:color w:val="auto"/>
              </w:rPr>
            </w:pPr>
          </w:p>
        </w:tc>
        <w:tc>
          <w:tcPr>
            <w:tcW w:w="4580" w:type="dxa"/>
            <w:vAlign w:val="bottom"/>
            <w:gridSpan w:val="22"/>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60" w:type="dxa"/>
            <w:vAlign w:val="bottom"/>
          </w:tcPr>
          <w:p>
            <w:pPr>
              <w:jc w:val="center"/>
              <w:spacing w:after="0"/>
              <w:rPr>
                <w:sz w:val="20"/>
                <w:szCs w:val="20"/>
                <w:color w:val="auto"/>
              </w:rPr>
            </w:pPr>
            <w:r>
              <w:rPr>
                <w:rFonts w:ascii="Calibri" w:cs="Calibri" w:eastAsia="Calibri" w:hAnsi="Calibri"/>
                <w:sz w:val="18"/>
                <w:szCs w:val="18"/>
                <w:color w:val="auto"/>
                <w:w w:val="97"/>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8"/>
          </w:tcPr>
          <w:p>
            <w:pPr>
              <w:spacing w:after="0"/>
              <w:rPr>
                <w:sz w:val="20"/>
                <w:szCs w:val="20"/>
                <w:color w:val="auto"/>
              </w:rPr>
            </w:pPr>
            <w:r>
              <w:rPr>
                <w:rFonts w:ascii="Calibri" w:cs="Calibri" w:eastAsia="Calibri" w:hAnsi="Calibri"/>
                <w:sz w:val="18"/>
                <w:szCs w:val="18"/>
                <w:color w:val="0000FF"/>
              </w:rPr>
              <w:t>Certfcaton of Chief Financial Ofcer pursuant to Secton 906 of the Sarbanes-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top w:val="single" w:sz="8" w:color="0000FF"/>
              <w:bottom w:val="single" w:sz="8" w:color="0000FF"/>
            </w:tcBorders>
            <w:gridSpan w:val="5"/>
          </w:tcPr>
          <w:p>
            <w:pPr>
              <w:spacing w:after="0" w:line="196" w:lineRule="exact"/>
              <w:rPr>
                <w:sz w:val="20"/>
                <w:szCs w:val="20"/>
                <w:color w:val="auto"/>
              </w:rPr>
            </w:pPr>
            <w:r>
              <w:rPr>
                <w:rFonts w:ascii="Calibri" w:cs="Calibri" w:eastAsia="Calibri" w:hAnsi="Calibri"/>
                <w:sz w:val="18"/>
                <w:szCs w:val="18"/>
                <w:color w:val="0000FF"/>
                <w:w w:val="96"/>
              </w:rPr>
              <w:t>Oxley Act of 2002.</w:t>
            </w:r>
          </w:p>
        </w:tc>
        <w:tc>
          <w:tcPr>
            <w:tcW w:w="20" w:type="dxa"/>
            <w:vAlign w:val="bottom"/>
            <w:tcBorders>
              <w:top w:val="single" w:sz="8" w:color="0000FF"/>
              <w:bottom w:val="single" w:sz="8" w:color="0000EE"/>
            </w:tcBorders>
          </w:tcPr>
          <w:p>
            <w:pPr>
              <w:spacing w:after="0"/>
              <w:rPr>
                <w:sz w:val="17"/>
                <w:szCs w:val="17"/>
                <w:color w:val="auto"/>
              </w:rPr>
            </w:pPr>
          </w:p>
        </w:tc>
        <w:tc>
          <w:tcPr>
            <w:tcW w:w="4260" w:type="dxa"/>
            <w:vAlign w:val="bottom"/>
            <w:tcBorders>
              <w:top w:val="single" w:sz="8" w:color="0000FF"/>
            </w:tcBorders>
            <w:gridSpan w:val="14"/>
          </w:tcPr>
          <w:p>
            <w:pPr>
              <w:spacing w:after="0"/>
              <w:rPr>
                <w:sz w:val="17"/>
                <w:szCs w:val="17"/>
                <w:color w:val="auto"/>
              </w:rPr>
            </w:pPr>
          </w:p>
        </w:tc>
        <w:tc>
          <w:tcPr>
            <w:tcW w:w="320" w:type="dxa"/>
            <w:vAlign w:val="bottom"/>
            <w:gridSpan w:val="8"/>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6"/>
        </w:trPr>
        <w:tc>
          <w:tcPr>
            <w:tcW w:w="1060" w:type="dxa"/>
            <w:vAlign w:val="bottom"/>
          </w:tcPr>
          <w:p>
            <w:pPr>
              <w:jc w:val="center"/>
              <w:spacing w:after="0"/>
              <w:rPr>
                <w:sz w:val="20"/>
                <w:szCs w:val="20"/>
                <w:color w:val="auto"/>
              </w:rPr>
            </w:pPr>
            <w:r>
              <w:rPr>
                <w:rFonts w:ascii="Calibri" w:cs="Calibri" w:eastAsia="Calibri" w:hAnsi="Calibri"/>
                <w:sz w:val="18"/>
                <w:szCs w:val="18"/>
                <w:color w:val="auto"/>
                <w:w w:val="99"/>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8"/>
          </w:tcPr>
          <w:p>
            <w:pPr>
              <w:spacing w:after="0"/>
              <w:rPr>
                <w:sz w:val="20"/>
                <w:szCs w:val="20"/>
                <w:color w:val="auto"/>
              </w:rPr>
            </w:pPr>
            <w:r>
              <w:rPr>
                <w:rFonts w:ascii="Calibri" w:cs="Calibri" w:eastAsia="Calibri" w:hAnsi="Calibri"/>
                <w:sz w:val="18"/>
                <w:szCs w:val="18"/>
                <w:color w:val="auto"/>
              </w:rPr>
              <w:t>Inline XBRL Instance Document – the instance document does not appear in the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00" w:type="dxa"/>
            <w:vAlign w:val="bottom"/>
            <w:gridSpan w:val="28"/>
          </w:tcPr>
          <w:p>
            <w:pPr>
              <w:spacing w:after="0" w:line="216" w:lineRule="exact"/>
              <w:rPr>
                <w:sz w:val="20"/>
                <w:szCs w:val="20"/>
                <w:color w:val="auto"/>
              </w:rPr>
            </w:pPr>
            <w:r>
              <w:rPr>
                <w:rFonts w:ascii="Calibri" w:cs="Calibri" w:eastAsia="Calibri" w:hAnsi="Calibri"/>
                <w:sz w:val="18"/>
                <w:szCs w:val="18"/>
                <w:color w:val="auto"/>
              </w:rPr>
              <w:t>Interactve Data File because XBRL tags are embedded within the Inline XBRL</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00" w:type="dxa"/>
            <w:vAlign w:val="bottom"/>
            <w:gridSpan w:val="28"/>
          </w:tcPr>
          <w:p>
            <w:pPr>
              <w:spacing w:after="0" w:line="216" w:lineRule="exact"/>
              <w:rPr>
                <w:sz w:val="20"/>
                <w:szCs w:val="20"/>
                <w:color w:val="auto"/>
              </w:rPr>
            </w:pPr>
            <w:r>
              <w:rPr>
                <w:rFonts w:ascii="Calibri" w:cs="Calibri" w:eastAsia="Calibri" w:hAnsi="Calibri"/>
                <w:sz w:val="18"/>
                <w:szCs w:val="18"/>
                <w:color w:val="auto"/>
              </w:rPr>
              <w:t>document</w:t>
            </w:r>
            <w:r>
              <w:rPr>
                <w:rFonts w:ascii="Calibri" w:cs="Calibri" w:eastAsia="Calibri" w:hAnsi="Calibri"/>
                <w:sz w:val="16"/>
                <w:szCs w:val="16"/>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1060" w:type="dxa"/>
            <w:vAlign w:val="bottom"/>
          </w:tcPr>
          <w:p>
            <w:pPr>
              <w:jc w:val="center"/>
              <w:spacing w:after="0"/>
              <w:rPr>
                <w:sz w:val="20"/>
                <w:szCs w:val="20"/>
                <w:color w:val="auto"/>
              </w:rPr>
            </w:pPr>
            <w:r>
              <w:rPr>
                <w:rFonts w:ascii="Calibri" w:cs="Calibri" w:eastAsia="Calibri" w:hAnsi="Calibri"/>
                <w:sz w:val="18"/>
                <w:szCs w:val="18"/>
                <w:color w:val="auto"/>
                <w:w w:val="98"/>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8"/>
          </w:tcPr>
          <w:p>
            <w:pPr>
              <w:spacing w:after="0"/>
              <w:rPr>
                <w:sz w:val="20"/>
                <w:szCs w:val="20"/>
                <w:color w:val="auto"/>
              </w:rPr>
            </w:pPr>
            <w:r>
              <w:rPr>
                <w:rFonts w:ascii="Calibri" w:cs="Calibri" w:eastAsia="Calibri" w:hAnsi="Calibri"/>
                <w:sz w:val="18"/>
                <w:szCs w:val="18"/>
                <w:color w:val="auto"/>
              </w:rPr>
              <w:t>Inline XBRL Taxonomy Extension Schema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405"/>
        </w:trPr>
        <w:tc>
          <w:tcPr>
            <w:tcW w:w="1060" w:type="dxa"/>
            <w:vAlign w:val="bottom"/>
          </w:tcPr>
          <w:p>
            <w:pPr>
              <w:jc w:val="center"/>
              <w:spacing w:after="0"/>
              <w:rPr>
                <w:sz w:val="20"/>
                <w:szCs w:val="20"/>
                <w:color w:val="auto"/>
              </w:rPr>
            </w:pPr>
            <w:r>
              <w:rPr>
                <w:rFonts w:ascii="Calibri" w:cs="Calibri" w:eastAsia="Calibri" w:hAnsi="Calibri"/>
                <w:sz w:val="18"/>
                <w:szCs w:val="18"/>
                <w:color w:val="auto"/>
                <w:w w:val="97"/>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8"/>
          </w:tcPr>
          <w:p>
            <w:pPr>
              <w:spacing w:after="0"/>
              <w:rPr>
                <w:sz w:val="20"/>
                <w:szCs w:val="20"/>
                <w:color w:val="auto"/>
              </w:rPr>
            </w:pPr>
            <w:r>
              <w:rPr>
                <w:rFonts w:ascii="Calibri" w:cs="Calibri" w:eastAsia="Calibri" w:hAnsi="Calibri"/>
                <w:sz w:val="18"/>
                <w:szCs w:val="18"/>
                <w:color w:val="auto"/>
              </w:rPr>
              <w:t>Inline XBRL Taxonomy Calculaton Linkbase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405"/>
        </w:trPr>
        <w:tc>
          <w:tcPr>
            <w:tcW w:w="1060" w:type="dxa"/>
            <w:vAlign w:val="bottom"/>
          </w:tcPr>
          <w:p>
            <w:pPr>
              <w:jc w:val="center"/>
              <w:spacing w:after="0"/>
              <w:rPr>
                <w:sz w:val="20"/>
                <w:szCs w:val="20"/>
                <w:color w:val="auto"/>
              </w:rPr>
            </w:pPr>
            <w:r>
              <w:rPr>
                <w:rFonts w:ascii="Calibri" w:cs="Calibri" w:eastAsia="Calibri" w:hAnsi="Calibri"/>
                <w:sz w:val="18"/>
                <w:szCs w:val="18"/>
                <w:color w:val="auto"/>
                <w:w w:val="97"/>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8"/>
          </w:tcPr>
          <w:p>
            <w:pPr>
              <w:spacing w:after="0"/>
              <w:rPr>
                <w:sz w:val="20"/>
                <w:szCs w:val="20"/>
                <w:color w:val="auto"/>
              </w:rPr>
            </w:pPr>
            <w:r>
              <w:rPr>
                <w:rFonts w:ascii="Calibri" w:cs="Calibri" w:eastAsia="Calibri" w:hAnsi="Calibri"/>
                <w:sz w:val="18"/>
                <w:szCs w:val="18"/>
                <w:color w:val="auto"/>
              </w:rPr>
              <w:t>Inline XBRL Taxonomy Label Linkbase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405"/>
        </w:trPr>
        <w:tc>
          <w:tcPr>
            <w:tcW w:w="1060" w:type="dxa"/>
            <w:vAlign w:val="bottom"/>
          </w:tcPr>
          <w:p>
            <w:pPr>
              <w:jc w:val="center"/>
              <w:spacing w:after="0"/>
              <w:rPr>
                <w:sz w:val="20"/>
                <w:szCs w:val="20"/>
                <w:color w:val="auto"/>
              </w:rPr>
            </w:pPr>
            <w:r>
              <w:rPr>
                <w:rFonts w:ascii="Calibri" w:cs="Calibri" w:eastAsia="Calibri" w:hAnsi="Calibri"/>
                <w:sz w:val="18"/>
                <w:szCs w:val="18"/>
                <w:color w:val="auto"/>
                <w:w w:val="96"/>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8"/>
          </w:tcPr>
          <w:p>
            <w:pPr>
              <w:spacing w:after="0"/>
              <w:rPr>
                <w:sz w:val="20"/>
                <w:szCs w:val="20"/>
                <w:color w:val="auto"/>
              </w:rPr>
            </w:pPr>
            <w:r>
              <w:rPr>
                <w:rFonts w:ascii="Calibri" w:cs="Calibri" w:eastAsia="Calibri" w:hAnsi="Calibri"/>
                <w:sz w:val="18"/>
                <w:szCs w:val="18"/>
                <w:color w:val="auto"/>
              </w:rPr>
              <w:t>Inline XBRL Presentaton Linkbase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r>
        <w:trPr>
          <w:trHeight w:val="405"/>
        </w:trPr>
        <w:tc>
          <w:tcPr>
            <w:tcW w:w="1060" w:type="dxa"/>
            <w:vAlign w:val="bottom"/>
          </w:tcPr>
          <w:p>
            <w:pPr>
              <w:jc w:val="center"/>
              <w:spacing w:after="0"/>
              <w:rPr>
                <w:sz w:val="20"/>
                <w:szCs w:val="20"/>
                <w:color w:val="auto"/>
              </w:rPr>
            </w:pPr>
            <w:r>
              <w:rPr>
                <w:rFonts w:ascii="Calibri" w:cs="Calibri" w:eastAsia="Calibri" w:hAnsi="Calibri"/>
                <w:sz w:val="18"/>
                <w:szCs w:val="18"/>
                <w:color w:val="auto"/>
                <w:w w:val="96"/>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gridSpan w:val="28"/>
          </w:tcPr>
          <w:p>
            <w:pPr>
              <w:spacing w:after="0"/>
              <w:rPr>
                <w:sz w:val="20"/>
                <w:szCs w:val="20"/>
                <w:color w:val="auto"/>
              </w:rPr>
            </w:pPr>
            <w:r>
              <w:rPr>
                <w:rFonts w:ascii="Calibri" w:cs="Calibri" w:eastAsia="Calibri" w:hAnsi="Calibri"/>
                <w:sz w:val="18"/>
                <w:szCs w:val="18"/>
                <w:color w:val="auto"/>
              </w:rPr>
              <w:t>Inline XBRL Taxonomy Extension Defniton Linkbase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Calibri" w:cs="Calibri" w:eastAsia="Calibri" w:hAnsi="Calibri"/>
                <w:sz w:val="18"/>
                <w:szCs w:val="18"/>
                <w:color w:val="auto"/>
                <w:w w:val="85"/>
              </w:rPr>
              <w:t>X</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200" w:hanging="789"/>
        <w:spacing w:after="0"/>
        <w:tabs>
          <w:tab w:leader="none" w:pos="1200" w:val="left"/>
        </w:tabs>
        <w:numPr>
          <w:ilvl w:val="0"/>
          <w:numId w:val="10"/>
        </w:numPr>
        <w:rPr>
          <w:rFonts w:ascii="Calibri" w:cs="Calibri" w:eastAsia="Calibri" w:hAnsi="Calibri"/>
          <w:sz w:val="16"/>
          <w:szCs w:val="16"/>
          <w:color w:val="auto"/>
        </w:rPr>
      </w:pPr>
      <w:r>
        <w:rPr>
          <w:rFonts w:ascii="Calibri" w:cs="Calibri" w:eastAsia="Calibri" w:hAnsi="Calibri"/>
          <w:sz w:val="18"/>
          <w:szCs w:val="18"/>
          <w:color w:val="auto"/>
        </w:rPr>
        <w:t>Cover Page Interactve Data File (embedded within the Inline XBRL document)</w:t>
      </w:r>
    </w:p>
    <w:p>
      <w:pPr>
        <w:spacing w:after="0" w:line="200" w:lineRule="exact"/>
        <w:rPr>
          <w:rFonts w:ascii="Calibri" w:cs="Calibri" w:eastAsia="Calibri" w:hAnsi="Calibri"/>
          <w:sz w:val="16"/>
          <w:szCs w:val="16"/>
          <w:color w:val="auto"/>
        </w:rPr>
      </w:pPr>
    </w:p>
    <w:p>
      <w:pPr>
        <w:spacing w:after="0" w:line="250" w:lineRule="exact"/>
        <w:rPr>
          <w:rFonts w:ascii="Calibri" w:cs="Calibri" w:eastAsia="Calibri" w:hAnsi="Calibri"/>
          <w:sz w:val="16"/>
          <w:szCs w:val="16"/>
          <w:color w:val="auto"/>
        </w:rPr>
      </w:pPr>
    </w:p>
    <w:p>
      <w:pPr>
        <w:ind w:left="5540"/>
        <w:spacing w:after="0"/>
        <w:rPr>
          <w:rFonts w:ascii="Calibri" w:cs="Calibri" w:eastAsia="Calibri" w:hAnsi="Calibri"/>
          <w:sz w:val="16"/>
          <w:szCs w:val="16"/>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7" w:name="page38"/>
    <w:bookmarkEnd w:id="37"/>
    <w:p>
      <w:pPr>
        <w:spacing w:after="0"/>
        <w:rPr>
          <w:sz w:val="20"/>
          <w:szCs w:val="20"/>
          <w:color w:val="auto"/>
        </w:rPr>
      </w:pPr>
      <w:r>
        <w:rPr>
          <w:rFonts w:ascii="Calibri" w:cs="Calibri" w:eastAsia="Calibri" w:hAnsi="Calibri"/>
          <w:sz w:val="18"/>
          <w:szCs w:val="18"/>
          <w:color w:val="auto"/>
        </w:rPr>
        <w:t># Indicates management contract or compensatory plan</w:t>
      </w:r>
    </w:p>
    <w:p>
      <w:pPr>
        <w:spacing w:after="0" w:line="1" w:lineRule="exact"/>
        <w:rPr>
          <w:sz w:val="20"/>
          <w:szCs w:val="20"/>
          <w:color w:val="auto"/>
        </w:rPr>
      </w:pPr>
    </w:p>
    <w:p>
      <w:pPr>
        <w:ind w:right="600" w:firstLine="8"/>
        <w:spacing w:after="0" w:line="235" w:lineRule="auto"/>
        <w:tabs>
          <w:tab w:leader="none" w:pos="127" w:val="left"/>
        </w:tabs>
        <w:numPr>
          <w:ilvl w:val="0"/>
          <w:numId w:val="11"/>
        </w:numPr>
        <w:rPr>
          <w:rFonts w:ascii="Calibri" w:cs="Calibri" w:eastAsia="Calibri" w:hAnsi="Calibri"/>
          <w:sz w:val="18"/>
          <w:szCs w:val="18"/>
          <w:color w:val="auto"/>
        </w:rPr>
      </w:pPr>
      <w:r>
        <w:rPr>
          <w:rFonts w:ascii="Calibri" w:cs="Calibri" w:eastAsia="Calibri" w:hAnsi="Calibri"/>
          <w:sz w:val="18"/>
          <w:szCs w:val="18"/>
          <w:color w:val="auto"/>
        </w:rPr>
        <w:t>This certfcaton is deemed not fled for purpose of secton 18 of the Exchange Act or otherwise subject to the liability of that secton, nor shall it be deemed incorporated by reference into any fling under the Securites Act or the Exchange Act.</w:t>
      </w:r>
    </w:p>
    <w:p>
      <w:pPr>
        <w:spacing w:after="0" w:line="1" w:lineRule="exact"/>
        <w:rPr>
          <w:rFonts w:ascii="Calibri" w:cs="Calibri" w:eastAsia="Calibri" w:hAnsi="Calibri"/>
          <w:sz w:val="18"/>
          <w:szCs w:val="18"/>
          <w:color w:val="auto"/>
        </w:rPr>
      </w:pPr>
    </w:p>
    <w:p>
      <w:pPr>
        <w:spacing w:after="0" w:line="235" w:lineRule="auto"/>
        <w:rPr>
          <w:rFonts w:ascii="Calibri" w:cs="Calibri" w:eastAsia="Calibri" w:hAnsi="Calibri"/>
          <w:sz w:val="18"/>
          <w:szCs w:val="18"/>
          <w:color w:val="auto"/>
        </w:rPr>
      </w:pPr>
      <w:r>
        <w:rPr>
          <w:rFonts w:ascii="Calibri" w:cs="Calibri" w:eastAsia="Calibri" w:hAnsi="Calibri"/>
          <w:sz w:val="18"/>
          <w:szCs w:val="18"/>
          <w:color w:val="auto"/>
        </w:rPr>
        <w:t>^Certain exhibits and schedules have been omited pursuant to Item 601(a)(5) of Regulaton S-K. The registrant hereby undertakes to furnish supplementally a copy of any omited exhibit or schedule upon request by the SEC.</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8" w:name="page39"/>
    <w:bookmarkEnd w:id="38"/>
    <w:p>
      <w:pPr>
        <w:jc w:val="center"/>
        <w:ind w:right="-19"/>
        <w:spacing w:after="0"/>
        <w:rPr>
          <w:sz w:val="20"/>
          <w:szCs w:val="20"/>
          <w:color w:val="auto"/>
        </w:rPr>
      </w:pPr>
      <w:r>
        <w:rPr>
          <w:rFonts w:ascii="Calibri" w:cs="Calibri" w:eastAsia="Calibri" w:hAnsi="Calibri"/>
          <w:sz w:val="18"/>
          <w:szCs w:val="18"/>
          <w:b w:val="1"/>
          <w:bCs w:val="1"/>
          <w:color w:val="auto"/>
        </w:rPr>
        <w:t>SIGNATURES</w:t>
      </w:r>
    </w:p>
    <w:p>
      <w:pPr>
        <w:spacing w:after="0" w:line="177" w:lineRule="exact"/>
        <w:rPr>
          <w:sz w:val="20"/>
          <w:szCs w:val="20"/>
          <w:color w:val="auto"/>
        </w:rPr>
      </w:pPr>
    </w:p>
    <w:p>
      <w:pPr>
        <w:ind w:right="500" w:firstLine="509"/>
        <w:spacing w:after="0" w:line="235" w:lineRule="auto"/>
        <w:rPr>
          <w:sz w:val="20"/>
          <w:szCs w:val="20"/>
          <w:color w:val="auto"/>
        </w:rPr>
      </w:pPr>
      <w:r>
        <w:rPr>
          <w:rFonts w:ascii="Calibri" w:cs="Calibri" w:eastAsia="Calibri" w:hAnsi="Calibri"/>
          <w:sz w:val="18"/>
          <w:szCs w:val="18"/>
          <w:color w:val="auto"/>
        </w:rPr>
        <w:t>Pursuant to the requirements of the Securites Exchange Act of 1934, the Registrant has duly caused this report to be signed on its behalf by the undersigned, thereunto duly authorized.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640" w:type="dxa"/>
            <w:vAlign w:val="bottom"/>
            <w:gridSpan w:val="2"/>
          </w:tcPr>
          <w:p>
            <w:pPr>
              <w:ind w:left="2460"/>
              <w:spacing w:after="0"/>
              <w:rPr>
                <w:sz w:val="20"/>
                <w:szCs w:val="20"/>
                <w:color w:val="auto"/>
              </w:rPr>
            </w:pPr>
            <w:r>
              <w:rPr>
                <w:rFonts w:ascii="Calibri" w:cs="Calibri" w:eastAsia="Calibri" w:hAnsi="Calibri"/>
                <w:sz w:val="18"/>
                <w:szCs w:val="18"/>
                <w:color w:val="auto"/>
              </w:rPr>
              <w:t>PHATHOM PHARMACEUTICALS, INC.</w:t>
            </w:r>
          </w:p>
        </w:tc>
      </w:tr>
      <w:tr>
        <w:trPr>
          <w:trHeight w:val="486"/>
        </w:trPr>
        <w:tc>
          <w:tcPr>
            <w:tcW w:w="560" w:type="dxa"/>
            <w:vAlign w:val="bottom"/>
          </w:tcPr>
          <w:p>
            <w:pPr>
              <w:ind w:left="20"/>
              <w:spacing w:after="0"/>
              <w:rPr>
                <w:sz w:val="20"/>
                <w:szCs w:val="20"/>
                <w:color w:val="auto"/>
              </w:rPr>
            </w:pPr>
            <w:r>
              <w:rPr>
                <w:rFonts w:ascii="Calibri" w:cs="Calibri" w:eastAsia="Calibri" w:hAnsi="Calibri"/>
                <w:sz w:val="18"/>
                <w:szCs w:val="18"/>
                <w:color w:val="auto"/>
              </w:rPr>
              <w:t>Date:</w:t>
            </w:r>
          </w:p>
        </w:tc>
        <w:tc>
          <w:tcPr>
            <w:tcW w:w="3040" w:type="dxa"/>
            <w:vAlign w:val="bottom"/>
          </w:tcPr>
          <w:p>
            <w:pPr>
              <w:ind w:left="160"/>
              <w:spacing w:after="0"/>
              <w:rPr>
                <w:sz w:val="20"/>
                <w:szCs w:val="20"/>
                <w:color w:val="auto"/>
              </w:rPr>
            </w:pPr>
            <w:r>
              <w:rPr>
                <w:rFonts w:ascii="Calibri" w:cs="Calibri" w:eastAsia="Calibri" w:hAnsi="Calibri"/>
                <w:sz w:val="18"/>
                <w:szCs w:val="18"/>
                <w:color w:val="auto"/>
              </w:rPr>
              <w:t>May 10, 2023</w:t>
            </w:r>
          </w:p>
        </w:tc>
        <w:tc>
          <w:tcPr>
            <w:tcW w:w="2880" w:type="dxa"/>
            <w:vAlign w:val="bottom"/>
          </w:tcPr>
          <w:p>
            <w:pPr>
              <w:ind w:left="2460"/>
              <w:spacing w:after="0"/>
              <w:rPr>
                <w:sz w:val="20"/>
                <w:szCs w:val="20"/>
                <w:color w:val="auto"/>
              </w:rPr>
            </w:pPr>
            <w:r>
              <w:rPr>
                <w:rFonts w:ascii="Calibri" w:cs="Calibri" w:eastAsia="Calibri" w:hAnsi="Calibri"/>
                <w:sz w:val="18"/>
                <w:szCs w:val="18"/>
                <w:color w:val="auto"/>
              </w:rPr>
              <w:t>By:</w:t>
            </w:r>
          </w:p>
        </w:tc>
        <w:tc>
          <w:tcPr>
            <w:tcW w:w="4760" w:type="dxa"/>
            <w:vAlign w:val="bottom"/>
          </w:tcPr>
          <w:p>
            <w:pPr>
              <w:ind w:left="20"/>
              <w:spacing w:after="0"/>
              <w:rPr>
                <w:sz w:val="20"/>
                <w:szCs w:val="20"/>
                <w:color w:val="auto"/>
              </w:rPr>
            </w:pPr>
            <w:r>
              <w:rPr>
                <w:rFonts w:ascii="Calibri" w:cs="Calibri" w:eastAsia="Calibri" w:hAnsi="Calibri"/>
                <w:sz w:val="18"/>
                <w:szCs w:val="18"/>
                <w:color w:val="auto"/>
              </w:rPr>
              <w:t>/s/ Terrie Curran</w:t>
            </w:r>
          </w:p>
        </w:tc>
      </w:tr>
      <w:tr>
        <w:trPr>
          <w:trHeight w:val="37"/>
        </w:trPr>
        <w:tc>
          <w:tcPr>
            <w:tcW w:w="560" w:type="dxa"/>
            <w:vAlign w:val="bottom"/>
          </w:tcPr>
          <w:p>
            <w:pPr>
              <w:spacing w:after="0"/>
              <w:rPr>
                <w:sz w:val="3"/>
                <w:szCs w:val="3"/>
                <w:color w:val="auto"/>
              </w:rPr>
            </w:pPr>
          </w:p>
        </w:tc>
        <w:tc>
          <w:tcPr>
            <w:tcW w:w="30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r>
      <w:tr>
        <w:trPr>
          <w:trHeight w:val="208"/>
        </w:trPr>
        <w:tc>
          <w:tcPr>
            <w:tcW w:w="5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760" w:type="dxa"/>
            <w:vAlign w:val="bottom"/>
          </w:tcPr>
          <w:p>
            <w:pPr>
              <w:ind w:left="20"/>
              <w:spacing w:after="0" w:line="208" w:lineRule="exact"/>
              <w:rPr>
                <w:sz w:val="20"/>
                <w:szCs w:val="20"/>
                <w:color w:val="auto"/>
              </w:rPr>
            </w:pPr>
            <w:r>
              <w:rPr>
                <w:rFonts w:ascii="Calibri" w:cs="Calibri" w:eastAsia="Calibri" w:hAnsi="Calibri"/>
                <w:sz w:val="18"/>
                <w:szCs w:val="18"/>
                <w:color w:val="auto"/>
              </w:rPr>
              <w:t>Terrie Curran</w:t>
            </w:r>
          </w:p>
        </w:tc>
      </w:tr>
      <w:tr>
        <w:trPr>
          <w:trHeight w:val="234"/>
        </w:trPr>
        <w:tc>
          <w:tcPr>
            <w:tcW w:w="5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Calibri" w:cs="Calibri" w:eastAsia="Calibri" w:hAnsi="Calibri"/>
                <w:sz w:val="18"/>
                <w:szCs w:val="18"/>
                <w:color w:val="auto"/>
              </w:rPr>
              <w:t>Chief Executve Ofcer and Director</w:t>
            </w:r>
          </w:p>
        </w:tc>
      </w:tr>
      <w:tr>
        <w:trPr>
          <w:trHeight w:val="243"/>
        </w:trPr>
        <w:tc>
          <w:tcPr>
            <w:tcW w:w="5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Calibri" w:cs="Calibri" w:eastAsia="Calibri" w:hAnsi="Calibri"/>
                <w:sz w:val="18"/>
                <w:szCs w:val="18"/>
                <w:color w:val="auto"/>
              </w:rPr>
              <w:t>(Principal Executve Ofcer)</w:t>
            </w:r>
          </w:p>
        </w:tc>
      </w:tr>
      <w:tr>
        <w:trPr>
          <w:trHeight w:val="486"/>
        </w:trPr>
        <w:tc>
          <w:tcPr>
            <w:tcW w:w="560" w:type="dxa"/>
            <w:vAlign w:val="bottom"/>
          </w:tcPr>
          <w:p>
            <w:pPr>
              <w:ind w:left="20"/>
              <w:spacing w:after="0"/>
              <w:rPr>
                <w:sz w:val="20"/>
                <w:szCs w:val="20"/>
                <w:color w:val="auto"/>
              </w:rPr>
            </w:pPr>
            <w:r>
              <w:rPr>
                <w:rFonts w:ascii="Calibri" w:cs="Calibri" w:eastAsia="Calibri" w:hAnsi="Calibri"/>
                <w:sz w:val="18"/>
                <w:szCs w:val="18"/>
                <w:color w:val="auto"/>
              </w:rPr>
              <w:t>Date:</w:t>
            </w:r>
          </w:p>
        </w:tc>
        <w:tc>
          <w:tcPr>
            <w:tcW w:w="3040" w:type="dxa"/>
            <w:vAlign w:val="bottom"/>
          </w:tcPr>
          <w:p>
            <w:pPr>
              <w:ind w:left="160"/>
              <w:spacing w:after="0"/>
              <w:rPr>
                <w:sz w:val="20"/>
                <w:szCs w:val="20"/>
                <w:color w:val="auto"/>
              </w:rPr>
            </w:pPr>
            <w:r>
              <w:rPr>
                <w:rFonts w:ascii="Calibri" w:cs="Calibri" w:eastAsia="Calibri" w:hAnsi="Calibri"/>
                <w:sz w:val="18"/>
                <w:szCs w:val="18"/>
                <w:color w:val="auto"/>
              </w:rPr>
              <w:t>May 10, 2022</w:t>
            </w:r>
          </w:p>
        </w:tc>
        <w:tc>
          <w:tcPr>
            <w:tcW w:w="2880" w:type="dxa"/>
            <w:vAlign w:val="bottom"/>
          </w:tcPr>
          <w:p>
            <w:pPr>
              <w:ind w:left="2460"/>
              <w:spacing w:after="0"/>
              <w:rPr>
                <w:sz w:val="20"/>
                <w:szCs w:val="20"/>
                <w:color w:val="auto"/>
              </w:rPr>
            </w:pPr>
            <w:r>
              <w:rPr>
                <w:rFonts w:ascii="Calibri" w:cs="Calibri" w:eastAsia="Calibri" w:hAnsi="Calibri"/>
                <w:sz w:val="18"/>
                <w:szCs w:val="18"/>
                <w:color w:val="auto"/>
              </w:rPr>
              <w:t>By:</w:t>
            </w:r>
          </w:p>
        </w:tc>
        <w:tc>
          <w:tcPr>
            <w:tcW w:w="4760" w:type="dxa"/>
            <w:vAlign w:val="bottom"/>
          </w:tcPr>
          <w:p>
            <w:pPr>
              <w:ind w:left="20"/>
              <w:spacing w:after="0"/>
              <w:rPr>
                <w:sz w:val="20"/>
                <w:szCs w:val="20"/>
                <w:color w:val="auto"/>
              </w:rPr>
            </w:pPr>
            <w:r>
              <w:rPr>
                <w:rFonts w:ascii="Calibri" w:cs="Calibri" w:eastAsia="Calibri" w:hAnsi="Calibri"/>
                <w:sz w:val="18"/>
                <w:szCs w:val="18"/>
                <w:color w:val="auto"/>
              </w:rPr>
              <w:t>/s/ Molly Henderson</w:t>
            </w:r>
          </w:p>
        </w:tc>
      </w:tr>
      <w:tr>
        <w:trPr>
          <w:trHeight w:val="37"/>
        </w:trPr>
        <w:tc>
          <w:tcPr>
            <w:tcW w:w="560" w:type="dxa"/>
            <w:vAlign w:val="bottom"/>
          </w:tcPr>
          <w:p>
            <w:pPr>
              <w:spacing w:after="0"/>
              <w:rPr>
                <w:sz w:val="3"/>
                <w:szCs w:val="3"/>
                <w:color w:val="auto"/>
              </w:rPr>
            </w:pPr>
          </w:p>
        </w:tc>
        <w:tc>
          <w:tcPr>
            <w:tcW w:w="30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4760" w:type="dxa"/>
            <w:vAlign w:val="bottom"/>
            <w:tcBorders>
              <w:bottom w:val="single" w:sz="8" w:color="auto"/>
            </w:tcBorders>
          </w:tcPr>
          <w:p>
            <w:pPr>
              <w:spacing w:after="0"/>
              <w:rPr>
                <w:sz w:val="3"/>
                <w:szCs w:val="3"/>
                <w:color w:val="auto"/>
              </w:rPr>
            </w:pPr>
          </w:p>
        </w:tc>
      </w:tr>
      <w:tr>
        <w:trPr>
          <w:trHeight w:val="208"/>
        </w:trPr>
        <w:tc>
          <w:tcPr>
            <w:tcW w:w="5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760" w:type="dxa"/>
            <w:vAlign w:val="bottom"/>
          </w:tcPr>
          <w:p>
            <w:pPr>
              <w:ind w:left="20"/>
              <w:spacing w:after="0" w:line="208" w:lineRule="exact"/>
              <w:rPr>
                <w:sz w:val="20"/>
                <w:szCs w:val="20"/>
                <w:color w:val="auto"/>
              </w:rPr>
            </w:pPr>
            <w:r>
              <w:rPr>
                <w:rFonts w:ascii="Calibri" w:cs="Calibri" w:eastAsia="Calibri" w:hAnsi="Calibri"/>
                <w:sz w:val="18"/>
                <w:szCs w:val="18"/>
                <w:color w:val="auto"/>
              </w:rPr>
              <w:t>Molly Henderson</w:t>
            </w:r>
          </w:p>
        </w:tc>
      </w:tr>
      <w:tr>
        <w:trPr>
          <w:trHeight w:val="234"/>
        </w:trPr>
        <w:tc>
          <w:tcPr>
            <w:tcW w:w="5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760" w:type="dxa"/>
            <w:vAlign w:val="bottom"/>
          </w:tcPr>
          <w:p>
            <w:pPr>
              <w:ind w:left="20"/>
              <w:spacing w:after="0"/>
              <w:rPr>
                <w:sz w:val="20"/>
                <w:szCs w:val="20"/>
                <w:color w:val="auto"/>
              </w:rPr>
            </w:pPr>
            <w:r>
              <w:rPr>
                <w:rFonts w:ascii="Calibri" w:cs="Calibri" w:eastAsia="Calibri" w:hAnsi="Calibri"/>
                <w:sz w:val="18"/>
                <w:szCs w:val="18"/>
                <w:color w:val="auto"/>
              </w:rPr>
              <w:t>Chief Financial and Business Ofcer</w:t>
            </w:r>
          </w:p>
        </w:tc>
      </w:tr>
      <w:tr>
        <w:trPr>
          <w:trHeight w:val="243"/>
        </w:trPr>
        <w:tc>
          <w:tcPr>
            <w:tcW w:w="56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4760" w:type="dxa"/>
            <w:vAlign w:val="bottom"/>
          </w:tcPr>
          <w:p>
            <w:pPr>
              <w:ind w:left="20"/>
              <w:spacing w:after="0"/>
              <w:rPr>
                <w:sz w:val="20"/>
                <w:szCs w:val="20"/>
                <w:color w:val="auto"/>
              </w:rPr>
            </w:pPr>
            <w:r>
              <w:rPr>
                <w:rFonts w:ascii="Calibri" w:cs="Calibri" w:eastAsia="Calibri" w:hAnsi="Calibri"/>
                <w:sz w:val="18"/>
                <w:szCs w:val="18"/>
                <w:color w:val="auto"/>
              </w:rPr>
              <w:t>(Principal Financial and Accountng Ofcer)</w:t>
            </w:r>
          </w:p>
        </w:tc>
      </w:tr>
      <w:tr>
        <w:trPr>
          <w:trHeight w:val="685"/>
        </w:trPr>
        <w:tc>
          <w:tcPr>
            <w:tcW w:w="5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37</w:t>
            </w:r>
          </w:p>
        </w:tc>
        <w:tc>
          <w:tcPr>
            <w:tcW w:w="4760" w:type="dxa"/>
            <w:vAlign w:val="bottom"/>
          </w:tcPr>
          <w:p>
            <w:pPr>
              <w:spacing w:after="0"/>
              <w:rPr>
                <w:sz w:val="24"/>
                <w:szCs w:val="24"/>
                <w:color w:val="auto"/>
              </w:rPr>
            </w:pPr>
          </w:p>
        </w:tc>
      </w:tr>
      <w:tr>
        <w:trPr>
          <w:trHeight w:val="115"/>
        </w:trPr>
        <w:tc>
          <w:tcPr>
            <w:tcW w:w="56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4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22"/>
          <w:szCs w:val="22"/>
          <w:b w:val="1"/>
          <w:bCs w:val="1"/>
          <w:color w:val="auto"/>
        </w:rPr>
        <w:t>Exhibit 4.5</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FIRST AMENDMENT TO WARRANT</w:t>
      </w:r>
    </w:p>
    <w:p>
      <w:pPr>
        <w:spacing w:after="0" w:line="12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THIS FIRST AMENDMENT TO WARRANT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dated as of May 9, 2023, is entered into by and among PHATHOM PHARMACEUTICALS, INC., a Delaware corporation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several banks and other financial institutions or entities from time to time party to the Loan Agreement (collectively, referred to as the “</w:t>
      </w:r>
      <w:r>
        <w:rPr>
          <w:rFonts w:ascii="Times New Roman" w:cs="Times New Roman" w:eastAsia="Times New Roman" w:hAnsi="Times New Roman"/>
          <w:sz w:val="20"/>
          <w:szCs w:val="20"/>
          <w:u w:val="single" w:color="auto"/>
          <w:color w:val="auto"/>
        </w:rPr>
        <w:t>Warrantholders</w:t>
      </w:r>
      <w:r>
        <w:rPr>
          <w:rFonts w:ascii="Times New Roman" w:cs="Times New Roman" w:eastAsia="Times New Roman" w:hAnsi="Times New Roman"/>
          <w:sz w:val="20"/>
          <w:szCs w:val="20"/>
          <w:color w:val="auto"/>
        </w:rPr>
        <w: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9"/>
          <w:szCs w:val="19"/>
          <w:b w:val="1"/>
          <w:bCs w:val="1"/>
          <w:color w:val="auto"/>
        </w:rPr>
        <w:t>Definitions; Interpretation.</w:t>
      </w:r>
    </w:p>
    <w:p>
      <w:pPr>
        <w:spacing w:after="0" w:line="231" w:lineRule="exact"/>
        <w:rPr>
          <w:sz w:val="20"/>
          <w:szCs w:val="20"/>
          <w:color w:val="auto"/>
        </w:rPr>
      </w:pPr>
    </w:p>
    <w:p>
      <w:pPr>
        <w:ind w:left="1020" w:hanging="26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For the purposes of this Amendment:</w:t>
      </w:r>
    </w:p>
    <w:p>
      <w:pPr>
        <w:spacing w:after="0" w:line="211"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Amendment</w:t>
      </w:r>
      <w:r>
        <w:rPr>
          <w:rFonts w:ascii="Times New Roman" w:cs="Times New Roman" w:eastAsia="Times New Roman" w:hAnsi="Times New Roman"/>
          <w:sz w:val="20"/>
          <w:szCs w:val="20"/>
          <w:color w:val="auto"/>
        </w:rPr>
        <w:t>” means that certain Third Amendment to Loan and Security Agreement, dated on or around the date hereof, by and among the Company in its capacity as borrower, the Warrantholders (other than Sagard Healthcare Royalty Partners, LP) in their capacities as required lenders, and Hercules Capital, Inc. in its capacity as agent.</w:t>
      </w:r>
    </w:p>
    <w:p>
      <w:pPr>
        <w:spacing w:after="0" w:line="168"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Third Amendment Effective Date</w:t>
      </w:r>
      <w:r>
        <w:rPr>
          <w:rFonts w:ascii="Times New Roman" w:cs="Times New Roman" w:eastAsia="Times New Roman" w:hAnsi="Times New Roman"/>
          <w:sz w:val="20"/>
          <w:szCs w:val="20"/>
          <w:color w:val="auto"/>
        </w:rPr>
        <w:t>” has the meaning given to such term in the Third Amendment.</w:t>
      </w:r>
    </w:p>
    <w:p>
      <w:pPr>
        <w:spacing w:after="0" w:line="215" w:lineRule="exact"/>
        <w:rPr>
          <w:rFonts w:ascii="Times New Roman" w:cs="Times New Roman" w:eastAsia="Times New Roman" w:hAnsi="Times New Roman"/>
          <w:sz w:val="18"/>
          <w:szCs w:val="18"/>
          <w:color w:val="auto"/>
        </w:rPr>
      </w:pPr>
    </w:p>
    <w:p>
      <w:pPr>
        <w:jc w:val="both"/>
        <w:ind w:firstLine="1505"/>
        <w:spacing w:after="0" w:line="244" w:lineRule="auto"/>
        <w:tabs>
          <w:tab w:leader="none" w:pos="203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Warrant</w:t>
      </w:r>
      <w:r>
        <w:rPr>
          <w:rFonts w:ascii="Times New Roman" w:cs="Times New Roman" w:eastAsia="Times New Roman" w:hAnsi="Times New Roman"/>
          <w:sz w:val="20"/>
          <w:szCs w:val="20"/>
          <w:color w:val="auto"/>
        </w:rPr>
        <w:t>” means (a) that certain Warrant Agreement to Purchase Shares of Common Stock of Borrower dated September 17, 2021 between Company and Hercules Capital, Inc., (b) that certain Warrant Agreement to Purchase Shares of Common Stock of Borrower dated September 17, 2021 between Company and Hercules Capital IV, L.P., (c) that certain Warrant Agreement to Purchase Shares of Common Stock of Borrower dated September 17, 2021 between Company and Hercules Private Global Venture Growth Fund I L.P., (d) that certain Warrant Agreement to Purchase Shares of Common Stock of Borrower dated May 4, 2022 between Company and Hercules Private Credit Fund 1, L.P., or (e) that certain Warrant Agreement to Purchase Shares of Common Stock of Borrower dated May 3, 2022 between Phathom and Sagard Healthcare Royalty Partners, LP, in each case, as amended, modified, supplemented or restated prior to the Third Amendment Effective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9"/>
          <w:szCs w:val="19"/>
          <w:b w:val="1"/>
          <w:bCs w:val="1"/>
          <w:color w:val="auto"/>
        </w:rPr>
        <w:t>Amendments to the Warrants.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Upon the Third Amendment Effective Date, each Warrant is hereby amended as follows:</w:t>
      </w:r>
    </w:p>
    <w:p>
      <w:pPr>
        <w:spacing w:after="0" w:line="231" w:lineRule="exact"/>
        <w:rPr>
          <w:sz w:val="20"/>
          <w:szCs w:val="20"/>
          <w:color w:val="auto"/>
        </w:rPr>
      </w:pPr>
    </w:p>
    <w:p>
      <w:pPr>
        <w:ind w:left="1020" w:hanging="26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New Definition</w:t>
      </w:r>
      <w:r>
        <w:rPr>
          <w:rFonts w:ascii="Times New Roman" w:cs="Times New Roman" w:eastAsia="Times New Roman" w:hAnsi="Times New Roman"/>
          <w:sz w:val="20"/>
          <w:szCs w:val="20"/>
          <w:color w:val="auto"/>
        </w:rPr>
        <w:t>. The following definition is added to Section 1(a) of each Warrant in its proper alphabetical order:</w:t>
      </w:r>
    </w:p>
    <w:p>
      <w:pPr>
        <w:spacing w:after="0" w:line="216" w:lineRule="exact"/>
        <w:rPr>
          <w:sz w:val="20"/>
          <w:szCs w:val="20"/>
          <w:color w:val="auto"/>
        </w:rPr>
      </w:pPr>
    </w:p>
    <w:p>
      <w:pPr>
        <w:ind w:left="1500" w:right="2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I Term Loan Advance</w:t>
      </w:r>
      <w:r>
        <w:rPr>
          <w:rFonts w:ascii="Times New Roman" w:cs="Times New Roman" w:eastAsia="Times New Roman" w:hAnsi="Times New Roman"/>
          <w:sz w:val="20"/>
          <w:szCs w:val="20"/>
          <w:color w:val="auto"/>
        </w:rPr>
        <w:t>” means the Term Loan Advance (as defined in the Loan Agreement) drawn under Section 2.1(a)(i) of the Loan Agreement.”</w:t>
      </w:r>
    </w:p>
    <w:p>
      <w:pPr>
        <w:spacing w:after="0" w:line="159" w:lineRule="exact"/>
        <w:rPr>
          <w:sz w:val="20"/>
          <w:szCs w:val="20"/>
          <w:color w:val="auto"/>
        </w:rPr>
      </w:pPr>
    </w:p>
    <w:p>
      <w:pPr>
        <w:ind w:firstLine="757"/>
        <w:spacing w:after="0" w:line="269" w:lineRule="auto"/>
        <w:tabs>
          <w:tab w:leader="none" w:pos="101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Amended and Restated Definition</w:t>
      </w:r>
      <w:r>
        <w:rPr>
          <w:rFonts w:ascii="Times New Roman" w:cs="Times New Roman" w:eastAsia="Times New Roman" w:hAnsi="Times New Roman"/>
          <w:sz w:val="20"/>
          <w:szCs w:val="20"/>
          <w:color w:val="auto"/>
        </w:rPr>
        <w:t>. The following definition appearing in Section 1(a) of each Warrant is hereby amended in its entirety and replaced with the following:</w:t>
      </w:r>
    </w:p>
    <w:p>
      <w:pPr>
        <w:spacing w:after="0" w:line="159" w:lineRule="exact"/>
        <w:rPr>
          <w:sz w:val="20"/>
          <w:szCs w:val="20"/>
          <w:color w:val="auto"/>
        </w:rPr>
      </w:pPr>
    </w:p>
    <w:p>
      <w:pPr>
        <w:jc w:val="both"/>
        <w:ind w:left="150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 Coverage</w:t>
      </w:r>
      <w:r>
        <w:rPr>
          <w:rFonts w:ascii="Times New Roman" w:cs="Times New Roman" w:eastAsia="Times New Roman" w:hAnsi="Times New Roman"/>
          <w:sz w:val="20"/>
          <w:szCs w:val="20"/>
          <w:color w:val="auto"/>
        </w:rPr>
        <w:t>” means 2.50% times the principal amount of the Tranche I Term Loan Advance made and funded by the Warrantholder under the Loan Agreement (but exclusive of any paid-in-kind interest that is capitalized as principal).”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9"/>
          <w:szCs w:val="19"/>
          <w:b w:val="1"/>
          <w:bCs w:val="1"/>
          <w:color w:val="auto"/>
        </w:rPr>
        <w:t>Miscellaneous.</w:t>
      </w:r>
    </w:p>
    <w:p>
      <w:pPr>
        <w:spacing w:after="0" w:line="227" w:lineRule="exact"/>
        <w:rPr>
          <w:sz w:val="20"/>
          <w:szCs w:val="20"/>
          <w:color w:val="auto"/>
        </w:rPr>
      </w:pPr>
    </w:p>
    <w:p>
      <w:pPr>
        <w:ind w:right="20" w:firstLine="757"/>
        <w:spacing w:after="0" w:line="273" w:lineRule="auto"/>
        <w:tabs>
          <w:tab w:leader="none" w:pos="10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AMENDMENT SHALL BE GOVERNED BY, AND CONSTRUED AND ENFORCED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LAWS OF THE STATE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ind w:left="10240"/>
        <w:spacing w:after="0"/>
        <w:rPr>
          <w:sz w:val="20"/>
          <w:szCs w:val="20"/>
          <w:color w:val="auto"/>
        </w:rPr>
      </w:pPr>
      <w:r>
        <w:rPr>
          <w:rFonts w:ascii="Times New Roman" w:cs="Times New Roman" w:eastAsia="Times New Roman" w:hAnsi="Times New Roman"/>
          <w:sz w:val="21"/>
          <w:szCs w:val="21"/>
          <w:b w:val="1"/>
          <w:bCs w:val="1"/>
          <w:color w:val="auto"/>
        </w:rPr>
        <w:t>Exhibit 4.5</w:t>
      </w:r>
    </w:p>
    <w:p>
      <w:pPr>
        <w:spacing w:after="0" w:line="33"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EXCLUDING CONFLICT OF LAWS PRINCIPLES THAT WOULD CAUSE THE APPLICATION OF LAWS OF ANY OTHER JURISDICTION.</w:t>
      </w:r>
    </w:p>
    <w:p>
      <w:pPr>
        <w:spacing w:after="0" w:line="178" w:lineRule="exact"/>
        <w:rPr>
          <w:sz w:val="20"/>
          <w:szCs w:val="20"/>
          <w:color w:val="auto"/>
        </w:rPr>
      </w:pPr>
    </w:p>
    <w:p>
      <w:pPr>
        <w:ind w:firstLine="757"/>
        <w:spacing w:after="0" w:line="273" w:lineRule="auto"/>
        <w:tabs>
          <w:tab w:leader="none" w:pos="101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Incorporation by Cross Reference. </w:t>
      </w:r>
      <w:r>
        <w:rPr>
          <w:rFonts w:ascii="Times New Roman" w:cs="Times New Roman" w:eastAsia="Times New Roman" w:hAnsi="Times New Roman"/>
          <w:sz w:val="20"/>
          <w:szCs w:val="20"/>
          <w:color w:val="auto"/>
        </w:rPr>
        <w:t>Section 8(a), 8(c), 8(d), 8(e), 8(g), 8(h), 8(i) and 8(j) of the Third Amendment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incorporated in their entirety, </w:t>
      </w:r>
      <w:r>
        <w:rPr>
          <w:rFonts w:ascii="Times New Roman" w:cs="Times New Roman" w:eastAsia="Times New Roman" w:hAnsi="Times New Roman"/>
          <w:sz w:val="20"/>
          <w:szCs w:val="20"/>
          <w:i w:val="1"/>
          <w:iCs w:val="1"/>
          <w:color w:val="auto"/>
        </w:rPr>
        <w:t>mutatis mutandis</w:t>
      </w:r>
      <w:r>
        <w:rPr>
          <w:rFonts w:ascii="Times New Roman" w:cs="Times New Roman" w:eastAsia="Times New Roman" w:hAnsi="Times New Roman"/>
          <w:sz w:val="20"/>
          <w:szCs w:val="20"/>
          <w:color w:val="auto"/>
        </w:rPr>
        <w:t>, into the terms of this Amendment.</w:t>
      </w:r>
    </w:p>
    <w:p>
      <w:pPr>
        <w:spacing w:after="0" w:line="200" w:lineRule="exact"/>
        <w:rPr>
          <w:sz w:val="20"/>
          <w:szCs w:val="20"/>
          <w:color w:val="auto"/>
        </w:rPr>
      </w:pPr>
    </w:p>
    <w:p>
      <w:pPr>
        <w:spacing w:after="0" w:line="3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WITNESS WHEREOF, the parties hereto have duly executed this Amendment, as of the date first above written.</w:t>
      </w:r>
    </w:p>
    <w:p>
      <w:pPr>
        <w:spacing w:after="0" w:line="2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COMPANY:</w:t>
      </w:r>
    </w:p>
    <w:p>
      <w:pPr>
        <w:spacing w:after="0" w:line="2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PHATHOM PHARMACEUTICALS, INC.</w:t>
      </w:r>
    </w:p>
    <w:p>
      <w:pPr>
        <w:spacing w:after="0" w:line="201"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Molly Henderson</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Molly Henderson</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CONTINUE ON THE NEXT PAGE]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WARRANTHOLDERS:</w:t>
      </w:r>
    </w:p>
    <w:p>
      <w:pPr>
        <w:spacing w:after="0" w:line="2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HERCULES CAPITAL, INC.</w:t>
      </w:r>
    </w:p>
    <w:p>
      <w:pPr>
        <w:spacing w:after="0" w:line="200" w:lineRule="exact"/>
        <w:rPr>
          <w:sz w:val="20"/>
          <w:szCs w:val="20"/>
          <w:color w:val="auto"/>
        </w:rPr>
      </w:pPr>
    </w:p>
    <w:p>
      <w:pPr>
        <w:spacing w:after="0" w:line="231"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Meyer</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Seth Meyer</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HERCULES CAPITAL IV, L.P.</w:t>
      </w: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 Hercules Technology SBIC Management, LLC, its General Partner</w:t>
      </w:r>
    </w:p>
    <w:p>
      <w:pPr>
        <w:spacing w:after="0" w:line="229" w:lineRule="exact"/>
        <w:rPr>
          <w:sz w:val="20"/>
          <w:szCs w:val="20"/>
          <w:color w:val="auto"/>
        </w:rPr>
      </w:pPr>
    </w:p>
    <w:p>
      <w:pPr>
        <w:ind w:left="5240"/>
        <w:spacing w:after="0"/>
        <w:tabs>
          <w:tab w:leader="none" w:pos="57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Hercules Capital, Inc.,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644525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2"/>
          <w:szCs w:val="22"/>
          <w:b w:val="1"/>
          <w:bCs w:val="1"/>
          <w:color w:val="auto"/>
        </w:rPr>
        <w:t>Exhibit 4.5</w:t>
      </w:r>
    </w:p>
    <w:p>
      <w:pPr>
        <w:spacing w:after="0" w:line="211" w:lineRule="exact"/>
        <w:rPr>
          <w:sz w:val="20"/>
          <w:szCs w:val="20"/>
          <w:color w:val="auto"/>
        </w:rPr>
      </w:pPr>
    </w:p>
    <w:tbl>
      <w:tblPr>
        <w:tblLayout w:type="fixed"/>
        <w:tblInd w:w="524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Meyer</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Seth Meyer</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HERCULES PRIVATE CREDIT FUND 1 L.P.</w:t>
      </w: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 Hercules Adviser LLC, its Investment Adviser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ind w:left="5260"/>
              <w:spacing w:after="0"/>
              <w:rPr>
                <w:sz w:val="20"/>
                <w:szCs w:val="20"/>
                <w:color w:val="auto"/>
              </w:rPr>
            </w:pPr>
            <w:r>
              <w:rPr>
                <w:rFonts w:ascii="Times New Roman" w:cs="Times New Roman" w:eastAsia="Times New Roman" w:hAnsi="Times New Roman"/>
                <w:sz w:val="20"/>
                <w:szCs w:val="20"/>
                <w:color w:val="auto"/>
              </w:rPr>
              <w:t>By:</w:t>
            </w: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Meyer</w:t>
            </w:r>
          </w:p>
        </w:tc>
        <w:tc>
          <w:tcPr>
            <w:tcW w:w="3220" w:type="dxa"/>
            <w:vAlign w:val="bottom"/>
          </w:tcPr>
          <w:p>
            <w:pPr>
              <w:spacing w:after="0"/>
              <w:rPr>
                <w:sz w:val="19"/>
                <w:szCs w:val="19"/>
                <w:color w:val="auto"/>
              </w:rPr>
            </w:pPr>
          </w:p>
        </w:tc>
      </w:tr>
      <w:tr>
        <w:trPr>
          <w:trHeight w:val="405"/>
        </w:trPr>
        <w:tc>
          <w:tcPr>
            <w:tcW w:w="11240" w:type="dxa"/>
            <w:vAlign w:val="bottom"/>
            <w:gridSpan w:val="3"/>
          </w:tcPr>
          <w:p>
            <w:pPr>
              <w:ind w:left="5260"/>
              <w:spacing w:after="0"/>
              <w:rPr>
                <w:sz w:val="20"/>
                <w:szCs w:val="20"/>
                <w:color w:val="auto"/>
              </w:rPr>
            </w:pPr>
            <w:r>
              <w:rPr>
                <w:rFonts w:ascii="Times New Roman" w:cs="Times New Roman" w:eastAsia="Times New Roman" w:hAnsi="Times New Roman"/>
                <w:sz w:val="20"/>
                <w:szCs w:val="20"/>
                <w:color w:val="auto"/>
              </w:rPr>
              <w:t>Name: Seth Meyer</w:t>
            </w:r>
          </w:p>
        </w:tc>
      </w:tr>
      <w:tr>
        <w:trPr>
          <w:trHeight w:val="378"/>
        </w:trPr>
        <w:tc>
          <w:tcPr>
            <w:tcW w:w="5880" w:type="dxa"/>
            <w:vAlign w:val="bottom"/>
          </w:tcPr>
          <w:p>
            <w:pPr>
              <w:ind w:left="5260"/>
              <w:spacing w:after="0"/>
              <w:rPr>
                <w:sz w:val="20"/>
                <w:szCs w:val="20"/>
                <w:color w:val="auto"/>
              </w:rPr>
            </w:pPr>
            <w:r>
              <w:rPr>
                <w:rFonts w:ascii="Times New Roman" w:cs="Times New Roman" w:eastAsia="Times New Roman" w:hAnsi="Times New Roman"/>
                <w:sz w:val="20"/>
                <w:szCs w:val="20"/>
                <w:color w:val="auto"/>
              </w:rPr>
              <w:t>Title:</w:t>
            </w:r>
          </w:p>
        </w:tc>
        <w:tc>
          <w:tcPr>
            <w:tcW w:w="53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Authorized Signatory</w:t>
            </w:r>
          </w:p>
        </w:tc>
      </w:tr>
      <w:tr>
        <w:trPr>
          <w:trHeight w:val="1594"/>
        </w:trPr>
        <w:tc>
          <w:tcPr>
            <w:tcW w:w="58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ind w:left="10240"/>
        <w:spacing w:after="0"/>
        <w:rPr>
          <w:sz w:val="20"/>
          <w:szCs w:val="20"/>
          <w:color w:val="auto"/>
        </w:rPr>
      </w:pPr>
      <w:r>
        <w:rPr>
          <w:rFonts w:ascii="Times New Roman" w:cs="Times New Roman" w:eastAsia="Times New Roman" w:hAnsi="Times New Roman"/>
          <w:sz w:val="21"/>
          <w:szCs w:val="21"/>
          <w:b w:val="1"/>
          <w:bCs w:val="1"/>
          <w:color w:val="auto"/>
        </w:rPr>
        <w:t>Exhibit 4.5</w:t>
      </w:r>
    </w:p>
    <w:p>
      <w:pPr>
        <w:spacing w:after="0" w:line="3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HERCULES PRIVATE GLOBAL VENTURE GROWTH FUND I</w:t>
      </w:r>
    </w:p>
    <w:p>
      <w:pPr>
        <w:ind w:left="5240"/>
        <w:spacing w:after="0"/>
        <w:rPr>
          <w:sz w:val="20"/>
          <w:szCs w:val="20"/>
          <w:color w:val="auto"/>
        </w:rPr>
      </w:pPr>
      <w:r>
        <w:rPr>
          <w:rFonts w:ascii="Times New Roman" w:cs="Times New Roman" w:eastAsia="Times New Roman" w:hAnsi="Times New Roman"/>
          <w:sz w:val="20"/>
          <w:szCs w:val="20"/>
          <w:b w:val="1"/>
          <w:bCs w:val="1"/>
          <w:color w:val="auto"/>
        </w:rPr>
        <w:t>L.P.</w:t>
      </w:r>
    </w:p>
    <w:p>
      <w:pPr>
        <w:spacing w:after="0" w:line="194" w:lineRule="exact"/>
        <w:rPr>
          <w:sz w:val="20"/>
          <w:szCs w:val="20"/>
          <w:color w:val="auto"/>
        </w:rPr>
      </w:pPr>
    </w:p>
    <w:p>
      <w:pPr>
        <w:ind w:left="5820" w:right="160" w:hanging="561"/>
        <w:spacing w:after="0" w:line="269" w:lineRule="auto"/>
        <w:rPr>
          <w:sz w:val="20"/>
          <w:szCs w:val="20"/>
          <w:color w:val="auto"/>
        </w:rPr>
      </w:pPr>
      <w:r>
        <w:rPr>
          <w:rFonts w:ascii="Times New Roman" w:cs="Times New Roman" w:eastAsia="Times New Roman" w:hAnsi="Times New Roman"/>
          <w:sz w:val="20"/>
          <w:szCs w:val="20"/>
          <w:color w:val="auto"/>
        </w:rPr>
        <w:t>By: Hercules Private Global Venture Growth Fund GP I LLC, its general partner</w:t>
      </w:r>
    </w:p>
    <w:p>
      <w:pPr>
        <w:spacing w:after="0" w:line="173" w:lineRule="exact"/>
        <w:rPr>
          <w:sz w:val="20"/>
          <w:szCs w:val="20"/>
          <w:color w:val="auto"/>
        </w:rPr>
      </w:pPr>
    </w:p>
    <w:p>
      <w:pPr>
        <w:ind w:left="5240"/>
        <w:spacing w:after="0"/>
        <w:tabs>
          <w:tab w:leader="none" w:pos="572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Hercules Adviser LLC, its sole member</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Signature:</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Meyer</w:t>
            </w:r>
          </w:p>
        </w:tc>
        <w:tc>
          <w:tcPr>
            <w:tcW w:w="2820" w:type="dxa"/>
            <w:vAlign w:val="bottom"/>
          </w:tcPr>
          <w:p>
            <w:pPr>
              <w:spacing w:after="0"/>
              <w:rPr>
                <w:sz w:val="19"/>
                <w:szCs w:val="19"/>
                <w:color w:val="auto"/>
              </w:rPr>
            </w:pPr>
          </w:p>
        </w:tc>
      </w:tr>
      <w:tr>
        <w:trPr>
          <w:trHeight w:val="472"/>
        </w:trPr>
        <w:tc>
          <w:tcPr>
            <w:tcW w:w="644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Print Name:</w:t>
            </w:r>
          </w:p>
        </w:tc>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Seth Meyer</w:t>
            </w:r>
          </w:p>
        </w:tc>
      </w:tr>
      <w:tr>
        <w:trPr>
          <w:trHeight w:val="445"/>
        </w:trPr>
        <w:tc>
          <w:tcPr>
            <w:tcW w:w="644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Title:</w:t>
            </w:r>
          </w:p>
        </w:tc>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1229"/>
        </w:trPr>
        <w:tc>
          <w:tcPr>
            <w:tcW w:w="64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4.5</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b w:val="1"/>
          <w:bCs w:val="1"/>
          <w:color w:val="auto"/>
        </w:rPr>
        <w:t>SAGARD HEALTHCARE ROYALTY PARTNERS, LP</w:t>
      </w:r>
    </w:p>
    <w:p>
      <w:pPr>
        <w:spacing w:after="0" w:line="1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0"/>
          <w:szCs w:val="20"/>
          <w:color w:val="auto"/>
        </w:rPr>
        <w:t>By: Sagard Healthcare Royalty Partners GP LLC, its general partner</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Signature:</w:t>
            </w:r>
          </w:p>
        </w:tc>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Jason Sneah</w:t>
            </w:r>
          </w:p>
        </w:tc>
        <w:tc>
          <w:tcPr>
            <w:tcW w:w="2420" w:type="dxa"/>
            <w:vAlign w:val="bottom"/>
          </w:tcPr>
          <w:p>
            <w:pPr>
              <w:spacing w:after="0"/>
              <w:rPr>
                <w:sz w:val="19"/>
                <w:szCs w:val="19"/>
                <w:color w:val="auto"/>
              </w:rPr>
            </w:pPr>
          </w:p>
        </w:tc>
      </w:tr>
      <w:tr>
        <w:trPr>
          <w:trHeight w:val="472"/>
        </w:trPr>
        <w:tc>
          <w:tcPr>
            <w:tcW w:w="644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Print Name:</w:t>
            </w:r>
          </w:p>
        </w:tc>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Jason Sneah</w:t>
            </w:r>
          </w:p>
        </w:tc>
      </w:tr>
      <w:tr>
        <w:trPr>
          <w:trHeight w:val="445"/>
        </w:trPr>
        <w:tc>
          <w:tcPr>
            <w:tcW w:w="644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Title:</w:t>
            </w:r>
          </w:p>
        </w:tc>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Manager</w:t>
            </w:r>
          </w:p>
        </w:tc>
      </w:tr>
      <w:tr>
        <w:trPr>
          <w:trHeight w:val="844"/>
        </w:trPr>
        <w:tc>
          <w:tcPr>
            <w:tcW w:w="644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Signature:</w:t>
            </w:r>
          </w:p>
        </w:tc>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Adam Vigna</w:t>
            </w:r>
          </w:p>
        </w:tc>
        <w:tc>
          <w:tcPr>
            <w:tcW w:w="2420" w:type="dxa"/>
            <w:vAlign w:val="bottom"/>
          </w:tcPr>
          <w:p>
            <w:pPr>
              <w:spacing w:after="0"/>
              <w:rPr>
                <w:sz w:val="24"/>
                <w:szCs w:val="24"/>
                <w:color w:val="auto"/>
              </w:rPr>
            </w:pPr>
          </w:p>
        </w:tc>
      </w:tr>
      <w:tr>
        <w:trPr>
          <w:trHeight w:val="472"/>
        </w:trPr>
        <w:tc>
          <w:tcPr>
            <w:tcW w:w="644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Print Name:</w:t>
            </w:r>
          </w:p>
        </w:tc>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Adam Vigna</w:t>
            </w:r>
          </w:p>
        </w:tc>
      </w:tr>
      <w:tr>
        <w:trPr>
          <w:trHeight w:val="446"/>
        </w:trPr>
        <w:tc>
          <w:tcPr>
            <w:tcW w:w="6440" w:type="dxa"/>
            <w:vAlign w:val="bottom"/>
          </w:tcPr>
          <w:p>
            <w:pPr>
              <w:ind w:left="5240"/>
              <w:spacing w:after="0"/>
              <w:rPr>
                <w:sz w:val="20"/>
                <w:szCs w:val="20"/>
                <w:color w:val="auto"/>
              </w:rPr>
            </w:pPr>
            <w:r>
              <w:rPr>
                <w:rFonts w:ascii="Times New Roman" w:cs="Times New Roman" w:eastAsia="Times New Roman" w:hAnsi="Times New Roman"/>
                <w:sz w:val="20"/>
                <w:szCs w:val="20"/>
                <w:color w:val="auto"/>
              </w:rPr>
              <w:t>Title:</w:t>
            </w:r>
          </w:p>
        </w:tc>
        <w:tc>
          <w:tcPr>
            <w:tcW w:w="4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Chief Investment Officer</w:t>
            </w:r>
          </w:p>
        </w:tc>
      </w:tr>
      <w:tr>
        <w:trPr>
          <w:trHeight w:val="1378"/>
        </w:trPr>
        <w:tc>
          <w:tcPr>
            <w:tcW w:w="644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ind w:left="10320"/>
        <w:spacing w:after="0"/>
        <w:rPr>
          <w:sz w:val="20"/>
          <w:szCs w:val="20"/>
          <w:color w:val="auto"/>
        </w:rPr>
      </w:pPr>
      <w:r>
        <w:rPr>
          <w:rFonts w:ascii="Times New Roman" w:cs="Times New Roman" w:eastAsia="Times New Roman" w:hAnsi="Times New Roman"/>
          <w:sz w:val="19"/>
          <w:szCs w:val="19"/>
          <w:b w:val="1"/>
          <w:bCs w:val="1"/>
          <w:color w:val="auto"/>
        </w:rPr>
        <w:t>Exhibit 4.6</w:t>
      </w:r>
    </w:p>
    <w:p>
      <w:pPr>
        <w:spacing w:after="0" w:line="36"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20"/>
          <w:szCs w:val="20"/>
          <w:color w:val="auto"/>
        </w:rPr>
        <w:t>THIS WARRANT AND THE SHARES ISSUABLE UPON EXERCISE HEREOF HAVE NOT BEEN REGISTERED UNDER THE SECURITIES ACT OF 1933, AS AMENDED (THE “ACT”), OR ANY STATE SECURITIES LAWS, AND MAY NOT BE SOLD, OFFERED FOR SALE, PLEDGED, OR HYPOTHECATED IN THE ABSENCE OF AN EFFECTIVE REGISTRATION STATEMENT RELATED THERETO OR, SUBJECT TO SECTION 11 HEREOF, AN OPINION OF COUNSEL (WHICH MAY BE COMPANY COUNSEL) REASONABLY SATISFACTORY TO THE COMPANY THAT SUCH REGISTRATION IS NOT REQUIRED UNDER THE ACT, OR ANY APPLICABLE STATE SECURITIES LAWS.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OF WARRANT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To Purchase Shares of the Common Stock of</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PHATHOM PHARMACEUTICALS,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Dated as of [•], 202[•]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40" w:firstLine="396"/>
        <w:spacing w:after="0" w:line="244" w:lineRule="auto"/>
        <w:rPr>
          <w:sz w:val="20"/>
          <w:szCs w:val="20"/>
          <w:color w:val="auto"/>
        </w:rPr>
      </w:pPr>
      <w:r>
        <w:rPr>
          <w:rFonts w:ascii="Times New Roman" w:cs="Times New Roman" w:eastAsia="Times New Roman" w:hAnsi="Times New Roman"/>
          <w:sz w:val="20"/>
          <w:szCs w:val="20"/>
          <w:color w:val="auto"/>
        </w:rPr>
        <w:t>WHEREAS, Phathom Pharmaceuticals, Inc., a Delaware corporation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has entered into a Loan and Security Agreement of September 17, 2021 (as amended by that certain Consent and First Amendment to Loan and Security Agreement dated as of May 3, 2022, as further amended by that certain Second Amendment to Loan and Security Agreement dated as of September 26, 2022, as further amended by that certain Third Amendment to Loan and Security Agreement and Warrant dated as of May 9, 2023, and as further amended, restated, supplemented or otherwise modified from time to time, collectively,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with Hercules Capital, Inc., a Maryland corporation, in its capacity as administrative and collateral agent, [</w:t>
      </w:r>
      <w:r>
        <w:rPr>
          <w:rFonts w:ascii="Times New Roman" w:cs="Times New Roman" w:eastAsia="Times New Roman" w:hAnsi="Times New Roman"/>
          <w:sz w:val="20"/>
          <w:szCs w:val="20"/>
          <w:i w:val="1"/>
          <w:iCs w:val="1"/>
          <w:color w:val="auto"/>
        </w:rPr>
        <w:t>insert legal name and jurisdiction of formation of Lender</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u w:val="single" w:color="auto"/>
          <w:color w:val="auto"/>
        </w:rPr>
        <w:t>Warrantholder</w:t>
      </w:r>
      <w:r>
        <w:rPr>
          <w:rFonts w:ascii="Times New Roman" w:cs="Times New Roman" w:eastAsia="Times New Roman" w:hAnsi="Times New Roman"/>
          <w:sz w:val="20"/>
          <w:szCs w:val="20"/>
          <w:color w:val="auto"/>
        </w:rPr>
        <w:t>”), and other lender parties thereto;</w:t>
      </w:r>
    </w:p>
    <w:p>
      <w:pPr>
        <w:spacing w:after="0" w:line="199" w:lineRule="exact"/>
        <w:rPr>
          <w:sz w:val="20"/>
          <w:szCs w:val="20"/>
          <w:color w:val="auto"/>
        </w:rPr>
      </w:pPr>
    </w:p>
    <w:p>
      <w:pPr>
        <w:ind w:right="100" w:firstLine="1145"/>
        <w:spacing w:after="0" w:line="249" w:lineRule="auto"/>
        <w:rPr>
          <w:sz w:val="20"/>
          <w:szCs w:val="20"/>
          <w:color w:val="auto"/>
        </w:rPr>
      </w:pPr>
      <w:r>
        <w:rPr>
          <w:rFonts w:ascii="Times New Roman" w:cs="Times New Roman" w:eastAsia="Times New Roman" w:hAnsi="Times New Roman"/>
          <w:sz w:val="20"/>
          <w:szCs w:val="20"/>
          <w:color w:val="auto"/>
        </w:rPr>
        <w:t>WHEREAS, pursuant to the Loan Agreement and as additional consideration to the Warrantholder for, among other things, its agreements in the Loan Agreement, the Company has agreed to issue to the Warrantholder this Warrant Agreement, evidencing the right to purchase shares of the Company’s Common Stock (this “</w:t>
      </w:r>
      <w:r>
        <w:rPr>
          <w:rFonts w:ascii="Times New Roman" w:cs="Times New Roman" w:eastAsia="Times New Roman" w:hAnsi="Times New Roman"/>
          <w:sz w:val="20"/>
          <w:szCs w:val="20"/>
          <w:u w:val="single" w:color="auto"/>
          <w:color w:val="auto"/>
        </w:rPr>
        <w:t>Warrant</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u w:val="single" w:color="auto"/>
          <w:color w:val="auto"/>
        </w:rPr>
        <w:t>Warrant Agreement</w:t>
      </w:r>
      <w:r>
        <w:rPr>
          <w:rFonts w:ascii="Times New Roman" w:cs="Times New Roman" w:eastAsia="Times New Roman" w:hAnsi="Times New Roman"/>
          <w:sz w:val="20"/>
          <w:szCs w:val="20"/>
          <w:color w:val="auto"/>
        </w:rPr>
        <w:t>”, or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and together with any additional Warrants issued upon any permitted transfer of this Warrant hereunder, collectively, the “</w:t>
      </w:r>
      <w:r>
        <w:rPr>
          <w:rFonts w:ascii="Times New Roman" w:cs="Times New Roman" w:eastAsia="Times New Roman" w:hAnsi="Times New Roman"/>
          <w:sz w:val="20"/>
          <w:szCs w:val="20"/>
          <w:u w:val="single" w:color="auto"/>
          <w:color w:val="auto"/>
        </w:rPr>
        <w:t>Warrants</w:t>
      </w:r>
      <w:r>
        <w:rPr>
          <w:rFonts w:ascii="Times New Roman" w:cs="Times New Roman" w:eastAsia="Times New Roman" w:hAnsi="Times New Roman"/>
          <w:sz w:val="20"/>
          <w:szCs w:val="20"/>
          <w:color w:val="auto"/>
        </w:rPr>
        <w:t>”);</w:t>
      </w:r>
    </w:p>
    <w:p>
      <w:pPr>
        <w:spacing w:after="0" w:line="180" w:lineRule="exact"/>
        <w:rPr>
          <w:sz w:val="20"/>
          <w:szCs w:val="20"/>
          <w:color w:val="auto"/>
        </w:rPr>
      </w:pPr>
    </w:p>
    <w:p>
      <w:pPr>
        <w:ind w:right="100" w:firstLine="1145"/>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the Warrantholder having executed and delivered the Loan Agreement and provided the financial accommodations contemplated therein, and in consideration of the mutual covenants and agreements contained herein, the Company and the Warrantholder agree as follows:</w:t>
      </w:r>
    </w:p>
    <w:p>
      <w:pPr>
        <w:spacing w:after="0" w:line="17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SECTION 1.</w:t>
      </w:r>
      <w:r>
        <w:rPr>
          <w:rFonts w:ascii="Times New Roman" w:cs="Times New Roman" w:eastAsia="Times New Roman" w:hAnsi="Times New Roman"/>
          <w:sz w:val="20"/>
          <w:szCs w:val="20"/>
          <w:color w:val="auto"/>
        </w:rPr>
        <w:t>GRANT OF THE RIGHT TO PURCHASE COMMON STOCK.</w:t>
      </w:r>
    </w:p>
    <w:p>
      <w:pPr>
        <w:spacing w:after="0" w:line="112" w:lineRule="exact"/>
        <w:rPr>
          <w:sz w:val="20"/>
          <w:szCs w:val="20"/>
          <w:color w:val="auto"/>
        </w:rPr>
      </w:pPr>
    </w:p>
    <w:p>
      <w:pPr>
        <w:ind w:right="120" w:firstLine="1153"/>
        <w:spacing w:after="0" w:line="246" w:lineRule="auto"/>
        <w:tabs>
          <w:tab w:leader="none" w:pos="15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value received, the Company hereby grants to the Warrantholder, and the Warrantholder is entitled, upon the terms and subject to the conditions hereinafter set forth, to subscribe for and purchase, from the Company, up to the number of fully paid and non-assessable shares of Common Stock (as defined below) as determined pursuant to Section 1(b) below, at a purchase price per share equal to the Exercise Price (as defined below). The number and Exercise Price of such shares are subject to adjustment as provided in Section 8. As used herein, the following terms shall have the following meanings:</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means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ind w:left="740" w:right="10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Charter</w:t>
      </w:r>
      <w:r>
        <w:rPr>
          <w:rFonts w:ascii="Times New Roman" w:cs="Times New Roman" w:eastAsia="Times New Roman" w:hAnsi="Times New Roman"/>
          <w:sz w:val="20"/>
          <w:szCs w:val="20"/>
          <w:color w:val="auto"/>
        </w:rPr>
        <w:t>” means the Company’s Certificate of Incorporation or other constitutional document, as may be amended and in effect from time to time.</w:t>
      </w:r>
    </w:p>
    <w:p>
      <w:pPr>
        <w:spacing w:after="0" w:line="159" w:lineRule="exact"/>
        <w:rPr>
          <w:sz w:val="20"/>
          <w:szCs w:val="20"/>
          <w:color w:val="auto"/>
        </w:rPr>
      </w:pPr>
    </w:p>
    <w:p>
      <w:pPr>
        <w:ind w:left="740" w:right="2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means the Company’s common stock, $0.0001 par value per share, as presently constituted under the Charter, and any class and/or series of Company capital stock for or into which such common stock may be converted or exchanged in a reorganization, recapitalization or similar transaction.</w:t>
      </w:r>
    </w:p>
    <w:p>
      <w:pPr>
        <w:spacing w:after="0" w:line="17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Exercise Price</w:t>
      </w:r>
      <w:r>
        <w:rPr>
          <w:rFonts w:ascii="Times New Roman" w:cs="Times New Roman" w:eastAsia="Times New Roman" w:hAnsi="Times New Roman"/>
          <w:sz w:val="20"/>
          <w:szCs w:val="20"/>
          <w:color w:val="auto"/>
        </w:rPr>
        <w:t>” means $[•], subject to adjustment from time to time in accordance with the provisions of this Warrant.</w:t>
      </w:r>
    </w:p>
    <w:p>
      <w:pPr>
        <w:spacing w:after="0" w:line="216" w:lineRule="exact"/>
        <w:rPr>
          <w:sz w:val="20"/>
          <w:szCs w:val="20"/>
          <w:color w:val="auto"/>
        </w:rPr>
      </w:pPr>
    </w:p>
    <w:p>
      <w:pPr>
        <w:ind w:left="740" w:right="6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Liquid Sale</w:t>
      </w:r>
      <w:r>
        <w:rPr>
          <w:rFonts w:ascii="Times New Roman" w:cs="Times New Roman" w:eastAsia="Times New Roman" w:hAnsi="Times New Roman"/>
          <w:sz w:val="20"/>
          <w:szCs w:val="20"/>
          <w:color w:val="auto"/>
        </w:rPr>
        <w:t>” means the closing of a Merger Event in which the consideration received by the Company and/or its shareholders, as applicable, consists solely of cash and/or Marketable Securities.</w:t>
      </w:r>
    </w:p>
    <w:p>
      <w:pPr>
        <w:spacing w:after="0" w:line="159" w:lineRule="exact"/>
        <w:rPr>
          <w:sz w:val="20"/>
          <w:szCs w:val="20"/>
          <w:color w:val="auto"/>
        </w:rPr>
      </w:pPr>
    </w:p>
    <w:p>
      <w:pPr>
        <w:ind w:left="740"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Marketable Securities</w:t>
      </w:r>
      <w:r>
        <w:rPr>
          <w:rFonts w:ascii="Times New Roman" w:cs="Times New Roman" w:eastAsia="Times New Roman" w:hAnsi="Times New Roman"/>
          <w:sz w:val="20"/>
          <w:szCs w:val="20"/>
          <w:color w:val="auto"/>
        </w:rPr>
        <w:t>” in connection with a Merger Event means securities meeting all of the following requirements: (i) the issuer thereof is then subject to the reporting requirements of Section 13 or Section 15(d) of the Securities Exchange Act of 1934, as amended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is then current in its filing of all required reports and other information under the Act and the Exchange Act; (ii) the class and series of shares or other security of the issuer that would be received by the Warrantholder in connection with the Merger Event were the Warrantholder to exercise this Warrant on or prior to the closing thereof is then traded on a national securities exchange or over-the-counter market, and (iii) following the closing of such Merger Event, the Warrantholder would not be restricted from publicly re-selling all of the issuer’s shares and/or other securities that would be received by the Warrantholder in such Merger Event were the Warrantholder to exercise this Warrant in full on or prior to the closing of such Merger Event, except to the extent that any such restriction (x) arises solely under federal or state securities laws, rules or regulations, and (y) does not extend beyond six (6) months from the closing of such Merger Event.</w:t>
      </w:r>
    </w:p>
    <w:p>
      <w:pPr>
        <w:spacing w:after="0" w:line="192" w:lineRule="exact"/>
        <w:rPr>
          <w:sz w:val="20"/>
          <w:szCs w:val="20"/>
          <w:color w:val="auto"/>
        </w:rPr>
      </w:pPr>
    </w:p>
    <w:p>
      <w:pPr>
        <w:ind w:left="740" w:right="20"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Merger Event</w:t>
      </w:r>
      <w:r>
        <w:rPr>
          <w:rFonts w:ascii="Times New Roman" w:cs="Times New Roman" w:eastAsia="Times New Roman" w:hAnsi="Times New Roman"/>
          <w:sz w:val="20"/>
          <w:szCs w:val="20"/>
          <w:color w:val="auto"/>
        </w:rPr>
        <w:t>” means any of the following: (i) a sale, lease or other transfer of all or substantially all assets of the Company, (ii) any merger or consolidation involving the Company in which the Company is not the surviving entity or in which the outstanding shares of the Company’s capital stock are otherwise converted into or exchanged for shares of capital stock or other securities or property of another entity (other than a merger or consolidation effected exclusively to change the Company's domicile), or (iii) any sale by holders of the outstanding voting equity securities of the Company in a single transaction or series of related transactions of shares constituting a majority of the outstanding combined voting power of the Company.</w:t>
      </w:r>
    </w:p>
    <w:p>
      <w:pPr>
        <w:spacing w:after="0" w:line="184" w:lineRule="exact"/>
        <w:rPr>
          <w:sz w:val="20"/>
          <w:szCs w:val="20"/>
          <w:color w:val="auto"/>
        </w:rPr>
      </w:pPr>
    </w:p>
    <w:p>
      <w:pPr>
        <w:ind w:left="740" w:right="60" w:firstLine="749"/>
        <w:spacing w:after="0" w:line="26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Purchase Price</w:t>
      </w:r>
      <w:r>
        <w:rPr>
          <w:rFonts w:ascii="Times New Roman" w:cs="Times New Roman" w:eastAsia="Times New Roman" w:hAnsi="Times New Roman"/>
          <w:sz w:val="20"/>
          <w:szCs w:val="20"/>
          <w:color w:val="auto"/>
        </w:rPr>
        <w:t>” means, with respect to any exercise of this Warrant, an amount equal to the then-effective Exercise Price multiplied by the number of shares of Common Stock as to which this Warrant is then exercised.</w:t>
      </w:r>
    </w:p>
    <w:p>
      <w:pPr>
        <w:spacing w:after="0" w:line="159" w:lineRule="exact"/>
        <w:rPr>
          <w:sz w:val="20"/>
          <w:szCs w:val="20"/>
          <w:color w:val="auto"/>
        </w:rPr>
      </w:pPr>
    </w:p>
    <w:p>
      <w:pPr>
        <w:ind w:left="740" w:right="8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Warrant Coverage</w:t>
      </w:r>
      <w:r>
        <w:rPr>
          <w:rFonts w:ascii="Times New Roman" w:cs="Times New Roman" w:eastAsia="Times New Roman" w:hAnsi="Times New Roman"/>
          <w:sz w:val="20"/>
          <w:szCs w:val="20"/>
          <w:color w:val="auto"/>
        </w:rPr>
        <w:t xml:space="preserve">” means 2.50%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the principal amount of the Term Loan Advance (as defined in the Loan Agreement) made and funded by the Warrantholder under the Loan Agreement on the Effective Date (but exclusive of any paid-in-kind interest that is capitalized as principal).</w:t>
      </w:r>
    </w:p>
    <w:p>
      <w:pPr>
        <w:spacing w:after="0" w:line="174" w:lineRule="exact"/>
        <w:rPr>
          <w:sz w:val="20"/>
          <w:szCs w:val="20"/>
          <w:color w:val="auto"/>
        </w:rPr>
      </w:pPr>
    </w:p>
    <w:p>
      <w:pPr>
        <w:ind w:left="-20" w:right="120" w:firstLine="757"/>
        <w:spacing w:after="0" w:line="246" w:lineRule="auto"/>
        <w:tabs>
          <w:tab w:leader="none" w:pos="1125"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This Warrant shall be exercisable for a number of shares of Common Stock equal to the quotient derived by dividing (i) the Warrant Coverage by (ii) the Exercise Price, subject to adjustment from time to time in accordance with the provisions of this Warrant.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51435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333" w:right="359" w:bottom="1440" w:gutter="0" w:footer="0" w:header="0"/>
        </w:sectPr>
      </w:pPr>
    </w:p>
    <w:bookmarkStart w:id="46" w:name="page47"/>
    <w:bookmarkEnd w:id="46"/>
    <w:p>
      <w:pPr>
        <w:ind w:left="1320"/>
        <w:spacing w:after="0"/>
        <w:rPr>
          <w:sz w:val="20"/>
          <w:szCs w:val="20"/>
          <w:color w:val="auto"/>
        </w:rPr>
      </w:pPr>
      <w:r>
        <w:rPr>
          <w:rFonts w:ascii="Times New Roman" w:cs="Times New Roman" w:eastAsia="Times New Roman" w:hAnsi="Times New Roman"/>
          <w:sz w:val="20"/>
          <w:szCs w:val="20"/>
          <w:b w:val="1"/>
          <w:bCs w:val="1"/>
          <w:color w:val="auto"/>
        </w:rPr>
        <w:t>SECTION 2.</w:t>
      </w:r>
      <w:r>
        <w:rPr>
          <w:rFonts w:ascii="Times New Roman" w:cs="Times New Roman" w:eastAsia="Times New Roman" w:hAnsi="Times New Roman"/>
          <w:sz w:val="20"/>
          <w:szCs w:val="20"/>
          <w:color w:val="auto"/>
        </w:rPr>
        <w:t>TERM OF THE AGREEMENT.</w:t>
      </w:r>
    </w:p>
    <w:p>
      <w:pPr>
        <w:spacing w:after="0" w:line="112" w:lineRule="exact"/>
        <w:rPr>
          <w:sz w:val="20"/>
          <w:szCs w:val="20"/>
          <w:color w:val="auto"/>
        </w:rPr>
      </w:pPr>
    </w:p>
    <w:p>
      <w:pPr>
        <w:ind w:right="140" w:firstLine="1145"/>
        <w:spacing w:after="0" w:line="269" w:lineRule="auto"/>
        <w:rPr>
          <w:sz w:val="20"/>
          <w:szCs w:val="20"/>
          <w:color w:val="auto"/>
        </w:rPr>
      </w:pPr>
      <w:r>
        <w:rPr>
          <w:rFonts w:ascii="Times New Roman" w:cs="Times New Roman" w:eastAsia="Times New Roman" w:hAnsi="Times New Roman"/>
          <w:sz w:val="20"/>
          <w:szCs w:val="20"/>
          <w:color w:val="auto"/>
        </w:rPr>
        <w:t>The term of this Agreement and the right to purchase Common Stock as granted herein shall commence on the Effective Date and, subject to Section 8(a) below, shall be exercisable for a period ending upon the seventh (7th) anniversary of the Effective Date.</w:t>
      </w:r>
    </w:p>
    <w:p>
      <w:pPr>
        <w:spacing w:after="0" w:line="15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SECTION 3.</w:t>
      </w:r>
      <w:r>
        <w:rPr>
          <w:rFonts w:ascii="Times New Roman" w:cs="Times New Roman" w:eastAsia="Times New Roman" w:hAnsi="Times New Roman"/>
          <w:sz w:val="20"/>
          <w:szCs w:val="20"/>
          <w:color w:val="auto"/>
        </w:rPr>
        <w:t>EXERCISE OF THE PURCHASE RIGHTS.</w:t>
      </w:r>
    </w:p>
    <w:p>
      <w:pPr>
        <w:spacing w:after="0" w:line="112" w:lineRule="exact"/>
        <w:rPr>
          <w:sz w:val="20"/>
          <w:szCs w:val="20"/>
          <w:color w:val="auto"/>
        </w:rPr>
      </w:pPr>
    </w:p>
    <w:p>
      <w:pPr>
        <w:ind w:firstLine="757"/>
        <w:spacing w:after="0" w:line="243" w:lineRule="auto"/>
        <w:tabs>
          <w:tab w:leader="none" w:pos="1145"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w:t>
      </w:r>
      <w:r>
        <w:rPr>
          <w:rFonts w:ascii="Times New Roman" w:cs="Times New Roman" w:eastAsia="Times New Roman" w:hAnsi="Times New Roman"/>
          <w:sz w:val="20"/>
          <w:szCs w:val="20"/>
          <w:color w:val="auto"/>
        </w:rPr>
        <w:t xml:space="preserve">. The purchase rights set forth in this Agreement are exercisable by the Warrantholder, in whole or in part, at any time, or from time to time, prior to the expiration of the term set forth in Section 2, by tendering to the Company at its principal office a notice of exercise in the form attached hereto as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Notice of Exercise</w:t>
      </w:r>
      <w:r>
        <w:rPr>
          <w:rFonts w:ascii="Times New Roman" w:cs="Times New Roman" w:eastAsia="Times New Roman" w:hAnsi="Times New Roman"/>
          <w:sz w:val="20"/>
          <w:szCs w:val="20"/>
          <w:color w:val="auto"/>
        </w:rPr>
        <w:t xml:space="preserve">”), duly completed and executed. Promptly upon receipt of the Notice of Exercise and the payment of the Purchase Price in accordance with the terms set forth below, and in no event later than three (3) business days thereafter, the Company or its transfer agent shall either (i) issue to the Warrantholder a certificate for the number of shares of Common Stock purchased or (ii) credit the same via book entry to the Warrantholder, and the Company shall execute the acknowledgment of exercise in the form attached hereto as </w:t>
      </w:r>
      <w:r>
        <w:rPr>
          <w:rFonts w:ascii="Times New Roman" w:cs="Times New Roman" w:eastAsia="Times New Roman" w:hAnsi="Times New Roman"/>
          <w:sz w:val="20"/>
          <w:szCs w:val="20"/>
          <w:u w:val="single" w:color="auto"/>
          <w:color w:val="auto"/>
        </w:rPr>
        <w:t>Exhibit II</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u w:val="single" w:color="auto"/>
          <w:color w:val="auto"/>
        </w:rPr>
        <w:t>Acknowledgment of Exercise</w:t>
      </w:r>
      <w:r>
        <w:rPr>
          <w:rFonts w:ascii="Times New Roman" w:cs="Times New Roman" w:eastAsia="Times New Roman" w:hAnsi="Times New Roman"/>
          <w:sz w:val="20"/>
          <w:szCs w:val="20"/>
          <w:color w:val="auto"/>
        </w:rPr>
        <w:t>”) indicating the number of shares which remain subject to future purchases under this Warrant, if any.</w:t>
      </w:r>
    </w:p>
    <w:p>
      <w:pPr>
        <w:spacing w:after="0" w:line="189" w:lineRule="exact"/>
        <w:rPr>
          <w:sz w:val="20"/>
          <w:szCs w:val="20"/>
          <w:color w:val="auto"/>
        </w:rPr>
      </w:pPr>
    </w:p>
    <w:p>
      <w:pPr>
        <w:ind w:right="180" w:firstLine="1145"/>
        <w:spacing w:after="0" w:line="249" w:lineRule="auto"/>
        <w:rPr>
          <w:sz w:val="20"/>
          <w:szCs w:val="20"/>
          <w:color w:val="auto"/>
        </w:rPr>
      </w:pPr>
      <w:r>
        <w:rPr>
          <w:rFonts w:ascii="Times New Roman" w:cs="Times New Roman" w:eastAsia="Times New Roman" w:hAnsi="Times New Roman"/>
          <w:sz w:val="20"/>
          <w:szCs w:val="20"/>
          <w:color w:val="auto"/>
        </w:rPr>
        <w:t>The Purchase Price may be paid at the Warrantholder’s election either (i) by cash or check, or (ii) by surrender of all or a portion of the Warrant for shares of Common Stock to be exercised under this Agreement and, if applicable, an amended Agreement setting forth the remaining number of shares purchasable hereunder, as determined below (“</w:t>
      </w:r>
      <w:r>
        <w:rPr>
          <w:rFonts w:ascii="Times New Roman" w:cs="Times New Roman" w:eastAsia="Times New Roman" w:hAnsi="Times New Roman"/>
          <w:sz w:val="20"/>
          <w:szCs w:val="20"/>
          <w:u w:val="single" w:color="auto"/>
          <w:color w:val="auto"/>
        </w:rPr>
        <w:t>Net Issuance</w:t>
      </w:r>
      <w:r>
        <w:rPr>
          <w:rFonts w:ascii="Times New Roman" w:cs="Times New Roman" w:eastAsia="Times New Roman" w:hAnsi="Times New Roman"/>
          <w:sz w:val="20"/>
          <w:szCs w:val="20"/>
          <w:color w:val="auto"/>
        </w:rPr>
        <w:t>”). If the Warrantholder elects the Net Issuance method, the Company will issue shares of Common Stock in accordance with the following formula:</w:t>
      </w:r>
    </w:p>
    <w:p>
      <w:pPr>
        <w:spacing w:after="0" w:line="18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 xml:space="preserve">X = </w:t>
      </w:r>
      <w:r>
        <w:rPr>
          <w:rFonts w:ascii="Times New Roman" w:cs="Times New Roman" w:eastAsia="Times New Roman" w:hAnsi="Times New Roman"/>
          <w:sz w:val="20"/>
          <w:szCs w:val="20"/>
          <w:u w:val="single" w:color="auto"/>
          <w:color w:val="auto"/>
        </w:rPr>
        <w:t>Y(A-B)</w:t>
      </w:r>
    </w:p>
    <w:p>
      <w:pPr>
        <w:spacing w:after="0" w:line="2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0"/>
          <w:szCs w:val="20"/>
          <w:color w:val="auto"/>
        </w:rPr>
        <w:t>A</w:t>
      </w:r>
    </w:p>
    <w:p>
      <w:pPr>
        <w:spacing w:after="0" w:line="207"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0"/>
          <w:szCs w:val="20"/>
          <w:color w:val="auto"/>
        </w:rPr>
        <w:t>Where:</w:t>
        <w:tab/>
        <w:t>X = the number of shares of Common Stock to be issued to the Warrantholder</w:t>
      </w:r>
      <w:r>
        <w:rPr>
          <w:rFonts w:ascii="Times New Roman" w:cs="Times New Roman" w:eastAsia="Times New Roman" w:hAnsi="Times New Roman"/>
          <w:sz w:val="14"/>
          <w:szCs w:val="14"/>
          <w:color w:val="auto"/>
        </w:rPr>
        <w:t>.</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Y = the number of shares of Common Stock requested to be exercised under this Agreement.</w:t>
      </w:r>
    </w:p>
    <w:p>
      <w:pPr>
        <w:spacing w:after="0" w:line="1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 = the then-current fair market value of one (1) share of Common Stock at the time of exercise of this Warrant.</w:t>
      </w:r>
    </w:p>
    <w:p>
      <w:pPr>
        <w:spacing w:after="0" w:line="10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B = the then-effective Exercise Price.</w:t>
      </w:r>
    </w:p>
    <w:p>
      <w:pPr>
        <w:spacing w:after="0" w:line="108" w:lineRule="exact"/>
        <w:rPr>
          <w:sz w:val="20"/>
          <w:szCs w:val="20"/>
          <w:color w:val="auto"/>
        </w:rPr>
      </w:pPr>
    </w:p>
    <w:p>
      <w:pPr>
        <w:ind w:right="380" w:firstLine="749"/>
        <w:spacing w:after="0" w:line="269" w:lineRule="auto"/>
        <w:rPr>
          <w:sz w:val="20"/>
          <w:szCs w:val="20"/>
          <w:color w:val="auto"/>
        </w:rPr>
      </w:pPr>
      <w:r>
        <w:rPr>
          <w:rFonts w:ascii="Times New Roman" w:cs="Times New Roman" w:eastAsia="Times New Roman" w:hAnsi="Times New Roman"/>
          <w:sz w:val="20"/>
          <w:szCs w:val="20"/>
          <w:color w:val="auto"/>
        </w:rPr>
        <w:t>For purposes of the above calculation, the current fair market value of shares of Common Stock shall mean with respect to each share of Common Stock:</w:t>
      </w:r>
    </w:p>
    <w:p>
      <w:pPr>
        <w:spacing w:after="0" w:line="159" w:lineRule="exact"/>
        <w:rPr>
          <w:sz w:val="20"/>
          <w:szCs w:val="20"/>
          <w:color w:val="auto"/>
        </w:rPr>
      </w:pPr>
    </w:p>
    <w:p>
      <w:pPr>
        <w:ind w:right="40" w:firstLine="1153"/>
        <w:spacing w:after="0" w:line="254" w:lineRule="auto"/>
        <w:tabs>
          <w:tab w:leader="none" w:pos="15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all times when the Common Stock is traded on a national securities exchange, inter-dealer quotation system or over-the-counter bulletin board service, the average of the closing prices over a five (5) day period ending three (3) days before the day the current fair market value of the securities is being determined;</w:t>
      </w:r>
    </w:p>
    <w:p>
      <w:pPr>
        <w:spacing w:after="0" w:line="174" w:lineRule="exact"/>
        <w:rPr>
          <w:rFonts w:ascii="Times New Roman" w:cs="Times New Roman" w:eastAsia="Times New Roman" w:hAnsi="Times New Roman"/>
          <w:sz w:val="20"/>
          <w:szCs w:val="20"/>
          <w:color w:val="auto"/>
        </w:rPr>
      </w:pPr>
    </w:p>
    <w:p>
      <w:pPr>
        <w:ind w:right="20" w:firstLine="1153"/>
        <w:spacing w:after="0" w:line="254" w:lineRule="auto"/>
        <w:tabs>
          <w:tab w:leader="none" w:pos="15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exercise is in connection with a Merger Event, the fair market value of a share of Common Stock shall be deemed to be the per share value received by the holders of the outstanding shares of Common Stock pursuant to such Merger Event as determined in accordance with the definitive transaction documents executed among the parties in connection therewith; or</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47" w:name="page48"/>
    <w:bookmarkEnd w:id="47"/>
    <w:p>
      <w:pPr>
        <w:ind w:right="200" w:firstLine="1153"/>
        <w:spacing w:after="0" w:line="269" w:lineRule="auto"/>
        <w:tabs>
          <w:tab w:leader="none" w:pos="15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cases other than as described in the foregoing clauses (i) and (ii), the current fair market value of a share of Common Stock shall be determined in good faith by the Company’s Board of Directors.</w:t>
      </w:r>
    </w:p>
    <w:p>
      <w:pPr>
        <w:spacing w:after="0" w:line="159" w:lineRule="exact"/>
        <w:rPr>
          <w:sz w:val="20"/>
          <w:szCs w:val="20"/>
          <w:color w:val="auto"/>
        </w:rPr>
      </w:pPr>
    </w:p>
    <w:p>
      <w:pPr>
        <w:jc w:val="both"/>
        <w:ind w:right="140" w:firstLine="1145"/>
        <w:spacing w:after="0" w:line="274" w:lineRule="auto"/>
        <w:rPr>
          <w:sz w:val="20"/>
          <w:szCs w:val="20"/>
          <w:color w:val="auto"/>
        </w:rPr>
      </w:pPr>
      <w:r>
        <w:rPr>
          <w:rFonts w:ascii="Times New Roman" w:cs="Times New Roman" w:eastAsia="Times New Roman" w:hAnsi="Times New Roman"/>
          <w:sz w:val="19"/>
          <w:szCs w:val="19"/>
          <w:color w:val="auto"/>
        </w:rPr>
        <w:t>Upon partial exercise by either cash or Net Issuance, prior to the expiration or earlier termination hereof, the Company shall promptly issue an amended Agreement representing the remaining number of shares purchasable hereunder. All other terms and conditions of such amended Agreement shall be identical to those contained herein, including, but not limited to the Effective Date hereof.</w:t>
      </w:r>
    </w:p>
    <w:p>
      <w:pPr>
        <w:spacing w:after="0" w:line="156" w:lineRule="exact"/>
        <w:rPr>
          <w:sz w:val="20"/>
          <w:szCs w:val="20"/>
          <w:color w:val="auto"/>
        </w:rPr>
      </w:pPr>
    </w:p>
    <w:p>
      <w:pPr>
        <w:ind w:firstLine="757"/>
        <w:spacing w:after="0" w:line="242" w:lineRule="auto"/>
        <w:tabs>
          <w:tab w:leader="none" w:pos="1145"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Exercise Prior to Expiration</w:t>
      </w:r>
      <w:r>
        <w:rPr>
          <w:rFonts w:ascii="Times New Roman" w:cs="Times New Roman" w:eastAsia="Times New Roman" w:hAnsi="Times New Roman"/>
          <w:sz w:val="20"/>
          <w:szCs w:val="20"/>
          <w:color w:val="auto"/>
        </w:rPr>
        <w:t>. To the extent this Warrant is not previously exercised as to all shares of Common Stock subject hereto, and if the then-current fair market value of one share of Common Stock is greater than the Exercise Price then in effect, or, in the case of a Liquid Sale, where the value per share of Common Stock (as determined as of the closing of such Liquid Sale in accordance with the definitive agreements executed by the parties in connection with such Merger Event) to be paid to the holders thereof is greater than the Exercise Price then in effect, this Agreement shall be deemed automatically exercised on a Net Issuance basis pursuant to Section 3(a) (even if not surrendered) as of immediately before its expiration determined in accordance with Section 2. For purposes of such automatic exercise, the fair market value of one share of Common Stock upon such expiration shall be determined pursuant to Section 3(a). To the extent this Warrant or any portion hereof is deemed automatically exercised pursuant to this Section 3(b), the Company agrees to promptly notify the Warrantholder of the number of shares of Common Stock if any, the Warrantholder is to receive by reason of such automatic exercise, and to issue or cause its transfer agent to issue a certificate or a book-entry credit to the Warrantholder evidencing such shares.</w:t>
      </w:r>
    </w:p>
    <w:p>
      <w:pPr>
        <w:spacing w:after="0" w:line="18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SECTION 4.</w:t>
      </w:r>
      <w:r>
        <w:rPr>
          <w:rFonts w:ascii="Times New Roman" w:cs="Times New Roman" w:eastAsia="Times New Roman" w:hAnsi="Times New Roman"/>
          <w:sz w:val="20"/>
          <w:szCs w:val="20"/>
          <w:color w:val="auto"/>
        </w:rPr>
        <w:t>RESERVATION OF SHARES.</w:t>
      </w:r>
    </w:p>
    <w:p>
      <w:pPr>
        <w:spacing w:after="0" w:line="112" w:lineRule="exact"/>
        <w:rPr>
          <w:sz w:val="20"/>
          <w:szCs w:val="20"/>
          <w:color w:val="auto"/>
        </w:rPr>
      </w:pPr>
    </w:p>
    <w:p>
      <w:pPr>
        <w:ind w:right="40" w:firstLine="1145"/>
        <w:spacing w:after="0" w:line="246" w:lineRule="auto"/>
        <w:rPr>
          <w:sz w:val="20"/>
          <w:szCs w:val="20"/>
          <w:color w:val="auto"/>
        </w:rPr>
      </w:pPr>
      <w:r>
        <w:rPr>
          <w:rFonts w:ascii="Times New Roman" w:cs="Times New Roman" w:eastAsia="Times New Roman" w:hAnsi="Times New Roman"/>
          <w:sz w:val="20"/>
          <w:szCs w:val="20"/>
          <w:color w:val="auto"/>
        </w:rPr>
        <w:t>During the term of this Agreement, the Company will at all times have authorized and reserved a sufficient number of shares of its Common Stock to provide for the exercise of the rights to purchase Common Stock as provided for herein. If at any time during the term hereof the number of authorized but unissued shares of Common Stock shall not be sufficient to permit exercise of this Warrant in full, the Company will take such corporate action as may, in the opinion of its counsel, be necessary to increase its authorized but unissued shares of Common Stock to such number of shares as shall be sufficient for such purposes.</w:t>
      </w:r>
    </w:p>
    <w:p>
      <w:pPr>
        <w:spacing w:after="0" w:line="18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SECTION 5.</w:t>
      </w:r>
      <w:r>
        <w:rPr>
          <w:rFonts w:ascii="Times New Roman" w:cs="Times New Roman" w:eastAsia="Times New Roman" w:hAnsi="Times New Roman"/>
          <w:sz w:val="20"/>
          <w:szCs w:val="20"/>
          <w:color w:val="auto"/>
        </w:rPr>
        <w:t>NO FRACTIONAL SHARES OR SCRIP.</w:t>
      </w:r>
    </w:p>
    <w:p>
      <w:pPr>
        <w:spacing w:after="0" w:line="112" w:lineRule="exact"/>
        <w:rPr>
          <w:sz w:val="20"/>
          <w:szCs w:val="20"/>
          <w:color w:val="auto"/>
        </w:rPr>
      </w:pPr>
    </w:p>
    <w:p>
      <w:pPr>
        <w:jc w:val="both"/>
        <w:ind w:right="200" w:firstLine="1145"/>
        <w:spacing w:after="0" w:line="254" w:lineRule="auto"/>
        <w:rPr>
          <w:sz w:val="20"/>
          <w:szCs w:val="20"/>
          <w:color w:val="auto"/>
        </w:rPr>
      </w:pPr>
      <w:r>
        <w:rPr>
          <w:rFonts w:ascii="Times New Roman" w:cs="Times New Roman" w:eastAsia="Times New Roman" w:hAnsi="Times New Roman"/>
          <w:sz w:val="20"/>
          <w:szCs w:val="20"/>
          <w:color w:val="auto"/>
        </w:rPr>
        <w:t>No fractional shares or scrip representing fractional shares shall be issued upon the exercise of this Agreement, but in lieu of such fractional shares the Company shall make a cash payment therefor in an amount equal to the product of (a) the Exercise Price then in effect multiplied by (b) the fraction of a share.</w:t>
      </w:r>
    </w:p>
    <w:p>
      <w:pPr>
        <w:spacing w:after="0" w:line="17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SECTION 6.</w:t>
      </w:r>
      <w:r>
        <w:rPr>
          <w:rFonts w:ascii="Times New Roman" w:cs="Times New Roman" w:eastAsia="Times New Roman" w:hAnsi="Times New Roman"/>
          <w:sz w:val="20"/>
          <w:szCs w:val="20"/>
          <w:color w:val="auto"/>
        </w:rPr>
        <w:t>NO RIGHTS AS SHAREHOLDER.</w:t>
      </w:r>
    </w:p>
    <w:p>
      <w:pPr>
        <w:spacing w:after="0" w:line="112" w:lineRule="exact"/>
        <w:rPr>
          <w:sz w:val="20"/>
          <w:szCs w:val="20"/>
          <w:color w:val="auto"/>
        </w:rPr>
      </w:pPr>
    </w:p>
    <w:p>
      <w:pPr>
        <w:ind w:right="60" w:firstLine="1145"/>
        <w:spacing w:after="0" w:line="254" w:lineRule="auto"/>
        <w:rPr>
          <w:sz w:val="20"/>
          <w:szCs w:val="20"/>
          <w:color w:val="auto"/>
        </w:rPr>
      </w:pPr>
      <w:r>
        <w:rPr>
          <w:rFonts w:ascii="Times New Roman" w:cs="Times New Roman" w:eastAsia="Times New Roman" w:hAnsi="Times New Roman"/>
          <w:sz w:val="20"/>
          <w:szCs w:val="20"/>
          <w:color w:val="auto"/>
        </w:rPr>
        <w:t>Without limitation of any provision hereof, the Warrantholder agrees that this Agreement does not entitle the Warrantholder to any voting rights or other rights as a shareholder of the Company prior to the exercise of any of the purchase rights set forth in this Agreement.</w:t>
      </w:r>
    </w:p>
    <w:p>
      <w:pPr>
        <w:spacing w:after="0" w:line="17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b w:val="1"/>
          <w:bCs w:val="1"/>
          <w:color w:val="auto"/>
        </w:rPr>
        <w:t>SECTION 7.</w:t>
      </w:r>
      <w:r>
        <w:rPr>
          <w:rFonts w:ascii="Times New Roman" w:cs="Times New Roman" w:eastAsia="Times New Roman" w:hAnsi="Times New Roman"/>
          <w:sz w:val="20"/>
          <w:szCs w:val="20"/>
          <w:color w:val="auto"/>
        </w:rPr>
        <w:t>WARRANTHOLDER REGISTRY.</w:t>
      </w:r>
    </w:p>
    <w:p>
      <w:pPr>
        <w:spacing w:after="0" w:line="112" w:lineRule="exact"/>
        <w:rPr>
          <w:sz w:val="20"/>
          <w:szCs w:val="20"/>
          <w:color w:val="auto"/>
        </w:rPr>
      </w:pPr>
    </w:p>
    <w:p>
      <w:pPr>
        <w:jc w:val="both"/>
        <w:ind w:right="580" w:firstLine="1145"/>
        <w:spacing w:after="0" w:line="254" w:lineRule="auto"/>
        <w:rPr>
          <w:sz w:val="20"/>
          <w:szCs w:val="20"/>
          <w:color w:val="auto"/>
        </w:rPr>
      </w:pPr>
      <w:r>
        <w:rPr>
          <w:rFonts w:ascii="Times New Roman" w:cs="Times New Roman" w:eastAsia="Times New Roman" w:hAnsi="Times New Roman"/>
          <w:sz w:val="20"/>
          <w:szCs w:val="20"/>
          <w:color w:val="auto"/>
        </w:rPr>
        <w:t>The Company shall maintain a registry showing the name and address of the registered holder of this Agreement. The Warrantholder’s initial address, for purposes of such registry, is set forth in Section 12(g) below. The Warrantholder may change such address by giving written notice of such changed address to the Company.</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8" w:name="page49"/>
    <w:bookmarkEnd w:id="48"/>
    <w:p>
      <w:pPr>
        <w:ind w:left="1320"/>
        <w:spacing w:after="0"/>
        <w:rPr>
          <w:sz w:val="20"/>
          <w:szCs w:val="20"/>
          <w:color w:val="auto"/>
        </w:rPr>
      </w:pPr>
      <w:r>
        <w:rPr>
          <w:rFonts w:ascii="Times New Roman" w:cs="Times New Roman" w:eastAsia="Times New Roman" w:hAnsi="Times New Roman"/>
          <w:sz w:val="20"/>
          <w:szCs w:val="20"/>
          <w:b w:val="1"/>
          <w:bCs w:val="1"/>
          <w:color w:val="auto"/>
        </w:rPr>
        <w:t>SECTION 8.</w:t>
      </w:r>
      <w:r>
        <w:rPr>
          <w:rFonts w:ascii="Times New Roman" w:cs="Times New Roman" w:eastAsia="Times New Roman" w:hAnsi="Times New Roman"/>
          <w:sz w:val="20"/>
          <w:szCs w:val="20"/>
          <w:color w:val="auto"/>
        </w:rPr>
        <w:t>ADJUSTMENT RIGHTS.</w:t>
      </w:r>
    </w:p>
    <w:p>
      <w:pPr>
        <w:spacing w:after="0" w:line="112" w:lineRule="exact"/>
        <w:rPr>
          <w:sz w:val="20"/>
          <w:szCs w:val="20"/>
          <w:color w:val="auto"/>
        </w:rPr>
      </w:pPr>
    </w:p>
    <w:p>
      <w:pPr>
        <w:ind w:right="140" w:firstLine="1145"/>
        <w:spacing w:after="0" w:line="269" w:lineRule="auto"/>
        <w:rPr>
          <w:sz w:val="20"/>
          <w:szCs w:val="20"/>
          <w:color w:val="auto"/>
        </w:rPr>
      </w:pPr>
      <w:r>
        <w:rPr>
          <w:rFonts w:ascii="Times New Roman" w:cs="Times New Roman" w:eastAsia="Times New Roman" w:hAnsi="Times New Roman"/>
          <w:sz w:val="20"/>
          <w:szCs w:val="20"/>
          <w:color w:val="auto"/>
        </w:rPr>
        <w:t>The Exercise Price and the number of shares of Common Stock purchasable hereunder are subject to adjustment from time to time, as follows:</w:t>
      </w:r>
    </w:p>
    <w:p>
      <w:pPr>
        <w:spacing w:after="0" w:line="159" w:lineRule="exact"/>
        <w:rPr>
          <w:sz w:val="20"/>
          <w:szCs w:val="20"/>
          <w:color w:val="auto"/>
        </w:rPr>
      </w:pPr>
    </w:p>
    <w:p>
      <w:pPr>
        <w:ind w:firstLine="1505"/>
        <w:spacing w:after="0" w:line="255" w:lineRule="auto"/>
        <w:tabs>
          <w:tab w:leader="none" w:pos="2036" w:val="left"/>
        </w:tabs>
        <w:numPr>
          <w:ilvl w:val="1"/>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Merger Event</w:t>
      </w:r>
      <w:r>
        <w:rPr>
          <w:rFonts w:ascii="Times New Roman" w:cs="Times New Roman" w:eastAsia="Times New Roman" w:hAnsi="Times New Roman"/>
          <w:sz w:val="19"/>
          <w:szCs w:val="19"/>
          <w:color w:val="auto"/>
        </w:rPr>
        <w:t>. In connection with a Merger Event that is a Liquid Sale, this Warrant shall, on and after the closing thereof, automatically and without further action on the part of any party or other person, represent the right to receive the consideration payable on or in respect of all shares of Common Stock that are issuable hereunder as of immediately prior to the closing of such Merger Event less the Purchase Price for all such shares of Common Stock (such consideration to include both the consideration payable at the closing of such Merger Event and all deferred consideration payable thereafter, if any, including, but not limited to, payments of amounts deposited at such closing into escrow and payments in the nature of earn-outs, milestone payments or other performance-based payments), and such Merger Event consideration shall be paid to the Warrantholder as and when it is paid to the holders of the outstanding shares of Common Stock. In connection with a Merger Event that is not a Liquid Sale, the Company shall cause the successor or surviving entity to assume this Warrant and the obligations of the Company hereunder on the closing thereof, and thereafter this Warrant shall be exercisable for the same number and type of securities or other property as the Warrantholder would have received in consideration for the shares of Common Stock issuable hereunder had it exercised this Warrant in full as of immediately prior to such closing, at an aggregate Exercise Price no greater than the aggregate Exercise Price in effect as of immediately prior to such closing, and subject to further adjustment from time to time in accordance with the provisions of this Warrant. The provisions of this Section 8(a) shall similarly apply to successive Merger Events.</w:t>
      </w:r>
    </w:p>
    <w:p>
      <w:pPr>
        <w:spacing w:after="0" w:line="181" w:lineRule="exact"/>
        <w:rPr>
          <w:rFonts w:ascii="Times New Roman" w:cs="Times New Roman" w:eastAsia="Times New Roman" w:hAnsi="Times New Roman"/>
          <w:sz w:val="19"/>
          <w:szCs w:val="19"/>
          <w:color w:val="auto"/>
        </w:rPr>
      </w:pPr>
    </w:p>
    <w:p>
      <w:pPr>
        <w:ind w:right="120" w:firstLine="1505"/>
        <w:spacing w:after="0" w:line="244" w:lineRule="auto"/>
        <w:tabs>
          <w:tab w:leader="none" w:pos="203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Reclassification of Shares</w:t>
      </w:r>
      <w:r>
        <w:rPr>
          <w:rFonts w:ascii="Times New Roman" w:cs="Times New Roman" w:eastAsia="Times New Roman" w:hAnsi="Times New Roman"/>
          <w:sz w:val="20"/>
          <w:szCs w:val="20"/>
          <w:color w:val="auto"/>
        </w:rPr>
        <w:t>. Except for Merger Events subject to Section 8(a), if the Company at any time shall, by combination, reclassification, exchange or subdivision of securities or otherwise, change any of the securities as to which purchase rights under this Agreement exist into the same or a different number of securities of any other class or classes of securities, this Agreement shall thereafter represent the right to acquire such number and kind of securities as would have been issuable as the result of such change with respect to the securities which were subject to the purchase rights under this Agreement immediately prior to such combination, reclassification, exchange, subdivision or other change. The provisions of this Section 8(b) shall similarly apply to successive combination, reclassification, exchange, subdivision or other change.</w:t>
      </w:r>
    </w:p>
    <w:p>
      <w:pPr>
        <w:spacing w:after="0" w:line="18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Subdivision or Combination of Shares</w:t>
      </w:r>
      <w:r>
        <w:rPr>
          <w:rFonts w:ascii="Times New Roman" w:cs="Times New Roman" w:eastAsia="Times New Roman" w:hAnsi="Times New Roman"/>
          <w:sz w:val="20"/>
          <w:szCs w:val="20"/>
          <w:color w:val="auto"/>
        </w:rPr>
        <w:t>. If the Company at any time shall combine or subdivide its Common Stock,</w:t>
      </w:r>
    </w:p>
    <w:p>
      <w:pPr>
        <w:spacing w:after="0" w:line="21" w:lineRule="exact"/>
        <w:rPr>
          <w:rFonts w:ascii="Times New Roman" w:cs="Times New Roman" w:eastAsia="Times New Roman" w:hAnsi="Times New Roman"/>
          <w:sz w:val="20"/>
          <w:szCs w:val="20"/>
          <w:color w:val="auto"/>
        </w:rPr>
      </w:pPr>
    </w:p>
    <w:p>
      <w:pPr>
        <w:ind w:right="180" w:firstLine="8"/>
        <w:spacing w:after="0" w:line="242" w:lineRule="auto"/>
        <w:tabs>
          <w:tab w:leader="none" w:pos="236"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subdivision, the Exercise Price shall be proportionately decreased and the number of shares for which this Warrant is exercisable shall be proportionately increased, or (ii) in the case of a combination, the Exercise Price shall be proportionately increased and the number of shares for which this Warrant is exercisable shall be proportionately decreased.</w:t>
      </w:r>
    </w:p>
    <w:p>
      <w:pPr>
        <w:spacing w:after="0" w:line="186"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Dividends</w:t>
      </w:r>
      <w:r>
        <w:rPr>
          <w:rFonts w:ascii="Times New Roman" w:cs="Times New Roman" w:eastAsia="Times New Roman" w:hAnsi="Times New Roman"/>
          <w:sz w:val="20"/>
          <w:szCs w:val="20"/>
          <w:color w:val="auto"/>
        </w:rPr>
        <w:t>. If the Company at any time while this Agreement is outstanding and unexpired shall:</w:t>
      </w:r>
    </w:p>
    <w:p>
      <w:pPr>
        <w:spacing w:after="0" w:line="215" w:lineRule="exact"/>
        <w:rPr>
          <w:rFonts w:ascii="Times New Roman" w:cs="Times New Roman" w:eastAsia="Times New Roman" w:hAnsi="Times New Roman"/>
          <w:sz w:val="20"/>
          <w:szCs w:val="20"/>
          <w:color w:val="auto"/>
        </w:rPr>
      </w:pPr>
    </w:p>
    <w:p>
      <w:pPr>
        <w:ind w:right="60" w:firstLine="2254"/>
        <w:spacing w:after="0" w:line="245" w:lineRule="auto"/>
        <w:tabs>
          <w:tab w:leader="none" w:pos="2546" w:val="left"/>
        </w:tabs>
        <w:numPr>
          <w:ilvl w:val="2"/>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a dividend with respect to the Common Stock payable in additional shares of Common Stock, then the Exercise Price shall be adjusted, from and after the date of determination of shareholders entitled to receive such dividend, to that price determined by multiplying the Exercise Price in effect immediately prior to such date of determination by a fraction (A) the numerator of which shall be the total number of shares of Common Stock outstanding immediately prior to such dividend or distribution, and (B) the denominator of which shall be the total number of shares of Common Stock outstanding immediately after such dividend or distribution, and the number of shares of Common Stock for which this Warrant is exercisable shall be proportionately increased; 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9" w:right="359" w:bottom="1440" w:gutter="0" w:footer="0" w:header="0"/>
        </w:sectPr>
      </w:pPr>
    </w:p>
    <w:bookmarkStart w:id="49" w:name="page50"/>
    <w:bookmarkEnd w:id="49"/>
    <w:p>
      <w:pPr>
        <w:ind w:left="-60" w:firstLine="2254"/>
        <w:spacing w:after="0" w:line="263" w:lineRule="auto"/>
        <w:tabs>
          <w:tab w:leader="none" w:pos="2486" w:val="left"/>
        </w:tabs>
        <w:numPr>
          <w:ilvl w:val="1"/>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make any other dividend or distribution on or with respect to Common Stock, except any dividend or distribution (A) in cash, or (B) specifically provided for in any other clause of this Section 8, then, in each such case, provision shall be made by the Company such that the Warrantholder shall receive upon exercise or conversion of this Warrant a proportionate share of any such dividend or distribution as though it were the holder of the Common Stock (or other stock for which the Common Stock is convertible) as of the record date fixed for the determination of the shareholders of the Company entitled to receive such dividend or distribution.</w:t>
      </w:r>
    </w:p>
    <w:p>
      <w:pPr>
        <w:spacing w:after="0" w:line="166" w:lineRule="exact"/>
        <w:rPr>
          <w:rFonts w:ascii="Times New Roman" w:cs="Times New Roman" w:eastAsia="Times New Roman" w:hAnsi="Times New Roman"/>
          <w:sz w:val="19"/>
          <w:szCs w:val="19"/>
          <w:color w:val="auto"/>
        </w:rPr>
      </w:pPr>
    </w:p>
    <w:p>
      <w:pPr>
        <w:ind w:left="-60" w:right="20" w:firstLine="1505"/>
        <w:spacing w:after="0" w:line="256" w:lineRule="auto"/>
        <w:tabs>
          <w:tab w:leader="none" w:pos="1706"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Notice of Certain Events</w:t>
      </w:r>
      <w:r>
        <w:rPr>
          <w:rFonts w:ascii="Times New Roman" w:cs="Times New Roman" w:eastAsia="Times New Roman" w:hAnsi="Times New Roman"/>
          <w:sz w:val="19"/>
          <w:szCs w:val="19"/>
          <w:color w:val="auto"/>
        </w:rPr>
        <w:t>. If: (i) the Company shall declare any dividend or distribution upon its outstanding Common Stock, payable in stock, cash, property or other securities (provided that, and to the extent applicable under the Loan Agreement, the Warrantholder in its capacity as lender under the Loan Agreement consents to such dividend); (ii) the Company shall offer for subscription pro rata to the holders of its Common Stock any additional shares of stock of any class or other rights; (iii) there shall be any Merger Event; or (iv) there shall be any voluntary dissolution, liquidation or winding up of the Company; then, in connection with each such event, the Company shall give the Warrantholder notice thereof at the same time and in the same manner as it gives notice thereof to the holders of outstanding Common Stock. In addition, if at any time the number of shares of Common Stock (or other securities of any other class or classes of securities of the Company for which this Warrant is then exercisable) outstanding is reduced such that the number of shares of Common Stock or other securities issuable upon exercise of this Warrant shall exceed five percent (5%) of the then outstanding class of such securities, then, within three (3) business days of such event, the Company shall give the Warrantholder written notice thereof.</w:t>
      </w:r>
    </w:p>
    <w:p>
      <w:pPr>
        <w:spacing w:after="0" w:line="17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0"/>
          <w:szCs w:val="20"/>
          <w:b w:val="1"/>
          <w:bCs w:val="1"/>
          <w:color w:val="auto"/>
        </w:rPr>
        <w:t>SECTION 9.</w:t>
      </w:r>
      <w:r>
        <w:rPr>
          <w:rFonts w:ascii="Times New Roman" w:cs="Times New Roman" w:eastAsia="Times New Roman" w:hAnsi="Times New Roman"/>
          <w:sz w:val="20"/>
          <w:szCs w:val="20"/>
          <w:color w:val="auto"/>
        </w:rPr>
        <w:t>REPRESENTATIONS, WARRANTIES AND COVENANTS OF THE COMPANY.</w:t>
      </w:r>
    </w:p>
    <w:p>
      <w:pPr>
        <w:spacing w:after="0" w:line="112" w:lineRule="exact"/>
        <w:rPr>
          <w:sz w:val="20"/>
          <w:szCs w:val="20"/>
          <w:color w:val="auto"/>
        </w:rPr>
      </w:pPr>
    </w:p>
    <w:p>
      <w:pPr>
        <w:ind w:left="-60" w:right="40" w:firstLine="757"/>
        <w:spacing w:after="0" w:line="257" w:lineRule="auto"/>
        <w:tabs>
          <w:tab w:leader="none" w:pos="958"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Reservation of Common Stock</w:t>
      </w:r>
      <w:r>
        <w:rPr>
          <w:rFonts w:ascii="Times New Roman" w:cs="Times New Roman" w:eastAsia="Times New Roman" w:hAnsi="Times New Roman"/>
          <w:sz w:val="19"/>
          <w:szCs w:val="19"/>
          <w:color w:val="auto"/>
        </w:rPr>
        <w:t>. The Company covenants and agrees that all shares of Common Stock that may be issued upon the exercise of the rights represented by this Warrant will, upon issuance, be validly issued and outstanding, fully paid and non-assessable, and will be free of any taxes, liens, charges or encumbrances of any nature whatsoever; provided, that the Common Stock issuable pursuant to this Agreement may be subject to restrictions on transfer under state and/or federal securities laws. The Company has made available to the Warrantholder true, correct and complete copies of its Charter and bylaws currently in effect. The issuance of certificates or book-entry credit for shares of Common Stock upon exercise of this Warrant shall be made without charge to the Warrantholder for any issuance tax in respect thereof, or other cost incurred by the Company in connection with such exercise and related issuance of shares of Common Stock. The Company further covenants and agrees that the Company will, at all times during the term hereof, have authorized and reserved, free from preemptive rights, a sufficient number of shares of Common Stock to provide for the exercise of the rights represented by this Warrant.</w:t>
      </w:r>
    </w:p>
    <w:p>
      <w:pPr>
        <w:spacing w:after="0" w:line="67" w:lineRule="exact"/>
        <w:rPr>
          <w:rFonts w:ascii="Times New Roman" w:cs="Times New Roman" w:eastAsia="Times New Roman" w:hAnsi="Times New Roman"/>
          <w:sz w:val="19"/>
          <w:szCs w:val="19"/>
          <w:color w:val="auto"/>
        </w:rPr>
      </w:pPr>
    </w:p>
    <w:p>
      <w:pPr>
        <w:ind w:left="-60" w:right="80" w:firstLine="757"/>
        <w:spacing w:after="0" w:line="243" w:lineRule="auto"/>
        <w:tabs>
          <w:tab w:leader="none" w:pos="95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Due Authority</w:t>
      </w:r>
      <w:r>
        <w:rPr>
          <w:rFonts w:ascii="Times New Roman" w:cs="Times New Roman" w:eastAsia="Times New Roman" w:hAnsi="Times New Roman"/>
          <w:sz w:val="20"/>
          <w:szCs w:val="20"/>
          <w:color w:val="auto"/>
        </w:rPr>
        <w:t>. The execution and delivery by the Company of this Agreement and the performance of all obligations of the Company hereunder, including the issuance to the Warrantholder of the right to acquire the shares of Common Stock, have been duly authorized by all necessary corporate action on the part of the Company. This Agreement: (i) does not violate the Charter or the Company’s current bylaws; (ii) does not contravene any law or governmental rule, regulation or order applicable to the Company; and (iii) except as could not reasonably be expected to have a Material Adverse Effect (as defined in the Loan Agreement), does not and will not contravene any provision of, or constitute a default under, any indenture, mortgage, contract or other instrument to which the Company is a party or by which it is bound. This Agreement constitutes a legal, valid and binding agreement of the Company, enforceable in accordance with its terms, except as may be limited by bankruptcy, insolvency, reorganization, moratorium or similar laws relating to or affecting creditors’ rights generally (including,</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66675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333" w:right="399" w:bottom="1440" w:gutter="0" w:footer="0" w:header="0"/>
        </w:sectPr>
      </w:pPr>
    </w:p>
    <w:bookmarkStart w:id="50" w:name="page51"/>
    <w:bookmarkEnd w:id="50"/>
    <w:p>
      <w:pPr>
        <w:ind w:right="440"/>
        <w:spacing w:after="0" w:line="269" w:lineRule="auto"/>
        <w:rPr>
          <w:sz w:val="20"/>
          <w:szCs w:val="20"/>
          <w:color w:val="auto"/>
        </w:rPr>
      </w:pPr>
      <w:r>
        <w:rPr>
          <w:rFonts w:ascii="Times New Roman" w:cs="Times New Roman" w:eastAsia="Times New Roman" w:hAnsi="Times New Roman"/>
          <w:sz w:val="20"/>
          <w:szCs w:val="20"/>
          <w:color w:val="auto"/>
        </w:rPr>
        <w:t>without limitation, fraudulent conveyance laws) and by general principles of equity, regardless of whether considered in a proceeding in equity or at law.</w:t>
      </w:r>
    </w:p>
    <w:p>
      <w:pPr>
        <w:spacing w:after="0" w:line="51" w:lineRule="exact"/>
        <w:rPr>
          <w:sz w:val="20"/>
          <w:szCs w:val="20"/>
          <w:color w:val="auto"/>
        </w:rPr>
      </w:pPr>
    </w:p>
    <w:p>
      <w:pPr>
        <w:ind w:right="60" w:firstLine="757"/>
        <w:spacing w:after="0" w:line="249" w:lineRule="auto"/>
        <w:tabs>
          <w:tab w:leader="none" w:pos="101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Consents and Approvals</w:t>
      </w:r>
      <w:r>
        <w:rPr>
          <w:rFonts w:ascii="Times New Roman" w:cs="Times New Roman" w:eastAsia="Times New Roman" w:hAnsi="Times New Roman"/>
          <w:sz w:val="20"/>
          <w:szCs w:val="20"/>
          <w:color w:val="auto"/>
        </w:rPr>
        <w:t>. No consent or approval of, giving of notice to, registration with, or taking of any other action in respect of any state, federal or other governmental authority or agency is required with respect to the execution, delivery and performance by the Company of its obligations under this Agreement, except for the filing of notices pursuant to Regulation D under the Act and any filing required by applicable state securities law, which filings will be effective by the time required thereby.</w:t>
      </w:r>
    </w:p>
    <w:p>
      <w:pPr>
        <w:spacing w:after="0" w:line="71" w:lineRule="exact"/>
        <w:rPr>
          <w:rFonts w:ascii="Times New Roman" w:cs="Times New Roman" w:eastAsia="Times New Roman" w:hAnsi="Times New Roman"/>
          <w:sz w:val="20"/>
          <w:szCs w:val="20"/>
          <w:color w:val="auto"/>
        </w:rPr>
      </w:pPr>
    </w:p>
    <w:p>
      <w:pPr>
        <w:ind w:right="80" w:firstLine="757"/>
        <w:spacing w:after="0" w:line="254" w:lineRule="auto"/>
        <w:tabs>
          <w:tab w:leader="none" w:pos="101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Exempt Transaction</w:t>
      </w:r>
      <w:r>
        <w:rPr>
          <w:rFonts w:ascii="Times New Roman" w:cs="Times New Roman" w:eastAsia="Times New Roman" w:hAnsi="Times New Roman"/>
          <w:sz w:val="20"/>
          <w:szCs w:val="20"/>
          <w:color w:val="auto"/>
        </w:rPr>
        <w:t>. Subject to the accuracy of the Warrantholder’s representations in Section 10, the issuance of the Common Stock upon exercise of this Agreement will constitute a transaction exempt from (i) the registration requirements of Section 5 of the Act, in reliance upon Section 4(a)(2) thereof, and (ii) the qualification requirements of the applicable state securities laws.</w:t>
      </w:r>
    </w:p>
    <w:p>
      <w:pPr>
        <w:spacing w:after="0" w:line="66" w:lineRule="exact"/>
        <w:rPr>
          <w:rFonts w:ascii="Times New Roman" w:cs="Times New Roman" w:eastAsia="Times New Roman" w:hAnsi="Times New Roman"/>
          <w:sz w:val="20"/>
          <w:szCs w:val="20"/>
          <w:color w:val="auto"/>
        </w:rPr>
      </w:pPr>
    </w:p>
    <w:p>
      <w:pPr>
        <w:ind w:firstLine="757"/>
        <w:spacing w:after="0" w:line="243" w:lineRule="auto"/>
        <w:tabs>
          <w:tab w:leader="none" w:pos="101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Rights</w:t>
      </w:r>
      <w:r>
        <w:rPr>
          <w:rFonts w:ascii="Times New Roman" w:cs="Times New Roman" w:eastAsia="Times New Roman" w:hAnsi="Times New Roman"/>
          <w:sz w:val="20"/>
          <w:szCs w:val="20"/>
          <w:color w:val="auto"/>
        </w:rPr>
        <w:t>. At all times (if any) after the Loan Agreement has been terminated and prior to the earlier to occur of (i) the date on which all shares of Common Stock issued on exercise of this Warrant have been sold, or (ii) the expiration or earlier termination of this Warrant, when the Company shall not be required to file reports pursuant to Section 13 or 15(d) of the Exchange Act or shall not have timely filed all such required reports, the Warrantholder shall be entitled to the information rights contained in Section 7.1(c) of the Loan Agreement, and in any such event (i) Section 7.1(c) of the Loan Agreement is hereby incorporated into this Agreement by this reference as though fully set forth herein and (ii) any such information shall be subject to the confidentiality obligations of Section 11.13 of the Loan Agreement, which is hereby incorporated into this Agreement by this reference as though fully set forth herein and such confidentiality obligations shall survive for three years from the expiration of this Warrant.</w:t>
      </w:r>
    </w:p>
    <w:p>
      <w:pPr>
        <w:spacing w:after="0" w:line="81" w:lineRule="exact"/>
        <w:rPr>
          <w:rFonts w:ascii="Times New Roman" w:cs="Times New Roman" w:eastAsia="Times New Roman" w:hAnsi="Times New Roman"/>
          <w:sz w:val="20"/>
          <w:szCs w:val="20"/>
          <w:color w:val="auto"/>
        </w:rPr>
      </w:pPr>
    </w:p>
    <w:p>
      <w:pPr>
        <w:ind w:firstLine="757"/>
        <w:spacing w:after="0" w:line="242" w:lineRule="auto"/>
        <w:tabs>
          <w:tab w:leader="none" w:pos="101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144 Compliance</w:t>
      </w:r>
      <w:r>
        <w:rPr>
          <w:rFonts w:ascii="Times New Roman" w:cs="Times New Roman" w:eastAsia="Times New Roman" w:hAnsi="Times New Roman"/>
          <w:sz w:val="20"/>
          <w:szCs w:val="20"/>
          <w:color w:val="auto"/>
        </w:rPr>
        <w:t>. The Company shall, at all times prior to the earlier to occur of (i) the date of sale or other disposition by the Warrantholder of this Warrant or all shares of Common Stock issued on exercise of this Warrant, or (ii) the expiration or earlier termination of this Warrant if the Warrant has not been exercised in full or in part on such date, use commercially reasonable efforts to timely file all reports required under the Exchange Act and otherwise timely take all actions reasonably necessary to permit the Warrantholder to sell or otherwise dispose of this Warrant and the shares of Common Stock issued on exercise hereof pursuant to Rule 144 promulgated under the Act (“</w:t>
      </w:r>
      <w:r>
        <w:rPr>
          <w:rFonts w:ascii="Times New Roman" w:cs="Times New Roman" w:eastAsia="Times New Roman" w:hAnsi="Times New Roman"/>
          <w:sz w:val="20"/>
          <w:szCs w:val="20"/>
          <w:u w:val="single" w:color="auto"/>
          <w:color w:val="auto"/>
        </w:rPr>
        <w:t>Rule 144</w:t>
      </w:r>
      <w:r>
        <w:rPr>
          <w:rFonts w:ascii="Times New Roman" w:cs="Times New Roman" w:eastAsia="Times New Roman" w:hAnsi="Times New Roman"/>
          <w:sz w:val="20"/>
          <w:szCs w:val="20"/>
          <w:color w:val="auto"/>
        </w:rPr>
        <w:t>”), provided that the foregoing shall not apply in the event of a Merger Event following which the successor or surviving entity is not subject to the reporting requirements of the Exchange Act. If the Warrantholder proposes to sell Common Stock issuable upon the exercise of this Agreement in compliance with Rule 144, then, upon the Warrantholder’s written request to the Company, the Company shall furnish to the Warrantholder, within five (5) business days after receipt of such request, a written statement confirming the Company’s compliance with the filing and other requirements of such Rule 144.</w:t>
      </w:r>
    </w:p>
    <w:p>
      <w:pPr>
        <w:spacing w:after="0" w:line="8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color w:val="auto"/>
        </w:rPr>
        <w:t>SECTION 10.</w:t>
      </w:r>
      <w:r>
        <w:rPr>
          <w:rFonts w:ascii="Times New Roman" w:cs="Times New Roman" w:eastAsia="Times New Roman" w:hAnsi="Times New Roman"/>
          <w:sz w:val="20"/>
          <w:szCs w:val="20"/>
          <w:color w:val="auto"/>
        </w:rPr>
        <w:t>REPRESENTATIONS AND COVENANTS OF THE WARRANTHOLDER.</w:t>
      </w:r>
    </w:p>
    <w:p>
      <w:pPr>
        <w:spacing w:after="0" w:line="1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0"/>
          <w:szCs w:val="20"/>
          <w:color w:val="auto"/>
        </w:rPr>
        <w:t>This Agreement has been entered into by the Company in reliance upon the following representations and covenants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Warrantholder:</w:t>
      </w:r>
    </w:p>
    <w:p>
      <w:pPr>
        <w:spacing w:after="0" w:line="194" w:lineRule="exact"/>
        <w:rPr>
          <w:sz w:val="20"/>
          <w:szCs w:val="20"/>
          <w:color w:val="auto"/>
        </w:rPr>
      </w:pPr>
    </w:p>
    <w:p>
      <w:pPr>
        <w:jc w:val="both"/>
        <w:ind w:right="80" w:firstLine="757"/>
        <w:spacing w:after="0" w:line="254" w:lineRule="auto"/>
        <w:tabs>
          <w:tab w:leader="none" w:pos="101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Investment Purpose</w:t>
      </w:r>
      <w:r>
        <w:rPr>
          <w:rFonts w:ascii="Times New Roman" w:cs="Times New Roman" w:eastAsia="Times New Roman" w:hAnsi="Times New Roman"/>
          <w:sz w:val="20"/>
          <w:szCs w:val="20"/>
          <w:color w:val="auto"/>
        </w:rPr>
        <w:t>. This Warrant and the shares issued on exercise hereof will be acquired for investment and not with a view to the sale or distribution of any part thereof in violation of applicable federal and state securities laws, and the Warrantholder has no present intention of selling or engaging in any public distribution of the same except pursuant to a registration or exemption.</w:t>
      </w:r>
    </w:p>
    <w:p>
      <w:pPr>
        <w:spacing w:after="0" w:line="66" w:lineRule="exact"/>
        <w:rPr>
          <w:rFonts w:ascii="Times New Roman" w:cs="Times New Roman" w:eastAsia="Times New Roman" w:hAnsi="Times New Roman"/>
          <w:sz w:val="20"/>
          <w:szCs w:val="20"/>
          <w:color w:val="auto"/>
        </w:rPr>
      </w:pPr>
    </w:p>
    <w:p>
      <w:pPr>
        <w:jc w:val="both"/>
        <w:ind w:right="100" w:firstLine="757"/>
        <w:spacing w:after="0" w:line="254" w:lineRule="auto"/>
        <w:tabs>
          <w:tab w:leader="none" w:pos="1018"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Private Issue</w:t>
      </w:r>
      <w:r>
        <w:rPr>
          <w:rFonts w:ascii="Times New Roman" w:cs="Times New Roman" w:eastAsia="Times New Roman" w:hAnsi="Times New Roman"/>
          <w:sz w:val="20"/>
          <w:szCs w:val="20"/>
          <w:color w:val="auto"/>
        </w:rPr>
        <w:t>. The Warrantholder understands that (i) the Common Stock issuable upon exercise of this Agreement is not, as of the Effective Date, registered under the Act or qualified under applicable state securities laws, and (ii) the Company’s reliance on exemption from such registration is predicated on the representations set forth in this Section 10.</w:t>
      </w:r>
    </w:p>
    <w:p>
      <w:pPr>
        <w:spacing w:after="0" w:line="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1" w:name="page52"/>
    <w:bookmarkEnd w:id="51"/>
    <w:p>
      <w:pPr>
        <w:ind w:right="360" w:firstLine="757"/>
        <w:spacing w:after="0" w:line="269" w:lineRule="auto"/>
        <w:tabs>
          <w:tab w:leader="none" w:pos="101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Financial Risk</w:t>
      </w:r>
      <w:r>
        <w:rPr>
          <w:rFonts w:ascii="Times New Roman" w:cs="Times New Roman" w:eastAsia="Times New Roman" w:hAnsi="Times New Roman"/>
          <w:sz w:val="20"/>
          <w:szCs w:val="20"/>
          <w:color w:val="auto"/>
        </w:rPr>
        <w:t>. The Warrantholder has such knowledge and experience in financial and business matters as to be capable of evaluating the merits and risks of its investment, and has the ability to bear the economic risks of its investment.</w:t>
      </w:r>
    </w:p>
    <w:p>
      <w:pPr>
        <w:spacing w:after="0" w:line="51" w:lineRule="exact"/>
        <w:rPr>
          <w:rFonts w:ascii="Times New Roman" w:cs="Times New Roman" w:eastAsia="Times New Roman" w:hAnsi="Times New Roman"/>
          <w:sz w:val="20"/>
          <w:szCs w:val="20"/>
          <w:color w:val="auto"/>
        </w:rPr>
      </w:pPr>
    </w:p>
    <w:p>
      <w:pPr>
        <w:ind w:right="960" w:firstLine="757"/>
        <w:spacing w:after="0" w:line="269" w:lineRule="auto"/>
        <w:tabs>
          <w:tab w:leader="none" w:pos="101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Accredited Investor</w:t>
      </w:r>
      <w:r>
        <w:rPr>
          <w:rFonts w:ascii="Times New Roman" w:cs="Times New Roman" w:eastAsia="Times New Roman" w:hAnsi="Times New Roman"/>
          <w:sz w:val="20"/>
          <w:szCs w:val="20"/>
          <w:color w:val="auto"/>
        </w:rPr>
        <w:t>. The Warrantholder is an “accredited investor” within the meaning of Rule 501 of Regulation D promulgated under the Act, as presently in effect (“</w:t>
      </w:r>
      <w:r>
        <w:rPr>
          <w:rFonts w:ascii="Times New Roman" w:cs="Times New Roman" w:eastAsia="Times New Roman" w:hAnsi="Times New Roman"/>
          <w:sz w:val="20"/>
          <w:szCs w:val="20"/>
          <w:u w:val="single" w:color="auto"/>
          <w:color w:val="auto"/>
        </w:rPr>
        <w:t>Regulation D</w:t>
      </w:r>
      <w:r>
        <w:rPr>
          <w:rFonts w:ascii="Times New Roman" w:cs="Times New Roman" w:eastAsia="Times New Roman" w:hAnsi="Times New Roman"/>
          <w:sz w:val="20"/>
          <w:szCs w:val="20"/>
          <w:color w:val="auto"/>
        </w:rPr>
        <w:t>”).</w:t>
      </w:r>
    </w:p>
    <w:p>
      <w:pPr>
        <w:spacing w:after="0" w:line="51"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Short Sales</w:t>
      </w:r>
      <w:r>
        <w:rPr>
          <w:rFonts w:ascii="Times New Roman" w:cs="Times New Roman" w:eastAsia="Times New Roman" w:hAnsi="Times New Roman"/>
          <w:sz w:val="20"/>
          <w:szCs w:val="20"/>
          <w:color w:val="auto"/>
        </w:rPr>
        <w:t>. The Warrantholder has not at any time on or prior to the Effective Date engaged in any short sales or equivalent transactions in the Common Stock. Warrantholder agrees that at all times from and after the Effective Date and on or before the expiration or earlier termination of this Warrant, it shall not engage in any short sales or equivalent transactions in the Common Stock.</w:t>
      </w:r>
    </w:p>
    <w:p>
      <w:pPr>
        <w:spacing w:after="0" w:line="6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color w:val="auto"/>
        </w:rPr>
        <w:t>SECTION 11.</w:t>
      </w:r>
      <w:r>
        <w:rPr>
          <w:rFonts w:ascii="Times New Roman" w:cs="Times New Roman" w:eastAsia="Times New Roman" w:hAnsi="Times New Roman"/>
          <w:sz w:val="20"/>
          <w:szCs w:val="20"/>
          <w:color w:val="auto"/>
        </w:rPr>
        <w:t>TRANSFERS.</w:t>
      </w:r>
    </w:p>
    <w:p>
      <w:pPr>
        <w:spacing w:after="0" w:line="112" w:lineRule="exact"/>
        <w:rPr>
          <w:sz w:val="20"/>
          <w:szCs w:val="20"/>
          <w:color w:val="auto"/>
        </w:rPr>
      </w:pPr>
    </w:p>
    <w:p>
      <w:pPr>
        <w:ind w:firstLine="1145"/>
        <w:spacing w:after="0" w:line="241" w:lineRule="auto"/>
        <w:rPr>
          <w:sz w:val="20"/>
          <w:szCs w:val="20"/>
          <w:color w:val="auto"/>
        </w:rPr>
      </w:pPr>
      <w:r>
        <w:rPr>
          <w:rFonts w:ascii="Times New Roman" w:cs="Times New Roman" w:eastAsia="Times New Roman" w:hAnsi="Times New Roman"/>
          <w:sz w:val="20"/>
          <w:szCs w:val="20"/>
          <w:color w:val="auto"/>
        </w:rPr>
        <w:t>Subject to compliance with applicable federal and state securities laws, this Agreement and all rights hereunder are transferable, in whole or in part, without charge to the holder hereof (except for transfer taxes) upon surrender of this Agreement properly endorsed. Each taker and holder of this Agreement, by taking or holding the same, consents and agrees that this Agreement, when endorsed in blank, shall be deemed negotiable, and that the holder hereof, when this Agreement shall have been so endorsed and its transfer recorded on the Company’s books, shall be treated by the Company and all other persons dealing with this Agreement as the absolute owner hereof for any purpose and as the person entitled to exercise the rights represented by this Agreement. The transfer of this Agreement shall be recorded on the books of the Company upon receipt by the Company of a notice of transfer in the form attached hereto as Exhibit III (the “</w:t>
      </w:r>
      <w:r>
        <w:rPr>
          <w:rFonts w:ascii="Times New Roman" w:cs="Times New Roman" w:eastAsia="Times New Roman" w:hAnsi="Times New Roman"/>
          <w:sz w:val="20"/>
          <w:szCs w:val="20"/>
          <w:u w:val="single" w:color="auto"/>
          <w:color w:val="auto"/>
        </w:rPr>
        <w:t>Transfer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Notice</w:t>
      </w:r>
      <w:r>
        <w:rPr>
          <w:rFonts w:ascii="Times New Roman" w:cs="Times New Roman" w:eastAsia="Times New Roman" w:hAnsi="Times New Roman"/>
          <w:sz w:val="20"/>
          <w:szCs w:val="20"/>
          <w:color w:val="auto"/>
        </w:rPr>
        <w:t>”), at its principal offices and the payment to the Company of all transfer taxes and other governmental charges imposed on such transfer. Until the Company receives such Transfer Notice, the Company may treat the registered owner hereof as the owner for all purposes. Notwithstanding anything herein or in any legend to the contrary, the Company shall not require an opinion of counsel in connection with any sale, assignment or other transfer by the Warrantholder of this Warrant (or any portion hereof or any interest herein) or of any shares of Common Stock issued upon any exercise hereof to an affiliate (as defined in Regulation D) of the Warrantholder, provided that such affiliate confirms in writing to the Company that such affiliate is an “accredited investor” as defined in Regulation D.</w:t>
      </w:r>
    </w:p>
    <w:p>
      <w:pPr>
        <w:spacing w:after="0" w:line="19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b w:val="1"/>
          <w:bCs w:val="1"/>
          <w:color w:val="auto"/>
        </w:rPr>
        <w:t>SECTION 12.</w:t>
      </w:r>
      <w:r>
        <w:rPr>
          <w:rFonts w:ascii="Times New Roman" w:cs="Times New Roman" w:eastAsia="Times New Roman" w:hAnsi="Times New Roman"/>
          <w:sz w:val="20"/>
          <w:szCs w:val="20"/>
          <w:color w:val="auto"/>
        </w:rPr>
        <w:t>MISCELLANEOUS.</w:t>
      </w:r>
    </w:p>
    <w:p>
      <w:pPr>
        <w:spacing w:after="0" w:line="112" w:lineRule="exact"/>
        <w:rPr>
          <w:sz w:val="20"/>
          <w:szCs w:val="20"/>
          <w:color w:val="auto"/>
        </w:rPr>
      </w:pPr>
    </w:p>
    <w:p>
      <w:pPr>
        <w:ind w:right="340" w:firstLine="757"/>
        <w:spacing w:after="0" w:line="254" w:lineRule="auto"/>
        <w:tabs>
          <w:tab w:leader="none" w:pos="101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provisions of this Agreement shall be construed and shall be given effect in all respects as if it had been executed and delivered by the Company on the date hereof. This Agreement shall be binding upon any successors or assigns of the Company.</w:t>
      </w:r>
    </w:p>
    <w:p>
      <w:pPr>
        <w:spacing w:after="0" w:line="66" w:lineRule="exact"/>
        <w:rPr>
          <w:rFonts w:ascii="Times New Roman" w:cs="Times New Roman" w:eastAsia="Times New Roman" w:hAnsi="Times New Roman"/>
          <w:sz w:val="20"/>
          <w:szCs w:val="20"/>
          <w:color w:val="auto"/>
        </w:rPr>
      </w:pPr>
    </w:p>
    <w:p>
      <w:pPr>
        <w:ind w:right="20" w:firstLine="757"/>
        <w:spacing w:after="0" w:line="249" w:lineRule="auto"/>
        <w:tabs>
          <w:tab w:leader="none" w:pos="101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In the event of any default hereunder, the non-defaulting party may proceed to protect and enforce its rights either by suit in equity and/or by action at law, including but not limited to an action for damages as a result of any such default, and/or an action for specific performance for any default where the Warrantholder will not have an adequate remedy at law and where damages will not be readily ascertainable.</w:t>
      </w:r>
    </w:p>
    <w:p>
      <w:pPr>
        <w:spacing w:after="0" w:line="71" w:lineRule="exact"/>
        <w:rPr>
          <w:rFonts w:ascii="Times New Roman" w:cs="Times New Roman" w:eastAsia="Times New Roman" w:hAnsi="Times New Roman"/>
          <w:sz w:val="20"/>
          <w:szCs w:val="20"/>
          <w:color w:val="auto"/>
        </w:rPr>
      </w:pPr>
    </w:p>
    <w:p>
      <w:pPr>
        <w:ind w:right="120" w:firstLine="757"/>
        <w:spacing w:after="0" w:line="249" w:lineRule="auto"/>
        <w:tabs>
          <w:tab w:leader="none" w:pos="101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Impairment of Rights</w:t>
      </w:r>
      <w:r>
        <w:rPr>
          <w:rFonts w:ascii="Times New Roman" w:cs="Times New Roman" w:eastAsia="Times New Roman" w:hAnsi="Times New Roman"/>
          <w:sz w:val="20"/>
          <w:szCs w:val="20"/>
          <w:color w:val="auto"/>
        </w:rPr>
        <w:t>. The Company will not, by amendment of its Charter or through any other means, avoid or seek to avoid the observance or performance of any of the terms of this Agreement, but will at all times in good faith assist in the carrying out of all such terms and in the taking of all such actions as may be necessary or appropriate in order to protect the rights of the Warrantholder against impairment.</w:t>
      </w:r>
    </w:p>
    <w:p>
      <w:pPr>
        <w:spacing w:after="0" w:line="71" w:lineRule="exact"/>
        <w:rPr>
          <w:rFonts w:ascii="Times New Roman" w:cs="Times New Roman" w:eastAsia="Times New Roman" w:hAnsi="Times New Roman"/>
          <w:sz w:val="20"/>
          <w:szCs w:val="20"/>
          <w:color w:val="auto"/>
        </w:rPr>
      </w:pPr>
    </w:p>
    <w:p>
      <w:pPr>
        <w:ind w:right="480" w:firstLine="757"/>
        <w:spacing w:after="0" w:line="269" w:lineRule="auto"/>
        <w:tabs>
          <w:tab w:leader="none" w:pos="101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Documents</w:t>
      </w:r>
      <w:r>
        <w:rPr>
          <w:rFonts w:ascii="Times New Roman" w:cs="Times New Roman" w:eastAsia="Times New Roman" w:hAnsi="Times New Roman"/>
          <w:sz w:val="20"/>
          <w:szCs w:val="20"/>
          <w:color w:val="auto"/>
        </w:rPr>
        <w:t>. The Company agrees to supply such other documents as the Warrantholder may from time to time reasonably request.</w:t>
      </w:r>
    </w:p>
    <w:p>
      <w:pPr>
        <w:spacing w:after="0" w:line="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8</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2" w:name="page53"/>
    <w:bookmarkEnd w:id="52"/>
    <w:p>
      <w:pPr>
        <w:ind w:left="-20" w:right="40" w:firstLine="757"/>
        <w:spacing w:after="0" w:line="245" w:lineRule="auto"/>
        <w:tabs>
          <w:tab w:leader="none" w:pos="109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In any litigation, arbitration or court proceeding between the Company and the Warrantholder relating hereto, the prevailing party shall be entitled to reasonable attorneys’ fees and expenses and all out-of-pocket costs of proceedings incurred in enforcing this Agreement. For the purposes of this Section 12(e), attorneys’ fees shall include without limitation fees incurred in connection with the following: (i) contempt proceedings; (ii) discovery; (iii) any motion, proceeding or other activity of any kind in connection with an insolvency proceeding; (iv) garnishment, levy, and debtor and third party examinations; and (v) post-judgment motions and proceedings of any kind, including without limitation any activity taken to collect or enforce any judgment.</w:t>
      </w:r>
    </w:p>
    <w:p>
      <w:pPr>
        <w:spacing w:after="0" w:line="76" w:lineRule="exact"/>
        <w:rPr>
          <w:rFonts w:ascii="Times New Roman" w:cs="Times New Roman" w:eastAsia="Times New Roman" w:hAnsi="Times New Roman"/>
          <w:sz w:val="20"/>
          <w:szCs w:val="20"/>
          <w:color w:val="auto"/>
        </w:rPr>
      </w:pPr>
    </w:p>
    <w:p>
      <w:pPr>
        <w:ind w:left="-20" w:right="240" w:firstLine="757"/>
        <w:spacing w:after="0" w:line="249" w:lineRule="auto"/>
        <w:tabs>
          <w:tab w:leader="none" w:pos="99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one or more of the provisions of this Agreement shall for any reason be held invalid, illegal or unenforceable, the remaining provisions of this Agreement shall be unimpaired, and the invalid, illegal or unenforceable provision shall be replaced by a mutually acceptable valid, legal and enforceable provision, which comes closest to the intention of the parties underlying the invalid, illegal or unenforceable provision.</w:t>
      </w:r>
    </w:p>
    <w:p>
      <w:pPr>
        <w:spacing w:after="0" w:line="71" w:lineRule="exact"/>
        <w:rPr>
          <w:rFonts w:ascii="Times New Roman" w:cs="Times New Roman" w:eastAsia="Times New Roman" w:hAnsi="Times New Roman"/>
          <w:sz w:val="20"/>
          <w:szCs w:val="20"/>
          <w:color w:val="auto"/>
        </w:rPr>
      </w:pPr>
    </w:p>
    <w:p>
      <w:pPr>
        <w:ind w:left="-20" w:firstLine="757"/>
        <w:spacing w:after="0" w:line="244" w:lineRule="auto"/>
        <w:tabs>
          <w:tab w:leader="none" w:pos="998"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Except as otherwise provided herein, any notice, demand, request, consent, approval, declaration, service of process or other communication that is required, contemplated, or permitted under this Agreement or with respect to the subject matter hereof shall be in writing, and shall be deemed to have been validly served, given, delivered, and received upon the earlier of: (i) personal delivery to the party to be notified, (ii) when sent by confirmed telex, electronic transmission or facsimile if sent during normal business hours of the recipient, if not, then on the next business day, (iii) five (5) days after having been sent by registered or certified mail, return receipt requested, postage prepaid, or (iv) one day after deposit with a nationally recognized overnight courier, specifying next day delivery, with written verification of receipt, and shall be addressed to the party to be notified as follows:</w:t>
      </w:r>
    </w:p>
    <w:p>
      <w:pPr>
        <w:spacing w:after="0" w:line="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If to the Warrantholder:</w:t>
      </w:r>
    </w:p>
    <w:p>
      <w:pPr>
        <w:spacing w:after="0" w:line="2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insert name of Lender</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insert notice details of Lender</w:t>
      </w:r>
      <w:r>
        <w:rPr>
          <w:rFonts w:ascii="Times New Roman" w:cs="Times New Roman" w:eastAsia="Times New Roman" w:hAnsi="Times New Roman"/>
          <w:sz w:val="20"/>
          <w:szCs w:val="20"/>
          <w:color w:val="auto"/>
        </w:rPr>
        <w:t>]</w:t>
      </w:r>
    </w:p>
    <w:p>
      <w:pPr>
        <w:spacing w:after="0" w:line="1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u w:val="single" w:color="auto"/>
          <w:color w:val="auto"/>
        </w:rPr>
        <w:t>With a copy to (which shall not constitute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DLA PIPER LLP (US)</w:t>
      </w:r>
    </w:p>
    <w:p>
      <w:pPr>
        <w:spacing w:after="0" w:line="2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401 B Street, Suite 1700</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San Diego, California 92101-4297</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Attn: Matt Schwartz, Esq.</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Facsimile: 858-638-5134</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Telephone: 858-638-6834</w:t>
      </w:r>
    </w:p>
    <w:p>
      <w:pPr>
        <w:spacing w:after="0" w:line="2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PHATHOM PHARMACEUTICALS, INC.</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100 Campus Drive, Suite 102</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Florham Park, NJ 07932</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Email: legal@phathompharma.com</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Telephone: 877- 742-8466</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66675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53" w:name="page54"/>
    <w:bookmarkEnd w:id="53"/>
    <w:p>
      <w:pPr>
        <w:ind w:left="760"/>
        <w:spacing w:after="0"/>
        <w:rPr>
          <w:sz w:val="20"/>
          <w:szCs w:val="20"/>
          <w:color w:val="auto"/>
        </w:rPr>
      </w:pPr>
      <w:r>
        <w:rPr>
          <w:rFonts w:ascii="Times New Roman" w:cs="Times New Roman" w:eastAsia="Times New Roman" w:hAnsi="Times New Roman"/>
          <w:sz w:val="18"/>
          <w:szCs w:val="18"/>
          <w:u w:val="single" w:color="auto"/>
          <w:color w:val="auto"/>
        </w:rPr>
        <w:t>With a copy to (which shall not constitute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LATHAM &amp; WATKINS LLP</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Attn: Cheston Larson and Matthew Bush</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12670 High Bluff Drive</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Facsimile: 858-523-5450</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Telephone: 858-523-5400</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or to such other address as each party may designate for itself by like notice.</w:t>
      </w:r>
    </w:p>
    <w:p>
      <w:pPr>
        <w:spacing w:after="0" w:line="216" w:lineRule="exact"/>
        <w:rPr>
          <w:sz w:val="20"/>
          <w:szCs w:val="20"/>
          <w:color w:val="auto"/>
        </w:rPr>
      </w:pPr>
    </w:p>
    <w:p>
      <w:pPr>
        <w:ind w:right="20" w:firstLine="757"/>
        <w:spacing w:after="0" w:line="260" w:lineRule="auto"/>
        <w:tabs>
          <w:tab w:leader="none" w:pos="1018"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Entire Agreement; Amendments</w:t>
      </w:r>
      <w:r>
        <w:rPr>
          <w:rFonts w:ascii="Times New Roman" w:cs="Times New Roman" w:eastAsia="Times New Roman" w:hAnsi="Times New Roman"/>
          <w:sz w:val="19"/>
          <w:szCs w:val="19"/>
          <w:color w:val="auto"/>
        </w:rPr>
        <w:t>. This Agreement constitutes the entire agreement and understanding of the parties hereto in respect of the subject matter hereof, and supersedes and replaces in their entirety any prior proposals, term sheets, letters, negotiations or other documents or agreements, whether written or oral, with respect to the subject matter hereof. None of the terms of this Agreement may be amended or waived except by an instrument executed by the Company and and holders of Warrants exercisable for a majority of the total number of shares of Common Stock then issuable pursuant to all Warrants then outstanding. Any such amendment or waiver effected in accordance with this Section 12(h) or otherwise effected pursuant to the terms of this Warrant shall be binding upon each holder of Warrants.</w:t>
      </w:r>
    </w:p>
    <w:p>
      <w:pPr>
        <w:spacing w:after="0" w:line="64" w:lineRule="exact"/>
        <w:rPr>
          <w:rFonts w:ascii="Times New Roman" w:cs="Times New Roman" w:eastAsia="Times New Roman" w:hAnsi="Times New Roman"/>
          <w:sz w:val="19"/>
          <w:szCs w:val="19"/>
          <w:color w:val="auto"/>
        </w:rPr>
      </w:pPr>
    </w:p>
    <w:p>
      <w:pPr>
        <w:ind w:right="620" w:firstLine="757"/>
        <w:spacing w:after="0" w:line="269" w:lineRule="auto"/>
        <w:tabs>
          <w:tab w:leader="none" w:pos="101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The various headings in this Agreement are inserted for convenience only and shall not affect the meaning or interpretation of this Agreement or any provisions hereof.</w:t>
      </w:r>
    </w:p>
    <w:p>
      <w:pPr>
        <w:spacing w:after="0" w:line="51" w:lineRule="exact"/>
        <w:rPr>
          <w:rFonts w:ascii="Times New Roman" w:cs="Times New Roman" w:eastAsia="Times New Roman" w:hAnsi="Times New Roman"/>
          <w:sz w:val="20"/>
          <w:szCs w:val="20"/>
          <w:color w:val="auto"/>
        </w:rPr>
      </w:pPr>
    </w:p>
    <w:p>
      <w:pPr>
        <w:ind w:right="460" w:firstLine="757"/>
        <w:spacing w:after="0" w:line="269" w:lineRule="auto"/>
        <w:tabs>
          <w:tab w:leader="none" w:pos="101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Advice of Counsel</w:t>
      </w:r>
      <w:r>
        <w:rPr>
          <w:rFonts w:ascii="Times New Roman" w:cs="Times New Roman" w:eastAsia="Times New Roman" w:hAnsi="Times New Roman"/>
          <w:sz w:val="20"/>
          <w:szCs w:val="20"/>
          <w:color w:val="auto"/>
        </w:rPr>
        <w:t>. Each of the parties represents to each other party hereto that it has discussed (or had an opportunity to discuss) with its counsel this Agreement and, specifically, the provisions of Sections 12(n), 12(o), 12(p), 12(q) and 12(r).</w:t>
      </w:r>
    </w:p>
    <w:p>
      <w:pPr>
        <w:spacing w:after="0" w:line="51" w:lineRule="exact"/>
        <w:rPr>
          <w:rFonts w:ascii="Times New Roman" w:cs="Times New Roman" w:eastAsia="Times New Roman" w:hAnsi="Times New Roman"/>
          <w:sz w:val="20"/>
          <w:szCs w:val="20"/>
          <w:color w:val="auto"/>
        </w:rPr>
      </w:pPr>
    </w:p>
    <w:p>
      <w:pPr>
        <w:ind w:right="160" w:firstLine="757"/>
        <w:spacing w:after="0" w:line="249" w:lineRule="auto"/>
        <w:tabs>
          <w:tab w:leader="none" w:pos="101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Strict Construction</w:t>
      </w:r>
      <w:r>
        <w:rPr>
          <w:rFonts w:ascii="Times New Roman" w:cs="Times New Roman" w:eastAsia="Times New Roman" w:hAnsi="Times New Roman"/>
          <w:sz w:val="20"/>
          <w:szCs w:val="20"/>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71" w:lineRule="exact"/>
        <w:rPr>
          <w:rFonts w:ascii="Times New Roman" w:cs="Times New Roman" w:eastAsia="Times New Roman" w:hAnsi="Times New Roman"/>
          <w:sz w:val="20"/>
          <w:szCs w:val="20"/>
          <w:color w:val="auto"/>
        </w:rPr>
      </w:pPr>
    </w:p>
    <w:p>
      <w:pPr>
        <w:ind w:right="100" w:firstLine="757"/>
        <w:spacing w:after="0" w:line="249" w:lineRule="auto"/>
        <w:tabs>
          <w:tab w:leader="none" w:pos="101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Waiver</w:t>
      </w:r>
      <w:r>
        <w:rPr>
          <w:rFonts w:ascii="Times New Roman" w:cs="Times New Roman" w:eastAsia="Times New Roman" w:hAnsi="Times New Roman"/>
          <w:sz w:val="20"/>
          <w:szCs w:val="20"/>
          <w:color w:val="auto"/>
        </w:rPr>
        <w:t>. No omission or delay by the Warrantholder at any time to enforce any right or remedy reserved to it, or to require performance of any of the terms, covenants or provisions hereof by the Company at any time designated, shall be a waiver of any such right or remedy to which the Warrantholder is entitled, nor shall it in any way affect the right of the Warrantholder to enforce such provisions thereafter during the term of this Agreement.</w:t>
      </w:r>
    </w:p>
    <w:p>
      <w:pPr>
        <w:spacing w:after="0" w:line="72"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(m)</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All agreements, representations and warranties contained in this Agreement or in any document delivered pursuant hereto shall be for the benefit of the Warrantholder and shall survive the execution and delivery of this Agreement and the expiration or other termination of this Agreement.</w:t>
      </w:r>
    </w:p>
    <w:p>
      <w:pPr>
        <w:spacing w:after="0" w:line="66" w:lineRule="exact"/>
        <w:rPr>
          <w:sz w:val="20"/>
          <w:szCs w:val="20"/>
          <w:color w:val="auto"/>
        </w:rPr>
      </w:pPr>
    </w:p>
    <w:p>
      <w:pPr>
        <w:ind w:right="20" w:firstLine="757"/>
        <w:spacing w:after="0" w:line="246" w:lineRule="auto"/>
        <w:tabs>
          <w:tab w:leader="none" w:pos="101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has been negotiated and delivered to the Warrantholder in the State of California, and shall be deemed to have been accepted by the Warrantholder in the State of California. Delivery of Common Stock to the Warrantholder by the Company under this Agreement is due in the State of California. This Agreement shall be governed by, and construed and enforced in accordance with, the laws of the State of California, excluding conflict of laws principles that would cause the application of laws of any other jurisdiction.</w:t>
      </w:r>
    </w:p>
    <w:p>
      <w:pPr>
        <w:spacing w:after="0" w:line="76" w:lineRule="exact"/>
        <w:rPr>
          <w:rFonts w:ascii="Times New Roman" w:cs="Times New Roman" w:eastAsia="Times New Roman" w:hAnsi="Times New Roman"/>
          <w:sz w:val="20"/>
          <w:szCs w:val="20"/>
          <w:color w:val="auto"/>
        </w:rPr>
      </w:pPr>
    </w:p>
    <w:p>
      <w:pPr>
        <w:ind w:right="140" w:firstLine="757"/>
        <w:spacing w:after="0" w:line="254" w:lineRule="auto"/>
        <w:tabs>
          <w:tab w:leader="none" w:pos="101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Consent to Jurisdiction and Venue</w:t>
      </w:r>
      <w:r>
        <w:rPr>
          <w:rFonts w:ascii="Times New Roman" w:cs="Times New Roman" w:eastAsia="Times New Roman" w:hAnsi="Times New Roman"/>
          <w:sz w:val="20"/>
          <w:szCs w:val="20"/>
          <w:color w:val="auto"/>
        </w:rPr>
        <w:t>. All judicial proceedings arising in or under or related to this Agreement may be brought in any state or federal court of competent jurisdiction located in the State of California. By execution and delivery of this Agreement, each party hereto generally and unconditionally: (i) consents to personal jurisdiction in Santa Clara County, State of California; (ii)</w:t>
      </w:r>
    </w:p>
    <w:p>
      <w:pPr>
        <w:spacing w:after="0" w:line="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54" w:name="page55"/>
    <w:bookmarkEnd w:id="54"/>
    <w:p>
      <w:pPr>
        <w:ind w:right="20"/>
        <w:spacing w:after="0" w:line="245" w:lineRule="auto"/>
        <w:rPr>
          <w:sz w:val="20"/>
          <w:szCs w:val="20"/>
          <w:color w:val="auto"/>
        </w:rPr>
      </w:pPr>
      <w:r>
        <w:rPr>
          <w:rFonts w:ascii="Times New Roman" w:cs="Times New Roman" w:eastAsia="Times New Roman" w:hAnsi="Times New Roman"/>
          <w:sz w:val="20"/>
          <w:szCs w:val="20"/>
          <w:color w:val="auto"/>
        </w:rPr>
        <w:t>waives any objection as to jurisdiction or venue in Santa Clara County, State of California; (iii) agrees not to assert any defense based on lack of jurisdiction or venue in the aforesaid courts; and (iv) irrevocably agrees to be bound by any judgment rendered thereby in connection with this Agreement. Service of process on any party hereto in any action arising out of or relating to this Agreement shall be effective if given in accordance with the requirements for notice set forth in Section 12(g), and shall be deemed effective and received as set forth in Section 12(g). Nothing herein shall affect the right to serve process in any other manner permitted by law or shall limit the right of either party to bring proceedings in the courts of any other jurisdiction.</w:t>
      </w:r>
    </w:p>
    <w:p>
      <w:pPr>
        <w:spacing w:after="0" w:line="76" w:lineRule="exact"/>
        <w:rPr>
          <w:sz w:val="20"/>
          <w:szCs w:val="20"/>
          <w:color w:val="auto"/>
        </w:rPr>
      </w:pPr>
    </w:p>
    <w:p>
      <w:pPr>
        <w:ind w:right="160" w:firstLine="757"/>
        <w:spacing w:after="0" w:line="256" w:lineRule="auto"/>
        <w:tabs>
          <w:tab w:leader="none" w:pos="1018"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Mutual Waiver of Jury Trial</w:t>
      </w:r>
      <w:r>
        <w:rPr>
          <w:rFonts w:ascii="Times New Roman" w:cs="Times New Roman" w:eastAsia="Times New Roman" w:hAnsi="Times New Roman"/>
          <w:sz w:val="19"/>
          <w:szCs w:val="19"/>
          <w:color w:val="auto"/>
        </w:rPr>
        <w:t>. 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arising under or in connection with this Warrant be resolved by a judge applying such applicable laws. EACH OF THE COMPANY AND THE WARRANTHOLDER SPECIFICALLY WAIVES ANY RIGHT IT MAY HAVE TO TRIAL BY JURY OF ANY CAUSE OF ACTION, CLAIM, CROSS-CLAIM, COUNTERCLAIM, THIRD PARTY CLAIM OR ANY OTHER CLAIM (COLLECTIVELY, “CLAIMS”) ASSERTED BY THE COMPANY AGAINST THE WARRANTHOLDER OR ITS ASSIGNEE OR BY THE WARRANTHOLDER OR ITS ASSIGNEE AGAINST THE COMPANY RELATING TO THIS WARRANT. This waiver extends to all such Claims, including Claims that involve persons or entities other the Company and the Warrantholder; Claims that arise out of or are in any way connected to the relationship between the Company and the Warrantholder; and any Claims for damages, breach of contract, specific performance, or any equitable or legal relief of any kind, arising out of this Agreement.</w:t>
      </w:r>
    </w:p>
    <w:p>
      <w:pPr>
        <w:spacing w:after="0" w:line="72" w:lineRule="exact"/>
        <w:rPr>
          <w:rFonts w:ascii="Times New Roman" w:cs="Times New Roman" w:eastAsia="Times New Roman" w:hAnsi="Times New Roman"/>
          <w:sz w:val="19"/>
          <w:szCs w:val="19"/>
          <w:color w:val="auto"/>
        </w:rPr>
      </w:pPr>
    </w:p>
    <w:p>
      <w:pPr>
        <w:ind w:firstLine="757"/>
        <w:spacing w:after="0" w:line="244" w:lineRule="auto"/>
        <w:tabs>
          <w:tab w:leader="none" w:pos="10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If the Mutual Waiver of Jury Trial set forth in Section 12(p) is ineffective or unenforceable, the parties agree that all Claims shall be submitted to binding arbitration in accordance with the commercial arbitration rules of JAMS (the “Rules”), such arbitration to occur before one arbitrator, which arbitrator shall be a retired California state judge or a retired Federal court judge. Such proceeding shall be conducted in Santa Clara County, State of California, with California rules of evidence and discovery applicable to such arbitration. The decision of the arbitrator shall be binding on the parties, and shall be final and nonappealable to the maximum extent permitted by law. Any judgment rendered by the arbitrator may be entered in a court of competent jurisdiction and enforced by the prevailing party as a final judgment of such court.</w:t>
      </w:r>
    </w:p>
    <w:p>
      <w:pPr>
        <w:spacing w:after="0" w:line="77" w:lineRule="exact"/>
        <w:rPr>
          <w:rFonts w:ascii="Times New Roman" w:cs="Times New Roman" w:eastAsia="Times New Roman" w:hAnsi="Times New Roman"/>
          <w:sz w:val="20"/>
          <w:szCs w:val="20"/>
          <w:color w:val="auto"/>
        </w:rPr>
      </w:pPr>
    </w:p>
    <w:p>
      <w:pPr>
        <w:ind w:right="340" w:firstLine="757"/>
        <w:spacing w:after="0" w:line="274" w:lineRule="auto"/>
        <w:tabs>
          <w:tab w:leader="none" w:pos="1018"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Pre-arbitration Relief</w:t>
      </w:r>
      <w:r>
        <w:rPr>
          <w:rFonts w:ascii="Times New Roman" w:cs="Times New Roman" w:eastAsia="Times New Roman" w:hAnsi="Times New Roman"/>
          <w:sz w:val="19"/>
          <w:szCs w:val="19"/>
          <w:color w:val="auto"/>
        </w:rPr>
        <w:t>. In the event Claims are to be resolved by arbitration, either party may seek from a court of competent jurisdiction identified in Section 12(o), any prejudgment order, writ or other relief and have such prejudgment order, writ or other relief enforced to the fullest extent permitted by law notwithstanding that all Claims are otherwise subject to resolution by binding arbitration.</w:t>
      </w:r>
    </w:p>
    <w:p>
      <w:pPr>
        <w:spacing w:after="0" w:line="48" w:lineRule="exact"/>
        <w:rPr>
          <w:rFonts w:ascii="Times New Roman" w:cs="Times New Roman" w:eastAsia="Times New Roman" w:hAnsi="Times New Roman"/>
          <w:sz w:val="19"/>
          <w:szCs w:val="19"/>
          <w:color w:val="auto"/>
        </w:rPr>
      </w:pPr>
    </w:p>
    <w:p>
      <w:pPr>
        <w:ind w:right="160" w:firstLine="757"/>
        <w:spacing w:after="0" w:line="254" w:lineRule="auto"/>
        <w:tabs>
          <w:tab w:leader="none" w:pos="10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and any amendments, waivers, consents or supplements hereto may be executed in any number of counterparts (including by facsimile or electronic delivery (PDF), and by different parties hereto in separate counterparts, each of which when so delivered shall be deemed an original, but all of which counterparts shall constitute but one and the same instrument.</w:t>
      </w:r>
    </w:p>
    <w:p>
      <w:pPr>
        <w:spacing w:after="0" w:line="66" w:lineRule="exact"/>
        <w:rPr>
          <w:rFonts w:ascii="Times New Roman" w:cs="Times New Roman" w:eastAsia="Times New Roman" w:hAnsi="Times New Roman"/>
          <w:sz w:val="20"/>
          <w:szCs w:val="20"/>
          <w:color w:val="auto"/>
        </w:rPr>
      </w:pPr>
    </w:p>
    <w:p>
      <w:pPr>
        <w:ind w:right="60" w:firstLine="757"/>
        <w:spacing w:after="0" w:line="245" w:lineRule="auto"/>
        <w:tabs>
          <w:tab w:leader="none" w:pos="101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Specific Performance</w:t>
      </w:r>
      <w:r>
        <w:rPr>
          <w:rFonts w:ascii="Times New Roman" w:cs="Times New Roman" w:eastAsia="Times New Roman" w:hAnsi="Times New Roman"/>
          <w:sz w:val="20"/>
          <w:szCs w:val="20"/>
          <w:color w:val="auto"/>
        </w:rPr>
        <w:t>. The parties hereto hereby declare that it is impossible to measure in money the damages which will accrue to the Warrantholder by reason of the Company’s failure to perform any of the obligations under this Agreement and agree that the terms of this Agreement shall be specifically enforceable by the Warrantholder. If the Warrantholder institutes any action or proceeding to specifically enforce the provisions hereof, any person against whom such action or proceeding is brought hereby waives the claim or defense therein that the Warrantholder has an adequate remedy at law, and such person shall not offer in any such action or proceeding the claim or defense that such remedy at law exists.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5" w:name="page56"/>
    <w:bookmarkEnd w:id="55"/>
    <w:p>
      <w:pPr>
        <w:ind w:left="-120" w:firstLine="757"/>
        <w:spacing w:after="0" w:line="246" w:lineRule="auto"/>
        <w:tabs>
          <w:tab w:leader="none" w:pos="89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Lost, Stolen, Mutilated or Destroyed Warrant</w:t>
      </w:r>
      <w:r>
        <w:rPr>
          <w:rFonts w:ascii="Times New Roman" w:cs="Times New Roman" w:eastAsia="Times New Roman" w:hAnsi="Times New Roman"/>
          <w:sz w:val="20"/>
          <w:szCs w:val="20"/>
          <w:color w:val="auto"/>
        </w:rPr>
        <w:t>. If this Warrant is lost, stolen, mutilated or destroyed, the Company may, on such terms as to indemnity or otherwise as it may reasonably impose (which shall, in the case of a mutilated Warrant, include the surrender thereof), issue a new Warrant of like denomination and tenor as this Warrant so lost, stolen, mutilated or destroyed. Any such new Warrant shall constitute an original contractual obligation of the Company, whether or not the allegedly lost, stolen, mutilated or destroyed Warrant shall be at any time enforceable by anyone.</w:t>
      </w:r>
    </w:p>
    <w:p>
      <w:pPr>
        <w:spacing w:after="0" w:line="76" w:lineRule="exact"/>
        <w:rPr>
          <w:rFonts w:ascii="Times New Roman" w:cs="Times New Roman" w:eastAsia="Times New Roman" w:hAnsi="Times New Roman"/>
          <w:sz w:val="20"/>
          <w:szCs w:val="20"/>
          <w:color w:val="auto"/>
        </w:rPr>
      </w:pPr>
    </w:p>
    <w:p>
      <w:pPr>
        <w:ind w:left="-120" w:right="60" w:firstLine="757"/>
        <w:spacing w:after="0" w:line="254" w:lineRule="auto"/>
        <w:tabs>
          <w:tab w:leader="none" w:pos="89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Legends</w:t>
      </w:r>
      <w:r>
        <w:rPr>
          <w:rFonts w:ascii="Times New Roman" w:cs="Times New Roman" w:eastAsia="Times New Roman" w:hAnsi="Times New Roman"/>
          <w:sz w:val="20"/>
          <w:szCs w:val="20"/>
          <w:color w:val="auto"/>
        </w:rPr>
        <w:t>. To the extent required by applicable laws, this Warrant and the shares of Common Stock issuable hereunder (and the securities issuable, directly or indirectly, upon conversion of such shares of Common Stock, if any) may be imprinted with a restricted securities legend in substantially the following form:</w:t>
      </w:r>
    </w:p>
    <w:p>
      <w:pPr>
        <w:spacing w:after="0" w:line="174" w:lineRule="exact"/>
        <w:rPr>
          <w:sz w:val="20"/>
          <w:szCs w:val="20"/>
          <w:color w:val="auto"/>
        </w:rPr>
      </w:pPr>
    </w:p>
    <w:p>
      <w:pPr>
        <w:ind w:left="640" w:right="20"/>
        <w:spacing w:after="0" w:line="244" w:lineRule="auto"/>
        <w:rPr>
          <w:sz w:val="20"/>
          <w:szCs w:val="20"/>
          <w:color w:val="auto"/>
        </w:rPr>
      </w:pPr>
      <w:r>
        <w:rPr>
          <w:rFonts w:ascii="Times New Roman" w:cs="Times New Roman" w:eastAsia="Times New Roman" w:hAnsi="Times New Roman"/>
          <w:sz w:val="20"/>
          <w:szCs w:val="20"/>
          <w:color w:val="auto"/>
        </w:rPr>
        <w:t>THIS SECURITY HAS NOT BEEN REGISTERED UNDER THE SECURITIES ACT OF 1933, AS AMENDED (THE “ACT”), OR ANY APPLICABLE STATE SECURITIES LAWS, AND MAY NOT BE SOLD, OFFERED FOR SALE, PLEDGED OR HYPOTHECATED IN THE ABSENCE OF AN EFFECTIVE REGISTRATION RELATED THERETO OR, SUBJECT TO SECTION 11 OF THE WARRANT AGREEMENT DATED [•], 202[•], BETWEEN THE COMPANY AND [</w:t>
      </w:r>
      <w:r>
        <w:rPr>
          <w:rFonts w:ascii="Times New Roman" w:cs="Times New Roman" w:eastAsia="Times New Roman" w:hAnsi="Times New Roman"/>
          <w:sz w:val="20"/>
          <w:szCs w:val="20"/>
          <w:i w:val="1"/>
          <w:iCs w:val="1"/>
          <w:color w:val="auto"/>
        </w:rPr>
        <w:t>INSERT LEGAL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NAME OF LENDER</w:t>
      </w:r>
      <w:r>
        <w:rPr>
          <w:rFonts w:ascii="Times New Roman" w:cs="Times New Roman" w:eastAsia="Times New Roman" w:hAnsi="Times New Roman"/>
          <w:sz w:val="20"/>
          <w:szCs w:val="20"/>
          <w:color w:val="auto"/>
        </w:rPr>
        <w:t>], AN OPINION OF COUNSEL (WHICH MAY BE COMPANY COUNSEL) REASONABLY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SATISFACTORY TO THE COMPANY THAT SUCH REGISTRATION IS NOT REQUIRED UNDER THE ACTOR ANY STATE SECURITIES LAWS.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66675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333" w:right="459" w:bottom="1440" w:gutter="0" w:footer="0" w:header="0"/>
        </w:sectPr>
      </w:pPr>
    </w:p>
    <w:bookmarkStart w:id="56" w:name="page57"/>
    <w:bookmarkEnd w:id="56"/>
    <w:p>
      <w:pPr>
        <w:ind w:firstLine="396"/>
        <w:spacing w:after="0" w:line="269" w:lineRule="auto"/>
        <w:rPr>
          <w:sz w:val="20"/>
          <w:szCs w:val="20"/>
          <w:color w:val="auto"/>
        </w:rPr>
      </w:pPr>
      <w:r>
        <w:rPr>
          <w:rFonts w:ascii="Times New Roman" w:cs="Times New Roman" w:eastAsia="Times New Roman" w:hAnsi="Times New Roman"/>
          <w:sz w:val="20"/>
          <w:szCs w:val="20"/>
          <w:color w:val="auto"/>
        </w:rPr>
        <w:t>IN WITNESS WHEREOF, the parties hereto have caused this Warrant Agreement to be executed by its officers thereunto duly authorized as of the Effective Date.</w:t>
      </w:r>
    </w:p>
    <w:p>
      <w:pPr>
        <w:spacing w:after="0" w:line="200" w:lineRule="exact"/>
        <w:rPr>
          <w:sz w:val="20"/>
          <w:szCs w:val="20"/>
          <w:color w:val="auto"/>
        </w:rPr>
      </w:pP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COMPANY:</w:t>
      </w:r>
    </w:p>
    <w:p>
      <w:pPr>
        <w:spacing w:after="0" w:line="22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PHATHOM PHARMACEUTICALS, INC.</w:t>
      </w:r>
    </w:p>
    <w:p>
      <w:pPr>
        <w:spacing w:after="0" w:line="200" w:lineRule="exact"/>
        <w:rPr>
          <w:sz w:val="20"/>
          <w:szCs w:val="20"/>
          <w:color w:val="auto"/>
        </w:rPr>
      </w:pPr>
    </w:p>
    <w:p>
      <w:pPr>
        <w:spacing w:after="0" w:line="25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By: ______________________________</w:t>
      </w:r>
    </w:p>
    <w:p>
      <w:pPr>
        <w:spacing w:after="0" w:line="21" w:lineRule="exact"/>
        <w:rPr>
          <w:sz w:val="20"/>
          <w:szCs w:val="20"/>
          <w:color w:val="auto"/>
        </w:rPr>
      </w:pP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Name:</w:t>
        <w:tab/>
        <w:t>______________________________</w:t>
      </w:r>
    </w:p>
    <w:p>
      <w:pPr>
        <w:ind w:left="4500"/>
        <w:spacing w:after="0"/>
        <w:tabs>
          <w:tab w:leader="none" w:pos="528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0"/>
          <w:szCs w:val="20"/>
          <w:color w:val="auto"/>
        </w:rPr>
        <w:t>WARRANTHOLDER:</w:t>
      </w: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insert signature block</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6"/>
          <w:szCs w:val="16"/>
          <w:color w:val="auto"/>
        </w:rPr>
        <w:t>[Signature Page to Warrant Agreement]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DOCPROPERTY DOCXDOCID DMS=IManage Format=&lt;&lt;LIB&gt;&gt;\&lt;&lt;NUM&gt;&gt;.&lt;&lt;VER&gt;&gt; PRESERVELOCATIONWEST\302736470.1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333" w:right="111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color w:val="auto"/>
        </w:rPr>
        <w:t>EXHIBIT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NOTICE OF EXERCISE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Phathom Pharmaceuticals, Inc.</w:t>
      </w:r>
    </w:p>
    <w:p>
      <w:pPr>
        <w:spacing w:after="0" w:line="229" w:lineRule="exact"/>
        <w:rPr>
          <w:sz w:val="20"/>
          <w:szCs w:val="20"/>
          <w:color w:val="auto"/>
        </w:rPr>
      </w:pPr>
    </w:p>
    <w:p>
      <w:pPr>
        <w:ind w:left="760" w:right="300" w:hanging="752"/>
        <w:spacing w:after="0" w:line="246" w:lineRule="auto"/>
        <w:tabs>
          <w:tab w:leader="none" w:pos="40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undersigned Warrantholder hereby elects to purchase [_______] shares of the Common Stock of Phathom Pharmaceuticals, Inc., pursuant to the terms of the Warrant Agreement dated [•], 202[•] (the “Warrant Agreement”) between Phathom Pharmaceuticals, Inc. and the Warrantholder, and [CASH PAYMENT: tenders herewith payment of the Purchase Price in full, together with all applicable transfer taxes, if any.] [NET ISSUANCE: elects pursuant to Section 3(a) of the Warrant Agreement to effect a Net Issuance.]</w:t>
      </w:r>
    </w:p>
    <w:p>
      <w:pPr>
        <w:spacing w:after="0" w:line="184" w:lineRule="exact"/>
        <w:rPr>
          <w:rFonts w:ascii="Times New Roman" w:cs="Times New Roman" w:eastAsia="Times New Roman" w:hAnsi="Times New Roman"/>
          <w:sz w:val="20"/>
          <w:szCs w:val="20"/>
          <w:color w:val="auto"/>
        </w:rPr>
      </w:pPr>
    </w:p>
    <w:p>
      <w:pPr>
        <w:ind w:left="760" w:hanging="752"/>
        <w:spacing w:after="0" w:line="269" w:lineRule="auto"/>
        <w:tabs>
          <w:tab w:leader="none" w:pos="407"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Please issue a certificate or certificates or book-entry credit(s) representing said shares of Common Stock in the name of the undersigned or in such other name as is specified below.</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w:t>
      </w:r>
    </w:p>
    <w:p>
      <w:pPr>
        <w:spacing w:after="0" w:line="2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_________________________________</w:t>
      </w:r>
    </w:p>
    <w:p>
      <w:pPr>
        <w:spacing w:after="0" w:line="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(Address)</w:t>
      </w:r>
    </w:p>
    <w:p>
      <w:pPr>
        <w:spacing w:after="0" w:line="200" w:lineRule="exact"/>
        <w:rPr>
          <w:sz w:val="20"/>
          <w:szCs w:val="20"/>
          <w:color w:val="auto"/>
        </w:rPr>
      </w:pPr>
    </w:p>
    <w:p>
      <w:pPr>
        <w:spacing w:after="0" w:line="233"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WARRANTHOLDER:</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LENDER</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6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color w:val="auto"/>
        </w:rPr>
        <w:t>By: ______________________________</w:t>
      </w:r>
    </w:p>
    <w:p>
      <w:pPr>
        <w:spacing w:after="0" w:line="21" w:lineRule="exact"/>
        <w:rPr>
          <w:sz w:val="20"/>
          <w:szCs w:val="20"/>
          <w:color w:val="auto"/>
        </w:rPr>
      </w:pPr>
    </w:p>
    <w:p>
      <w:pPr>
        <w:ind w:left="3760"/>
        <w:spacing w:after="0"/>
        <w:tabs>
          <w:tab w:leader="none" w:pos="4520" w:val="left"/>
        </w:tabs>
        <w:rPr>
          <w:sz w:val="20"/>
          <w:szCs w:val="20"/>
          <w:color w:val="auto"/>
        </w:rPr>
      </w:pPr>
      <w:r>
        <w:rPr>
          <w:rFonts w:ascii="Times New Roman" w:cs="Times New Roman" w:eastAsia="Times New Roman" w:hAnsi="Times New Roman"/>
          <w:sz w:val="20"/>
          <w:szCs w:val="20"/>
          <w:color w:val="auto"/>
        </w:rPr>
        <w:t>Name:</w:t>
        <w:tab/>
        <w:t>______________________________</w:t>
      </w:r>
    </w:p>
    <w:p>
      <w:pPr>
        <w:ind w:left="3760"/>
        <w:spacing w:after="0"/>
        <w:tabs>
          <w:tab w:leader="none" w:pos="4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8" w:name="page59"/>
    <w:bookmarkEnd w:id="58"/>
    <w:p>
      <w:pPr>
        <w:jc w:val="center"/>
        <w:ind w:right="-39"/>
        <w:spacing w:after="0"/>
        <w:rPr>
          <w:sz w:val="20"/>
          <w:szCs w:val="20"/>
          <w:color w:val="auto"/>
        </w:rPr>
      </w:pPr>
      <w:r>
        <w:rPr>
          <w:rFonts w:ascii="Times New Roman" w:cs="Times New Roman" w:eastAsia="Times New Roman" w:hAnsi="Times New Roman"/>
          <w:sz w:val="20"/>
          <w:szCs w:val="20"/>
          <w:color w:val="auto"/>
        </w:rPr>
        <w:t>EXHIBIT II</w:t>
      </w:r>
    </w:p>
    <w:p>
      <w:pPr>
        <w:spacing w:after="0" w:line="225" w:lineRule="exact"/>
        <w:rPr>
          <w:sz w:val="20"/>
          <w:szCs w:val="20"/>
          <w:color w:val="auto"/>
        </w:rPr>
      </w:pPr>
    </w:p>
    <w:p>
      <w:pPr>
        <w:ind w:left="760" w:hanging="752"/>
        <w:spacing w:after="0"/>
        <w:tabs>
          <w:tab w:leader="none" w:pos="76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ACKNOWLEDGMENT OF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undersigned, Phathom Pharmaceuticals, Inc., hereby acknowledges receipt of the “Notice of Exercise” from [•] to purchase [____]</w:t>
      </w:r>
    </w:p>
    <w:p>
      <w:pPr>
        <w:spacing w:after="0" w:line="2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shares of the Common Stock of Phathom Pharmaceuticals, Inc. pursuant to the terms of the Warrant Agreement by and between Phathom Pharmaceuticals, Inc. and [</w:t>
      </w:r>
      <w:r>
        <w:rPr>
          <w:rFonts w:ascii="Times New Roman" w:cs="Times New Roman" w:eastAsia="Times New Roman" w:hAnsi="Times New Roman"/>
          <w:sz w:val="20"/>
          <w:szCs w:val="20"/>
          <w:i w:val="1"/>
          <w:iCs w:val="1"/>
          <w:color w:val="auto"/>
        </w:rPr>
        <w:t>Lender</w:t>
      </w:r>
      <w:r>
        <w:rPr>
          <w:rFonts w:ascii="Times New Roman" w:cs="Times New Roman" w:eastAsia="Times New Roman" w:hAnsi="Times New Roman"/>
          <w:sz w:val="20"/>
          <w:szCs w:val="20"/>
          <w:color w:val="auto"/>
        </w:rPr>
        <w:t>] dated the [•] day of [•], 202[•] (the “Warrant Agreement”), and further acknowledges that [______] shares remain subject to purchase under the terms of the Warrant Agreement.</w:t>
      </w:r>
    </w:p>
    <w:p>
      <w:pPr>
        <w:sectPr>
          <w:pgSz w:w="11900" w:h="16838" w:orient="portrait"/>
          <w:cols w:equalWidth="0" w:num="1">
            <w:col w:w="11220"/>
          </w:cols>
          <w:pgMar w:left="320" w:top="33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PHATHOM PHARMACEUTICALS, INC.</w:t>
      </w:r>
    </w:p>
    <w:p>
      <w:pPr>
        <w:spacing w:after="0" w:line="200" w:lineRule="exact"/>
        <w:rPr>
          <w:sz w:val="20"/>
          <w:szCs w:val="20"/>
          <w:color w:val="auto"/>
        </w:rPr>
      </w:pPr>
    </w:p>
    <w:p>
      <w:pPr>
        <w:sectPr>
          <w:pgSz w:w="11900" w:h="16838" w:orient="portrait"/>
          <w:cols w:equalWidth="0" w:num="2">
            <w:col w:w="2420" w:space="720"/>
            <w:col w:w="8080"/>
          </w:cols>
          <w:pgMar w:left="320" w:top="333" w:right="359" w:bottom="1440" w:gutter="0" w:footer="0" w:header="0"/>
          <w:type w:val="continuous"/>
        </w:sectPr>
      </w:pPr>
    </w:p>
    <w:p>
      <w:pPr>
        <w:spacing w:after="0" w:line="270"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By: ________________________________</w:t>
      </w:r>
    </w:p>
    <w:p>
      <w:pPr>
        <w:sectPr>
          <w:pgSz w:w="11900" w:h="16838" w:orient="portrait"/>
          <w:cols w:equalWidth="0" w:num="1">
            <w:col w:w="11220"/>
          </w:cols>
          <w:pgMar w:left="320" w:top="333" w:right="359" w:bottom="1440" w:gutter="0" w:footer="0" w:header="0"/>
          <w:type w:val="continuous"/>
        </w:sectPr>
      </w:pPr>
    </w:p>
    <w:p>
      <w:pPr>
        <w:spacing w:after="0" w:line="22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9"/>
          <w:szCs w:val="19"/>
          <w:color w:val="auto"/>
        </w:rPr>
        <w:t>Title: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w:t>
      </w:r>
    </w:p>
    <w:p>
      <w:pPr>
        <w:spacing w:after="0" w:line="200" w:lineRule="exact"/>
        <w:rPr>
          <w:sz w:val="20"/>
          <w:szCs w:val="20"/>
          <w:color w:val="auto"/>
        </w:rPr>
      </w:pPr>
    </w:p>
    <w:p>
      <w:pPr>
        <w:sectPr>
          <w:pgSz w:w="11900" w:h="16838" w:orient="portrait"/>
          <w:cols w:equalWidth="0" w:num="2">
            <w:col w:w="2800" w:space="380"/>
            <w:col w:w="8040"/>
          </w:cols>
          <w:pgMar w:left="320" w:top="333" w:right="359" w:bottom="1440" w:gutter="0" w:footer="0" w:header="0"/>
          <w:type w:val="continuous"/>
        </w:sectPr>
      </w:pPr>
    </w:p>
    <w:p>
      <w:pPr>
        <w:spacing w:after="0" w:line="4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________________________________</w:t>
      </w:r>
    </w:p>
    <w:p>
      <w:pPr>
        <w:spacing w:after="0" w:line="211" w:lineRule="exact"/>
        <w:rPr>
          <w:sz w:val="20"/>
          <w:szCs w:val="20"/>
          <w:color w:val="auto"/>
        </w:rPr>
      </w:pPr>
    </w:p>
    <w:p>
      <w:pPr>
        <w:sectPr>
          <w:pgSz w:w="11900" w:h="16838" w:orient="portrait"/>
          <w:cols w:equalWidth="0" w:num="2">
            <w:col w:w="2820" w:space="360"/>
            <w:col w:w="8040"/>
          </w:cols>
          <w:pgMar w:left="320" w:top="333" w:right="35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type w:val="continuous"/>
        </w:sectPr>
      </w:pPr>
    </w:p>
    <w:bookmarkStart w:id="59" w:name="page60"/>
    <w:bookmarkEnd w:id="59"/>
    <w:p>
      <w:pPr>
        <w:jc w:val="center"/>
        <w:ind w:right="-99"/>
        <w:spacing w:after="0"/>
        <w:rPr>
          <w:sz w:val="20"/>
          <w:szCs w:val="20"/>
          <w:color w:val="auto"/>
        </w:rPr>
      </w:pPr>
      <w:r>
        <w:rPr>
          <w:rFonts w:ascii="Times New Roman" w:cs="Times New Roman" w:eastAsia="Times New Roman" w:hAnsi="Times New Roman"/>
          <w:sz w:val="20"/>
          <w:szCs w:val="20"/>
          <w:color w:val="auto"/>
        </w:rPr>
        <w:t>EXHIBIT III</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TRANSFER NOTICE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(To transfer or assign the foregoing Agreement execute this form and supply required information. Do not use this form to purchase shares.)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VALUE RECEIVED, the foregoing Agreement and all rights evidenced thereby are hereby transferred and assigned to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(Please Print)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whose address is___________________________________________________</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w:t>
      </w:r>
    </w:p>
    <w:p>
      <w:pPr>
        <w:spacing w:after="0" w:line="200" w:lineRule="exact"/>
        <w:rPr>
          <w:sz w:val="20"/>
          <w:szCs w:val="20"/>
          <w:color w:val="auto"/>
        </w:rPr>
      </w:pPr>
    </w:p>
    <w:p>
      <w:pPr>
        <w:spacing w:after="0" w:line="259" w:lineRule="exact"/>
        <w:rPr>
          <w:sz w:val="20"/>
          <w:szCs w:val="20"/>
          <w:color w:val="auto"/>
        </w:rPr>
      </w:pPr>
    </w:p>
    <w:p>
      <w:pPr>
        <w:ind w:left="1200"/>
        <w:spacing w:after="0"/>
        <w:tabs>
          <w:tab w:leader="none" w:pos="1960" w:val="left"/>
        </w:tabs>
        <w:rPr>
          <w:sz w:val="20"/>
          <w:szCs w:val="20"/>
          <w:color w:val="auto"/>
        </w:rPr>
      </w:pPr>
      <w:r>
        <w:rPr>
          <w:rFonts w:ascii="Times New Roman" w:cs="Times New Roman" w:eastAsia="Times New Roman" w:hAnsi="Times New Roman"/>
          <w:sz w:val="20"/>
          <w:szCs w:val="20"/>
          <w:color w:val="auto"/>
        </w:rPr>
        <w:t>Dated:</w:t>
        <w:tab/>
        <w:t>____________________________________</w:t>
      </w:r>
    </w:p>
    <w:p>
      <w:pPr>
        <w:spacing w:after="0" w:line="200" w:lineRule="exact"/>
        <w:rPr>
          <w:sz w:val="20"/>
          <w:szCs w:val="20"/>
          <w:color w:val="auto"/>
        </w:rPr>
      </w:pPr>
    </w:p>
    <w:p>
      <w:pPr>
        <w:spacing w:after="0" w:line="25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Holder’s Signature: _______________________________</w:t>
      </w:r>
    </w:p>
    <w:p>
      <w:pPr>
        <w:spacing w:after="0" w:line="200" w:lineRule="exact"/>
        <w:rPr>
          <w:sz w:val="20"/>
          <w:szCs w:val="20"/>
          <w:color w:val="auto"/>
        </w:rPr>
      </w:pPr>
    </w:p>
    <w:p>
      <w:pPr>
        <w:spacing w:after="0" w:line="25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Holder’s Address:  _______________________________</w:t>
      </w:r>
    </w:p>
    <w:p>
      <w:pPr>
        <w:spacing w:after="0" w:line="200" w:lineRule="exact"/>
        <w:rPr>
          <w:sz w:val="20"/>
          <w:szCs w:val="20"/>
          <w:color w:val="auto"/>
        </w:rPr>
      </w:pPr>
    </w:p>
    <w:p>
      <w:pPr>
        <w:spacing w:after="0" w:line="25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_____________________________________________________</w:t>
      </w:r>
    </w:p>
    <w:p>
      <w:pPr>
        <w:spacing w:after="0" w:line="200" w:lineRule="exact"/>
        <w:rPr>
          <w:sz w:val="20"/>
          <w:szCs w:val="20"/>
          <w:color w:val="auto"/>
        </w:rPr>
      </w:pPr>
    </w:p>
    <w:p>
      <w:pPr>
        <w:spacing w:after="0" w:line="259" w:lineRule="exact"/>
        <w:rPr>
          <w:sz w:val="20"/>
          <w:szCs w:val="20"/>
          <w:color w:val="auto"/>
        </w:rPr>
      </w:pPr>
    </w:p>
    <w:p>
      <w:pPr>
        <w:spacing w:after="0"/>
        <w:tabs>
          <w:tab w:leader="none" w:pos="1960" w:val="left"/>
        </w:tabs>
        <w:rPr>
          <w:sz w:val="20"/>
          <w:szCs w:val="20"/>
          <w:color w:val="auto"/>
        </w:rPr>
      </w:pPr>
      <w:r>
        <w:rPr>
          <w:rFonts w:ascii="Times New Roman" w:cs="Times New Roman" w:eastAsia="Times New Roman" w:hAnsi="Times New Roman"/>
          <w:sz w:val="20"/>
          <w:szCs w:val="20"/>
          <w:color w:val="auto"/>
        </w:rPr>
        <w:t>Signature Guaranteed:</w:t>
      </w:r>
      <w:r>
        <w:rPr>
          <w:sz w:val="20"/>
          <w:szCs w:val="20"/>
          <w:color w:val="auto"/>
        </w:rPr>
        <w:tab/>
      </w:r>
      <w:r>
        <w:rPr>
          <w:rFonts w:ascii="Times New Roman" w:cs="Times New Roman" w:eastAsia="Times New Roman" w:hAnsi="Times New Roman"/>
          <w:sz w:val="19"/>
          <w:szCs w:val="19"/>
          <w:color w:val="auto"/>
        </w:rPr>
        <w:t>____________________________________________</w:t>
      </w:r>
    </w:p>
    <w:p>
      <w:pPr>
        <w:spacing w:after="0" w:line="200" w:lineRule="exact"/>
        <w:rPr>
          <w:sz w:val="20"/>
          <w:szCs w:val="20"/>
          <w:color w:val="auto"/>
        </w:rPr>
      </w:pPr>
    </w:p>
    <w:p>
      <w:pPr>
        <w:spacing w:after="0" w:line="25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20"/>
          <w:szCs w:val="20"/>
          <w:color w:val="auto"/>
        </w:rPr>
        <w:t>NOTE: The signature to this Transfer Notice must correspond with the name as it appears on the face of the Agreement, without alteration or enlargement or any change whatever. Officers of corporations and those acting in a fiduciary or other representative capacity should file proper evidence of authority to assign the foregoing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THIRD AMENDMENT TO LOAN AND SECURITY AGREEMENT</w:t>
      </w:r>
    </w:p>
    <w:p>
      <w:pPr>
        <w:spacing w:after="0" w:line="194"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THIS THIRD AMENDMENT TO LOAN AND SECURITY AGREEMENT (this “</w:t>
      </w:r>
      <w:r>
        <w:rPr>
          <w:rFonts w:ascii="Times New Roman" w:cs="Times New Roman" w:eastAsia="Times New Roman" w:hAnsi="Times New Roman"/>
          <w:sz w:val="19"/>
          <w:szCs w:val="19"/>
          <w:u w:val="single" w:color="auto"/>
          <w:color w:val="auto"/>
        </w:rPr>
        <w:t>Amendment</w:t>
      </w:r>
      <w:r>
        <w:rPr>
          <w:rFonts w:ascii="Times New Roman" w:cs="Times New Roman" w:eastAsia="Times New Roman" w:hAnsi="Times New Roman"/>
          <w:sz w:val="19"/>
          <w:szCs w:val="19"/>
          <w:color w:val="auto"/>
        </w:rPr>
        <w:t>”), dated as of May 9, 2023, is entered into by and among PHATHOM PHARMACEUTICALS, INC., a Delaware corporation (“</w:t>
      </w:r>
      <w:r>
        <w:rPr>
          <w:rFonts w:ascii="Times New Roman" w:cs="Times New Roman" w:eastAsia="Times New Roman" w:hAnsi="Times New Roman"/>
          <w:sz w:val="19"/>
          <w:szCs w:val="19"/>
          <w:u w:val="single" w:color="auto"/>
          <w:color w:val="auto"/>
        </w:rPr>
        <w:t>Phathom</w:t>
      </w:r>
      <w:r>
        <w:rPr>
          <w:rFonts w:ascii="Times New Roman" w:cs="Times New Roman" w:eastAsia="Times New Roman" w:hAnsi="Times New Roman"/>
          <w:sz w:val="19"/>
          <w:szCs w:val="19"/>
          <w:color w:val="auto"/>
        </w:rPr>
        <w:t>”), each of its Subsidiaries from time to time party to the Loan Agreement (as defined below) as borrower (together with Phathom, individually or collectively, as the context may require, “</w:t>
      </w:r>
      <w:r>
        <w:rPr>
          <w:rFonts w:ascii="Times New Roman" w:cs="Times New Roman" w:eastAsia="Times New Roman" w:hAnsi="Times New Roman"/>
          <w:sz w:val="19"/>
          <w:szCs w:val="19"/>
          <w:u w:val="single" w:color="auto"/>
          <w:color w:val="auto"/>
        </w:rPr>
        <w:t>Borrower</w:t>
      </w:r>
      <w:r>
        <w:rPr>
          <w:rFonts w:ascii="Times New Roman" w:cs="Times New Roman" w:eastAsia="Times New Roman" w:hAnsi="Times New Roman"/>
          <w:sz w:val="19"/>
          <w:szCs w:val="19"/>
          <w:color w:val="auto"/>
        </w:rPr>
        <w:t>”), the several banks and other financial institutions or entities parties to this Amendment (collectively, referred to as the “</w:t>
      </w:r>
      <w:r>
        <w:rPr>
          <w:rFonts w:ascii="Times New Roman" w:cs="Times New Roman" w:eastAsia="Times New Roman" w:hAnsi="Times New Roman"/>
          <w:sz w:val="19"/>
          <w:szCs w:val="19"/>
          <w:u w:val="single" w:color="auto"/>
          <w:color w:val="auto"/>
        </w:rPr>
        <w:t>Required Lenders</w:t>
      </w:r>
      <w:r>
        <w:rPr>
          <w:rFonts w:ascii="Times New Roman" w:cs="Times New Roman" w:eastAsia="Times New Roman" w:hAnsi="Times New Roman"/>
          <w:sz w:val="19"/>
          <w:szCs w:val="19"/>
          <w:color w:val="auto"/>
        </w:rPr>
        <w:t>”), and HERCULES CAPITAL, INC., a Maryland corporation, in its capacity as administrative agent and collateral agent for itself and the Lenders (as defined in the Loan Agreement) (together with its successors and assigns, in such capacity, the “</w:t>
      </w:r>
      <w:r>
        <w:rPr>
          <w:rFonts w:ascii="Times New Roman" w:cs="Times New Roman" w:eastAsia="Times New Roman" w:hAnsi="Times New Roman"/>
          <w:sz w:val="19"/>
          <w:szCs w:val="19"/>
          <w:u w:val="single" w:color="auto"/>
          <w:color w:val="auto"/>
        </w:rPr>
        <w:t>Agent</w:t>
      </w:r>
      <w:r>
        <w:rPr>
          <w:rFonts w:ascii="Times New Roman" w:cs="Times New Roman" w:eastAsia="Times New Roman" w:hAnsi="Times New Roman"/>
          <w:sz w:val="19"/>
          <w:szCs w:val="19"/>
          <w:color w:val="auto"/>
        </w:rPr>
        <w:t>”).</w:t>
      </w:r>
    </w:p>
    <w:p>
      <w:pPr>
        <w:spacing w:after="0" w:line="173" w:lineRule="exact"/>
        <w:rPr>
          <w:sz w:val="20"/>
          <w:szCs w:val="20"/>
          <w:color w:val="auto"/>
        </w:rPr>
      </w:pPr>
    </w:p>
    <w:p>
      <w:pPr>
        <w:jc w:val="both"/>
        <w:ind w:firstLine="757"/>
        <w:spacing w:after="0" w:line="246" w:lineRule="auto"/>
        <w:tabs>
          <w:tab w:leader="none" w:pos="101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Lenders and the Agent are parties to that certain Loan and Security Agreement, dated as of September 17, 2021 (as amended by that certain Consent and First Amendment to Loan and Security Agreement dated as of May 3, 2022, as further amended by that certain Second Amendment to Loan and Security Agreement dated as of September 26, 2022, and as further amended, restated, supplemented or otherwise modified from time to time prior to the date of this Amendment, the “</w:t>
      </w:r>
      <w:r>
        <w:rPr>
          <w:rFonts w:ascii="Times New Roman" w:cs="Times New Roman" w:eastAsia="Times New Roman" w:hAnsi="Times New Roman"/>
          <w:sz w:val="20"/>
          <w:szCs w:val="20"/>
          <w:u w:val="single" w:color="auto"/>
          <w:color w:val="auto"/>
        </w:rPr>
        <w:t>Loan Agreement</w:t>
      </w:r>
      <w:r>
        <w:rPr>
          <w:rFonts w:ascii="Times New Roman" w:cs="Times New Roman" w:eastAsia="Times New Roman" w:hAnsi="Times New Roman"/>
          <w:sz w:val="20"/>
          <w:szCs w:val="20"/>
          <w:color w:val="auto"/>
        </w:rPr>
        <w:t>”). The Lenders have extended credit to Borrower for the purposes permitted in the Loan Agreement.</w:t>
      </w:r>
    </w:p>
    <w:p>
      <w:pPr>
        <w:spacing w:after="0" w:line="184" w:lineRule="exact"/>
        <w:rPr>
          <w:rFonts w:ascii="Times New Roman" w:cs="Times New Roman" w:eastAsia="Times New Roman" w:hAnsi="Times New Roman"/>
          <w:sz w:val="18"/>
          <w:szCs w:val="18"/>
          <w:color w:val="auto"/>
        </w:rPr>
      </w:pPr>
    </w:p>
    <w:p>
      <w:pPr>
        <w:jc w:val="both"/>
        <w:ind w:firstLine="757"/>
        <w:spacing w:after="0" w:line="245" w:lineRule="auto"/>
        <w:tabs>
          <w:tab w:leader="none" w:pos="101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Borrower has requested that Agent and the Required Lenders amend the Loan Agreement to (i) adjust the availability of Tranche II and Tranche III and the Term Loan Advances pursuant to Section 2.1(a)(ii) and Section 2.1(a)(iii) of the Loan Agreement, (ii) adjust the parameters of the performance covenant set forth in Section 7.20(b) of the Loan Agreement, and (iii) make certain other revisions to the Loan Agreement as more fully set forth herein. Agent and Required Lenders have agreed to so amend certain provisions of the Loan Agreement, but only to the extent, in accordance with the terms, subject to the conditions and in reliance upon the representations and warranties set forth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w:t>
      </w:r>
      <w:r>
        <w:rPr>
          <w:rFonts w:ascii="Times New Roman" w:cs="Times New Roman" w:eastAsia="Times New Roman" w:hAnsi="Times New Roman"/>
          <w:sz w:val="19"/>
          <w:szCs w:val="19"/>
          <w:b w:val="1"/>
          <w:bCs w:val="1"/>
          <w:color w:val="auto"/>
        </w:rPr>
        <w:t>Definitions; Interpretation.</w:t>
      </w:r>
    </w:p>
    <w:p>
      <w:pPr>
        <w:spacing w:after="0" w:line="227" w:lineRule="exact"/>
        <w:rPr>
          <w:sz w:val="20"/>
          <w:szCs w:val="20"/>
          <w:color w:val="auto"/>
        </w:rPr>
      </w:pPr>
    </w:p>
    <w:p>
      <w:pPr>
        <w:jc w:val="both"/>
        <w:ind w:firstLine="757"/>
        <w:spacing w:after="0" w:line="256" w:lineRule="auto"/>
        <w:tabs>
          <w:tab w:leader="none" w:pos="10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Terms Defined in Loan Agreement</w:t>
      </w:r>
      <w:r>
        <w:rPr>
          <w:rFonts w:ascii="Times New Roman" w:cs="Times New Roman" w:eastAsia="Times New Roman" w:hAnsi="Times New Roman"/>
          <w:sz w:val="20"/>
          <w:szCs w:val="20"/>
          <w:color w:val="auto"/>
        </w:rPr>
        <w:t>. All capitalized terms used in this Amendment (including in the recitals hereof) and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defined herein shall have the meanings assigned to them in the Loan Agreement (as amended by this Amendment). For the purposes of this Amendment:</w:t>
      </w:r>
    </w:p>
    <w:p>
      <w:pPr>
        <w:spacing w:after="0" w:line="168"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 II Term Commitment</w:t>
      </w:r>
      <w:r>
        <w:rPr>
          <w:rFonts w:ascii="Times New Roman" w:cs="Times New Roman" w:eastAsia="Times New Roman" w:hAnsi="Times New Roman"/>
          <w:sz w:val="20"/>
          <w:szCs w:val="20"/>
          <w:color w:val="auto"/>
        </w:rPr>
        <w:t>” means as to any Lender, the obligation of such Lender, if any, to make a Term Loan Advance to Borrower in a principal amount not to exceed the amount set forth under the heading “Tranche II Commitment” opposite such Lender’s name on Schedule 1.1(a).</w:t>
      </w:r>
    </w:p>
    <w:p>
      <w:pPr>
        <w:spacing w:after="0" w:line="168" w:lineRule="exact"/>
        <w:rPr>
          <w:rFonts w:ascii="Times New Roman" w:cs="Times New Roman" w:eastAsia="Times New Roman" w:hAnsi="Times New Roman"/>
          <w:sz w:val="18"/>
          <w:szCs w:val="18"/>
          <w:color w:val="auto"/>
        </w:rPr>
      </w:pPr>
    </w:p>
    <w:p>
      <w:pPr>
        <w:jc w:val="both"/>
        <w:ind w:firstLine="1505"/>
        <w:spacing w:after="0" w:line="256" w:lineRule="auto"/>
        <w:tabs>
          <w:tab w:leader="none" w:pos="20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Tranche III Term Commitment</w:t>
      </w:r>
      <w:r>
        <w:rPr>
          <w:rFonts w:ascii="Times New Roman" w:cs="Times New Roman" w:eastAsia="Times New Roman" w:hAnsi="Times New Roman"/>
          <w:sz w:val="20"/>
          <w:szCs w:val="20"/>
          <w:color w:val="auto"/>
        </w:rPr>
        <w:t>” means as to any Lender, the obligation of such Lender, if any, to make a Term Loan Advance to Borrower in a principal amount not to exceed the amount set forth under the heading “Tranche III Commitment” opposite such Lender’s name on Schedule 1.1(a).</w:t>
      </w:r>
    </w:p>
    <w:p>
      <w:pPr>
        <w:spacing w:after="0" w:line="168" w:lineRule="exact"/>
        <w:rPr>
          <w:rFonts w:ascii="Times New Roman" w:cs="Times New Roman" w:eastAsia="Times New Roman" w:hAnsi="Times New Roman"/>
          <w:sz w:val="18"/>
          <w:szCs w:val="18"/>
          <w:color w:val="auto"/>
        </w:rPr>
      </w:pPr>
    </w:p>
    <w:p>
      <w:pPr>
        <w:ind w:firstLine="757"/>
        <w:spacing w:after="0" w:line="273" w:lineRule="auto"/>
        <w:tabs>
          <w:tab w:leader="none" w:pos="101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Rules of Construction</w:t>
      </w:r>
      <w:r>
        <w:rPr>
          <w:rFonts w:ascii="Times New Roman" w:cs="Times New Roman" w:eastAsia="Times New Roman" w:hAnsi="Times New Roman"/>
          <w:sz w:val="20"/>
          <w:szCs w:val="20"/>
          <w:color w:val="auto"/>
        </w:rPr>
        <w:t>. The rules of construction in Section 1.2 of the Loan Agreement shall be applicable to this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are incorporated herein by this reference.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w:t>
      </w:r>
      <w:r>
        <w:rPr>
          <w:rFonts w:ascii="Times New Roman" w:cs="Times New Roman" w:eastAsia="Times New Roman" w:hAnsi="Times New Roman"/>
          <w:sz w:val="19"/>
          <w:szCs w:val="19"/>
          <w:b w:val="1"/>
          <w:bCs w:val="1"/>
          <w:color w:val="auto"/>
        </w:rPr>
        <w:t>Amendments to the Loan Agreement.</w:t>
      </w:r>
    </w:p>
    <w:p>
      <w:pPr>
        <w:spacing w:after="0" w:line="231" w:lineRule="exact"/>
        <w:rPr>
          <w:sz w:val="20"/>
          <w:szCs w:val="20"/>
          <w:color w:val="auto"/>
        </w:rPr>
      </w:pPr>
    </w:p>
    <w:p>
      <w:pPr>
        <w:ind w:left="1020" w:hanging="263"/>
        <w:spacing w:after="0"/>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Upon the occurrence of the Third Amendment Effective Date, the Loan Agreement is hereby amended as follows:</w:t>
      </w:r>
    </w:p>
    <w:p>
      <w:pPr>
        <w:spacing w:after="0" w:line="21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New Definition</w:t>
      </w:r>
      <w:r>
        <w:rPr>
          <w:rFonts w:ascii="Times New Roman" w:cs="Times New Roman" w:eastAsia="Times New Roman" w:hAnsi="Times New Roman"/>
          <w:sz w:val="20"/>
          <w:szCs w:val="20"/>
          <w:color w:val="auto"/>
        </w:rPr>
        <w:t>.  The following definitions are added to Section 1.1 of the Loan Agreement in their proper</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alphabetical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1" w:name="page62"/>
    <w:bookmarkEnd w:id="61"/>
    <w:p>
      <w:pPr>
        <w:jc w:val="both"/>
        <w:ind w:left="1500" w:firstLine="396"/>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Availability Trigger</w:t>
      </w:r>
      <w:r>
        <w:rPr>
          <w:rFonts w:ascii="Times New Roman" w:cs="Times New Roman" w:eastAsia="Times New Roman" w:hAnsi="Times New Roman"/>
          <w:sz w:val="20"/>
          <w:szCs w:val="20"/>
          <w:color w:val="auto"/>
        </w:rPr>
        <w:t>” means the earliest to occur of (a) October 1, 2023, (b) the date on which the EE Milestone is achieved, and (c) any earlier date specified in writing as the “Availability Trigger” by the Agent, acting at the direction of the Required Lenders, in turn, solely with respect to this clause (c), acting pursuant to a determination by the Agent’s investment committee in such committee’s sole and unfettered discretion.</w:t>
      </w:r>
    </w:p>
    <w:p>
      <w:pPr>
        <w:spacing w:after="0" w:line="180" w:lineRule="exact"/>
        <w:rPr>
          <w:sz w:val="20"/>
          <w:szCs w:val="20"/>
          <w:color w:val="auto"/>
        </w:rPr>
      </w:pPr>
    </w:p>
    <w:p>
      <w:pPr>
        <w:ind w:left="1500" w:firstLine="396"/>
        <w:spacing w:after="0" w:line="269" w:lineRule="auto"/>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Third Amendment</w:t>
      </w:r>
      <w:r>
        <w:rPr>
          <w:rFonts w:ascii="Times New Roman" w:cs="Times New Roman" w:eastAsia="Times New Roman" w:hAnsi="Times New Roman"/>
          <w:sz w:val="20"/>
          <w:szCs w:val="20"/>
          <w:color w:val="auto"/>
        </w:rPr>
        <w:t>” means that certain Third Amendment to Loan and Security Agreement, dated as of May 9, 2023, by and among the Borrower, Agent and the Lenders party thereto.</w:t>
      </w:r>
    </w:p>
    <w:p>
      <w:pPr>
        <w:spacing w:after="0" w:line="15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Third Amendment Effective Date</w:t>
      </w:r>
      <w:r>
        <w:rPr>
          <w:rFonts w:ascii="Times New Roman" w:cs="Times New Roman" w:eastAsia="Times New Roman" w:hAnsi="Times New Roman"/>
          <w:sz w:val="20"/>
          <w:szCs w:val="20"/>
          <w:color w:val="auto"/>
        </w:rPr>
        <w:t>” has the meaning given to such term in the Third Amendment.</w:t>
      </w:r>
    </w:p>
    <w:p>
      <w:pPr>
        <w:spacing w:after="0" w:line="2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Tranche II</w:t>
      </w:r>
      <w:r>
        <w:rPr>
          <w:rFonts w:ascii="Times New Roman" w:cs="Times New Roman" w:eastAsia="Times New Roman" w:hAnsi="Times New Roman"/>
          <w:sz w:val="20"/>
          <w:szCs w:val="20"/>
          <w:color w:val="auto"/>
        </w:rPr>
        <w:t>” means the advances pursuant to Section 2.1(a)(ii).”</w:t>
      </w:r>
    </w:p>
    <w:p>
      <w:pPr>
        <w:spacing w:after="0" w:line="216" w:lineRule="exact"/>
        <w:rPr>
          <w:sz w:val="20"/>
          <w:szCs w:val="20"/>
          <w:color w:val="auto"/>
        </w:rPr>
      </w:pPr>
    </w:p>
    <w:p>
      <w:pPr>
        <w:ind w:firstLine="1505"/>
        <w:spacing w:after="0" w:line="269" w:lineRule="auto"/>
        <w:tabs>
          <w:tab w:leader="none" w:pos="20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Amended and Restated Definitions</w:t>
      </w:r>
      <w:r>
        <w:rPr>
          <w:rFonts w:ascii="Times New Roman" w:cs="Times New Roman" w:eastAsia="Times New Roman" w:hAnsi="Times New Roman"/>
          <w:sz w:val="20"/>
          <w:szCs w:val="20"/>
          <w:color w:val="auto"/>
        </w:rPr>
        <w:t>. The following definitions appearing in Section 1.1 of the Loan Agreement are hereby amended in their entirety and replaced with the following:</w:t>
      </w:r>
    </w:p>
    <w:p>
      <w:pPr>
        <w:spacing w:after="0" w:line="159" w:lineRule="exact"/>
        <w:rPr>
          <w:sz w:val="20"/>
          <w:szCs w:val="20"/>
          <w:color w:val="auto"/>
        </w:rPr>
      </w:pPr>
    </w:p>
    <w:p>
      <w:pPr>
        <w:jc w:val="both"/>
        <w:ind w:left="150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Covenant B</w:t>
      </w:r>
      <w:r>
        <w:rPr>
          <w:rFonts w:ascii="Times New Roman" w:cs="Times New Roman" w:eastAsia="Times New Roman" w:hAnsi="Times New Roman"/>
          <w:sz w:val="20"/>
          <w:szCs w:val="20"/>
          <w:color w:val="auto"/>
        </w:rPr>
        <w:t>” means that Borrower at all times maintains Qualified Cash in an amount greater than or equal to (x) the outstanding principal amount of the Term Loan Advances, multiplied by (y) (i) at all times prior to the Approval Milestone II Date, 65% and (ii) at all times on and after the Approval Milestone II Date, 45%.</w:t>
      </w:r>
    </w:p>
    <w:p>
      <w:pPr>
        <w:spacing w:after="0" w:line="174" w:lineRule="exact"/>
        <w:rPr>
          <w:sz w:val="20"/>
          <w:szCs w:val="20"/>
          <w:color w:val="auto"/>
        </w:rPr>
      </w:pPr>
    </w:p>
    <w:p>
      <w:pPr>
        <w:jc w:val="both"/>
        <w:ind w:left="1500" w:firstLine="749"/>
        <w:spacing w:after="0" w:line="27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Performance Covenant C</w:t>
      </w:r>
      <w:r>
        <w:rPr>
          <w:rFonts w:ascii="Times New Roman" w:cs="Times New Roman" w:eastAsia="Times New Roman" w:hAnsi="Times New Roman"/>
          <w:sz w:val="19"/>
          <w:szCs w:val="19"/>
          <w:color w:val="auto"/>
        </w:rPr>
        <w:t>” means Borrower’s achievement of T3M Net Product Revenue equal to or greater than the least of (i) 50% of the amount set forth for the applicable month in the Performance Covenant C Schedule, (ii) (x) the outstanding principal amount of the Term Loan Advances divided by (y) 2.75, and (iii) $65,000,000, tested monthly.</w:t>
      </w:r>
    </w:p>
    <w:p>
      <w:pPr>
        <w:spacing w:after="0" w:line="156" w:lineRule="exact"/>
        <w:rPr>
          <w:sz w:val="20"/>
          <w:szCs w:val="20"/>
          <w:color w:val="auto"/>
        </w:rPr>
      </w:pPr>
    </w:p>
    <w:p>
      <w:pPr>
        <w:jc w:val="both"/>
        <w:ind w:left="150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Performance Covenant C Schedule</w:t>
      </w:r>
      <w:r>
        <w:rPr>
          <w:rFonts w:ascii="Times New Roman" w:cs="Times New Roman" w:eastAsia="Times New Roman" w:hAnsi="Times New Roman"/>
          <w:sz w:val="20"/>
          <w:szCs w:val="20"/>
          <w:color w:val="auto"/>
        </w:rPr>
        <w:t>” means that certain Performance Covenant C Schedule delivered by Borrower to the Agent, and approved by the Agent, after the Closing Date but prior to the Third Amendment Effective Date.</w:t>
      </w:r>
    </w:p>
    <w:p>
      <w:pPr>
        <w:spacing w:after="0" w:line="174" w:lineRule="exact"/>
        <w:rPr>
          <w:sz w:val="20"/>
          <w:szCs w:val="20"/>
          <w:color w:val="auto"/>
        </w:rPr>
      </w:pPr>
    </w:p>
    <w:p>
      <w:pPr>
        <w:jc w:val="both"/>
        <w:ind w:left="1500" w:firstLine="749"/>
        <w:spacing w:after="0" w:line="26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Performance Test Period</w:t>
      </w:r>
      <w:r>
        <w:rPr>
          <w:rFonts w:ascii="Times New Roman" w:cs="Times New Roman" w:eastAsia="Times New Roman" w:hAnsi="Times New Roman"/>
          <w:sz w:val="19"/>
          <w:szCs w:val="19"/>
          <w:color w:val="auto"/>
        </w:rPr>
        <w:t>” means each of (a) the period commencing on November 15, 2023 and ending on the earlier of (i) so long as the Borrower satisfies the EE Milestone prior to February 15, 2024, the date on which the Borrower satisfies the EE Milestone, and (ii) otherwise, the Term Loan Maturity Date, and (b) if the Borrower satisfies the</w:t>
      </w:r>
    </w:p>
    <w:p>
      <w:pPr>
        <w:jc w:val="both"/>
        <w:ind w:left="1500" w:firstLine="5"/>
        <w:spacing w:after="0" w:line="242" w:lineRule="auto"/>
        <w:tabs>
          <w:tab w:leader="none" w:pos="1792"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Milestone prior to February 15, 2024, the period commencing on May 15, 2024 and ending on the Term Loan Maturity Date; provided, for the purposes of clauses (a) and (b) above, the Performance Test Period shall not take effect at any time until the outstanding principal amount of the Term Loan Advances is greater than $100,000,000.</w:t>
      </w:r>
    </w:p>
    <w:p>
      <w:pPr>
        <w:spacing w:after="0" w:line="187" w:lineRule="exact"/>
        <w:rPr>
          <w:sz w:val="20"/>
          <w:szCs w:val="20"/>
          <w:color w:val="auto"/>
        </w:rPr>
      </w:pPr>
    </w:p>
    <w:p>
      <w:pPr>
        <w:jc w:val="both"/>
        <w:ind w:left="1500" w:firstLine="749"/>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Term Commitment</w:t>
      </w:r>
      <w:r>
        <w:rPr>
          <w:rFonts w:ascii="Times New Roman" w:cs="Times New Roman" w:eastAsia="Times New Roman" w:hAnsi="Times New Roman"/>
          <w:sz w:val="20"/>
          <w:szCs w:val="20"/>
          <w:color w:val="auto"/>
        </w:rPr>
        <w:t>” means as to any Lender, the obligation of such Lender, if any, to make a Term Loan Advance to Borrower in a principal amount not to exceed the amount set forth under the heading “Total Commitment” opposite such Lender’s name on Schedule 1.1(a).”</w:t>
      </w:r>
    </w:p>
    <w:p>
      <w:pPr>
        <w:spacing w:after="0" w:line="174" w:lineRule="exact"/>
        <w:rPr>
          <w:sz w:val="20"/>
          <w:szCs w:val="20"/>
          <w:color w:val="auto"/>
        </w:rPr>
      </w:pPr>
    </w:p>
    <w:p>
      <w:pPr>
        <w:ind w:left="2040" w:hanging="535"/>
        <w:spacing w:after="0"/>
        <w:tabs>
          <w:tab w:leader="none" w:pos="2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Tranche II Commitment</w:t>
      </w:r>
      <w:r>
        <w:rPr>
          <w:rFonts w:ascii="Times New Roman" w:cs="Times New Roman" w:eastAsia="Times New Roman" w:hAnsi="Times New Roman"/>
          <w:sz w:val="20"/>
          <w:szCs w:val="20"/>
          <w:color w:val="auto"/>
        </w:rPr>
        <w:t>. Section 2.1(a)(ii) of the Loan Agreement is hereby amended in its entirety and replaced</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the following: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2" w:name="page63"/>
    <w:bookmarkEnd w:id="62"/>
    <w:p>
      <w:pPr>
        <w:jc w:val="both"/>
        <w:ind w:left="1500" w:firstLine="749"/>
        <w:spacing w:after="0" w:line="247" w:lineRule="auto"/>
        <w:rPr>
          <w:sz w:val="20"/>
          <w:szCs w:val="20"/>
          <w:color w:val="auto"/>
        </w:rPr>
      </w:pPr>
      <w:r>
        <w:rPr>
          <w:rFonts w:ascii="Times New Roman" w:cs="Times New Roman" w:eastAsia="Times New Roman" w:hAnsi="Times New Roman"/>
          <w:sz w:val="20"/>
          <w:szCs w:val="20"/>
          <w:color w:val="auto"/>
        </w:rPr>
        <w:t xml:space="preserve">“(ii) </w:t>
      </w:r>
      <w:r>
        <w:rPr>
          <w:rFonts w:ascii="Times New Roman" w:cs="Times New Roman" w:eastAsia="Times New Roman" w:hAnsi="Times New Roman"/>
          <w:sz w:val="20"/>
          <w:szCs w:val="20"/>
          <w:i w:val="1"/>
          <w:iCs w:val="1"/>
          <w:color w:val="auto"/>
        </w:rPr>
        <w:t>Tranche II</w:t>
      </w:r>
      <w:r>
        <w:rPr>
          <w:rFonts w:ascii="Times New Roman" w:cs="Times New Roman" w:eastAsia="Times New Roman" w:hAnsi="Times New Roman"/>
          <w:sz w:val="20"/>
          <w:szCs w:val="20"/>
          <w:color w:val="auto"/>
        </w:rPr>
        <w:t xml:space="preserve">. Subject to the terms and conditions of this Agreement, beginning on the occurrence of the Availability Trigger and continuing through December 15, 2023, Borrower may request, and Lenders shall severally (and not jointly) make, one or more additional Term Loan Advances in minimum increments of $25,000,000 (or if less than $25,000,000 the remaining amount of Term Loan Advances available to be drawn pursuant to this </w:t>
      </w:r>
      <w:r>
        <w:rPr>
          <w:rFonts w:ascii="Times New Roman" w:cs="Times New Roman" w:eastAsia="Times New Roman" w:hAnsi="Times New Roman"/>
          <w:sz w:val="20"/>
          <w:szCs w:val="20"/>
          <w:u w:val="single" w:color="auto"/>
          <w:color w:val="auto"/>
        </w:rPr>
        <w:t>Section 2.1(a)(ii)</w:t>
      </w:r>
      <w:r>
        <w:rPr>
          <w:rFonts w:ascii="Times New Roman" w:cs="Times New Roman" w:eastAsia="Times New Roman" w:hAnsi="Times New Roman"/>
          <w:sz w:val="20"/>
          <w:szCs w:val="20"/>
          <w:color w:val="auto"/>
        </w:rPr>
        <w:t>) in an aggregate principal amount up to $50,000,000.”</w:t>
      </w:r>
    </w:p>
    <w:p>
      <w:pPr>
        <w:spacing w:after="0" w:line="184" w:lineRule="exact"/>
        <w:rPr>
          <w:sz w:val="20"/>
          <w:szCs w:val="20"/>
          <w:color w:val="auto"/>
        </w:rPr>
      </w:pPr>
    </w:p>
    <w:p>
      <w:pPr>
        <w:ind w:left="2040" w:hanging="535"/>
        <w:spacing w:after="0"/>
        <w:tabs>
          <w:tab w:leader="none" w:pos="2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Tranche III Commitment</w:t>
      </w:r>
      <w:r>
        <w:rPr>
          <w:rFonts w:ascii="Times New Roman" w:cs="Times New Roman" w:eastAsia="Times New Roman" w:hAnsi="Times New Roman"/>
          <w:sz w:val="20"/>
          <w:szCs w:val="20"/>
          <w:color w:val="auto"/>
        </w:rPr>
        <w:t>. Section 2.1(a)(iii) of the Loan Agreement is hereby amended in its entirety and replaced</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the following:</w:t>
      </w:r>
    </w:p>
    <w:p>
      <w:pPr>
        <w:spacing w:after="0" w:line="190" w:lineRule="exact"/>
        <w:rPr>
          <w:sz w:val="20"/>
          <w:szCs w:val="20"/>
          <w:color w:val="auto"/>
        </w:rPr>
      </w:pPr>
    </w:p>
    <w:p>
      <w:pPr>
        <w:jc w:val="both"/>
        <w:ind w:left="1500" w:firstLine="749"/>
        <w:spacing w:after="0" w:line="256" w:lineRule="auto"/>
        <w:rPr>
          <w:sz w:val="20"/>
          <w:szCs w:val="20"/>
          <w:color w:val="auto"/>
        </w:rPr>
      </w:pPr>
      <w:r>
        <w:rPr>
          <w:rFonts w:ascii="Times New Roman" w:cs="Times New Roman" w:eastAsia="Times New Roman" w:hAnsi="Times New Roman"/>
          <w:sz w:val="20"/>
          <w:szCs w:val="20"/>
          <w:color w:val="auto"/>
        </w:rPr>
        <w:t xml:space="preserve">“(iii) </w:t>
      </w:r>
      <w:r>
        <w:rPr>
          <w:rFonts w:ascii="Times New Roman" w:cs="Times New Roman" w:eastAsia="Times New Roman" w:hAnsi="Times New Roman"/>
          <w:sz w:val="20"/>
          <w:szCs w:val="20"/>
          <w:i w:val="1"/>
          <w:iCs w:val="1"/>
          <w:color w:val="auto"/>
        </w:rPr>
        <w:t>Tranche III</w:t>
      </w:r>
      <w:r>
        <w:rPr>
          <w:rFonts w:ascii="Times New Roman" w:cs="Times New Roman" w:eastAsia="Times New Roman" w:hAnsi="Times New Roman"/>
          <w:sz w:val="20"/>
          <w:szCs w:val="20"/>
          <w:color w:val="auto"/>
        </w:rPr>
        <w:t>. Subject to the terms and conditions of this Agreement, beginning on the occurrence of the Availability Trigger and continuing through December 15, 2023, Borrower may request, and Lenders shall severally (and not jointly) make, a single Term Loan Advance in a principal amount of $25,000,000.”</w:t>
      </w:r>
    </w:p>
    <w:p>
      <w:pPr>
        <w:spacing w:after="0" w:line="173" w:lineRule="exact"/>
        <w:rPr>
          <w:sz w:val="20"/>
          <w:szCs w:val="20"/>
          <w:color w:val="auto"/>
        </w:rPr>
      </w:pPr>
    </w:p>
    <w:p>
      <w:pPr>
        <w:ind w:left="2040" w:hanging="535"/>
        <w:spacing w:after="0"/>
        <w:tabs>
          <w:tab w:leader="none" w:pos="2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Further Conditions Precedent</w:t>
      </w:r>
      <w:r>
        <w:rPr>
          <w:rFonts w:ascii="Times New Roman" w:cs="Times New Roman" w:eastAsia="Times New Roman" w:hAnsi="Times New Roman"/>
          <w:sz w:val="20"/>
          <w:szCs w:val="20"/>
          <w:color w:val="auto"/>
        </w:rPr>
        <w:t>.  Section 4.2 of the Loan Agreement is hereby amended in its entirety and replaced</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the following:</w:t>
      </w:r>
    </w:p>
    <w:p>
      <w:pPr>
        <w:spacing w:after="0" w:line="19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All Advances</w:t>
      </w:r>
      <w:r>
        <w:rPr>
          <w:rFonts w:ascii="Times New Roman" w:cs="Times New Roman" w:eastAsia="Times New Roman" w:hAnsi="Times New Roman"/>
          <w:sz w:val="20"/>
          <w:szCs w:val="20"/>
          <w:color w:val="auto"/>
        </w:rPr>
        <w:t>. On each Advance Date:</w:t>
      </w:r>
    </w:p>
    <w:p>
      <w:pPr>
        <w:spacing w:after="0" w:line="216" w:lineRule="exact"/>
        <w:rPr>
          <w:sz w:val="20"/>
          <w:szCs w:val="20"/>
          <w:color w:val="auto"/>
        </w:rPr>
      </w:pPr>
    </w:p>
    <w:p>
      <w:pPr>
        <w:jc w:val="both"/>
        <w:ind w:left="2260" w:firstLine="743"/>
        <w:spacing w:after="0" w:line="274" w:lineRule="auto"/>
        <w:tabs>
          <w:tab w:leader="none" w:pos="3404" w:val="left"/>
        </w:tabs>
        <w:numPr>
          <w:ilvl w:val="0"/>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Agent shall have received (i) an Advance Request for the relevant Advance as required by Section 2.1(b), duly executed by Borrower’s Chief Executive Officer, Chief Financial Officer or Chief Accounting Officer, and (ii) any other documents Agent may reasonably request in its good faith business discretion.</w:t>
      </w:r>
    </w:p>
    <w:p>
      <w:pPr>
        <w:spacing w:after="0" w:line="156" w:lineRule="exact"/>
        <w:rPr>
          <w:rFonts w:ascii="Times New Roman" w:cs="Times New Roman" w:eastAsia="Times New Roman" w:hAnsi="Times New Roman"/>
          <w:sz w:val="19"/>
          <w:szCs w:val="19"/>
          <w:color w:val="auto"/>
        </w:rPr>
      </w:pPr>
    </w:p>
    <w:p>
      <w:pPr>
        <w:jc w:val="both"/>
        <w:ind w:left="2260" w:right="20" w:firstLine="743"/>
        <w:spacing w:after="0" w:line="254" w:lineRule="auto"/>
        <w:tabs>
          <w:tab w:leader="none" w:pos="340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set forth in this Agreement shall be true and correct in all material respects on and as of the applicable Advance Date with the same effect as though made on and as of such date, except to the extent such representations and warranties expressly relate to an earlier date.</w:t>
      </w:r>
    </w:p>
    <w:p>
      <w:pPr>
        <w:spacing w:after="0" w:line="174" w:lineRule="exact"/>
        <w:rPr>
          <w:rFonts w:ascii="Times New Roman" w:cs="Times New Roman" w:eastAsia="Times New Roman" w:hAnsi="Times New Roman"/>
          <w:sz w:val="20"/>
          <w:szCs w:val="20"/>
          <w:color w:val="auto"/>
        </w:rPr>
      </w:pPr>
    </w:p>
    <w:p>
      <w:pPr>
        <w:jc w:val="both"/>
        <w:ind w:left="2260" w:firstLine="743"/>
        <w:spacing w:after="0" w:line="254" w:lineRule="auto"/>
        <w:tabs>
          <w:tab w:leader="none" w:pos="340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shall be in compliance with all the terms and provisions set forth herein and in each other Loan Document on its part to be observed or performed, and at the time of and immediately after such Advance no Event of Default shall have occurred and be continuing.</w:t>
      </w:r>
    </w:p>
    <w:p>
      <w:pPr>
        <w:spacing w:after="0" w:line="174" w:lineRule="exact"/>
        <w:rPr>
          <w:rFonts w:ascii="Times New Roman" w:cs="Times New Roman" w:eastAsia="Times New Roman" w:hAnsi="Times New Roman"/>
          <w:sz w:val="20"/>
          <w:szCs w:val="20"/>
          <w:color w:val="auto"/>
        </w:rPr>
      </w:pPr>
    </w:p>
    <w:p>
      <w:pPr>
        <w:ind w:left="2260" w:right="20" w:firstLine="743"/>
        <w:spacing w:after="0" w:line="269" w:lineRule="auto"/>
        <w:tabs>
          <w:tab w:leader="none" w:pos="340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Advance pursuant to Tranche III, Borrower shall have paid the Tranche III Facility Charge.</w:t>
      </w:r>
    </w:p>
    <w:p>
      <w:pPr>
        <w:spacing w:after="0" w:line="159" w:lineRule="exact"/>
        <w:rPr>
          <w:rFonts w:ascii="Times New Roman" w:cs="Times New Roman" w:eastAsia="Times New Roman" w:hAnsi="Times New Roman"/>
          <w:sz w:val="20"/>
          <w:szCs w:val="20"/>
          <w:color w:val="auto"/>
        </w:rPr>
      </w:pPr>
    </w:p>
    <w:p>
      <w:pPr>
        <w:ind w:left="2260" w:right="40" w:firstLine="743"/>
        <w:spacing w:after="0" w:line="269" w:lineRule="auto"/>
        <w:tabs>
          <w:tab w:leader="none" w:pos="340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Advance pursuant to Tranche IV, Borrower shall have paid the Tranche IV Facility Charge.</w:t>
      </w:r>
    </w:p>
    <w:p>
      <w:pPr>
        <w:spacing w:after="0" w:line="159" w:lineRule="exact"/>
        <w:rPr>
          <w:rFonts w:ascii="Times New Roman" w:cs="Times New Roman" w:eastAsia="Times New Roman" w:hAnsi="Times New Roman"/>
          <w:sz w:val="20"/>
          <w:szCs w:val="20"/>
          <w:color w:val="auto"/>
        </w:rPr>
      </w:pPr>
    </w:p>
    <w:p>
      <w:pPr>
        <w:ind w:left="2260" w:right="60" w:firstLine="743"/>
        <w:spacing w:after="0" w:line="269" w:lineRule="auto"/>
        <w:tabs>
          <w:tab w:leader="none" w:pos="340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shall have received, in form and substance reasonably satisfactory to Agent, Borrower’s duly executed original signatures to a Warrant substantially in the form set out in </w:t>
      </w: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left="2260" w:firstLine="749"/>
        <w:spacing w:after="0" w:line="254" w:lineRule="auto"/>
        <w:rPr>
          <w:sz w:val="20"/>
          <w:szCs w:val="20"/>
          <w:color w:val="auto"/>
        </w:rPr>
      </w:pPr>
      <w:r>
        <w:rPr>
          <w:rFonts w:ascii="Times New Roman" w:cs="Times New Roman" w:eastAsia="Times New Roman" w:hAnsi="Times New Roman"/>
          <w:sz w:val="20"/>
          <w:szCs w:val="20"/>
          <w:color w:val="auto"/>
        </w:rPr>
        <w:t>Each Advance Request shall be deemed to constitute a representation and warranty by Borrower on the relevant Advance Date as to the matters specified in subsections (b) and (c) of this Section 4.2 and as to the matters set forth in the Advance Request.”</w:t>
      </w:r>
    </w:p>
    <w:p>
      <w:pPr>
        <w:spacing w:after="0" w:line="2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63" w:name="page64"/>
    <w:bookmarkEnd w:id="63"/>
    <w:p>
      <w:pPr>
        <w:ind w:left="2040" w:hanging="535"/>
        <w:spacing w:after="0"/>
        <w:tabs>
          <w:tab w:leader="none" w:pos="2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Performance Covenant</w:t>
      </w:r>
      <w:r>
        <w:rPr>
          <w:rFonts w:ascii="Times New Roman" w:cs="Times New Roman" w:eastAsia="Times New Roman" w:hAnsi="Times New Roman"/>
          <w:sz w:val="20"/>
          <w:szCs w:val="20"/>
          <w:color w:val="auto"/>
        </w:rPr>
        <w:t>.  Section 7.20(b)(i) of the Loan Agreement is hereby amended in its entirety and replaced</w:t>
      </w:r>
    </w:p>
    <w:p>
      <w:pPr>
        <w:spacing w:after="0" w:line="2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with the following:</w:t>
      </w:r>
    </w:p>
    <w:p>
      <w:pPr>
        <w:spacing w:after="0" w:line="194" w:lineRule="exact"/>
        <w:rPr>
          <w:sz w:val="20"/>
          <w:szCs w:val="20"/>
          <w:color w:val="auto"/>
        </w:rPr>
      </w:pPr>
    </w:p>
    <w:p>
      <w:pPr>
        <w:ind w:left="1500" w:right="20" w:firstLine="749"/>
        <w:spacing w:after="0" w:line="269" w:lineRule="auto"/>
        <w:rPr>
          <w:sz w:val="20"/>
          <w:szCs w:val="20"/>
          <w:color w:val="auto"/>
        </w:rPr>
      </w:pPr>
      <w:r>
        <w:rPr>
          <w:rFonts w:ascii="Times New Roman" w:cs="Times New Roman" w:eastAsia="Times New Roman" w:hAnsi="Times New Roman"/>
          <w:sz w:val="20"/>
          <w:szCs w:val="20"/>
          <w:color w:val="auto"/>
        </w:rPr>
        <w:t>“(i) During all times a Performance Test Period is in effect, Borrower shall satisfy either of (i) Performance Covenant A or Performance Covenant B, tested at all times, or (ii) Performance Covenant C, tested monthly.”</w:t>
      </w:r>
    </w:p>
    <w:p>
      <w:pPr>
        <w:spacing w:after="0" w:line="159" w:lineRule="exact"/>
        <w:rPr>
          <w:sz w:val="20"/>
          <w:szCs w:val="20"/>
          <w:color w:val="auto"/>
        </w:rPr>
      </w:pPr>
    </w:p>
    <w:p>
      <w:pPr>
        <w:ind w:left="2040" w:hanging="535"/>
        <w:spacing w:after="0"/>
        <w:tabs>
          <w:tab w:leader="none" w:pos="2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Exhibit A to the Loan Agreement is hereby replaced with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attached hereto.</w:t>
      </w:r>
    </w:p>
    <w:p>
      <w:pPr>
        <w:spacing w:after="0" w:line="21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Exhibit E to the Loan Agreement is hereby replaced with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attached hereto.</w:t>
      </w:r>
    </w:p>
    <w:p>
      <w:pPr>
        <w:spacing w:after="0" w:line="215"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u w:val="single" w:color="auto"/>
          <w:color w:val="auto"/>
        </w:rPr>
        <w:t>Exhibit I</w:t>
      </w:r>
      <w:r>
        <w:rPr>
          <w:rFonts w:ascii="Times New Roman" w:cs="Times New Roman" w:eastAsia="Times New Roman" w:hAnsi="Times New Roman"/>
          <w:sz w:val="20"/>
          <w:szCs w:val="20"/>
          <w:color w:val="auto"/>
        </w:rPr>
        <w:t xml:space="preserve"> attached hereto is hereby added as Exhibit I of the Loan Agreement.</w:t>
      </w:r>
    </w:p>
    <w:p>
      <w:pPr>
        <w:spacing w:after="0" w:line="211"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References Within Loan Agreement</w:t>
      </w:r>
      <w:r>
        <w:rPr>
          <w:rFonts w:ascii="Times New Roman" w:cs="Times New Roman" w:eastAsia="Times New Roman" w:hAnsi="Times New Roman"/>
          <w:sz w:val="20"/>
          <w:szCs w:val="20"/>
          <w:color w:val="auto"/>
        </w:rPr>
        <w:t>. Each reference in the Loan Agreement to “this Agreement” and the words “hereof,”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“herein,” “hereunder”, or words of like import, shall mean and be a reference to the Loan Agreement as amended by this Amendment. This Amendment shall be a Loan Document.</w:t>
      </w:r>
    </w:p>
    <w:p>
      <w:pPr>
        <w:spacing w:after="0" w:line="16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SECTION 3</w:t>
      </w:r>
      <w:r>
        <w:rPr>
          <w:rFonts w:ascii="Times New Roman" w:cs="Times New Roman" w:eastAsia="Times New Roman" w:hAnsi="Times New Roman"/>
          <w:sz w:val="19"/>
          <w:szCs w:val="19"/>
          <w:b w:val="1"/>
          <w:bCs w:val="1"/>
          <w:color w:val="auto"/>
        </w:rPr>
        <w:t>Tranche Extension Amendment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Borrower will pay to Agent, for the account of the Lenders (to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i w:val="1"/>
          <w:iCs w:val="1"/>
          <w:color w:val="auto"/>
        </w:rPr>
        <w:t>pro rata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according to the aggregate of the Tranche II Term Commitment and the Tranche III Term Commitment of the relevant Lenders), an amendment fee (the “</w:t>
      </w:r>
      <w:r>
        <w:rPr>
          <w:rFonts w:ascii="Times New Roman" w:cs="Times New Roman" w:eastAsia="Times New Roman" w:hAnsi="Times New Roman"/>
          <w:sz w:val="19"/>
          <w:szCs w:val="19"/>
          <w:u w:val="single" w:color="auto"/>
          <w:color w:val="auto"/>
        </w:rPr>
        <w:t>Tranche Extension Amendment Fee</w:t>
      </w:r>
      <w:r>
        <w:rPr>
          <w:rFonts w:ascii="Times New Roman" w:cs="Times New Roman" w:eastAsia="Times New Roman" w:hAnsi="Times New Roman"/>
          <w:sz w:val="19"/>
          <w:szCs w:val="19"/>
          <w:color w:val="auto"/>
        </w:rPr>
        <w:t>”) equal to One Hundred Fifty Thousand Dollars ($150,000). The Tranche Extension Amendment Fee shall be fully earned, due and payable on the date hereof.</w:t>
      </w:r>
    </w:p>
    <w:p>
      <w:pPr>
        <w:spacing w:after="0" w:line="15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SECTION 4</w:t>
      </w:r>
      <w:r>
        <w:rPr>
          <w:rFonts w:ascii="Times New Roman" w:cs="Times New Roman" w:eastAsia="Times New Roman" w:hAnsi="Times New Roman"/>
          <w:sz w:val="19"/>
          <w:szCs w:val="19"/>
          <w:b w:val="1"/>
          <w:bCs w:val="1"/>
          <w:color w:val="auto"/>
        </w:rPr>
        <w:t>Covenant Extension Amendment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Borrower will pay to Agent, for the account of the Lenders (in accordance with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2.6 of the Loan Agreement), an amendment fee (the “</w:t>
      </w:r>
      <w:r>
        <w:rPr>
          <w:rFonts w:ascii="Times New Roman" w:cs="Times New Roman" w:eastAsia="Times New Roman" w:hAnsi="Times New Roman"/>
          <w:sz w:val="19"/>
          <w:szCs w:val="19"/>
          <w:u w:val="single" w:color="auto"/>
          <w:color w:val="auto"/>
        </w:rPr>
        <w:t>Covenant Extension Amendment Fee</w:t>
      </w:r>
      <w:r>
        <w:rPr>
          <w:rFonts w:ascii="Times New Roman" w:cs="Times New Roman" w:eastAsia="Times New Roman" w:hAnsi="Times New Roman"/>
          <w:sz w:val="19"/>
          <w:szCs w:val="19"/>
          <w:color w:val="auto"/>
        </w:rPr>
        <w:t>”) equal to One Hundred Thousand Dollars ($100,000). The Covenant Extension Amendment Fee shall be fully earned, due and payable on the date hereof.</w:t>
      </w:r>
    </w:p>
    <w:p>
      <w:pPr>
        <w:spacing w:after="0" w:line="151"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b w:val="1"/>
          <w:bCs w:val="1"/>
          <w:color w:val="auto"/>
        </w:rPr>
        <w:t>SECTION 5</w:t>
      </w:r>
      <w:r>
        <w:rPr>
          <w:rFonts w:ascii="Times New Roman" w:cs="Times New Roman" w:eastAsia="Times New Roman" w:hAnsi="Times New Roman"/>
          <w:sz w:val="19"/>
          <w:szCs w:val="19"/>
          <w:b w:val="1"/>
          <w:bCs w:val="1"/>
          <w:color w:val="auto"/>
        </w:rPr>
        <w:t>Conditions of Effectiveness</w:t>
      </w:r>
      <w:r>
        <w:rPr>
          <w:rFonts w:ascii="Times New Roman" w:cs="Times New Roman" w:eastAsia="Times New Roman" w:hAnsi="Times New Roman"/>
          <w:sz w:val="19"/>
          <w:szCs w:val="19"/>
          <w:color w:val="auto"/>
        </w:rPr>
        <w:t>. The effectiveness of this Amendment (the “</w:t>
      </w:r>
      <w:r>
        <w:rPr>
          <w:rFonts w:ascii="Times New Roman" w:cs="Times New Roman" w:eastAsia="Times New Roman" w:hAnsi="Times New Roman"/>
          <w:sz w:val="19"/>
          <w:szCs w:val="19"/>
          <w:u w:val="single" w:color="auto"/>
          <w:color w:val="auto"/>
        </w:rPr>
        <w:t>Third Amendment Effective Date</w:t>
      </w:r>
      <w:r>
        <w:rPr>
          <w:rFonts w:ascii="Times New Roman" w:cs="Times New Roman" w:eastAsia="Times New Roman" w:hAnsi="Times New Roman"/>
          <w:sz w:val="19"/>
          <w:szCs w:val="19"/>
          <w:color w:val="auto"/>
        </w:rPr>
        <w:t>”) shall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Agent’s receipt of the following documents, in form and substance satisfactory to Agent, or, as applicable, the following conditions being met:</w:t>
      </w:r>
    </w:p>
    <w:p>
      <w:pPr>
        <w:spacing w:after="0" w:line="384" w:lineRule="exact"/>
        <w:rPr>
          <w:sz w:val="20"/>
          <w:szCs w:val="20"/>
          <w:color w:val="auto"/>
        </w:rPr>
      </w:pPr>
    </w:p>
    <w:p>
      <w:pPr>
        <w:ind w:left="1020" w:hanging="26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Amendment, executed by Agent, each Required Lender and Borrower;</w:t>
      </w:r>
    </w:p>
    <w:p>
      <w:pPr>
        <w:spacing w:after="0" w:line="21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First Amendment to Warrant, executed by each Lender and Phathom;</w:t>
      </w:r>
    </w:p>
    <w:p>
      <w:pPr>
        <w:spacing w:after="0" w:line="215" w:lineRule="exact"/>
        <w:rPr>
          <w:rFonts w:ascii="Times New Roman" w:cs="Times New Roman" w:eastAsia="Times New Roman" w:hAnsi="Times New Roman"/>
          <w:sz w:val="18"/>
          <w:szCs w:val="18"/>
          <w:color w:val="auto"/>
        </w:rPr>
      </w:pPr>
    </w:p>
    <w:p>
      <w:pPr>
        <w:jc w:val="both"/>
        <w:ind w:firstLine="757"/>
        <w:spacing w:after="0" w:line="254" w:lineRule="auto"/>
        <w:tabs>
          <w:tab w:leader="none" w:pos="10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Borrower shall have paid (i) the Tranche Extension Amendment Fee, (ii) Covenant Extension Amendment Fee, (iii) all invoiced costs and expenses then due in accordance with </w:t>
      </w:r>
      <w:r>
        <w:rPr>
          <w:rFonts w:ascii="Times New Roman" w:cs="Times New Roman" w:eastAsia="Times New Roman" w:hAnsi="Times New Roman"/>
          <w:sz w:val="20"/>
          <w:szCs w:val="20"/>
          <w:u w:val="single" w:color="auto"/>
          <w:color w:val="auto"/>
        </w:rPr>
        <w:t>Section 8(d)</w:t>
      </w:r>
      <w:r>
        <w:rPr>
          <w:rFonts w:ascii="Times New Roman" w:cs="Times New Roman" w:eastAsia="Times New Roman" w:hAnsi="Times New Roman"/>
          <w:sz w:val="20"/>
          <w:szCs w:val="20"/>
          <w:color w:val="auto"/>
        </w:rPr>
        <w:t>, and (iv) all other fees, costs and expenses, if any, due and payable as of the date hereof under the Loan Agreement;</w:t>
      </w:r>
    </w:p>
    <w:p>
      <w:pPr>
        <w:spacing w:after="0" w:line="174" w:lineRule="exact"/>
        <w:rPr>
          <w:rFonts w:ascii="Times New Roman" w:cs="Times New Roman" w:eastAsia="Times New Roman" w:hAnsi="Times New Roman"/>
          <w:sz w:val="18"/>
          <w:szCs w:val="18"/>
          <w:color w:val="auto"/>
        </w:rPr>
      </w:pPr>
    </w:p>
    <w:p>
      <w:pPr>
        <w:ind w:firstLine="757"/>
        <w:spacing w:after="0" w:line="269" w:lineRule="auto"/>
        <w:tabs>
          <w:tab w:leader="none" w:pos="10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good standing certificate of Borrower, certified by the Secretary of State of Delaware, dated as of a date no earlier than 30 days prior to the date hereof;</w:t>
      </w:r>
    </w:p>
    <w:p>
      <w:pPr>
        <w:spacing w:after="0" w:line="159" w:lineRule="exact"/>
        <w:rPr>
          <w:rFonts w:ascii="Times New Roman" w:cs="Times New Roman" w:eastAsia="Times New Roman" w:hAnsi="Times New Roman"/>
          <w:sz w:val="18"/>
          <w:szCs w:val="18"/>
          <w:color w:val="auto"/>
        </w:rPr>
      </w:pPr>
    </w:p>
    <w:p>
      <w:pPr>
        <w:jc w:val="both"/>
        <w:ind w:firstLine="757"/>
        <w:spacing w:after="0" w:line="249" w:lineRule="auto"/>
        <w:tabs>
          <w:tab w:leader="none" w:pos="10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certified copies, dated as of a recent date, of financing statement and other lien searches of Borrower, as Agent may request and which shall be obtained by Agent, accompanied by written evidence (including any UCC termination statements) that the Liens revealed in any such searches either (i) will be terminated prior to or in connection with the execution of this Amendment, or (ii) in the sole discretion of Agent, will constitute Permitted Liens;</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4" w:name="page65"/>
    <w:bookmarkEnd w:id="64"/>
    <w:p>
      <w:pPr>
        <w:ind w:right="20" w:firstLine="757"/>
        <w:spacing w:after="0" w:line="269" w:lineRule="auto"/>
        <w:tabs>
          <w:tab w:leader="none" w:pos="101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on the Third Amendment Effective Date, immediately after giving effect to the amendment of the Loan Agreement contemplated hereby:</w:t>
      </w:r>
    </w:p>
    <w:p>
      <w:pPr>
        <w:spacing w:after="0" w:line="159" w:lineRule="exact"/>
        <w:rPr>
          <w:rFonts w:ascii="Times New Roman" w:cs="Times New Roman" w:eastAsia="Times New Roman" w:hAnsi="Times New Roman"/>
          <w:sz w:val="18"/>
          <w:szCs w:val="18"/>
          <w:color w:val="auto"/>
        </w:rPr>
      </w:pPr>
    </w:p>
    <w:p>
      <w:pPr>
        <w:ind w:right="20" w:firstLine="1505"/>
        <w:spacing w:after="0" w:line="269" w:lineRule="auto"/>
        <w:tabs>
          <w:tab w:leader="none" w:pos="2036"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the representations and warranties contained in </w:t>
      </w:r>
      <w:r>
        <w:rPr>
          <w:rFonts w:ascii="Times New Roman" w:cs="Times New Roman" w:eastAsia="Times New Roman" w:hAnsi="Times New Roman"/>
          <w:sz w:val="20"/>
          <w:szCs w:val="20"/>
          <w:u w:val="single" w:color="auto"/>
          <w:color w:val="auto"/>
        </w:rPr>
        <w:t>Section 6</w:t>
      </w:r>
      <w:r>
        <w:rPr>
          <w:rFonts w:ascii="Times New Roman" w:cs="Times New Roman" w:eastAsia="Times New Roman" w:hAnsi="Times New Roman"/>
          <w:sz w:val="20"/>
          <w:szCs w:val="20"/>
          <w:color w:val="auto"/>
        </w:rPr>
        <w:t xml:space="preserve"> shall be true and correct on and as of the Third Amendment Effective Date as though made on and as of such date; and</w:t>
      </w:r>
    </w:p>
    <w:p>
      <w:pPr>
        <w:spacing w:after="0" w:line="159" w:lineRule="exact"/>
        <w:rPr>
          <w:rFonts w:ascii="Times New Roman" w:cs="Times New Roman" w:eastAsia="Times New Roman" w:hAnsi="Times New Roman"/>
          <w:sz w:val="18"/>
          <w:szCs w:val="18"/>
          <w:color w:val="auto"/>
        </w:rPr>
      </w:pPr>
    </w:p>
    <w:p>
      <w:pPr>
        <w:ind w:left="2040" w:hanging="535"/>
        <w:spacing w:after="0"/>
        <w:tabs>
          <w:tab w:leader="none" w:pos="20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there exist no Events of Default or events that with the passage of time would result in an Event of Default; and</w:t>
      </w:r>
    </w:p>
    <w:p>
      <w:pPr>
        <w:spacing w:after="0" w:line="215"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such other documents or evidence as Agent may reasonably request to effectuate the terms of this Amendment.</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SECTION 6</w:t>
      </w:r>
      <w:r>
        <w:rPr>
          <w:rFonts w:ascii="Times New Roman" w:cs="Times New Roman" w:eastAsia="Times New Roman" w:hAnsi="Times New Roman"/>
          <w:sz w:val="19"/>
          <w:szCs w:val="19"/>
          <w:b w:val="1"/>
          <w:bCs w:val="1"/>
          <w:color w:val="auto"/>
        </w:rPr>
        <w:t>Representations and Warranties</w:t>
      </w:r>
      <w:r>
        <w:rPr>
          <w:rFonts w:ascii="Times New Roman" w:cs="Times New Roman" w:eastAsia="Times New Roman" w:hAnsi="Times New Roman"/>
          <w:sz w:val="19"/>
          <w:szCs w:val="19"/>
          <w:color w:val="auto"/>
        </w:rPr>
        <w:t>. To induce Agent and Required Lenders to enter into this Amendment, Borrower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 xml:space="preserve">confirms, as of the date hereof, (a) that the representations and warranties made by it in Section 5 of the Loan Agreement and in the other Loan Documents are true and correct in all material respects;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xml:space="preserve">, that such materiality qualifier shall not be applicable to any representations and warranties that already are qualified or modified by materiality in the text thereof; </w:t>
      </w:r>
      <w:r>
        <w:rPr>
          <w:rFonts w:ascii="Times New Roman" w:cs="Times New Roman" w:eastAsia="Times New Roman" w:hAnsi="Times New Roman"/>
          <w:sz w:val="19"/>
          <w:szCs w:val="19"/>
          <w:i w:val="1"/>
          <w:iCs w:val="1"/>
          <w:color w:val="auto"/>
        </w:rPr>
        <w:t>provided, further,</w:t>
      </w:r>
      <w:r>
        <w:rPr>
          <w:rFonts w:ascii="Times New Roman" w:cs="Times New Roman" w:eastAsia="Times New Roman" w:hAnsi="Times New Roman"/>
          <w:sz w:val="19"/>
          <w:szCs w:val="19"/>
          <w:color w:val="auto"/>
        </w:rPr>
        <w:t xml:space="preserve"> that to the extent such representations and warranties by their terms expressly relate only to a prior date such representations and warranties shall be true and correct as of such prior date, and (a) that no Event of Default has occurred and is continuing; (b) that there has not been and there does not exist a Material Adverse Effect; (c) Lenders have and shall continue to have valid, enforceable and perfected first-priority liens, subject only to Permitted Liens, on and security interests in the Collateral and all other collateral heretofore granted by Borrower to Lenders, pursuant to the Loan Documents or otherwise granted to or held by Lenders; (d) the agreements and obligations of Borrower contained in the Loan Documents and in this Amendment constitute the legal, valid and binding obligations of Borrower, enforceable against Borrower in accordance with their respective terms, except as the enforceability thereof may be limited by bankruptcy, insolvency or other similar laws of general application affecting the enforcement of creditors’ rights or by the application of general principles of equity; and (e) the execution, delivery and performance of this Amendment by Borrower will not violate any law, rule, regulation, order, contractual obligation or organizational document of Borrower and will not result in, or require, the creation or imposition of any lien, claim or encumbrance of any kind on any of its properties or revenues. For the purposes of this </w:t>
      </w:r>
      <w:r>
        <w:rPr>
          <w:rFonts w:ascii="Times New Roman" w:cs="Times New Roman" w:eastAsia="Times New Roman" w:hAnsi="Times New Roman"/>
          <w:sz w:val="19"/>
          <w:szCs w:val="19"/>
          <w:u w:val="single" w:color="auto"/>
          <w:color w:val="auto"/>
        </w:rPr>
        <w:t>Section 6</w:t>
      </w:r>
      <w:r>
        <w:rPr>
          <w:rFonts w:ascii="Times New Roman" w:cs="Times New Roman" w:eastAsia="Times New Roman" w:hAnsi="Times New Roman"/>
          <w:sz w:val="19"/>
          <w:szCs w:val="19"/>
          <w:color w:val="auto"/>
        </w:rPr>
        <w:t>, each reference in Section 5 of the Loan Agreement to “this Agreement,” and the words “hereof”, “herein”, “hereunder”, or words of like import in such Section, shall mean and be a reference to the Loan Agreement as amended by this Amendment.</w:t>
      </w:r>
    </w:p>
    <w:p>
      <w:pPr>
        <w:spacing w:after="0" w:line="200" w:lineRule="exact"/>
        <w:rPr>
          <w:sz w:val="20"/>
          <w:szCs w:val="20"/>
          <w:color w:val="auto"/>
        </w:rPr>
      </w:pP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9"/>
          <w:szCs w:val="19"/>
          <w:b w:val="1"/>
          <w:bCs w:val="1"/>
          <w:color w:val="auto"/>
        </w:rPr>
        <w:t>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In consideration of the agreements of Agent and each Required Lender contained herein and for other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9"/>
          <w:szCs w:val="19"/>
          <w:color w:val="auto"/>
        </w:rPr>
        <w:t>valuable consideration, the receipt and sufficiency of which are hereby acknowledged, Borrower, on behalf of itself and its successors, assigns, and other legal representatives, hereby to the extent possible under applicable law fully, absolutely, unconditionally and irrevocably releases, remises and forever discharges Agent and each Required Lender, and its successors and assigns, and its present and former shareholders, affiliates, subsidiaries, divisions, predecessors, directors, officers, attorneys, employees, agents and other representatives (Agent, Required Lenders and all such other persons being hereinafter referred to collectively as the “</w:t>
      </w:r>
      <w:r>
        <w:rPr>
          <w:rFonts w:ascii="Times New Roman" w:cs="Times New Roman" w:eastAsia="Times New Roman" w:hAnsi="Times New Roman"/>
          <w:sz w:val="19"/>
          <w:szCs w:val="19"/>
          <w:b w:val="1"/>
          <w:bCs w:val="1"/>
          <w:color w:val="auto"/>
        </w:rPr>
        <w:t>Releasees</w:t>
      </w:r>
      <w:r>
        <w:rPr>
          <w:rFonts w:ascii="Times New Roman" w:cs="Times New Roman" w:eastAsia="Times New Roman" w:hAnsi="Times New Roman"/>
          <w:sz w:val="19"/>
          <w:szCs w:val="19"/>
          <w:color w:val="auto"/>
        </w:rPr>
        <w:t>” and individually as a “</w:t>
      </w:r>
      <w:r>
        <w:rPr>
          <w:rFonts w:ascii="Times New Roman" w:cs="Times New Roman" w:eastAsia="Times New Roman" w:hAnsi="Times New Roman"/>
          <w:sz w:val="19"/>
          <w:szCs w:val="19"/>
          <w:b w:val="1"/>
          <w:bCs w:val="1"/>
          <w:color w:val="auto"/>
        </w:rPr>
        <w:t>Releasee</w:t>
      </w:r>
      <w:r>
        <w:rPr>
          <w:rFonts w:ascii="Times New Roman" w:cs="Times New Roman" w:eastAsia="Times New Roman" w:hAnsi="Times New Roman"/>
          <w:sz w:val="19"/>
          <w:szCs w:val="19"/>
          <w:color w:val="auto"/>
        </w:rPr>
        <w:t>”), of and from all demands, actions, causes of action, suits, covenants, contracts, controversies, agreements, promises, sums of money, accounts, bills, reckonings, damages and any and all other claims, counterclaims, defenses, rights of set-off, demands and liabilities whatsoever of every name and nature, known or unknown, suspected or unsuspected, both at law and in equity, which Borrower, or any of its successors, assigns, or other legal representatives may now or hereafter own, hold, have or claim to have against the Releasees or any of them for, upon, or by reason of any circumstance, action, cause or thing whatsoever which arises at any time on or prior to the day and date of this Amendment, for or on account of, or in relation to, or in any way in connection with the Loan Agreement, or any of the other Loan Documents or transactions thereunder</w:t>
      </w:r>
    </w:p>
    <w:p>
      <w:pPr>
        <w:spacing w:after="0" w:line="200" w:lineRule="exact"/>
        <w:rPr>
          <w:sz w:val="20"/>
          <w:szCs w:val="20"/>
          <w:color w:val="auto"/>
        </w:rPr>
      </w:pPr>
    </w:p>
    <w:p>
      <w:pPr>
        <w:spacing w:after="0" w:line="23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5" w:name="page66"/>
    <w:bookmarkEnd w:id="65"/>
    <w:p>
      <w:pPr>
        <w:jc w:val="both"/>
        <w:ind w:firstLine="509"/>
        <w:spacing w:after="0" w:line="246" w:lineRule="auto"/>
        <w:rPr>
          <w:sz w:val="20"/>
          <w:szCs w:val="20"/>
          <w:color w:val="auto"/>
        </w:rPr>
      </w:pPr>
      <w:r>
        <w:rPr>
          <w:rFonts w:ascii="Times New Roman" w:cs="Times New Roman" w:eastAsia="Times New Roman" w:hAnsi="Times New Roman"/>
          <w:sz w:val="20"/>
          <w:szCs w:val="20"/>
          <w:color w:val="auto"/>
        </w:rPr>
        <w:t>or related thereto. Borrower understands, acknowledges and agrees that the release set forth above may be pleaded as a full and complete defense and may be used as a basis for an injunction against any action, suit or other proceeding which may be instituted, prosecuted or attempted in breach of the provisions of such release. Borrower agrees that no fact, event, circumstance, evidence or transaction which could now be asserted or which may hereafter be discovered shall affect in any manner the final, absolute and unconditional nature of the release set forth above.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w:t>
      </w:r>
      <w:r>
        <w:rPr>
          <w:rFonts w:ascii="Times New Roman" w:cs="Times New Roman" w:eastAsia="Times New Roman" w:hAnsi="Times New Roman"/>
          <w:sz w:val="19"/>
          <w:szCs w:val="19"/>
          <w:b w:val="1"/>
          <w:bCs w:val="1"/>
          <w:color w:val="auto"/>
        </w:rPr>
        <w:t>Miscellaneous.</w:t>
      </w:r>
    </w:p>
    <w:p>
      <w:pPr>
        <w:spacing w:after="0" w:line="227" w:lineRule="exact"/>
        <w:rPr>
          <w:sz w:val="20"/>
          <w:szCs w:val="20"/>
          <w:color w:val="auto"/>
        </w:rPr>
      </w:pPr>
    </w:p>
    <w:p>
      <w:pPr>
        <w:ind w:left="1020" w:hanging="26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Loan Documents Otherwise Not Affected; Reaffirmation; No Novation</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18"/>
          <w:szCs w:val="18"/>
          <w:color w:val="auto"/>
        </w:rPr>
      </w:pPr>
    </w:p>
    <w:p>
      <w:pPr>
        <w:jc w:val="both"/>
        <w:ind w:firstLine="1505"/>
        <w:spacing w:after="0" w:line="249" w:lineRule="auto"/>
        <w:tabs>
          <w:tab w:leader="none" w:pos="203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Except as expressly amended pursuant hereto or referenced herein, the Loan Agreement and the other Loan Documents shall remain unchanged and in full force and effect and are hereby ratified and confirmed in all respects. The Required Lenders’ and Agent’s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79" w:lineRule="exact"/>
        <w:rPr>
          <w:rFonts w:ascii="Times New Roman" w:cs="Times New Roman" w:eastAsia="Times New Roman" w:hAnsi="Times New Roman"/>
          <w:sz w:val="18"/>
          <w:szCs w:val="18"/>
          <w:color w:val="auto"/>
        </w:rPr>
      </w:pPr>
    </w:p>
    <w:p>
      <w:pPr>
        <w:jc w:val="both"/>
        <w:ind w:firstLine="1505"/>
        <w:spacing w:after="0" w:line="258" w:lineRule="auto"/>
        <w:tabs>
          <w:tab w:leader="none" w:pos="2036"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color w:val="auto"/>
        </w:rPr>
        <w:t>Borrower hereby expressly (1) reaffirms, ratifies and confirms its Secured Obligations under the Loan Agreement and the other Loan Documents, (2) reaffirms, ratifies and confirms the grant of security under Section 3 of the Loan Agreement, (3) reaffirms that such grant of security in the Collateral secures all Secured Obligations under the Loan Agreement, including without limitation any Term Loan Advances funded on or after the Third Amendment Effective Date, as of the date hereof, and with effect from (and including) the Third Amendment Effective Date, such grant of security in the Collateral: (x) remains in full force and effect notwithstanding the amendments expressly referenced herein; and (y) secures all Secured Obligations under the Loan Agreement, as amended by this Amendment, and the other Loan Documents, (4) agrees that this Amendment shall be a “Loan Document” under the Loan Agreement, and (5) agrees that the Loan Agreement and each other Loan Document shall remain in full force and effect following any action contemplated in connection herewith.</w:t>
      </w:r>
    </w:p>
    <w:p>
      <w:pPr>
        <w:spacing w:after="0" w:line="173" w:lineRule="exact"/>
        <w:rPr>
          <w:rFonts w:ascii="Times New Roman" w:cs="Times New Roman" w:eastAsia="Times New Roman" w:hAnsi="Times New Roman"/>
          <w:sz w:val="17"/>
          <w:szCs w:val="17"/>
          <w:color w:val="auto"/>
        </w:rPr>
      </w:pPr>
    </w:p>
    <w:p>
      <w:pPr>
        <w:jc w:val="both"/>
        <w:ind w:firstLine="1505"/>
        <w:spacing w:after="0" w:line="246" w:lineRule="auto"/>
        <w:tabs>
          <w:tab w:leader="none" w:pos="2036"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Loan Agreement and any other Loan Document or to modify, affect or impair the perfection or continuity of Agent’s security interest in, (on behalf of itself and the Lenders) security titles to or other liens on any Collateral for the Secured Obligations.</w:t>
      </w:r>
    </w:p>
    <w:p>
      <w:pPr>
        <w:spacing w:after="0" w:line="180" w:lineRule="exact"/>
        <w:rPr>
          <w:rFonts w:ascii="Times New Roman" w:cs="Times New Roman" w:eastAsia="Times New Roman" w:hAnsi="Times New Roman"/>
          <w:sz w:val="18"/>
          <w:szCs w:val="18"/>
          <w:color w:val="auto"/>
        </w:rPr>
      </w:pPr>
    </w:p>
    <w:p>
      <w:pPr>
        <w:jc w:val="both"/>
        <w:ind w:firstLine="757"/>
        <w:spacing w:after="0" w:line="250" w:lineRule="auto"/>
        <w:tabs>
          <w:tab w:leader="none" w:pos="10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 For purposes of determining compliance with the conditions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each Required Lender that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signed this Amendment shall be deemed to have consented to, approved or accepted or to be satisfied with, each document or other matter required thereunder to be consented to or approved by or acceptable or satisfactory to the Required Lenders unless Agent shall have received notice from such Required Lender prior to the date hereof specifying its objection thereto.</w:t>
      </w:r>
    </w:p>
    <w:p>
      <w:pPr>
        <w:spacing w:after="0" w:line="175"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No Reliance</w:t>
      </w:r>
      <w:r>
        <w:rPr>
          <w:rFonts w:ascii="Times New Roman" w:cs="Times New Roman" w:eastAsia="Times New Roman" w:hAnsi="Times New Roman"/>
          <w:sz w:val="20"/>
          <w:szCs w:val="20"/>
          <w:color w:val="auto"/>
        </w:rPr>
        <w:t>. Borrower hereby acknowledges and confirms to Agent and Required Lenders that Borrower is executing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Amendment on the basis of its own investigation and for its own reasons without reliance upon any agreement, representation, understanding or communication by or on behalf of any other Person.</w:t>
      </w:r>
    </w:p>
    <w:p>
      <w:pPr>
        <w:spacing w:after="0" w:line="168"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Costs and Expenses</w:t>
      </w:r>
      <w:r>
        <w:rPr>
          <w:rFonts w:ascii="Times New Roman" w:cs="Times New Roman" w:eastAsia="Times New Roman" w:hAnsi="Times New Roman"/>
          <w:sz w:val="20"/>
          <w:szCs w:val="20"/>
          <w:color w:val="auto"/>
        </w:rPr>
        <w:t>. Borrower agrees to pay to Agent on the date hereof the out-of-pocket costs and expenses of Agent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Lender party hereto, and the documented out-of-pocket fees and disbursements of counsel to Agent and each Lender party hereto in connection with the negotiation,</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20"/>
          <w:szCs w:val="20"/>
          <w:color w:val="auto"/>
        </w:rPr>
        <w:t>preparation, execution and delivery of this Amendment and any other documents to be delivered in connection herewith on the date hereof.</w:t>
      </w:r>
    </w:p>
    <w:p>
      <w:pPr>
        <w:spacing w:after="0" w:line="212" w:lineRule="exact"/>
        <w:rPr>
          <w:sz w:val="20"/>
          <w:szCs w:val="20"/>
          <w:color w:val="auto"/>
        </w:rPr>
      </w:pPr>
    </w:p>
    <w:p>
      <w:pPr>
        <w:ind w:left="1020" w:hanging="26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Binding Effect</w:t>
      </w:r>
      <w:r>
        <w:rPr>
          <w:rFonts w:ascii="Times New Roman" w:cs="Times New Roman" w:eastAsia="Times New Roman" w:hAnsi="Times New Roman"/>
          <w:sz w:val="20"/>
          <w:szCs w:val="20"/>
          <w:color w:val="auto"/>
        </w:rPr>
        <w:t>. This Amendment binds and is for the benefit of the successors and permitted assigns of each party.</w:t>
      </w:r>
    </w:p>
    <w:p>
      <w:pPr>
        <w:spacing w:after="0" w:line="215" w:lineRule="exact"/>
        <w:rPr>
          <w:rFonts w:ascii="Times New Roman" w:cs="Times New Roman" w:eastAsia="Times New Roman" w:hAnsi="Times New Roman"/>
          <w:sz w:val="18"/>
          <w:szCs w:val="18"/>
          <w:color w:val="auto"/>
        </w:rPr>
      </w:pPr>
    </w:p>
    <w:p>
      <w:pPr>
        <w:jc w:val="both"/>
        <w:ind w:firstLine="757"/>
        <w:spacing w:after="0" w:line="256" w:lineRule="auto"/>
        <w:tabs>
          <w:tab w:leader="none" w:pos="10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Governing Law. </w:t>
      </w:r>
      <w:r>
        <w:rPr>
          <w:rFonts w:ascii="Times New Roman" w:cs="Times New Roman" w:eastAsia="Times New Roman" w:hAnsi="Times New Roman"/>
          <w:sz w:val="20"/>
          <w:szCs w:val="20"/>
          <w:color w:val="auto"/>
        </w:rPr>
        <w:t>THIS AMENDMENT AND THE OTHER LOAN DOCUMENTS SHALL BE GOVERNED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AND ENFORCED IN ACCORDANCE WITH, THE LAWS OF THE STATE OF CALIFORNIA, EXCLUDING CONFLICT OF LAWS PRINCIPLES THAT WOULD CAUSE THE APPLICATION OF LAWS OF ANY OTHER JURISDICTION.</w:t>
      </w:r>
    </w:p>
    <w:p>
      <w:pPr>
        <w:spacing w:after="0" w:line="168" w:lineRule="exact"/>
        <w:rPr>
          <w:rFonts w:ascii="Times New Roman" w:cs="Times New Roman" w:eastAsia="Times New Roman" w:hAnsi="Times New Roman"/>
          <w:sz w:val="18"/>
          <w:szCs w:val="18"/>
          <w:color w:val="auto"/>
        </w:rPr>
      </w:pPr>
    </w:p>
    <w:p>
      <w:pPr>
        <w:jc w:val="both"/>
        <w:ind w:firstLine="757"/>
        <w:spacing w:after="0" w:line="250" w:lineRule="auto"/>
        <w:tabs>
          <w:tab w:leader="none" w:pos="10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Complete Agreement; Amendments</w:t>
      </w:r>
      <w:r>
        <w:rPr>
          <w:rFonts w:ascii="Times New Roman" w:cs="Times New Roman" w:eastAsia="Times New Roman" w:hAnsi="Times New Roman"/>
          <w:sz w:val="20"/>
          <w:szCs w:val="20"/>
          <w:color w:val="auto"/>
        </w:rPr>
        <w:t>. This Amendment and the Loan Documents represent the entire agreement about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75" w:lineRule="exact"/>
        <w:rPr>
          <w:rFonts w:ascii="Times New Roman" w:cs="Times New Roman" w:eastAsia="Times New Roman" w:hAnsi="Times New Roman"/>
          <w:sz w:val="18"/>
          <w:szCs w:val="18"/>
          <w:color w:val="auto"/>
        </w:rPr>
      </w:pPr>
    </w:p>
    <w:p>
      <w:pPr>
        <w:ind w:firstLine="757"/>
        <w:spacing w:after="0" w:line="273" w:lineRule="auto"/>
        <w:tabs>
          <w:tab w:leader="none" w:pos="10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Severability of Provisions. </w:t>
      </w:r>
      <w:r>
        <w:rPr>
          <w:rFonts w:ascii="Times New Roman" w:cs="Times New Roman" w:eastAsia="Times New Roman" w:hAnsi="Times New Roman"/>
          <w:sz w:val="20"/>
          <w:szCs w:val="20"/>
          <w:color w:val="auto"/>
        </w:rPr>
        <w:t>Each provision of this Amendment is severable from every other provision in determining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enforceability of any provision.</w:t>
      </w:r>
    </w:p>
    <w:p>
      <w:pPr>
        <w:spacing w:after="0" w:line="151" w:lineRule="exact"/>
        <w:rPr>
          <w:rFonts w:ascii="Times New Roman" w:cs="Times New Roman" w:eastAsia="Times New Roman" w:hAnsi="Times New Roman"/>
          <w:sz w:val="18"/>
          <w:szCs w:val="18"/>
          <w:color w:val="auto"/>
        </w:rPr>
      </w:pPr>
    </w:p>
    <w:p>
      <w:pPr>
        <w:jc w:val="both"/>
        <w:ind w:firstLine="757"/>
        <w:spacing w:after="0" w:line="250" w:lineRule="auto"/>
        <w:tabs>
          <w:tab w:leader="none" w:pos="10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This Amendment may be executed in any number of counterparts and by different parties on separate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counterparts, each 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75" w:lineRule="exact"/>
        <w:rPr>
          <w:rFonts w:ascii="Times New Roman" w:cs="Times New Roman" w:eastAsia="Times New Roman" w:hAnsi="Times New Roman"/>
          <w:sz w:val="18"/>
          <w:szCs w:val="18"/>
          <w:color w:val="auto"/>
        </w:rPr>
      </w:pPr>
    </w:p>
    <w:p>
      <w:pPr>
        <w:jc w:val="both"/>
        <w:ind w:firstLine="757"/>
        <w:spacing w:after="0" w:line="244" w:lineRule="auto"/>
        <w:tabs>
          <w:tab w:leader="none" w:pos="10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Electronic Execution of Certain Other Documents</w:t>
      </w:r>
      <w:r>
        <w:rPr>
          <w:rFonts w:ascii="Times New Roman" w:cs="Times New Roman" w:eastAsia="Times New Roman" w:hAnsi="Times New Roman"/>
          <w:sz w:val="20"/>
          <w:szCs w:val="20"/>
          <w:color w:val="auto"/>
        </w:rPr>
        <w:t>. The words “execution,” “execute”, “signed,” “signature,” and words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like 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Transactions Act, or any other similar state laws based on the Uniform Electronic Transactions Act.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9"/>
          <w:szCs w:val="19"/>
          <w:color w:val="auto"/>
        </w:rPr>
        <w:t>IN WITNESS WHEREOF, the parties hereto have duly executed this Amendment, as of the date first above written.</w:t>
      </w:r>
    </w:p>
    <w:p>
      <w:pPr>
        <w:spacing w:after="0" w:line="2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BORROWER:</w:t>
      </w:r>
    </w:p>
    <w:p>
      <w:pPr>
        <w:spacing w:after="0" w:line="21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b w:val="1"/>
          <w:bCs w:val="1"/>
          <w:color w:val="auto"/>
        </w:rPr>
        <w:t>PHATHOM PHARMACEUTICALS, INC.</w:t>
      </w:r>
    </w:p>
    <w:p>
      <w:pPr>
        <w:spacing w:after="0" w:line="201" w:lineRule="exact"/>
        <w:rPr>
          <w:sz w:val="20"/>
          <w:szCs w:val="20"/>
          <w:color w:val="auto"/>
        </w:rPr>
      </w:pPr>
    </w:p>
    <w:tbl>
      <w:tblPr>
        <w:tblLayout w:type="fixed"/>
        <w:tblInd w:w="448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Molly Henderson</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Molly Henderson</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0"/>
          <w:szCs w:val="20"/>
          <w:color w:val="auto"/>
        </w:rPr>
        <w:t>[SIGNATURES CONTINUE ON THE NEXT PAGE]</w:t>
      </w:r>
    </w:p>
    <w:p>
      <w:pPr>
        <w:spacing w:after="0" w:line="200" w:lineRule="exact"/>
        <w:rPr>
          <w:sz w:val="20"/>
          <w:szCs w:val="20"/>
          <w:color w:val="auto"/>
        </w:rPr>
      </w:pPr>
    </w:p>
    <w:p>
      <w:pPr>
        <w:spacing w:after="0" w:line="23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0"/>
          <w:szCs w:val="20"/>
          <w:color w:val="auto"/>
        </w:rPr>
        <w:t>[Signature Page to Third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69850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333" w:right="1440" w:bottom="1440" w:gutter="0" w:footer="0" w:header="0"/>
        </w:sectPr>
      </w:pPr>
    </w:p>
    <w:bookmarkStart w:id="68" w:name="page69"/>
    <w:bookmarkEnd w:id="68"/>
    <w:p>
      <w:pPr>
        <w:ind w:left="4120"/>
        <w:spacing w:after="0"/>
        <w:rPr>
          <w:sz w:val="20"/>
          <w:szCs w:val="20"/>
          <w:color w:val="auto"/>
        </w:rPr>
      </w:pPr>
      <w:r>
        <w:rPr>
          <w:rFonts w:ascii="Times New Roman" w:cs="Times New Roman" w:eastAsia="Times New Roman" w:hAnsi="Times New Roman"/>
          <w:sz w:val="20"/>
          <w:szCs w:val="20"/>
          <w:color w:val="auto"/>
        </w:rPr>
        <w:t>AGENT:</w:t>
      </w:r>
    </w:p>
    <w:p>
      <w:pPr>
        <w:spacing w:after="0" w:line="2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HERCULES CAPITAL, INC.</w:t>
      </w:r>
    </w:p>
    <w:p>
      <w:pPr>
        <w:spacing w:after="0" w:line="175"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Meyer</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Seth Meyer</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[Signature Page to Third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77470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9" w:name="page70"/>
    <w:bookmarkEnd w:id="69"/>
    <w:p>
      <w:pPr>
        <w:ind w:left="4280"/>
        <w:spacing w:after="0"/>
        <w:rPr>
          <w:sz w:val="20"/>
          <w:szCs w:val="20"/>
          <w:color w:val="auto"/>
        </w:rPr>
      </w:pPr>
      <w:r>
        <w:rPr>
          <w:rFonts w:ascii="Times New Roman" w:cs="Times New Roman" w:eastAsia="Times New Roman" w:hAnsi="Times New Roman"/>
          <w:sz w:val="20"/>
          <w:szCs w:val="20"/>
          <w:color w:val="auto"/>
        </w:rPr>
        <w:t>REQUIRED LENDERS:</w:t>
      </w:r>
    </w:p>
    <w:p>
      <w:pPr>
        <w:spacing w:after="0" w:line="21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HERCULES CAPITAL, INC.</w:t>
      </w:r>
    </w:p>
    <w:p>
      <w:pPr>
        <w:spacing w:after="0" w:line="200" w:lineRule="exact"/>
        <w:rPr>
          <w:sz w:val="20"/>
          <w:szCs w:val="20"/>
          <w:color w:val="auto"/>
        </w:rPr>
      </w:pPr>
    </w:p>
    <w:p>
      <w:pPr>
        <w:spacing w:after="0" w:line="231"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Meyer</w:t>
            </w:r>
          </w:p>
        </w:tc>
        <w:tc>
          <w:tcPr>
            <w:tcW w:w="260" w:type="dxa"/>
            <w:vAlign w:val="bottom"/>
          </w:tcPr>
          <w:p>
            <w:pPr>
              <w:spacing w:after="0"/>
              <w:rPr>
                <w:sz w:val="19"/>
                <w:szCs w:val="19"/>
                <w:color w:val="auto"/>
              </w:rPr>
            </w:pP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Seth Meyer</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8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HERCULES CAPITAL IV, L.P.</w:t>
      </w:r>
    </w:p>
    <w:p>
      <w:pPr>
        <w:spacing w:after="0" w:line="2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9"/>
          <w:szCs w:val="19"/>
          <w:color w:val="auto"/>
        </w:rPr>
        <w:t>By: Hercules Technology SBIC Management, LLC, its General Partner</w:t>
      </w:r>
    </w:p>
    <w:p>
      <w:pPr>
        <w:spacing w:after="0" w:line="241" w:lineRule="exact"/>
        <w:rPr>
          <w:sz w:val="20"/>
          <w:szCs w:val="20"/>
          <w:color w:val="auto"/>
        </w:rPr>
      </w:pPr>
    </w:p>
    <w:p>
      <w:pPr>
        <w:ind w:left="4120"/>
        <w:spacing w:after="0"/>
        <w:tabs>
          <w:tab w:leader="none" w:pos="46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Hercules Capital, Inc., its Manager</w:t>
      </w:r>
    </w:p>
    <w:p>
      <w:pPr>
        <w:spacing w:after="0" w:line="200" w:lineRule="exact"/>
        <w:rPr>
          <w:sz w:val="20"/>
          <w:szCs w:val="20"/>
          <w:color w:val="auto"/>
        </w:rPr>
      </w:pPr>
    </w:p>
    <w:p>
      <w:pPr>
        <w:spacing w:after="0" w:line="227"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Meyer</w:t>
            </w:r>
          </w:p>
        </w:tc>
        <w:tc>
          <w:tcPr>
            <w:tcW w:w="260" w:type="dxa"/>
            <w:vAlign w:val="bottom"/>
          </w:tcPr>
          <w:p>
            <w:pPr>
              <w:spacing w:after="0"/>
              <w:rPr>
                <w:sz w:val="19"/>
                <w:szCs w:val="19"/>
                <w:color w:val="auto"/>
              </w:rPr>
            </w:pP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8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Seth Meyer</w:t>
            </w:r>
          </w:p>
        </w:tc>
      </w:tr>
      <w:tr>
        <w:trPr>
          <w:trHeight w:val="446"/>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8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HERCULES PRIVATE CREDIT FUND 1 L.P.</w:t>
      </w:r>
    </w:p>
    <w:p>
      <w:pPr>
        <w:spacing w:after="0" w:line="22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color w:val="auto"/>
        </w:rPr>
        <w:t>By: Hercules Adviser LLC, its Investment Adviser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41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Meyer</w:t>
            </w:r>
          </w:p>
        </w:tc>
      </w:tr>
      <w:tr>
        <w:trPr>
          <w:trHeight w:val="227"/>
        </w:trPr>
        <w:tc>
          <w:tcPr>
            <w:tcW w:w="2760" w:type="dxa"/>
            <w:vAlign w:val="bottom"/>
            <w:gridSpan w:val="2"/>
          </w:tcPr>
          <w:p>
            <w:pPr>
              <w:spacing w:after="0" w:line="228" w:lineRule="exact"/>
              <w:rPr>
                <w:sz w:val="20"/>
                <w:szCs w:val="20"/>
                <w:color w:val="auto"/>
              </w:rPr>
            </w:pPr>
            <w:r>
              <w:rPr>
                <w:rFonts w:ascii="Times New Roman" w:cs="Times New Roman" w:eastAsia="Times New Roman" w:hAnsi="Times New Roman"/>
                <w:sz w:val="20"/>
                <w:szCs w:val="20"/>
                <w:color w:val="auto"/>
              </w:rPr>
              <w:t>Name: Seth Meyer</w:t>
            </w:r>
          </w:p>
        </w:tc>
      </w:tr>
      <w:tr>
        <w:trPr>
          <w:trHeight w:val="258"/>
        </w:trPr>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[Signature Page to Third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440" w:top="657" w:right="619" w:bottom="1440" w:gutter="0" w:footer="0" w:header="0"/>
        </w:sectPr>
      </w:pPr>
    </w:p>
    <w:bookmarkStart w:id="70" w:name="page71"/>
    <w:bookmarkEnd w:id="70"/>
    <w:p>
      <w:pPr>
        <w:ind w:left="4120" w:right="220"/>
        <w:spacing w:after="0" w:line="273" w:lineRule="auto"/>
        <w:rPr>
          <w:sz w:val="20"/>
          <w:szCs w:val="20"/>
          <w:color w:val="auto"/>
        </w:rPr>
      </w:pPr>
      <w:r>
        <w:rPr>
          <w:rFonts w:ascii="Times New Roman" w:cs="Times New Roman" w:eastAsia="Times New Roman" w:hAnsi="Times New Roman"/>
          <w:sz w:val="20"/>
          <w:szCs w:val="20"/>
          <w:b w:val="1"/>
          <w:bCs w:val="1"/>
          <w:color w:val="auto"/>
        </w:rPr>
        <w:t>HERCULES PRIVATE GLOBAL VENTURE GROWTH FUND I L.P.</w:t>
      </w:r>
    </w:p>
    <w:p>
      <w:pPr>
        <w:spacing w:after="0" w:line="156" w:lineRule="exact"/>
        <w:rPr>
          <w:sz w:val="20"/>
          <w:szCs w:val="20"/>
          <w:color w:val="auto"/>
        </w:rPr>
      </w:pPr>
    </w:p>
    <w:p>
      <w:pPr>
        <w:ind w:left="4700" w:hanging="561"/>
        <w:spacing w:after="0" w:line="269" w:lineRule="auto"/>
        <w:rPr>
          <w:sz w:val="20"/>
          <w:szCs w:val="20"/>
          <w:color w:val="auto"/>
        </w:rPr>
      </w:pPr>
      <w:r>
        <w:rPr>
          <w:rFonts w:ascii="Times New Roman" w:cs="Times New Roman" w:eastAsia="Times New Roman" w:hAnsi="Times New Roman"/>
          <w:sz w:val="20"/>
          <w:szCs w:val="20"/>
          <w:color w:val="auto"/>
        </w:rPr>
        <w:t>By: Hercules Private Global Venture Growth Fund GP I LLC, its general partner</w:t>
      </w:r>
    </w:p>
    <w:p>
      <w:pPr>
        <w:spacing w:after="0" w:line="173" w:lineRule="exact"/>
        <w:rPr>
          <w:sz w:val="20"/>
          <w:szCs w:val="20"/>
          <w:color w:val="auto"/>
        </w:rPr>
      </w:pPr>
    </w:p>
    <w:p>
      <w:pPr>
        <w:ind w:left="4120"/>
        <w:spacing w:after="0"/>
        <w:tabs>
          <w:tab w:leader="none" w:pos="46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Hercules Adviser LLC, its sole member</w:t>
      </w:r>
    </w:p>
    <w:p>
      <w:pPr>
        <w:spacing w:after="0" w:line="200" w:lineRule="exact"/>
        <w:rPr>
          <w:sz w:val="20"/>
          <w:szCs w:val="20"/>
          <w:color w:val="auto"/>
        </w:rPr>
      </w:pPr>
    </w:p>
    <w:p>
      <w:pPr>
        <w:spacing w:after="0" w:line="240" w:lineRule="exact"/>
        <w:rPr>
          <w:sz w:val="20"/>
          <w:szCs w:val="20"/>
          <w:color w:val="auto"/>
        </w:rPr>
      </w:pPr>
    </w:p>
    <w:tbl>
      <w:tblPr>
        <w:tblLayout w:type="fixed"/>
        <w:tblInd w:w="412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Seth Meyer</w:t>
            </w:r>
          </w:p>
        </w:tc>
      </w:tr>
      <w:tr>
        <w:trPr>
          <w:trHeight w:val="472"/>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Seth Meyer</w:t>
            </w:r>
          </w:p>
        </w:tc>
      </w:tr>
      <w:tr>
        <w:trPr>
          <w:trHeight w:val="44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8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00" w:lineRule="exact"/>
        <w:rPr>
          <w:sz w:val="20"/>
          <w:szCs w:val="20"/>
          <w:color w:val="auto"/>
        </w:rPr>
      </w:pPr>
    </w:p>
    <w:p>
      <w:pPr>
        <w:spacing w:after="0" w:line="20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0"/>
          <w:szCs w:val="20"/>
          <w:color w:val="auto"/>
        </w:rPr>
        <w:t>[Signature Page to Third Amendment to 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1440" w:top="329" w:right="49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Table of Addenda, Exhibits and Schedules</w:t>
      </w:r>
    </w:p>
    <w:p>
      <w:pPr>
        <w:spacing w:after="0" w:line="21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Exhibit A:</w:t>
      </w:r>
      <w:r>
        <w:rPr>
          <w:sz w:val="20"/>
          <w:szCs w:val="20"/>
          <w:color w:val="auto"/>
        </w:rPr>
        <w:tab/>
      </w:r>
      <w:r>
        <w:rPr>
          <w:rFonts w:ascii="Times New Roman" w:cs="Times New Roman" w:eastAsia="Times New Roman" w:hAnsi="Times New Roman"/>
          <w:sz w:val="19"/>
          <w:szCs w:val="19"/>
          <w:color w:val="auto"/>
        </w:rPr>
        <w:t>Advance Request</w:t>
      </w:r>
    </w:p>
    <w:p>
      <w:pPr>
        <w:spacing w:after="0" w:line="21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0"/>
          <w:szCs w:val="20"/>
          <w:color w:val="auto"/>
        </w:rPr>
        <w:t>Exhibit E:</w:t>
      </w:r>
      <w:r>
        <w:rPr>
          <w:sz w:val="20"/>
          <w:szCs w:val="20"/>
          <w:color w:val="auto"/>
        </w:rPr>
        <w:tab/>
      </w:r>
      <w:r>
        <w:rPr>
          <w:rFonts w:ascii="Times New Roman" w:cs="Times New Roman" w:eastAsia="Times New Roman" w:hAnsi="Times New Roman"/>
          <w:sz w:val="19"/>
          <w:szCs w:val="19"/>
          <w:color w:val="auto"/>
        </w:rPr>
        <w:t>Compliance Certificate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I: Form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Terrie Curran, certify that:</w:t>
      </w:r>
    </w:p>
    <w:p>
      <w:pPr>
        <w:spacing w:after="0" w:line="225" w:lineRule="exact"/>
        <w:rPr>
          <w:sz w:val="20"/>
          <w:szCs w:val="20"/>
          <w:color w:val="auto"/>
        </w:rPr>
      </w:pPr>
    </w:p>
    <w:p>
      <w:pPr>
        <w:ind w:left="520" w:hanging="512"/>
        <w:spacing w:after="0"/>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Phathom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5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010000"/>
        </w:rPr>
        <w:t>(Paragraph omitted pursuant to SEC Release Nos. 33-8238/34-47986 and 33-8392/34-49313);</w:t>
      </w:r>
    </w:p>
    <w:p>
      <w:pPr>
        <w:spacing w:after="0" w:line="225" w:lineRule="exact"/>
        <w:rPr>
          <w:rFonts w:ascii="Times New Roman" w:cs="Times New Roman" w:eastAsia="Times New Roman" w:hAnsi="Times New Roman"/>
          <w:sz w:val="18"/>
          <w:szCs w:val="18"/>
          <w:color w:val="010000"/>
        </w:rPr>
      </w:pPr>
    </w:p>
    <w:p>
      <w:pPr>
        <w:jc w:val="both"/>
        <w:ind w:left="1020" w:right="48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May 10, 2023</w:t>
      </w:r>
      <w:r>
        <w:rPr>
          <w:sz w:val="20"/>
          <w:szCs w:val="20"/>
          <w:color w:val="auto"/>
        </w:rPr>
        <w:tab/>
      </w:r>
      <w:r>
        <w:rPr>
          <w:rFonts w:ascii="Times New Roman" w:cs="Times New Roman" w:eastAsia="Times New Roman" w:hAnsi="Times New Roman"/>
          <w:sz w:val="17"/>
          <w:szCs w:val="17"/>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Terrie Curran</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Molly Henderson, certify that:</w:t>
      </w:r>
    </w:p>
    <w:p>
      <w:pPr>
        <w:spacing w:after="0" w:line="225" w:lineRule="exact"/>
        <w:rPr>
          <w:sz w:val="20"/>
          <w:szCs w:val="20"/>
          <w:color w:val="auto"/>
        </w:rPr>
      </w:pPr>
    </w:p>
    <w:p>
      <w:pPr>
        <w:ind w:left="520" w:hanging="512"/>
        <w:spacing w:after="0"/>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Phathom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44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010000"/>
        </w:rPr>
        <w:t>(Paragraph omitted pursuant to SEC Release Nos. 33-8238/34-47986 and 33-8392/34-49313);</w:t>
      </w:r>
    </w:p>
    <w:p>
      <w:pPr>
        <w:spacing w:after="0" w:line="225" w:lineRule="exact"/>
        <w:rPr>
          <w:rFonts w:ascii="Times New Roman" w:cs="Times New Roman" w:eastAsia="Times New Roman" w:hAnsi="Times New Roman"/>
          <w:sz w:val="18"/>
          <w:szCs w:val="18"/>
          <w:color w:val="010000"/>
        </w:rPr>
      </w:pPr>
    </w:p>
    <w:p>
      <w:pPr>
        <w:jc w:val="both"/>
        <w:ind w:left="1020" w:right="48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tabs>
          <w:tab w:leader="none" w:pos="6760" w:val="left"/>
        </w:tabs>
        <w:rPr>
          <w:sz w:val="20"/>
          <w:szCs w:val="20"/>
          <w:color w:val="auto"/>
        </w:rPr>
      </w:pPr>
      <w:r>
        <w:rPr>
          <w:rFonts w:ascii="Times New Roman" w:cs="Times New Roman" w:eastAsia="Times New Roman" w:hAnsi="Times New Roman"/>
          <w:sz w:val="18"/>
          <w:szCs w:val="18"/>
          <w:color w:val="auto"/>
        </w:rPr>
        <w:t>Date: May 10, 2023</w:t>
      </w:r>
      <w:r>
        <w:rPr>
          <w:sz w:val="20"/>
          <w:szCs w:val="20"/>
          <w:color w:val="auto"/>
        </w:rPr>
        <w:tab/>
      </w:r>
      <w:r>
        <w:rPr>
          <w:rFonts w:ascii="Times New Roman" w:cs="Times New Roman" w:eastAsia="Times New Roman" w:hAnsi="Times New Roman"/>
          <w:sz w:val="17"/>
          <w:szCs w:val="17"/>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Molly Henderson</w:t>
      </w:r>
    </w:p>
    <w:p>
      <w:pPr>
        <w:spacing w:after="0" w:line="36"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344805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4" w:name="page75"/>
    <w:bookmarkEnd w:id="74"/>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Phathom Pharmaceuticals, Inc. (the “Company”) for the quarter ended March 31, 2023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ind w:left="1700"/>
        <w:spacing w:after="0"/>
        <w:tabs>
          <w:tab w:leader="none" w:pos="5700" w:val="left"/>
        </w:tabs>
        <w:rPr>
          <w:sz w:val="20"/>
          <w:szCs w:val="20"/>
          <w:color w:val="auto"/>
        </w:rPr>
      </w:pPr>
      <w:r>
        <w:rPr>
          <w:rFonts w:ascii="Times New Roman" w:cs="Times New Roman" w:eastAsia="Times New Roman" w:hAnsi="Times New Roman"/>
          <w:sz w:val="18"/>
          <w:szCs w:val="18"/>
          <w:color w:val="auto"/>
        </w:rPr>
        <w:t>Date: May 10, 2023</w:t>
      </w:r>
      <w:r>
        <w:rPr>
          <w:sz w:val="20"/>
          <w:szCs w:val="20"/>
          <w:color w:val="auto"/>
        </w:rPr>
        <w:tab/>
      </w:r>
      <w:r>
        <w:rPr>
          <w:rFonts w:ascii="Times New Roman" w:cs="Times New Roman" w:eastAsia="Times New Roman" w:hAnsi="Times New Roman"/>
          <w:sz w:val="17"/>
          <w:szCs w:val="17"/>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26035</wp:posOffset>
            </wp:positionV>
            <wp:extent cx="24428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Terrie Curran</w:t>
      </w:r>
    </w:p>
    <w:p>
      <w:pPr>
        <w:spacing w:after="0" w:line="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5" w:name="page76"/>
    <w:bookmarkEnd w:id="75"/>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20" w:firstLine="823"/>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Phathom Pharmaceuticals, Inc. (the “Company”) for the quarter ended March 31, 2023 as filed with the Securities and Exchange Commission on the date hereof (the “Report”), I, Molly Henderson, as Chief Financial and Business Officer of the Company, certify, pursuant to 18 U.S.C. Section 1350, as adopted pursuant to Section 906 of the Sarbanes-Oxley Act of 2002, to my knowledge, that:</w:t>
      </w:r>
    </w:p>
    <w:p>
      <w:pPr>
        <w:spacing w:after="0" w:line="207" w:lineRule="exact"/>
        <w:rPr>
          <w:sz w:val="20"/>
          <w:szCs w:val="20"/>
          <w:color w:val="auto"/>
        </w:rPr>
      </w:pPr>
    </w:p>
    <w:p>
      <w:pPr>
        <w:ind w:left="840" w:right="180" w:hanging="832"/>
        <w:spacing w:after="0" w:line="282" w:lineRule="auto"/>
        <w:tabs>
          <w:tab w:leader="none" w:pos="8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50" w:lineRule="exact"/>
        <w:rPr>
          <w:sz w:val="20"/>
          <w:szCs w:val="20"/>
          <w:color w:val="auto"/>
        </w:rPr>
      </w:pPr>
    </w:p>
    <w:p>
      <w:pPr>
        <w:ind w:left="1380"/>
        <w:spacing w:after="0"/>
        <w:tabs>
          <w:tab w:leader="none" w:pos="5380" w:val="left"/>
        </w:tabs>
        <w:rPr>
          <w:sz w:val="20"/>
          <w:szCs w:val="20"/>
          <w:color w:val="auto"/>
        </w:rPr>
      </w:pPr>
      <w:r>
        <w:rPr>
          <w:rFonts w:ascii="Times New Roman" w:cs="Times New Roman" w:eastAsia="Times New Roman" w:hAnsi="Times New Roman"/>
          <w:sz w:val="18"/>
          <w:szCs w:val="18"/>
          <w:color w:val="auto"/>
        </w:rPr>
        <w:t>Date: May 10, 2023</w:t>
      </w:r>
      <w:r>
        <w:rPr>
          <w:sz w:val="20"/>
          <w:szCs w:val="20"/>
          <w:color w:val="auto"/>
        </w:rPr>
        <w:tab/>
      </w:r>
      <w:r>
        <w:rPr>
          <w:rFonts w:ascii="Times New Roman" w:cs="Times New Roman" w:eastAsia="Times New Roman" w:hAnsi="Times New Roman"/>
          <w:sz w:val="17"/>
          <w:szCs w:val="17"/>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26035</wp:posOffset>
            </wp:positionV>
            <wp:extent cx="2854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Molly Henderson</w:t>
      </w:r>
    </w:p>
    <w:p>
      <w:pPr>
        <w:spacing w:after="0" w:line="3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2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20"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1)"/>
      <w:numFmt w:val="lowerLetter"/>
      <w:start w:val="1"/>
    </w:lvl>
  </w:abstractNum>
  <w:abstractNum w:abstractNumId="5">
    <w:nsid w:val="22221A70"/>
    <w:multiLevelType w:val="hybridMultilevel"/>
    <w:lvl w:ilvl="0">
      <w:lvlJc w:val="left"/>
      <w:lvlText w:val="(%1)"/>
      <w:numFmt w:val="lowerRoman"/>
      <w:start w:val="2"/>
    </w:lvl>
  </w:abstractNum>
  <w:abstractNum w:abstractNumId="6">
    <w:nsid w:val="4516DDE9"/>
    <w:multiLevelType w:val="hybridMultilevel"/>
    <w:lvl w:ilvl="0">
      <w:lvlJc w:val="left"/>
      <w:lvlText w:val="(%1)"/>
      <w:numFmt w:val="lowerRoman"/>
      <w:start w:val="2"/>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1"/>
      <w:numFmt w:val="decimal"/>
      <w:start w:val="104"/>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1)"/>
      <w:numFmt w:val="lowerLetter"/>
      <w:start w:val="1"/>
    </w:lvl>
    <w:lvl w:ilvl="1">
      <w:lvlJc w:val="left"/>
      <w:lvlText w:val="(%2)"/>
      <w:numFmt w:val="lowerRoman"/>
      <w:start w:val="1"/>
    </w:lvl>
  </w:abstractNum>
  <w:abstractNum w:abstractNumId="12">
    <w:nsid w:val="5072367"/>
    <w:multiLevelType w:val="hybridMultilevel"/>
    <w:lvl w:ilvl="0">
      <w:lvlJc w:val="left"/>
      <w:lvlText w:val="(%1)"/>
      <w:numFmt w:val="lowerLetter"/>
      <w:start w:val="1"/>
    </w:lvl>
  </w:abstractNum>
  <w:abstractNum w:abstractNumId="13">
    <w:nsid w:val="3804823E"/>
    <w:multiLevelType w:val="hybridMultilevel"/>
    <w:lvl w:ilvl="0">
      <w:lvlJc w:val="left"/>
      <w:lvlText w:val="(%1)"/>
      <w:numFmt w:val="lowerLetter"/>
      <w:start w:val="2"/>
    </w:lvl>
  </w:abstractNum>
  <w:abstractNum w:abstractNumId="14">
    <w:nsid w:val="77465F01"/>
    <w:multiLevelType w:val="hybridMultilevel"/>
    <w:lvl w:ilvl="0">
      <w:lvlJc w:val="left"/>
      <w:lvlText w:val="(%1)"/>
      <w:numFmt w:val="lowerLetter"/>
      <w:start w:val="1"/>
    </w:lvl>
  </w:abstractNum>
  <w:abstractNum w:abstractNumId="15">
    <w:nsid w:val="7724C67E"/>
    <w:multiLevelType w:val="hybridMultilevel"/>
    <w:lvl w:ilvl="0">
      <w:lvlJc w:val="left"/>
      <w:lvlText w:val="(%1)"/>
      <w:numFmt w:val="lowerLetter"/>
      <w:start w:val="2"/>
    </w:lvl>
  </w:abstractNum>
  <w:abstractNum w:abstractNumId="16">
    <w:nsid w:val="5C482A97"/>
    <w:multiLevelType w:val="hybridMultilevel"/>
    <w:lvl w:ilvl="0">
      <w:lvlJc w:val="left"/>
      <w:lvlText w:val="(%1)"/>
      <w:numFmt w:val="lowerLetter"/>
      <w:start w:val="1"/>
    </w:lvl>
  </w:abstractNum>
  <w:abstractNum w:abstractNumId="17">
    <w:nsid w:val="2463B9EA"/>
    <w:multiLevelType w:val="hybridMultilevel"/>
    <w:lvl w:ilvl="0">
      <w:lvlJc w:val="left"/>
      <w:lvlText w:val="(%1)"/>
      <w:numFmt w:val="lowerLetter"/>
      <w:start w:val="2"/>
    </w:lvl>
  </w:abstractNum>
  <w:abstractNum w:abstractNumId="18">
    <w:nsid w:val="5E884ADC"/>
    <w:multiLevelType w:val="hybridMultilevel"/>
    <w:lvl w:ilvl="0">
      <w:lvlJc w:val="left"/>
      <w:lvlText w:val="(%1)"/>
      <w:numFmt w:val="lowerLetter"/>
      <w:start w:val="1"/>
    </w:lvl>
  </w:abstractNum>
  <w:abstractNum w:abstractNumId="19">
    <w:nsid w:val="51EAD36B"/>
    <w:multiLevelType w:val="hybridMultilevel"/>
    <w:lvl w:ilvl="0">
      <w:lvlJc w:val="left"/>
      <w:lvlText w:val="(%1)"/>
      <w:numFmt w:val="lowerRoman"/>
      <w:start w:val="1"/>
    </w:lvl>
  </w:abstractNum>
  <w:abstractNum w:abstractNumId="20">
    <w:nsid w:val="2D517796"/>
    <w:multiLevelType w:val="hybridMultilevel"/>
    <w:lvl w:ilvl="0">
      <w:lvlJc w:val="left"/>
      <w:lvlText w:val="(%1)"/>
      <w:numFmt w:val="lowerRoman"/>
      <w:start w:val="3"/>
    </w:lvl>
  </w:abstractNum>
  <w:abstractNum w:abstractNumId="21">
    <w:nsid w:val="580BD78F"/>
    <w:multiLevelType w:val="hybridMultilevel"/>
    <w:lvl w:ilvl="0">
      <w:lvlJc w:val="left"/>
      <w:lvlText w:val="(%1)"/>
      <w:numFmt w:val="lowerLetter"/>
      <w:start w:val="2"/>
    </w:lvl>
  </w:abstractNum>
  <w:abstractNum w:abstractNumId="22">
    <w:nsid w:val="153EA43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3">
    <w:nsid w:val="3855585C"/>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9"/>
    </w:lvl>
  </w:abstractNum>
  <w:abstractNum w:abstractNumId="24">
    <w:nsid w:val="70A64E2A"/>
    <w:multiLevelType w:val="hybridMultilevel"/>
    <w:lvl w:ilvl="0">
      <w:lvlJc w:val="left"/>
      <w:lvlText w:val="%1"/>
      <w:numFmt w:val="lowerLetter"/>
      <w:start w:val="1"/>
    </w:lvl>
    <w:lvl w:ilvl="1">
      <w:lvlJc w:val="left"/>
      <w:lvlText w:val="(%2)"/>
      <w:numFmt w:val="lowerLetter"/>
      <w:start w:val="35"/>
    </w:lvl>
  </w:abstractNum>
  <w:abstractNum w:abstractNumId="25">
    <w:nsid w:val="6A2342EC"/>
    <w:multiLevelType w:val="hybridMultilevel"/>
    <w:lvl w:ilvl="0">
      <w:lvlJc w:val="left"/>
      <w:lvlText w:val="(%1)"/>
      <w:numFmt w:val="lowerLetter"/>
      <w:start w:val="5"/>
    </w:lvl>
    <w:lvl w:ilvl="1">
      <w:lvlJc w:val="left"/>
      <w:lvlText w:val="%2"/>
      <w:numFmt w:val="lowerLetter"/>
      <w:start w:val="1"/>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lowerLetter"/>
      <w:start w:val="3"/>
    </w:lvl>
  </w:abstractNum>
  <w:abstractNum w:abstractNumId="28">
    <w:nsid w:val="725A06FB"/>
    <w:multiLevelType w:val="hybridMultilevel"/>
    <w:lvl w:ilvl="0">
      <w:lvlJc w:val="left"/>
      <w:lvlText w:val="(%1)"/>
      <w:numFmt w:val="lowerLetter"/>
      <w:start w:val="1"/>
    </w:lvl>
  </w:abstractNum>
  <w:abstractNum w:abstractNumId="29">
    <w:nsid w:val="2CD89A32"/>
    <w:multiLevelType w:val="hybridMultilevel"/>
    <w:lvl w:ilvl="0">
      <w:lvlJc w:val="left"/>
      <w:lvlText w:val="(%1)"/>
      <w:numFmt w:val="lowerLetter"/>
      <w:start w:val="3"/>
    </w:lvl>
  </w:abstractNum>
  <w:abstractNum w:abstractNumId="30">
    <w:nsid w:val="57E4CCAF"/>
    <w:multiLevelType w:val="hybridMultilevel"/>
    <w:lvl w:ilvl="0">
      <w:lvlJc w:val="left"/>
      <w:lvlText w:val="(%1)"/>
      <w:numFmt w:val="lowerLetter"/>
      <w:start w:val="1"/>
    </w:lvl>
  </w:abstractNum>
  <w:abstractNum w:abstractNumId="31">
    <w:nsid w:val="7A6D8D3C"/>
    <w:multiLevelType w:val="hybridMultilevel"/>
    <w:lvl w:ilvl="0">
      <w:lvlJc w:val="left"/>
      <w:lvlText w:val="(%1)"/>
      <w:numFmt w:val="lowerLetter"/>
      <w:start w:val="5"/>
    </w:lvl>
  </w:abstractNum>
  <w:abstractNum w:abstractNumId="32">
    <w:nsid w:val="4B588F54"/>
    <w:multiLevelType w:val="hybridMultilevel"/>
    <w:lvl w:ilvl="0">
      <w:lvlJc w:val="left"/>
      <w:lvlText w:val="(%1)"/>
      <w:numFmt w:val="lowerLetter"/>
      <w:start w:val="8"/>
    </w:lvl>
  </w:abstractNum>
  <w:abstractNum w:abstractNumId="33">
    <w:nsid w:val="542289EC"/>
    <w:multiLevelType w:val="hybridMultilevel"/>
    <w:lvl w:ilvl="0">
      <w:lvlJc w:val="left"/>
      <w:lvlText w:val="(%1)"/>
      <w:numFmt w:val="lowerLetter"/>
      <w:start w:val="14"/>
    </w:lvl>
  </w:abstractNum>
  <w:abstractNum w:abstractNumId="34">
    <w:nsid w:val="6DE91B18"/>
    <w:multiLevelType w:val="hybridMultilevel"/>
    <w:lvl w:ilvl="0">
      <w:lvlJc w:val="left"/>
      <w:lvlText w:val="(%1)"/>
      <w:numFmt w:val="lowerLetter"/>
      <w:start w:val="16"/>
    </w:lvl>
  </w:abstractNum>
  <w:abstractNum w:abstractNumId="35">
    <w:nsid w:val="38437FDB"/>
    <w:multiLevelType w:val="hybridMultilevel"/>
    <w:lvl w:ilvl="0">
      <w:lvlJc w:val="left"/>
      <w:lvlText w:val="(%1)"/>
      <w:numFmt w:val="lowerLetter"/>
      <w:start w:val="2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1."/>
      <w:numFmt w:val="decimal"/>
      <w:start w:val="1"/>
    </w:lvl>
  </w:abstractNum>
  <w:abstractNum w:abstractNumId="38">
    <w:nsid w:val="684A481A"/>
    <w:multiLevelType w:val="hybridMultilevel"/>
    <w:lvl w:ilvl="0">
      <w:lvlJc w:val="left"/>
      <w:lvlText w:val="%1"/>
      <w:numFmt w:val="upperLetter"/>
      <w:start w:val="1"/>
    </w:lvl>
    <w:lvl w:ilvl="1">
      <w:lvlJc w:val="left"/>
      <w:lvlText w:val="%2."/>
      <w:numFmt w:val="upperLetter"/>
      <w:start w:val="1"/>
    </w:lvl>
  </w:abstractNum>
  <w:abstractNum w:abstractNumId="39">
    <w:nsid w:val="579478FE"/>
    <w:multiLevelType w:val="hybridMultilevel"/>
    <w:lvl w:ilvl="0">
      <w:lvlJc w:val="left"/>
      <w:lvlText w:val="(%1)"/>
      <w:numFmt w:val="lowerLetter"/>
      <w:start w:val="1"/>
    </w:lvl>
    <w:lvl w:ilvl="1">
      <w:lvlJc w:val="left"/>
      <w:lvlText w:val="(%2)"/>
      <w:numFmt w:val="lowerRoman"/>
      <w:start w:val="1"/>
    </w:lvl>
  </w:abstractNum>
  <w:abstractNum w:abstractNumId="40">
    <w:nsid w:val="749ABB43"/>
    <w:multiLevelType w:val="hybridMultilevel"/>
    <w:lvl w:ilvl="0">
      <w:lvlJc w:val="left"/>
      <w:lvlText w:val="(%1)"/>
      <w:numFmt w:val="lowerLetter"/>
      <w:start w:val="1"/>
    </w:lvl>
    <w:lvl w:ilvl="1">
      <w:lvlJc w:val="left"/>
      <w:lvlText w:val="(%2)"/>
      <w:numFmt w:val="lowerLetter"/>
      <w:start w:val="9"/>
    </w:lvl>
  </w:abstractNum>
  <w:abstractNum w:abstractNumId="41">
    <w:nsid w:val="3DC240FB"/>
    <w:multiLevelType w:val="hybridMultilevel"/>
    <w:lvl w:ilvl="0">
      <w:lvlJc w:val="left"/>
      <w:lvlText w:val="\ldblquote"/>
      <w:numFmt w:val="bullet"/>
      <w:start w:val="1"/>
    </w:lvl>
  </w:abstractNum>
  <w:abstractNum w:abstractNumId="42">
    <w:nsid w:val="1BA026FA"/>
    <w:multiLevelType w:val="hybridMultilevel"/>
    <w:lvl w:ilvl="0">
      <w:lvlJc w:val="left"/>
      <w:lvlText w:val="(%1)"/>
      <w:numFmt w:val="lowerRoman"/>
      <w:start w:val="2"/>
    </w:lvl>
  </w:abstractNum>
  <w:abstractNum w:abstractNumId="43">
    <w:nsid w:val="79A1DEAA"/>
    <w:multiLevelType w:val="hybridMultilevel"/>
    <w:lvl w:ilvl="0">
      <w:lvlJc w:val="left"/>
      <w:lvlText w:val="%1"/>
      <w:numFmt w:val="upperLetter"/>
      <w:start w:val="31"/>
    </w:lvl>
  </w:abstractNum>
  <w:abstractNum w:abstractNumId="44">
    <w:nsid w:val="75C6C33A"/>
    <w:multiLevelType w:val="hybridMultilevel"/>
    <w:lvl w:ilvl="0">
      <w:lvlJc w:val="left"/>
      <w:lvlText w:val="(%1)"/>
      <w:numFmt w:val="lowerRoman"/>
      <w:start w:val="3"/>
    </w:lvl>
  </w:abstractNum>
  <w:abstractNum w:abstractNumId="45">
    <w:nsid w:val="12E685FB"/>
    <w:multiLevelType w:val="hybridMultilevel"/>
    <w:lvl w:ilvl="0">
      <w:lvlJc w:val="left"/>
      <w:lvlText w:val="(%1)"/>
      <w:numFmt w:val="lowerRoman"/>
      <w:start w:val="4"/>
    </w:lvl>
  </w:abstractNum>
  <w:abstractNum w:abstractNumId="46">
    <w:nsid w:val="70C6A529"/>
    <w:multiLevelType w:val="hybridMultilevel"/>
    <w:lvl w:ilvl="0">
      <w:lvlJc w:val="left"/>
      <w:lvlText w:val="(%1)"/>
      <w:numFmt w:val="lowerRoman"/>
      <w:start w:val="5"/>
    </w:lvl>
  </w:abstractNum>
  <w:abstractNum w:abstractNumId="47">
    <w:nsid w:val="520EEDD1"/>
    <w:multiLevelType w:val="hybridMultilevel"/>
    <w:lvl w:ilvl="0">
      <w:lvlJc w:val="left"/>
      <w:lvlText w:val="(%1)"/>
      <w:numFmt w:val="lowerLetter"/>
      <w:start w:val="1"/>
    </w:lvl>
  </w:abstractNum>
  <w:abstractNum w:abstractNumId="48">
    <w:nsid w:val="374A3FE6"/>
    <w:multiLevelType w:val="hybridMultilevel"/>
    <w:lvl w:ilvl="0">
      <w:lvlJc w:val="left"/>
      <w:lvlText w:val="(%1)"/>
      <w:numFmt w:val="lowerRoman"/>
      <w:start w:val="6"/>
    </w:lvl>
  </w:abstractNum>
  <w:abstractNum w:abstractNumId="49">
    <w:nsid w:val="4F4EF005"/>
    <w:multiLevelType w:val="hybridMultilevel"/>
    <w:lvl w:ilvl="0">
      <w:lvlJc w:val="left"/>
      <w:lvlText w:val="%1"/>
      <w:numFmt w:val="lowerLetter"/>
      <w:start w:val="1"/>
    </w:lvl>
    <w:lvl w:ilvl="1">
      <w:lvlJc w:val="left"/>
      <w:lvlText w:val="(%2)"/>
      <w:numFmt w:val="lowerRoman"/>
      <w:start w:val="7"/>
    </w:lvl>
  </w:abstractNum>
  <w:abstractNum w:abstractNumId="50">
    <w:nsid w:val="23F9C13C"/>
    <w:multiLevelType w:val="hybridMultilevel"/>
    <w:lvl w:ilvl="0">
      <w:lvlJc w:val="left"/>
      <w:lvlText w:val="(%1)"/>
      <w:numFmt w:val="lowerLetter"/>
      <w:start w:val="2"/>
    </w:lvl>
    <w:lvl w:ilvl="1">
      <w:lvlJc w:val="left"/>
      <w:lvlText w:val="%2"/>
      <w:numFmt w:val="lowerRoman"/>
      <w:start w:val="1"/>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lowerLetter"/>
      <w:start w:val="6"/>
    </w:lvl>
    <w:lvl w:ilvl="1">
      <w:lvlJc w:val="left"/>
      <w:lvlText w:val="(%2)"/>
      <w:numFmt w:val="lowerRoman"/>
      <w:start w:val="1"/>
    </w:lvl>
  </w:abstractNum>
  <w:abstractNum w:abstractNumId="53">
    <w:nsid w:val="39386575"/>
    <w:multiLevelType w:val="hybridMultilevel"/>
    <w:lvl w:ilvl="0">
      <w:lvlJc w:val="left"/>
      <w:lvlText w:val="(%1)"/>
      <w:numFmt w:val="lowerLetter"/>
      <w:start w:val="1"/>
    </w:lvl>
    <w:lvl w:ilvl="1">
      <w:lvlJc w:val="left"/>
      <w:lvlText w:val="(%2)"/>
      <w:numFmt w:val="lowerRoman"/>
      <w:start w:val="1"/>
    </w:lvl>
  </w:abstractNum>
  <w:abstractNum w:abstractNumId="54">
    <w:nsid w:val="1CF10FD8"/>
    <w:multiLevelType w:val="hybridMultilevel"/>
    <w:lvl w:ilvl="0">
      <w:lvlJc w:val="left"/>
      <w:lvlText w:val="(%1)"/>
      <w:numFmt w:val="lowerLetter"/>
      <w:start w:val="5"/>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40" Type="http://schemas.openxmlformats.org/officeDocument/2006/relationships/hyperlink" Target="https://www.sec.gov/Archives/edgar/data/1783183/000119312519277761/d795888dex31.htm" TargetMode="External"/><Relationship Id="rId141" Type="http://schemas.openxmlformats.org/officeDocument/2006/relationships/hyperlink" Target="https://www.sec.gov/Archives/edgar/data/0001783183/000119312520254563/d10693dex31.htm" TargetMode="External"/><Relationship Id="rId142" Type="http://schemas.openxmlformats.org/officeDocument/2006/relationships/hyperlink" Target="https://www.sec.gov/Archives/edgar/data/1783183/000119312519267053/d63338dex41.htm" TargetMode="External"/><Relationship Id="rId143" Type="http://schemas.openxmlformats.org/officeDocument/2006/relationships/hyperlink" Target="https://www.sec.gov/Archives/edgar/data/1783183/000119312519258922/d63338dex43.htm" TargetMode="External"/><Relationship Id="rId144" Type="http://schemas.openxmlformats.org/officeDocument/2006/relationships/hyperlink" Target="https://www.sec.gov/Archives/edgar/data/1783183/000119312519258922/d63338dex44.htm" TargetMode="External"/><Relationship Id="rId145" Type="http://schemas.openxmlformats.org/officeDocument/2006/relationships/hyperlink" Target="https://www.sec.gov/Archives/edgar/data/1783183/000156459021055073/phat-ex102_212.htm" TargetMode="External"/><Relationship Id="rId146" Type="http://schemas.openxmlformats.org/officeDocument/2006/relationships/hyperlink" Target="https://www.sec.gov/Archives/edgar/data/1783183/000119312519267053/d63338dex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2023-05-10T07:22:53Z</dcterms:created>
  <dcterms:modified xsi:type="dcterms:W3CDTF">2023-05-10T07:22:53Z</dcterms:modified>
</cp:coreProperties>
</file>